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50.999985pt;width:484.9pt;height:.1pt;mso-position-horizontal-relative:page;mso-position-vertical-relative:page;z-index:0" coordorigin="1104,1020" coordsize="9698,2">
            <v:shape style="position:absolute;left:1104;top:1020;width:9698;height:2" coordorigin="1104,1020" coordsize="9698,0" path="m1104,1020l10802,1020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3"/>
          <w:szCs w:val="13"/>
        </w:rPr>
      </w:pPr>
    </w:p>
    <w:p>
      <w:pPr>
        <w:spacing w:line="1092"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1127759" cy="69342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7759" cy="693420"/>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145" w:right="1129" w:firstLine="0"/>
        <w:jc w:val="center"/>
        <w:rPr>
          <w:rFonts w:ascii="宋体" w:hAnsi="宋体" w:cs="宋体" w:eastAsia="宋体" w:hint="default"/>
          <w:sz w:val="36"/>
          <w:szCs w:val="36"/>
        </w:rPr>
      </w:pPr>
      <w:r>
        <w:rPr>
          <w:rFonts w:ascii="宋体" w:hAnsi="宋体" w:cs="宋体" w:eastAsia="宋体" w:hint="default"/>
          <w:b/>
          <w:bCs/>
          <w:sz w:val="36"/>
          <w:szCs w:val="36"/>
        </w:rPr>
        <w:t>中国长城科技集团股份有限公司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153" w:right="112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8"/>
        <w:rPr>
          <w:rFonts w:ascii="宋体" w:hAnsi="宋体" w:cs="宋体" w:eastAsia="宋体" w:hint="default"/>
          <w:b/>
          <w:bCs/>
          <w:sz w:val="30"/>
          <w:szCs w:val="30"/>
        </w:rPr>
      </w:pPr>
    </w:p>
    <w:p>
      <w:pPr>
        <w:spacing w:before="0"/>
        <w:ind w:left="151" w:right="112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宋体" w:hAnsi="宋体" w:cs="宋体" w:eastAsia="宋体" w:hint="default"/>
          <w:b/>
          <w:bCs/>
          <w:sz w:val="32"/>
          <w:szCs w:val="32"/>
        </w:rPr>
        <w:t>年</w:t>
      </w:r>
      <w:r>
        <w:rPr>
          <w:rFonts w:ascii="Times New Roman" w:hAnsi="Times New Roman" w:cs="Times New Roman" w:eastAsia="Times New Roman" w:hint="default"/>
          <w:b/>
          <w:bCs/>
          <w:sz w:val="32"/>
          <w:szCs w:val="32"/>
        </w:rPr>
        <w:t>04</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9" w:footer="504" w:top="1100" w:bottom="700" w:left="980" w:right="0"/>
        </w:sectPr>
      </w:pPr>
    </w:p>
    <w:p>
      <w:pPr>
        <w:spacing w:line="240" w:lineRule="auto" w:before="11"/>
        <w:rPr>
          <w:rFonts w:ascii="宋体" w:hAnsi="宋体" w:cs="宋体" w:eastAsia="宋体" w:hint="default"/>
          <w:b/>
          <w:bCs/>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4pt;height:.5pt;mso-position-horizontal-relative:char;mso-position-vertical-relative:line" coordorigin="0,0" coordsize="9708,10">
            <v:group style="position:absolute;left:5;top:5;width:9698;height:2" coordorigin="5,5" coordsize="9698,2">
              <v:shape style="position:absolute;left:5;top:5;width:9698;height:2" coordorigin="5,5" coordsize="9698,0" path="m5,5l970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Heading1"/>
        <w:spacing w:line="240" w:lineRule="auto"/>
        <w:ind w:left="2802" w:right="113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2"/>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408" w:lineRule="auto" w:before="162"/>
        <w:ind w:right="1126" w:firstLine="562"/>
        <w:jc w:val="both"/>
        <w:rPr>
          <w:b w:val="0"/>
          <w:bCs w:val="0"/>
        </w:rPr>
      </w:pPr>
      <w:r>
        <w:rPr>
          <w:spacing w:val="2"/>
        </w:rPr>
        <w:t>公司负责人宋黎定、主管会计工作负责人许海东及会计机构负责人（会计</w:t>
      </w:r>
      <w:r>
        <w:rPr>
          <w:spacing w:val="2"/>
          <w:w w:val="99"/>
        </w:rPr>
        <w:t> </w:t>
      </w:r>
      <w:r>
        <w:rPr/>
        <w:t>主管人员）许少霞声明：保证年度报告中财务报告的真实、准确、完整。</w:t>
      </w:r>
      <w:r>
        <w:rPr>
          <w:b w:val="0"/>
          <w:bCs w:val="0"/>
        </w:rPr>
      </w:r>
    </w:p>
    <w:p>
      <w:pPr>
        <w:pStyle w:val="Heading2"/>
        <w:spacing w:line="472" w:lineRule="auto" w:before="162"/>
        <w:ind w:left="714" w:right="1133"/>
        <w:jc w:val="left"/>
        <w:rPr>
          <w:b w:val="0"/>
          <w:bCs w:val="0"/>
        </w:rPr>
      </w:pPr>
      <w:r>
        <w:rPr/>
        <w:t>所有董事均已出席了审议本报告的董事会会议。</w:t>
      </w:r>
      <w:r>
        <w:rPr>
          <w:w w:val="99"/>
        </w:rPr>
        <w:t> </w:t>
      </w:r>
      <w:r>
        <w:rPr>
          <w:spacing w:val="2"/>
        </w:rPr>
        <w:t>本年度报告内涉及的未来计划、发展战略等前瞻性陈述不构成公司对投资</w:t>
      </w:r>
      <w:r>
        <w:rPr>
          <w:b w:val="0"/>
          <w:bCs w:val="0"/>
          <w:spacing w:val="2"/>
        </w:rPr>
      </w:r>
    </w:p>
    <w:p>
      <w:pPr>
        <w:pStyle w:val="Heading2"/>
        <w:spacing w:line="408" w:lineRule="auto"/>
        <w:ind w:right="1129"/>
        <w:jc w:val="left"/>
        <w:rPr>
          <w:b w:val="0"/>
          <w:bCs w:val="0"/>
        </w:rPr>
      </w:pPr>
      <w:r>
        <w:rPr>
          <w:spacing w:val="2"/>
        </w:rPr>
        <w:t>者的实质承诺，投资者及相关人士均应当对此保持足够的风险认识，并且应当</w:t>
      </w:r>
      <w:r>
        <w:rPr>
          <w:w w:val="99"/>
        </w:rPr>
        <w:t> </w:t>
      </w:r>
      <w:r>
        <w:rPr/>
        <w:t>理解计划、预测与承诺之间的差异，请注意投资风险。</w:t>
      </w:r>
      <w:r>
        <w:rPr>
          <w:b w:val="0"/>
          <w:bCs w:val="0"/>
        </w:rPr>
      </w:r>
    </w:p>
    <w:p>
      <w:pPr>
        <w:pStyle w:val="Heading2"/>
        <w:spacing w:line="386" w:lineRule="auto" w:before="162"/>
        <w:ind w:right="1128" w:firstLine="562"/>
        <w:jc w:val="both"/>
        <w:rPr>
          <w:b w:val="0"/>
          <w:bCs w:val="0"/>
        </w:rPr>
      </w:pPr>
      <w:r>
        <w:rPr>
          <w:spacing w:val="6"/>
        </w:rPr>
        <w:t>公司风险因素已经于第四节</w:t>
      </w:r>
      <w:r>
        <w:rPr>
          <w:rFonts w:ascii="Times New Roman" w:hAnsi="Times New Roman" w:cs="Times New Roman" w:eastAsia="Times New Roman" w:hint="default"/>
          <w:spacing w:val="6"/>
        </w:rPr>
        <w:t>“</w:t>
      </w:r>
      <w:r>
        <w:rPr>
          <w:spacing w:val="6"/>
        </w:rPr>
        <w:t>公司未来发展的展望</w:t>
      </w:r>
      <w:r>
        <w:rPr>
          <w:rFonts w:ascii="Times New Roman" w:hAnsi="Times New Roman" w:cs="Times New Roman" w:eastAsia="Times New Roman" w:hint="default"/>
          <w:spacing w:val="6"/>
        </w:rPr>
        <w:t>”</w:t>
      </w:r>
      <w:r>
        <w:rPr>
          <w:spacing w:val="6"/>
        </w:rPr>
        <w:t>和财务报告附注的</w:t>
      </w:r>
      <w:r>
        <w:rPr>
          <w:rFonts w:ascii="Times New Roman" w:hAnsi="Times New Roman" w:cs="Times New Roman" w:eastAsia="Times New Roman" w:hint="default"/>
          <w:spacing w:val="6"/>
        </w:rPr>
        <w:t>“</w:t>
      </w:r>
      <w:r>
        <w:rPr>
          <w:spacing w:val="6"/>
        </w:rPr>
        <w:t>与</w:t>
      </w:r>
      <w:r>
        <w:rPr>
          <w:w w:val="99"/>
        </w:rPr>
        <w:t> </w:t>
      </w:r>
      <w:r>
        <w:rPr>
          <w:spacing w:val="-17"/>
          <w:w w:val="99"/>
        </w:rPr>
        <w:t>金融工具相关的风险</w:t>
      </w:r>
      <w:r>
        <w:rPr>
          <w:rFonts w:ascii="Times New Roman" w:hAnsi="Times New Roman" w:cs="Times New Roman" w:eastAsia="Times New Roman" w:hint="default"/>
          <w:spacing w:val="-17"/>
          <w:w w:val="99"/>
        </w:rPr>
        <w:t>”</w:t>
      </w:r>
      <w:r>
        <w:rPr>
          <w:spacing w:val="-17"/>
          <w:w w:val="99"/>
        </w:rPr>
        <w:t>中披露；《中国证券报》、《证券时报》、《上海证券报》和</w:t>
      </w:r>
      <w:r>
        <w:rPr>
          <w:spacing w:val="-135"/>
          <w:w w:val="99"/>
        </w:rPr>
        <w:t> </w:t>
      </w:r>
      <w:r>
        <w:rPr>
          <w:spacing w:val="-135"/>
          <w:w w:val="99"/>
        </w:rPr>
      </w:r>
      <w:r>
        <w:rPr>
          <w:spacing w:val="-1"/>
        </w:rPr>
        <w:t>巨潮资讯网（</w:t>
      </w:r>
      <w:hyperlink r:id="rId9">
        <w:r>
          <w:rPr>
            <w:rFonts w:ascii="Times New Roman" w:hAnsi="Times New Roman" w:cs="Times New Roman" w:eastAsia="Times New Roman" w:hint="default"/>
            <w:spacing w:val="-1"/>
          </w:rPr>
          <w:t>www.cninfo.com.cn</w:t>
        </w:r>
      </w:hyperlink>
      <w:r>
        <w:rPr>
          <w:spacing w:val="-1"/>
        </w:rPr>
        <w:t>）为公司选定的信息披露媒体，本公司所有信</w:t>
      </w:r>
      <w:r>
        <w:rPr>
          <w:spacing w:val="-115"/>
        </w:rPr>
        <w:t> </w:t>
      </w:r>
      <w:r>
        <w:rPr>
          <w:spacing w:val="-115"/>
        </w:rPr>
      </w:r>
      <w:r>
        <w:rPr/>
        <w:t>息均以在上述选定媒体刊登的信息为准，敬请投资者注意投资风险。</w:t>
      </w:r>
      <w:r>
        <w:rPr>
          <w:b w:val="0"/>
          <w:bCs w:val="0"/>
        </w:rPr>
      </w:r>
    </w:p>
    <w:p>
      <w:pPr>
        <w:pStyle w:val="Heading2"/>
        <w:spacing w:line="240" w:lineRule="auto" w:before="187"/>
        <w:ind w:left="714" w:right="0"/>
        <w:jc w:val="left"/>
        <w:rPr>
          <w:b w:val="0"/>
          <w:bCs w:val="0"/>
        </w:rPr>
      </w:pPr>
      <w:r>
        <w:rPr/>
        <w:t>公司经本次董事会审议通过的利润分配预案为：以</w:t>
      </w:r>
      <w:r>
        <w:rPr>
          <w:spacing w:val="-53"/>
        </w:rPr>
        <w:t> </w:t>
      </w:r>
      <w:r>
        <w:rPr>
          <w:rFonts w:ascii="Times New Roman" w:hAnsi="Times New Roman" w:cs="Times New Roman" w:eastAsia="Times New Roman" w:hint="default"/>
        </w:rPr>
        <w:t>2,928,182,053</w:t>
      </w:r>
      <w:r>
        <w:rPr>
          <w:rFonts w:ascii="Times New Roman" w:hAnsi="Times New Roman" w:cs="Times New Roman" w:eastAsia="Times New Roman" w:hint="default"/>
          <w:spacing w:val="-5"/>
        </w:rPr>
        <w:t> </w:t>
      </w:r>
      <w:r>
        <w:rPr/>
        <w:t>为基数，</w:t>
      </w:r>
      <w:r>
        <w:rPr>
          <w:b w:val="0"/>
          <w:bCs w:val="0"/>
        </w:rPr>
      </w:r>
    </w:p>
    <w:p>
      <w:pPr>
        <w:pStyle w:val="Heading2"/>
        <w:spacing w:line="386" w:lineRule="auto" w:before="236"/>
        <w:ind w:right="1125"/>
        <w:jc w:val="left"/>
        <w:rPr>
          <w:b w:val="0"/>
          <w:bCs w:val="0"/>
        </w:rPr>
      </w:pPr>
      <w:r>
        <w:rPr>
          <w:w w:val="99"/>
        </w:rPr>
        <w:t>向全体股东每</w:t>
      </w:r>
      <w:r>
        <w:rPr>
          <w:spacing w:val="-69"/>
          <w:w w:val="9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1"/>
          <w:w w:val="100"/>
        </w:rPr>
        <w:t> </w:t>
      </w:r>
      <w:r>
        <w:rPr>
          <w:w w:val="99"/>
        </w:rPr>
        <w:t>股派发现金红利</w:t>
      </w:r>
      <w:r>
        <w:rPr>
          <w:spacing w:val="-69"/>
          <w:w w:val="99"/>
        </w:rPr>
        <w:t> </w:t>
      </w:r>
      <w:r>
        <w:rPr>
          <w:rFonts w:ascii="Times New Roman" w:hAnsi="Times New Roman" w:cs="Times New Roman" w:eastAsia="Times New Roman" w:hint="default"/>
          <w:spacing w:val="-1"/>
          <w:w w:val="100"/>
        </w:rPr>
        <w:t>0.87</w:t>
      </w:r>
      <w:r>
        <w:rPr>
          <w:rFonts w:ascii="Times New Roman" w:hAnsi="Times New Roman" w:cs="Times New Roman" w:eastAsia="Times New Roman" w:hint="default"/>
          <w:spacing w:val="-10"/>
          <w:w w:val="100"/>
        </w:rPr>
        <w:t> </w:t>
      </w:r>
      <w:r>
        <w:rPr>
          <w:spacing w:val="-21"/>
          <w:w w:val="99"/>
        </w:rPr>
        <w:t>元（含税），送红股</w:t>
      </w:r>
      <w:r>
        <w:rPr>
          <w:spacing w:val="-70"/>
          <w:w w:val="9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11"/>
          <w:w w:val="100"/>
        </w:rPr>
        <w:t> </w:t>
      </w:r>
      <w:r>
        <w:rPr>
          <w:spacing w:val="-21"/>
          <w:w w:val="99"/>
        </w:rPr>
        <w:t>股（含税），不以公</w:t>
      </w:r>
      <w:r>
        <w:rPr>
          <w:w w:val="99"/>
        </w:rPr>
        <w:t> </w:t>
      </w:r>
      <w:r>
        <w:rPr/>
        <w:t>积金转增股本。</w:t>
      </w:r>
      <w:r>
        <w:rPr>
          <w:b w:val="0"/>
          <w:bCs w:val="0"/>
        </w:rPr>
      </w:r>
    </w:p>
    <w:p>
      <w:pPr>
        <w:spacing w:after="0" w:line="386" w:lineRule="auto"/>
        <w:jc w:val="left"/>
        <w:sectPr>
          <w:footerReference w:type="default" r:id="rId8"/>
          <w:pgSz w:w="11910" w:h="16840"/>
          <w:pgMar w:footer="975" w:header="789" w:top="1100" w:bottom="1160" w:left="980" w:right="0"/>
          <w:pgNumType w:start="1"/>
        </w:sectPr>
      </w:pPr>
    </w:p>
    <w:p>
      <w:pPr>
        <w:spacing w:line="240" w:lineRule="auto" w:before="11"/>
        <w:rPr>
          <w:rFonts w:ascii="宋体" w:hAnsi="宋体" w:cs="宋体" w:eastAsia="宋体" w:hint="default"/>
          <w:b/>
          <w:bCs/>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4pt;height:.5pt;mso-position-horizontal-relative:char;mso-position-vertical-relative:line" coordorigin="0,0" coordsize="9708,10">
            <v:group style="position:absolute;left:5;top:5;width:9698;height:2" coordorigin="5,5" coordsize="9698,2">
              <v:shape style="position:absolute;left:5;top:5;width:9698;height:2" coordorigin="5,5" coordsize="9698,0" path="m5,5l970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spacing w:line="460" w:lineRule="exact" w:before="0"/>
        <w:ind w:left="151" w:right="112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89" w:footer="975" w:top="1100" w:bottom="1160" w:left="980" w:right="0"/>
        </w:sectPr>
      </w:pPr>
    </w:p>
    <w:p>
      <w:pPr>
        <w:spacing w:before="902"/>
        <w:ind w:left="151" w:right="112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203" w:type="dxa"/>
        <w:tblLayout w:type="fixed"/>
        <w:tblCellMar>
          <w:top w:w="0" w:type="dxa"/>
          <w:left w:w="0" w:type="dxa"/>
          <w:bottom w:w="0" w:type="dxa"/>
          <w:right w:w="0" w:type="dxa"/>
        </w:tblCellMar>
        <w:tblLook w:val="01E0"/>
      </w:tblPr>
      <w:tblGrid>
        <w:gridCol w:w="3207"/>
        <w:gridCol w:w="708"/>
        <w:gridCol w:w="5612"/>
      </w:tblGrid>
      <w:tr>
        <w:trPr>
          <w:trHeight w:val="398"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8"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本公司、公司、中国长城</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3" w:right="20"/>
              <w:jc w:val="left"/>
              <w:rPr>
                <w:rFonts w:ascii="宋体" w:hAnsi="宋体" w:cs="宋体" w:eastAsia="宋体" w:hint="default"/>
                <w:sz w:val="18"/>
                <w:szCs w:val="18"/>
              </w:rPr>
            </w:pPr>
            <w:r>
              <w:rPr>
                <w:rFonts w:ascii="宋体" w:hAnsi="宋体" w:cs="宋体" w:eastAsia="宋体" w:hint="default"/>
                <w:spacing w:val="-1"/>
                <w:sz w:val="18"/>
                <w:szCs w:val="18"/>
              </w:rPr>
              <w:t>中国长城科技集团股份有限公司，原名中国长城计算机深圳股份有限公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司（简称“长城电脑”）</w:t>
            </w:r>
          </w:p>
        </w:tc>
      </w:tr>
      <w:tr>
        <w:trPr>
          <w:trHeight w:val="40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中国电子、实际控制人、控股股东</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1649"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4"/>
              <w:jc w:val="both"/>
              <w:rPr>
                <w:rFonts w:ascii="宋体" w:hAnsi="宋体" w:cs="宋体" w:eastAsia="宋体" w:hint="default"/>
                <w:sz w:val="18"/>
                <w:szCs w:val="18"/>
              </w:rPr>
            </w:pPr>
            <w:r>
              <w:rPr>
                <w:rFonts w:ascii="宋体" w:hAnsi="宋体" w:cs="宋体" w:eastAsia="宋体" w:hint="default"/>
                <w:spacing w:val="-1"/>
                <w:sz w:val="18"/>
                <w:szCs w:val="18"/>
              </w:rPr>
              <w:t>中国长城以新增发行股份换股合并长城信息，并以其持有冠捷科技有限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24.32%</w:t>
            </w:r>
            <w:r>
              <w:rPr>
                <w:rFonts w:ascii="宋体" w:hAnsi="宋体" w:cs="宋体" w:eastAsia="宋体" w:hint="default"/>
                <w:sz w:val="18"/>
                <w:szCs w:val="18"/>
              </w:rPr>
              <w:t>股权与中国电子持有的中原电子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64.94%</w:t>
            </w:r>
            <w:r>
              <w:rPr>
                <w:rFonts w:ascii="宋体" w:hAnsi="宋体" w:cs="宋体" w:eastAsia="宋体" w:hint="default"/>
                <w:sz w:val="18"/>
                <w:szCs w:val="18"/>
              </w:rPr>
              <w:t>股权进行置换，同 时，中国长城以非公开发行股份方式购买中原电子剩余</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35.06%</w:t>
            </w:r>
            <w:r>
              <w:rPr>
                <w:rFonts w:ascii="宋体" w:hAnsi="宋体" w:cs="宋体" w:eastAsia="宋体" w:hint="default"/>
                <w:spacing w:val="-5"/>
                <w:sz w:val="18"/>
                <w:szCs w:val="18"/>
              </w:rPr>
              <w:t>股权、圣</w:t>
            </w:r>
            <w:r>
              <w:rPr>
                <w:rFonts w:ascii="宋体" w:hAnsi="宋体" w:cs="宋体" w:eastAsia="宋体" w:hint="default"/>
                <w:sz w:val="18"/>
                <w:szCs w:val="18"/>
              </w:rPr>
              <w:t> 非凡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股权（前述事项已于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月实施完成）；</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 募集配套资金批文到期自动失效，募集配套资金事项相应终止。</w:t>
            </w:r>
          </w:p>
        </w:tc>
      </w:tr>
      <w:tr>
        <w:trPr>
          <w:trHeight w:val="40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长城信息</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长城信息产业股份有限公司，原深交所上市公司，证券代码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000748</w:t>
            </w:r>
          </w:p>
        </w:tc>
      </w:tr>
      <w:tr>
        <w:trPr>
          <w:trHeight w:val="401"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湖南长城科技</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湖南长城科技信息有限公司，为本公司全资子公司</w:t>
            </w:r>
          </w:p>
        </w:tc>
      </w:tr>
      <w:tr>
        <w:trPr>
          <w:trHeight w:val="40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中原电子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武汉中原电子集团有限公司，为湖南长城科技的全资子公司</w:t>
            </w:r>
          </w:p>
        </w:tc>
      </w:tr>
      <w:tr>
        <w:trPr>
          <w:trHeight w:val="401"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圣非凡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
                <w:sz w:val="18"/>
                <w:szCs w:val="18"/>
              </w:rPr>
              <w:t>北京圣非凡电子系统技术开发有限公司，为湖南长城科技的全资子公司</w:t>
            </w:r>
          </w:p>
        </w:tc>
      </w:tr>
      <w:tr>
        <w:trPr>
          <w:trHeight w:val="40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轨道交通研究院</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郑州轨道交通信息技术研究院，圣非凡持有其</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柏怡国际控股有限公司，为本公司控股子公司</w:t>
            </w:r>
          </w:p>
        </w:tc>
      </w:tr>
      <w:tr>
        <w:trPr>
          <w:trHeight w:val="40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天津飞腾</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天津飞腾信息技术有限公司，公司持股比例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31.50%</w:t>
            </w:r>
          </w:p>
        </w:tc>
      </w:tr>
    </w:tbl>
    <w:p>
      <w:pPr>
        <w:spacing w:after="0" w:line="240" w:lineRule="auto"/>
        <w:jc w:val="left"/>
        <w:rPr>
          <w:rFonts w:ascii="Times New Roman" w:hAnsi="Times New Roman" w:cs="Times New Roman" w:eastAsia="Times New Roman" w:hint="default"/>
          <w:sz w:val="18"/>
          <w:szCs w:val="18"/>
        </w:rPr>
        <w:sectPr>
          <w:pgSz w:w="11910" w:h="16840"/>
          <w:pgMar w:header="789" w:footer="975"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2410"/>
        <w:gridCol w:w="2829"/>
        <w:gridCol w:w="2166"/>
        <w:gridCol w:w="2165"/>
      </w:tblGrid>
      <w:tr>
        <w:trPr>
          <w:trHeight w:val="40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中国长城</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000066</w:t>
            </w:r>
          </w:p>
        </w:tc>
      </w:tr>
      <w:tr>
        <w:trPr>
          <w:trHeight w:val="39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1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中国长城</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CHINA </w:t>
            </w:r>
            <w:r>
              <w:rPr>
                <w:rFonts w:ascii="Times New Roman"/>
                <w:spacing w:val="-5"/>
                <w:sz w:val="18"/>
              </w:rPr>
              <w:t>GREATWALL </w:t>
            </w:r>
            <w:r>
              <w:rPr>
                <w:rFonts w:ascii="Times New Roman"/>
                <w:sz w:val="18"/>
              </w:rPr>
              <w:t>TECHNOLOGY GROUP CO.,</w:t>
            </w:r>
            <w:r>
              <w:rPr>
                <w:rFonts w:ascii="Times New Roman"/>
                <w:spacing w:val="-29"/>
                <w:sz w:val="18"/>
              </w:rPr>
              <w:t> </w:t>
            </w:r>
            <w:r>
              <w:rPr>
                <w:rFonts w:ascii="Times New Roman"/>
                <w:spacing w:val="-5"/>
                <w:sz w:val="18"/>
              </w:rPr>
              <w:t>LTD.</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CGT</w:t>
            </w:r>
            <w:r>
              <w:rPr>
                <w:rFonts w:ascii="Times New Roman"/>
                <w:spacing w:val="-8"/>
                <w:sz w:val="18"/>
              </w:rPr>
              <w:t> </w:t>
            </w:r>
            <w:r>
              <w:rPr>
                <w:rFonts w:ascii="Times New Roman"/>
                <w:sz w:val="18"/>
              </w:rPr>
              <w:t>GROUP</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宋黎定</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www.greatwall.cn</w:t>
              </w:r>
            </w:hyperlink>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stock@greatwall.com.cn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王习发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邓文韬</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0755-26634759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0755-26634759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0755-26631106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0755-26631106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stock@greatwall.com.cn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stock@greatwall.com.cn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1133"/>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992"/>
        <w:gridCol w:w="5576"/>
      </w:tblGrid>
      <w:tr>
        <w:trPr>
          <w:trHeight w:val="404"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4"/>
        <w:rPr>
          <w:rFonts w:ascii="宋体" w:hAnsi="宋体" w:cs="宋体" w:eastAsia="宋体" w:hint="default"/>
          <w:b/>
          <w:bCs/>
          <w:sz w:val="20"/>
          <w:szCs w:val="20"/>
        </w:rPr>
      </w:pPr>
    </w:p>
    <w:p>
      <w:pPr>
        <w:pStyle w:val="Heading4"/>
        <w:spacing w:line="240" w:lineRule="auto" w:before="26"/>
        <w:ind w:right="1133"/>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spacing w:before="44"/>
        <w:ind w:left="0" w:right="1103" w:firstLine="0"/>
        <w:jc w:val="right"/>
        <w:rPr>
          <w:rFonts w:ascii="宋体" w:hAnsi="宋体" w:cs="宋体" w:eastAsia="宋体" w:hint="default"/>
          <w:sz w:val="18"/>
          <w:szCs w:val="18"/>
        </w:rPr>
      </w:pPr>
      <w:r>
        <w:rPr/>
        <w:pict>
          <v:shape style="position:absolute;margin-left:58.200001pt;margin-top:-191.798309pt;width:479.15pt;height:273.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6378"/>
                  </w:tblGrid>
                  <w:tr>
                    <w:trPr>
                      <w:trHeight w:val="59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91440300279351261M</w:t>
                        </w:r>
                      </w:p>
                    </w:tc>
                  </w:tr>
                  <w:tr>
                    <w:trPr>
                      <w:trHeight w:val="1270"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年以前，公司以计算机及相关设备制造为主要业务；</w:t>
                        </w:r>
                      </w:p>
                      <w:p>
                        <w:pPr>
                          <w:pStyle w:val="TableParagraph"/>
                          <w:spacing w:line="300" w:lineRule="auto" w:before="101"/>
                          <w:ind w:left="23" w:right="-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月，公司完成重大资产重组，新增高新电子业务，涉及军事通信、 卫星与定位导航、海洋信息安全产业及军用自主可控计算机及网络等领域。</w:t>
                        </w:r>
                      </w:p>
                    </w:tc>
                  </w:tr>
                  <w:tr>
                    <w:trPr>
                      <w:trHeight w:val="36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月，公司由中国长城计算机集团公司独家发起重组设立；</w:t>
                        </w:r>
                      </w:p>
                      <w:p>
                        <w:pPr>
                          <w:pStyle w:val="TableParagraph"/>
                          <w:spacing w:line="240" w:lineRule="auto" w:before="10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月，中国长城计算机集团公司通过股权重组独家发起设立长城科技</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股份有限公司，并于同年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月在香港联交所上市。经过此次股权重组，本公司的 国有法人股股权由长城科技持有，公司控股股东变更为长城科技。</w:t>
                        </w:r>
                      </w:p>
                      <w:p>
                        <w:pPr>
                          <w:pStyle w:val="TableParagraph"/>
                          <w:spacing w:line="312" w:lineRule="auto" w:before="72"/>
                          <w:ind w:left="23" w:right="1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月，公司实际控制人中国电子信息产业集团有限公司联合中电长城 </w:t>
                        </w:r>
                        <w:r>
                          <w:rPr>
                            <w:rFonts w:ascii="宋体" w:hAnsi="宋体" w:cs="宋体" w:eastAsia="宋体" w:hint="default"/>
                            <w:spacing w:val="-5"/>
                            <w:sz w:val="18"/>
                            <w:szCs w:val="18"/>
                          </w:rPr>
                          <w:t>计算机集团公司（原为中国长城计算机集团公司，简称“长城集团”）以要约收购</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方式私有化公司控股股东长城科技，同时中国电子吸收合并长城集团和长城科技</w:t>
                        </w:r>
                        <w:r>
                          <w:rPr>
                            <w:rFonts w:ascii="宋体" w:hAnsi="宋体" w:cs="宋体" w:eastAsia="宋体" w:hint="default"/>
                            <w:sz w:val="18"/>
                            <w:szCs w:val="18"/>
                          </w:rPr>
                          <w:t> 中国电子将通过此次重组承继取得长城科技所持本公司全部股权，从而成为本公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司控股股东。</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月，长城科技完成工商登记注销，中国电子取得长城科技 持有公司全部股权完成过户登记，公司控股股东变更为中国电子，实际控制人保</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持不变。</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4"/>
        <w:spacing w:line="240" w:lineRule="auto" w:before="26"/>
        <w:ind w:right="1133"/>
        <w:jc w:val="left"/>
        <w:rPr>
          <w:b w:val="0"/>
          <w:bCs w:val="0"/>
        </w:rPr>
      </w:pPr>
      <w:r>
        <w:rPr/>
        <w:t>五、其他有关资料</w:t>
      </w:r>
      <w:r>
        <w:rPr>
          <w:b w:val="0"/>
          <w:bCs w:val="0"/>
        </w:rPr>
      </w:r>
    </w:p>
    <w:p>
      <w:pPr>
        <w:spacing w:line="240" w:lineRule="auto" w:before="1"/>
        <w:rPr>
          <w:rFonts w:ascii="宋体" w:hAnsi="宋体" w:cs="宋体" w:eastAsia="宋体" w:hint="default"/>
          <w:b/>
          <w:bCs/>
          <w:sz w:val="31"/>
          <w:szCs w:val="31"/>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662"/>
        <w:gridCol w:w="6906"/>
      </w:tblGrid>
      <w:tr>
        <w:trPr>
          <w:trHeight w:val="63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63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号四楼</w:t>
            </w:r>
          </w:p>
        </w:tc>
      </w:tr>
      <w:tr>
        <w:trPr>
          <w:trHeight w:val="636"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许培梅、顾欣</w:t>
            </w:r>
          </w:p>
        </w:tc>
      </w:tr>
    </w:tbl>
    <w:p>
      <w:pPr>
        <w:spacing w:before="7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79" w:lineRule="auto" w:before="136"/>
        <w:ind w:left="15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公司聘请的报告期内履行持续督导职责的财务顾问</w:t>
      </w:r>
    </w:p>
    <w:p>
      <w:pPr>
        <w:spacing w:before="32"/>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2"/>
        <w:ind w:right="1133"/>
        <w:jc w:val="left"/>
        <w:rPr>
          <w:b w:val="0"/>
          <w:bCs w:val="0"/>
        </w:rPr>
      </w:pPr>
      <w:r>
        <w:rPr/>
        <w:t>六、主要会计数据和财务指标</w:t>
      </w:r>
      <w:r>
        <w:rPr>
          <w:b w:val="0"/>
          <w:bCs w:val="0"/>
        </w:rPr>
      </w:r>
    </w:p>
    <w:p>
      <w:pPr>
        <w:spacing w:line="240" w:lineRule="auto" w:before="1"/>
        <w:rPr>
          <w:rFonts w:ascii="宋体" w:hAnsi="宋体" w:cs="宋体" w:eastAsia="宋体" w:hint="default"/>
          <w:b/>
          <w:bCs/>
          <w:sz w:val="31"/>
          <w:szCs w:val="31"/>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379" w:lineRule="auto" w:before="136"/>
        <w:ind w:left="152" w:right="895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追溯调整或重述原因：</w:t>
      </w:r>
    </w:p>
    <w:p>
      <w:pPr>
        <w:spacing w:before="32"/>
        <w:ind w:left="494" w:right="7331" w:firstLine="0"/>
        <w:jc w:val="center"/>
        <w:rPr>
          <w:rFonts w:ascii="宋体" w:hAnsi="宋体" w:cs="宋体" w:eastAsia="宋体" w:hint="default"/>
          <w:sz w:val="18"/>
          <w:szCs w:val="18"/>
        </w:rPr>
      </w:pPr>
      <w:r>
        <w:rPr>
          <w:rFonts w:ascii="宋体" w:hAnsi="宋体" w:cs="宋体" w:eastAsia="宋体" w:hint="default"/>
          <w:sz w:val="18"/>
          <w:szCs w:val="18"/>
        </w:rPr>
        <w:t>会计政策变更；同一控制下企业合并。</w:t>
      </w:r>
    </w:p>
    <w:p>
      <w:pPr>
        <w:spacing w:after="0"/>
        <w:jc w:val="center"/>
        <w:rPr>
          <w:rFonts w:ascii="宋体" w:hAnsi="宋体" w:cs="宋体" w:eastAsia="宋体" w:hint="default"/>
          <w:sz w:val="18"/>
          <w:szCs w:val="18"/>
        </w:rPr>
        <w:sectPr>
          <w:pgSz w:w="11910" w:h="16840"/>
          <w:pgMar w:header="789" w:footer="975" w:top="1100" w:bottom="1160" w:left="980" w:right="0"/>
        </w:sectPr>
      </w:pPr>
    </w:p>
    <w:p>
      <w:pPr>
        <w:spacing w:line="240" w:lineRule="auto" w:before="2"/>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3027"/>
        <w:gridCol w:w="1489"/>
        <w:gridCol w:w="1474"/>
        <w:gridCol w:w="1488"/>
        <w:gridCol w:w="1008"/>
        <w:gridCol w:w="1441"/>
        <w:gridCol w:w="1443"/>
      </w:tblGrid>
      <w:tr>
        <w:trPr>
          <w:trHeight w:val="211" w:hRule="exact"/>
        </w:trPr>
        <w:tc>
          <w:tcPr>
            <w:tcW w:w="3027" w:type="dxa"/>
            <w:vMerge w:val="restart"/>
            <w:tcBorders>
              <w:top w:val="single" w:sz="4" w:space="0" w:color="000000"/>
              <w:left w:val="single" w:sz="4" w:space="0" w:color="000000"/>
              <w:right w:val="single" w:sz="4" w:space="0" w:color="000000"/>
            </w:tcBorders>
            <w:shd w:val="clear" w:color="auto" w:fill="D2D2D2"/>
          </w:tcPr>
          <w:p>
            <w:pPr/>
          </w:p>
        </w:tc>
        <w:tc>
          <w:tcPr>
            <w:tcW w:w="14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6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319" w:right="47" w:hanging="269"/>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88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3" w:hRule="exact"/>
        </w:trPr>
        <w:tc>
          <w:tcPr>
            <w:tcW w:w="3027"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right w:val="single" w:sz="4" w:space="0" w:color="000000"/>
            </w:tcBorders>
            <w:shd w:val="clear" w:color="auto" w:fill="D2D2D2"/>
          </w:tcPr>
          <w:p>
            <w:pPr/>
          </w:p>
        </w:tc>
        <w:tc>
          <w:tcPr>
            <w:tcW w:w="296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08" w:type="dxa"/>
            <w:vMerge/>
            <w:tcBorders>
              <w:left w:val="single" w:sz="4" w:space="0" w:color="000000"/>
              <w:right w:val="single" w:sz="4" w:space="0" w:color="000000"/>
            </w:tcBorders>
            <w:shd w:val="clear" w:color="auto" w:fill="D2D2D2"/>
          </w:tcPr>
          <w:p>
            <w:pPr/>
          </w:p>
        </w:tc>
        <w:tc>
          <w:tcPr>
            <w:tcW w:w="28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39" w:hRule="exact"/>
        </w:trPr>
        <w:tc>
          <w:tcPr>
            <w:tcW w:w="3027" w:type="dxa"/>
            <w:vMerge w:val="restart"/>
            <w:tcBorders>
              <w:top w:val="nil" w:sz="6" w:space="0" w:color="auto"/>
              <w:left w:val="single" w:sz="4" w:space="0" w:color="000000"/>
              <w:right w:val="single" w:sz="4" w:space="0" w:color="000000"/>
            </w:tcBorders>
            <w:shd w:val="clear" w:color="auto" w:fill="D2D2D2"/>
          </w:tcPr>
          <w:p>
            <w:pPr/>
          </w:p>
        </w:tc>
        <w:tc>
          <w:tcPr>
            <w:tcW w:w="1489" w:type="dxa"/>
            <w:vMerge/>
            <w:tcBorders>
              <w:left w:val="single" w:sz="4" w:space="0" w:color="000000"/>
              <w:right w:val="single" w:sz="4" w:space="0" w:color="000000"/>
            </w:tcBorders>
            <w:shd w:val="clear" w:color="auto" w:fill="D2D2D2"/>
          </w:tcPr>
          <w:p>
            <w:pPr/>
          </w:p>
        </w:tc>
        <w:tc>
          <w:tcPr>
            <w:tcW w:w="2962" w:type="dxa"/>
            <w:gridSpan w:val="2"/>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2883" w:type="dxa"/>
            <w:gridSpan w:val="2"/>
            <w:vMerge/>
            <w:tcBorders>
              <w:left w:val="single" w:sz="4" w:space="0" w:color="000000"/>
              <w:bottom w:val="nil" w:sz="6" w:space="0" w:color="auto"/>
              <w:right w:val="single" w:sz="4" w:space="0" w:color="000000"/>
            </w:tcBorders>
            <w:shd w:val="clear" w:color="auto" w:fill="D2D2D2"/>
          </w:tcPr>
          <w:p>
            <w:pPr/>
          </w:p>
        </w:tc>
      </w:tr>
      <w:tr>
        <w:trPr>
          <w:trHeight w:val="224" w:hRule="exact"/>
        </w:trPr>
        <w:tc>
          <w:tcPr>
            <w:tcW w:w="3027"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right w:val="single" w:sz="4" w:space="0" w:color="000000"/>
            </w:tcBorders>
            <w:shd w:val="clear" w:color="auto" w:fill="D2D2D2"/>
          </w:tcPr>
          <w:p>
            <w:pPr/>
          </w:p>
        </w:tc>
        <w:tc>
          <w:tcPr>
            <w:tcW w:w="296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288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52" w:hRule="exact"/>
        </w:trPr>
        <w:tc>
          <w:tcPr>
            <w:tcW w:w="30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6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7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4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22"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10,843,784,576.71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10,009,483,496.74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4" w:right="0"/>
              <w:jc w:val="left"/>
              <w:rPr>
                <w:rFonts w:ascii="Times New Roman" w:hAnsi="Times New Roman" w:cs="Times New Roman" w:eastAsia="Times New Roman" w:hint="default"/>
                <w:sz w:val="18"/>
                <w:szCs w:val="18"/>
              </w:rPr>
            </w:pPr>
            <w:r>
              <w:rPr>
                <w:rFonts w:ascii="Times New Roman"/>
                <w:sz w:val="18"/>
              </w:rPr>
              <w:t>10,009,483,496.74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8.34%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9,506,838,836.12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9,506,838,836.12</w:t>
            </w:r>
          </w:p>
        </w:tc>
      </w:tr>
      <w:tr>
        <w:trPr>
          <w:trHeight w:val="422"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1,114,993,660.75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987,100,274.54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0" w:right="0"/>
              <w:jc w:val="left"/>
              <w:rPr>
                <w:rFonts w:ascii="Times New Roman" w:hAnsi="Times New Roman" w:cs="Times New Roman" w:eastAsia="Times New Roman" w:hint="default"/>
                <w:sz w:val="18"/>
                <w:szCs w:val="18"/>
              </w:rPr>
            </w:pPr>
            <w:r>
              <w:rPr>
                <w:rFonts w:ascii="Times New Roman"/>
                <w:sz w:val="18"/>
              </w:rPr>
              <w:t>1,120,739,247.50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-0.51%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581,043,323.65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672,267,110.20</w:t>
            </w:r>
          </w:p>
        </w:tc>
      </w:tr>
      <w:tr>
        <w:trPr>
          <w:trHeight w:val="732"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2"/>
              <w:ind w:left="24" w:right="11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4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490,084,019.79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327,372,794.51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349,626,370.31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40.17%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259,999,748.93</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281,664,899.61</w:t>
            </w:r>
          </w:p>
        </w:tc>
      </w:tr>
      <w:tr>
        <w:trPr>
          <w:trHeight w:val="422"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109,153,815.12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44,859,987.74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72,422,246.85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50.72%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-402,660,921.84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-416,903,229.72</w:t>
            </w:r>
          </w:p>
        </w:tc>
      </w:tr>
      <w:tr>
        <w:trPr>
          <w:trHeight w:val="422"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0.380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z w:val="18"/>
              </w:rPr>
              <w:t>0.336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0.381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-0.26%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0.204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0.236</w:t>
            </w:r>
          </w:p>
        </w:tc>
      </w:tr>
      <w:tr>
        <w:trPr>
          <w:trHeight w:val="422"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0.380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z w:val="18"/>
              </w:rPr>
              <w:t>0.336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0.381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-0.26%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0.204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0.236</w:t>
            </w:r>
          </w:p>
        </w:tc>
      </w:tr>
      <w:tr>
        <w:trPr>
          <w:trHeight w:val="423"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18"/>
                <w:szCs w:val="18"/>
              </w:rPr>
            </w:pPr>
            <w:r>
              <w:rPr>
                <w:rFonts w:ascii="Times New Roman"/>
                <w:spacing w:val="-1"/>
                <w:sz w:val="18"/>
              </w:rPr>
              <w:t>14.64%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pacing w:val="-1"/>
                <w:sz w:val="18"/>
              </w:rPr>
              <w:t>15.08%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18"/>
                <w:szCs w:val="18"/>
              </w:rPr>
            </w:pPr>
            <w:r>
              <w:rPr>
                <w:rFonts w:ascii="Times New Roman"/>
                <w:spacing w:val="-1"/>
                <w:sz w:val="18"/>
              </w:rPr>
              <w:t>15.53%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-0.89%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9.12%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z w:val="18"/>
              </w:rPr>
              <w:t>9.73%</w:t>
            </w:r>
          </w:p>
        </w:tc>
      </w:tr>
      <w:tr>
        <w:trPr>
          <w:trHeight w:val="202" w:hRule="exact"/>
        </w:trPr>
        <w:tc>
          <w:tcPr>
            <w:tcW w:w="3027" w:type="dxa"/>
            <w:vMerge w:val="restart"/>
            <w:tcBorders>
              <w:top w:val="single" w:sz="4" w:space="0" w:color="000000"/>
              <w:left w:val="single" w:sz="4" w:space="0" w:color="000000"/>
              <w:right w:val="single" w:sz="4" w:space="0" w:color="000000"/>
            </w:tcBorders>
            <w:shd w:val="clear" w:color="auto" w:fill="D2D2D2"/>
          </w:tcPr>
          <w:p>
            <w:pPr/>
          </w:p>
        </w:tc>
        <w:tc>
          <w:tcPr>
            <w:tcW w:w="14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96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139" w:right="47" w:hanging="89"/>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88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5" w:hRule="exact"/>
        </w:trPr>
        <w:tc>
          <w:tcPr>
            <w:tcW w:w="3027"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right w:val="single" w:sz="4" w:space="0" w:color="000000"/>
            </w:tcBorders>
            <w:shd w:val="clear" w:color="auto" w:fill="D2D2D2"/>
          </w:tcPr>
          <w:p>
            <w:pPr/>
          </w:p>
        </w:tc>
        <w:tc>
          <w:tcPr>
            <w:tcW w:w="296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008" w:type="dxa"/>
            <w:vMerge/>
            <w:tcBorders>
              <w:left w:val="single" w:sz="4" w:space="0" w:color="000000"/>
              <w:right w:val="single" w:sz="4" w:space="0" w:color="000000"/>
            </w:tcBorders>
            <w:shd w:val="clear" w:color="auto" w:fill="D2D2D2"/>
          </w:tcPr>
          <w:p>
            <w:pPr/>
          </w:p>
        </w:tc>
        <w:tc>
          <w:tcPr>
            <w:tcW w:w="28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37" w:hRule="exact"/>
        </w:trPr>
        <w:tc>
          <w:tcPr>
            <w:tcW w:w="3027" w:type="dxa"/>
            <w:vMerge w:val="restart"/>
            <w:tcBorders>
              <w:top w:val="nil" w:sz="6" w:space="0" w:color="auto"/>
              <w:left w:val="single" w:sz="4" w:space="0" w:color="000000"/>
              <w:right w:val="single" w:sz="4" w:space="0" w:color="000000"/>
            </w:tcBorders>
            <w:shd w:val="clear" w:color="auto" w:fill="D2D2D2"/>
          </w:tcPr>
          <w:p>
            <w:pPr/>
          </w:p>
        </w:tc>
        <w:tc>
          <w:tcPr>
            <w:tcW w:w="1489" w:type="dxa"/>
            <w:vMerge/>
            <w:tcBorders>
              <w:left w:val="single" w:sz="4" w:space="0" w:color="000000"/>
              <w:right w:val="single" w:sz="4" w:space="0" w:color="000000"/>
            </w:tcBorders>
            <w:shd w:val="clear" w:color="auto" w:fill="D2D2D2"/>
          </w:tcPr>
          <w:p>
            <w:pPr/>
          </w:p>
        </w:tc>
        <w:tc>
          <w:tcPr>
            <w:tcW w:w="2962" w:type="dxa"/>
            <w:gridSpan w:val="2"/>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2883" w:type="dxa"/>
            <w:gridSpan w:val="2"/>
            <w:vMerge/>
            <w:tcBorders>
              <w:left w:val="single" w:sz="4" w:space="0" w:color="000000"/>
              <w:bottom w:val="nil" w:sz="6" w:space="0" w:color="auto"/>
              <w:right w:val="single" w:sz="4" w:space="0" w:color="000000"/>
            </w:tcBorders>
            <w:shd w:val="clear" w:color="auto" w:fill="D2D2D2"/>
          </w:tcPr>
          <w:p>
            <w:pPr/>
          </w:p>
        </w:tc>
      </w:tr>
      <w:tr>
        <w:trPr>
          <w:trHeight w:val="222" w:hRule="exact"/>
        </w:trPr>
        <w:tc>
          <w:tcPr>
            <w:tcW w:w="3027"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right w:val="single" w:sz="4" w:space="0" w:color="000000"/>
            </w:tcBorders>
            <w:shd w:val="clear" w:color="auto" w:fill="D2D2D2"/>
          </w:tcPr>
          <w:p>
            <w:pPr/>
          </w:p>
        </w:tc>
        <w:tc>
          <w:tcPr>
            <w:tcW w:w="296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288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48" w:hRule="exact"/>
        </w:trPr>
        <w:tc>
          <w:tcPr>
            <w:tcW w:w="30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6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7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4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22"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21,670,712,649.54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16,002,223,272.55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Times New Roman" w:hAnsi="Times New Roman" w:cs="Times New Roman" w:eastAsia="Times New Roman" w:hint="default"/>
                <w:sz w:val="18"/>
                <w:szCs w:val="18"/>
              </w:rPr>
            </w:pPr>
            <w:r>
              <w:rPr>
                <w:rFonts w:ascii="Times New Roman"/>
                <w:sz w:val="18"/>
              </w:rPr>
              <w:t>16,878,738,324.48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28.39%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15,201,583,868.55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15,880,901,312.08</w:t>
            </w:r>
          </w:p>
        </w:tc>
      </w:tr>
      <w:tr>
        <w:trPr>
          <w:trHeight w:val="422" w:hRule="exact"/>
        </w:trPr>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8,295,779,817.88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6,240,483,785.22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6,983,295,634.60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18.79%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6,674,338,515.40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7,268,804,468.65</w:t>
            </w:r>
          </w:p>
        </w:tc>
      </w:tr>
    </w:tbl>
    <w:p>
      <w:pPr>
        <w:spacing w:before="51"/>
        <w:ind w:left="972" w:right="0" w:firstLine="0"/>
        <w:jc w:val="left"/>
        <w:rPr>
          <w:rFonts w:ascii="宋体" w:hAnsi="宋体" w:cs="宋体" w:eastAsia="宋体" w:hint="default"/>
          <w:sz w:val="18"/>
          <w:szCs w:val="18"/>
        </w:rPr>
      </w:pPr>
      <w:r>
        <w:rPr>
          <w:rFonts w:ascii="宋体" w:hAnsi="宋体" w:cs="宋体" w:eastAsia="宋体" w:hint="default"/>
          <w:sz w:val="18"/>
          <w:szCs w:val="18"/>
        </w:rPr>
        <w:t>追溯调整情况说明</w:t>
      </w:r>
    </w:p>
    <w:p>
      <w:pPr>
        <w:spacing w:before="115"/>
        <w:ind w:left="13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月，圣非凡完成对轨道交通研究院的收购，轨道交通研究院成为公司下属全资企业。由于轨道交通研究院属</w:t>
      </w:r>
    </w:p>
    <w:p>
      <w:pPr>
        <w:spacing w:line="300" w:lineRule="auto" w:before="63"/>
        <w:ind w:left="972" w:right="1123" w:firstLine="0"/>
        <w:jc w:val="left"/>
        <w:rPr>
          <w:rFonts w:ascii="宋体" w:hAnsi="宋体" w:cs="宋体" w:eastAsia="宋体" w:hint="default"/>
          <w:sz w:val="18"/>
          <w:szCs w:val="18"/>
        </w:rPr>
      </w:pPr>
      <w:r>
        <w:rPr>
          <w:rFonts w:ascii="宋体" w:hAnsi="宋体" w:cs="宋体" w:eastAsia="宋体" w:hint="default"/>
          <w:spacing w:val="-2"/>
          <w:sz w:val="18"/>
          <w:szCs w:val="18"/>
        </w:rPr>
        <w:t>于本公司控股股东及实际控制人中国电子的下属企业，根据《企业会计准则第</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号—企业合并》，本公司将轨道交通研究院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去年同期数据纳入合并范围，并追溯调整可比期间的合并报表。</w:t>
      </w:r>
    </w:p>
    <w:p>
      <w:pPr>
        <w:spacing w:line="316" w:lineRule="auto" w:before="72"/>
        <w:ind w:left="972" w:right="1116" w:firstLine="360"/>
        <w:jc w:val="left"/>
        <w:rPr>
          <w:rFonts w:ascii="宋体" w:hAnsi="宋体" w:cs="宋体" w:eastAsia="宋体" w:hint="default"/>
          <w:sz w:val="18"/>
          <w:szCs w:val="18"/>
        </w:rPr>
      </w:pPr>
      <w:r>
        <w:rPr>
          <w:rFonts w:ascii="宋体" w:hAnsi="宋体" w:cs="宋体" w:eastAsia="宋体" w:hint="default"/>
          <w:spacing w:val="-2"/>
          <w:sz w:val="18"/>
          <w:szCs w:val="18"/>
        </w:rPr>
        <w:t>公司对投资性房地产的计量方法初始确定为成本计量模式，为了更加客观的反映公司持有的投资性房地产公允价值，并</w:t>
      </w:r>
      <w:r>
        <w:rPr>
          <w:rFonts w:ascii="宋体" w:hAnsi="宋体" w:cs="宋体" w:eastAsia="宋体" w:hint="default"/>
          <w:sz w:val="18"/>
          <w:szCs w:val="18"/>
        </w:rPr>
        <w:t> 与控股股东及实际控制人中国电子的会计政策保持一致，根据《企业会计准则第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6"/>
          <w:sz w:val="18"/>
          <w:szCs w:val="18"/>
        </w:rPr>
        <w:t> </w:t>
      </w:r>
      <w:r>
        <w:rPr>
          <w:rFonts w:ascii="宋体" w:hAnsi="宋体" w:cs="宋体" w:eastAsia="宋体" w:hint="default"/>
          <w:spacing w:val="-11"/>
          <w:sz w:val="18"/>
          <w:szCs w:val="18"/>
        </w:rPr>
        <w:t>号—投资性房地产》、《企业会计准则第</w:t>
      </w:r>
    </w:p>
    <w:p>
      <w:pPr>
        <w:spacing w:line="248" w:lineRule="exact" w:before="0"/>
        <w:ind w:left="9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号—会计政策、会计估计变更和差错更正》的相关规定，经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日公司第七届董事会第二十九次会议、第七</w:t>
      </w:r>
    </w:p>
    <w:p>
      <w:pPr>
        <w:spacing w:line="300" w:lineRule="auto" w:before="63"/>
        <w:ind w:left="972" w:right="1120" w:firstLine="0"/>
        <w:jc w:val="left"/>
        <w:rPr>
          <w:rFonts w:ascii="宋体" w:hAnsi="宋体" w:cs="宋体" w:eastAsia="宋体" w:hint="default"/>
          <w:sz w:val="18"/>
          <w:szCs w:val="18"/>
        </w:rPr>
      </w:pPr>
      <w:r>
        <w:rPr>
          <w:rFonts w:ascii="宋体" w:hAnsi="宋体" w:cs="宋体" w:eastAsia="宋体" w:hint="default"/>
          <w:sz w:val="18"/>
          <w:szCs w:val="18"/>
        </w:rPr>
        <w:t>届监事会第十一次会议审议，同意公司自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日起对投资性房地产的后续计量模式进行会计政策变更，由成本计 量模式变更为公允价值计量模式，并追溯调整可比期间的合并报表。</w:t>
      </w:r>
    </w:p>
    <w:p>
      <w:pPr>
        <w:spacing w:line="240" w:lineRule="auto" w:before="8"/>
        <w:rPr>
          <w:rFonts w:ascii="宋体" w:hAnsi="宋体" w:cs="宋体" w:eastAsia="宋体" w:hint="default"/>
          <w:sz w:val="21"/>
          <w:szCs w:val="21"/>
        </w:rPr>
      </w:pPr>
    </w:p>
    <w:p>
      <w:pPr>
        <w:pStyle w:val="Heading4"/>
        <w:spacing w:line="240" w:lineRule="auto"/>
        <w:ind w:left="972"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before="0"/>
        <w:ind w:left="972"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333" w:right="229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公司报告期不存在按照国际会计准则与按照中国会计准则披露的财务报告中净利润和净资产差异情况。</w:t>
      </w:r>
    </w:p>
    <w:p>
      <w:pPr>
        <w:spacing w:line="240" w:lineRule="auto" w:before="4"/>
        <w:rPr>
          <w:rFonts w:ascii="宋体" w:hAnsi="宋体" w:cs="宋体" w:eastAsia="宋体" w:hint="default"/>
          <w:sz w:val="20"/>
          <w:szCs w:val="20"/>
        </w:rPr>
      </w:pPr>
    </w:p>
    <w:p>
      <w:pPr>
        <w:pStyle w:val="Heading5"/>
        <w:spacing w:line="240" w:lineRule="auto" w:before="0"/>
        <w:ind w:left="972"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333" w:right="229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公司报告期不存在按照境外会计准则与按照中国会计准则披露的财务报告中净利润和净资产差异情况。</w:t>
      </w:r>
    </w:p>
    <w:p>
      <w:pPr>
        <w:spacing w:after="0" w:line="357" w:lineRule="auto"/>
        <w:jc w:val="left"/>
        <w:rPr>
          <w:rFonts w:ascii="宋体" w:hAnsi="宋体" w:cs="宋体" w:eastAsia="宋体" w:hint="default"/>
          <w:sz w:val="18"/>
          <w:szCs w:val="18"/>
        </w:rPr>
        <w:sectPr>
          <w:pgSz w:w="11910" w:h="16840"/>
          <w:pgMar w:header="789" w:footer="975" w:top="1100" w:bottom="1160" w:left="160" w:right="0"/>
        </w:sectPr>
      </w:pPr>
    </w:p>
    <w:p>
      <w:pPr>
        <w:spacing w:line="240" w:lineRule="auto" w:before="4"/>
        <w:rPr>
          <w:rFonts w:ascii="宋体" w:hAnsi="宋体" w:cs="宋体" w:eastAsia="宋体" w:hint="default"/>
          <w:sz w:val="20"/>
          <w:szCs w:val="20"/>
        </w:rPr>
      </w:pPr>
    </w:p>
    <w:p>
      <w:pPr>
        <w:pStyle w:val="Heading4"/>
        <w:spacing w:line="240" w:lineRule="auto" w:before="26"/>
        <w:ind w:left="272" w:right="0"/>
        <w:jc w:val="left"/>
        <w:rPr>
          <w:b w:val="0"/>
          <w:bCs w:val="0"/>
        </w:rPr>
      </w:pPr>
      <w:r>
        <w:rPr/>
        <w:t>八、分季度主要财务指标</w:t>
      </w:r>
      <w:r>
        <w:rPr>
          <w:b w:val="0"/>
          <w:bCs w:val="0"/>
        </w:rPr>
      </w:r>
    </w:p>
    <w:p>
      <w:pPr>
        <w:spacing w:line="240" w:lineRule="auto" w:before="7"/>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6"/>
          <w:szCs w:val="6"/>
        </w:rPr>
      </w:pPr>
    </w:p>
    <w:tbl>
      <w:tblPr>
        <w:tblW w:w="0" w:type="auto"/>
        <w:jc w:val="left"/>
        <w:tblInd w:w="267" w:type="dxa"/>
        <w:tblLayout w:type="fixed"/>
        <w:tblCellMar>
          <w:top w:w="0" w:type="dxa"/>
          <w:left w:w="0" w:type="dxa"/>
          <w:bottom w:w="0" w:type="dxa"/>
          <w:right w:w="0" w:type="dxa"/>
        </w:tblCellMar>
        <w:tblLook w:val="01E0"/>
      </w:tblPr>
      <w:tblGrid>
        <w:gridCol w:w="2621"/>
        <w:gridCol w:w="1755"/>
        <w:gridCol w:w="1755"/>
        <w:gridCol w:w="1754"/>
        <w:gridCol w:w="1755"/>
      </w:tblGrid>
      <w:tr>
        <w:trPr>
          <w:trHeight w:val="3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1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1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1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14"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1,919,737,586.49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2,410,604,339.57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2,819,577,474.32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3,693,865,176.33</w:t>
            </w:r>
          </w:p>
        </w:tc>
      </w:tr>
      <w:tr>
        <w:trPr>
          <w:trHeight w:val="3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54,791,518.61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93,157,343.23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38,852,195.38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928,192,603.53</w:t>
            </w:r>
          </w:p>
        </w:tc>
      </w:tr>
      <w:tr>
        <w:trPr>
          <w:trHeight w:val="67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2"/>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-34,799,574.36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121,178,018.82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31,634,942.17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372,070,633.16</w:t>
            </w:r>
          </w:p>
        </w:tc>
      </w:tr>
      <w:tr>
        <w:trPr>
          <w:trHeight w:val="3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-203,600,158.47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-543,048,568.15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-509,107,359.42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1,364,909,901.16</w:t>
            </w:r>
          </w:p>
        </w:tc>
      </w:tr>
    </w:tbl>
    <w:p>
      <w:pPr>
        <w:spacing w:before="51"/>
        <w:ind w:left="27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line="360" w:lineRule="auto" w:before="115"/>
        <w:ind w:left="272" w:right="571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与公司已披露季度报告、半年度报告相关财务指标存在差异说明</w:t>
      </w:r>
    </w:p>
    <w:p>
      <w:pPr>
        <w:spacing w:line="300" w:lineRule="auto" w:before="25"/>
        <w:ind w:left="272" w:right="1128" w:firstLine="360"/>
        <w:jc w:val="both"/>
        <w:rPr>
          <w:rFonts w:ascii="宋体" w:hAnsi="宋体" w:cs="宋体" w:eastAsia="宋体" w:hint="default"/>
          <w:sz w:val="18"/>
          <w:szCs w:val="18"/>
        </w:rPr>
      </w:pPr>
      <w:r>
        <w:rPr>
          <w:rFonts w:ascii="宋体" w:hAnsi="宋体" w:cs="宋体" w:eastAsia="宋体" w:hint="default"/>
          <w:sz w:val="18"/>
          <w:szCs w:val="18"/>
        </w:rPr>
        <w:t>鉴于四季度圣非凡以同一控制下企业合并的方式收购了轨道交通研究院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股权，以及公司对投资性房地产会计政策 进行变更，需要进行追溯调整，因此上表数与公司前期已披露的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年一季度报告、</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年半年度报告、</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年三季度报 告数据存在差异。</w:t>
      </w:r>
    </w:p>
    <w:p>
      <w:pPr>
        <w:pStyle w:val="Heading4"/>
        <w:spacing w:line="240" w:lineRule="auto" w:before="103"/>
        <w:ind w:left="272" w:right="0"/>
        <w:jc w:val="left"/>
        <w:rPr>
          <w:b w:val="0"/>
          <w:bCs w:val="0"/>
        </w:rPr>
      </w:pPr>
      <w:r>
        <w:rPr/>
        <w:t>九、非经常性损益项目及金额</w:t>
      </w:r>
      <w:r>
        <w:rPr>
          <w:b w:val="0"/>
          <w:bCs w:val="0"/>
        </w:rPr>
      </w:r>
    </w:p>
    <w:p>
      <w:pPr>
        <w:spacing w:line="240" w:lineRule="auto" w:before="4"/>
        <w:rPr>
          <w:rFonts w:ascii="宋体" w:hAnsi="宋体" w:cs="宋体" w:eastAsia="宋体" w:hint="default"/>
          <w:b/>
          <w:bCs/>
          <w:sz w:val="9"/>
          <w:szCs w:val="9"/>
        </w:rPr>
      </w:pPr>
    </w:p>
    <w:p>
      <w:pPr>
        <w:spacing w:before="44"/>
        <w:ind w:left="27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4933"/>
        <w:gridCol w:w="1260"/>
        <w:gridCol w:w="1260"/>
        <w:gridCol w:w="1342"/>
        <w:gridCol w:w="1178"/>
      </w:tblGrid>
      <w:tr>
        <w:trPr>
          <w:trHeight w:val="377"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86"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1,654,718.65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34,834,489.33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7,034,133.86</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694"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527,135,663.30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88,504,979.64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115,174,292.52</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2,647,392.45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140,276.57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-939,984.71</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-10,248,573.27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5,862,843.29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-7,343,105.84</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1630"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 性金融资产、衍生金融资产、交易性金融负债、衍生金融负债 产生的公允价值变动损益，以及处置交易性金融资产、衍生金 融资产、交易性金融负债、衍生金融负债和其他债权投资取得 的投资收益</w:t>
            </w:r>
          </w:p>
        </w:tc>
        <w:tc>
          <w:tcPr>
            <w:tcW w:w="1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70,375,437.15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753,032,709.97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251,007,582.14</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单独进行减值测试的应收款项、合同资产减值准备转回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1,252,592.41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3,052,818.23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5,093,701.00</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694"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7"/>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 产生的损益</w:t>
            </w:r>
          </w:p>
        </w:tc>
        <w:tc>
          <w:tcPr>
            <w:tcW w:w="1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210,506,650.78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148,661,957.96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74,031,641.52</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943,392.63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943,396.23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943,396.22</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5,386,967.63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-4,856,275.05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-10,724,430.47</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593,880.55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167,642,735.74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236,578,479.62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40,643,491.91</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17,836,022.15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21,405,578.08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3,971,508.45</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4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624,909,640.96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771,112,877.19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390,602,210.59</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9" w:footer="975" w:top="1100" w:bottom="1160" w:left="860" w:right="0"/>
        </w:sectPr>
      </w:pPr>
    </w:p>
    <w:p>
      <w:pPr>
        <w:spacing w:line="240" w:lineRule="auto" w:before="8"/>
        <w:rPr>
          <w:rFonts w:ascii="宋体" w:hAnsi="宋体" w:cs="宋体" w:eastAsia="宋体"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513"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0"/>
      </w:tblGrid>
      <w:tr>
        <w:trPr>
          <w:trHeight w:val="40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88"/>
              <w:jc w:val="right"/>
              <w:rPr>
                <w:rFonts w:ascii="宋体" w:hAnsi="宋体" w:cs="宋体" w:eastAsia="宋体" w:hint="default"/>
                <w:sz w:val="18"/>
                <w:szCs w:val="18"/>
              </w:rPr>
            </w:pPr>
            <w:r>
              <w:rPr>
                <w:rFonts w:ascii="宋体" w:hAnsi="宋体" w:cs="宋体" w:eastAsia="宋体" w:hint="default"/>
                <w:sz w:val="18"/>
                <w:szCs w:val="18"/>
              </w:rPr>
              <w:t>个税手续费返还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05" w:right="0"/>
              <w:jc w:val="left"/>
              <w:rPr>
                <w:rFonts w:ascii="Times New Roman" w:hAnsi="Times New Roman" w:cs="Times New Roman" w:eastAsia="Times New Roman" w:hint="default"/>
                <w:sz w:val="18"/>
                <w:szCs w:val="18"/>
              </w:rPr>
            </w:pPr>
            <w:r>
              <w:rPr>
                <w:rFonts w:ascii="Times New Roman"/>
                <w:sz w:val="18"/>
              </w:rPr>
              <w:t>593,880.55</w:t>
            </w:r>
          </w:p>
        </w:tc>
        <w:tc>
          <w:tcPr>
            <w:tcW w:w="51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975"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446" w:right="1133"/>
        <w:jc w:val="left"/>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13"/>
        <w:rPr>
          <w:rFonts w:ascii="宋体" w:hAnsi="宋体" w:cs="宋体" w:eastAsia="宋体" w:hint="default"/>
          <w:b/>
          <w:bCs/>
          <w:sz w:val="38"/>
          <w:szCs w:val="38"/>
        </w:rPr>
      </w:pPr>
    </w:p>
    <w:p>
      <w:pPr>
        <w:pStyle w:val="Heading4"/>
        <w:spacing w:line="240" w:lineRule="auto"/>
        <w:ind w:right="1133"/>
        <w:jc w:val="left"/>
        <w:rPr>
          <w:b w:val="0"/>
          <w:bCs w:val="0"/>
        </w:rPr>
      </w:pPr>
      <w:r>
        <w:rPr/>
        <w:t>一、报告期内公司从事的主要业务</w:t>
      </w:r>
      <w:r>
        <w:rPr>
          <w:b w:val="0"/>
          <w:bCs w:val="0"/>
        </w:rPr>
      </w:r>
    </w:p>
    <w:p>
      <w:pPr>
        <w:spacing w:line="240" w:lineRule="auto" w:before="3"/>
        <w:rPr>
          <w:rFonts w:ascii="宋体" w:hAnsi="宋体" w:cs="宋体" w:eastAsia="宋体" w:hint="default"/>
          <w:b/>
          <w:bCs/>
          <w:sz w:val="28"/>
          <w:szCs w:val="28"/>
        </w:rPr>
      </w:pPr>
    </w:p>
    <w:p>
      <w:pPr>
        <w:pStyle w:val="BodyText"/>
        <w:spacing w:line="355" w:lineRule="auto" w:before="0"/>
        <w:ind w:left="152" w:right="1133" w:firstLine="420"/>
        <w:jc w:val="left"/>
      </w:pPr>
      <w:r>
        <w:rPr>
          <w:spacing w:val="-2"/>
        </w:rPr>
        <w:t>报告期内公司从事的主要业务包括：高新电子、网络安全与信息化、电源、园区与物业服务及其他业</w:t>
      </w:r>
      <w:r>
        <w:rPr>
          <w:w w:val="100"/>
        </w:rPr>
        <w:t> </w:t>
      </w:r>
      <w:r>
        <w:rPr/>
        <w:t>务。</w:t>
      </w:r>
    </w:p>
    <w:p>
      <w:pPr>
        <w:pStyle w:val="BodyText"/>
        <w:spacing w:line="352" w:lineRule="auto" w:before="66"/>
        <w:ind w:left="152" w:right="0" w:firstLine="420"/>
        <w:jc w:val="left"/>
      </w:pPr>
      <w:r>
        <w:rPr/>
        <w:t>网络安全与信息化业务以关系国家信息安全和国计民生的重要行业和领域为主要市场，提供软硬结合</w:t>
      </w:r>
      <w:r>
        <w:rPr>
          <w:w w:val="100"/>
        </w:rPr>
        <w:t> </w:t>
      </w:r>
      <w:r>
        <w:rPr>
          <w:spacing w:val="-2"/>
        </w:rPr>
        <w:t>的核心产品、行业解决方案和服务。公司具备全面的自主安全整机从设计、研发、验证到生产的能力，国</w:t>
      </w:r>
      <w:r>
        <w:rPr>
          <w:spacing w:val="-42"/>
        </w:rPr>
        <w:t> </w:t>
      </w:r>
      <w:r>
        <w:rPr>
          <w:spacing w:val="-42"/>
        </w:rPr>
      </w:r>
      <w:r>
        <w:rPr/>
        <w:t>产基础软硬件适配测试能力以及硬件</w:t>
      </w:r>
      <w:r>
        <w:rPr>
          <w:rFonts w:ascii="Times New Roman" w:hAnsi="Times New Roman" w:cs="Times New Roman" w:eastAsia="Times New Roman" w:hint="default"/>
        </w:rPr>
        <w:t>/</w:t>
      </w:r>
      <w:r>
        <w:rPr/>
        <w:t>固件</w:t>
      </w:r>
      <w:r>
        <w:rPr>
          <w:rFonts w:ascii="Times New Roman" w:hAnsi="Times New Roman" w:cs="Times New Roman" w:eastAsia="Times New Roman" w:hint="default"/>
        </w:rPr>
        <w:t>/</w:t>
      </w:r>
      <w:r>
        <w:rPr/>
        <w:t>软件</w:t>
      </w:r>
      <w:r>
        <w:rPr>
          <w:rFonts w:ascii="Times New Roman" w:hAnsi="Times New Roman" w:cs="Times New Roman" w:eastAsia="Times New Roman" w:hint="default"/>
        </w:rPr>
        <w:t>/</w:t>
      </w:r>
      <w:r>
        <w:rPr/>
        <w:t>系统级定制开发等从底层芯片到顶层应用级解决方案的全</w:t>
      </w:r>
      <w:r>
        <w:rPr>
          <w:spacing w:val="-98"/>
        </w:rPr>
        <w:t> </w:t>
      </w:r>
      <w:r>
        <w:rPr>
          <w:spacing w:val="-98"/>
        </w:rPr>
      </w:r>
      <w:r>
        <w:rPr>
          <w:spacing w:val="-5"/>
        </w:rPr>
        <w:t>系列技术能力；基于飞腾平台的终端和服务器产品性能、可靠性、稳定性、易用性始终处于行业领先水平，</w:t>
      </w:r>
      <w:r>
        <w:rPr>
          <w:spacing w:val="-10"/>
        </w:rPr>
        <w:t> </w:t>
      </w:r>
      <w:r>
        <w:rPr>
          <w:spacing w:val="-10"/>
        </w:rPr>
      </w:r>
      <w:r>
        <w:rPr>
          <w:spacing w:val="-2"/>
        </w:rPr>
        <w:t>在多个关键行业打造了成功案例，占据市场主导地位。此外，公司还是国内极具影响力的金融、医疗行业</w:t>
      </w:r>
      <w:r>
        <w:rPr>
          <w:spacing w:val="-47"/>
        </w:rPr>
        <w:t> </w:t>
      </w:r>
      <w:r>
        <w:rPr>
          <w:spacing w:val="-47"/>
        </w:rPr>
      </w:r>
      <w:r>
        <w:rPr>
          <w:spacing w:val="-2"/>
        </w:rPr>
        <w:t>信息化产品和解决方案供应商，金融智能网点解决方案国内市场占有率第一，以大量智慧网点建设的成熟</w:t>
      </w:r>
      <w:r>
        <w:rPr>
          <w:spacing w:val="-43"/>
        </w:rPr>
        <w:t> </w:t>
      </w:r>
      <w:r>
        <w:rPr>
          <w:spacing w:val="-43"/>
        </w:rPr>
      </w:r>
      <w:r>
        <w:rPr>
          <w:spacing w:val="-2"/>
        </w:rPr>
        <w:t>案例成为金融行业砥砺创新的践行者；国内首家推出医疗自助综合服务系统并占据主要市场，拥有银医一</w:t>
      </w:r>
      <w:r>
        <w:rPr>
          <w:spacing w:val="-44"/>
        </w:rPr>
        <w:t> </w:t>
      </w:r>
      <w:r>
        <w:rPr>
          <w:spacing w:val="-44"/>
        </w:rPr>
      </w:r>
      <w:r>
        <w:rPr/>
        <w:t>卡通领域千余个项目案例和实施经验，并着力提升医疗自主安全解决方案能力。</w:t>
      </w:r>
    </w:p>
    <w:p>
      <w:pPr>
        <w:pStyle w:val="BodyText"/>
        <w:spacing w:line="355" w:lineRule="auto" w:before="70"/>
        <w:ind w:left="152" w:right="1105" w:firstLine="420"/>
        <w:jc w:val="both"/>
      </w:pPr>
      <w:r>
        <w:rPr>
          <w:spacing w:val="-2"/>
        </w:rPr>
        <w:t>高新电子业务专注于军事通信、卫星与定位导航、海洋信息安全产业及军用自主安全计算机及网络设</w:t>
      </w:r>
      <w:r>
        <w:rPr>
          <w:w w:val="100"/>
        </w:rPr>
        <w:t> </w:t>
      </w:r>
      <w:r>
        <w:rPr>
          <w:spacing w:val="-2"/>
        </w:rPr>
        <w:t>备等领域，是我军国防信息化系统解决方案和装备的重要提供商及服务商，承担了众多国家重大工程和重</w:t>
      </w:r>
      <w:r>
        <w:rPr>
          <w:spacing w:val="-42"/>
        </w:rPr>
        <w:t> </w:t>
      </w:r>
      <w:r>
        <w:rPr>
          <w:spacing w:val="-42"/>
        </w:rPr>
      </w:r>
      <w:r>
        <w:rPr>
          <w:spacing w:val="-2"/>
        </w:rPr>
        <w:t>点项目，在高新电子领域形成了较为完备的技术体系和产品谱系，竞争力不断增强。目前，公司具备较强</w:t>
      </w:r>
      <w:r>
        <w:rPr>
          <w:spacing w:val="-47"/>
        </w:rPr>
        <w:t> </w:t>
      </w:r>
      <w:r>
        <w:rPr>
          <w:spacing w:val="-47"/>
        </w:rPr>
      </w:r>
      <w:r>
        <w:rPr>
          <w:spacing w:val="-2"/>
        </w:rPr>
        <w:t>的战术通信系统总体设计能力和装备研发制造能力，超短波战术通信整体技术水平在国内处于领先水平；</w:t>
      </w:r>
      <w:r>
        <w:rPr>
          <w:spacing w:val="-21"/>
        </w:rPr>
        <w:t> </w:t>
      </w:r>
      <w:r>
        <w:rPr>
          <w:spacing w:val="-21"/>
        </w:rPr>
      </w:r>
      <w:r>
        <w:rPr>
          <w:spacing w:val="-2"/>
        </w:rPr>
        <w:t>公司是我军水下通信、远程水声通信系统和装备的重要提供商，整体技术水平国内领先；公司作为少数几</w:t>
      </w:r>
      <w:r>
        <w:rPr>
          <w:spacing w:val="-42"/>
        </w:rPr>
        <w:t> </w:t>
      </w:r>
      <w:r>
        <w:rPr>
          <w:spacing w:val="-42"/>
        </w:rPr>
      </w:r>
      <w:r>
        <w:rPr>
          <w:spacing w:val="-2"/>
        </w:rPr>
        <w:t>家拥有新型光纤水下探测设备研发制造能力的企业，光纤传感技术、信号处理技术等处于行业领先。公司</w:t>
      </w:r>
      <w:r>
        <w:rPr>
          <w:spacing w:val="-43"/>
        </w:rPr>
        <w:t> </w:t>
      </w:r>
      <w:r>
        <w:rPr>
          <w:spacing w:val="-43"/>
        </w:rPr>
      </w:r>
      <w:r>
        <w:rPr>
          <w:spacing w:val="-2"/>
        </w:rPr>
        <w:t>始终坚持以需求为牵引，以市场为导向，积极适应新时期军事变革的新需求，大力拓展陆、海、空、天、</w:t>
      </w:r>
      <w:r>
        <w:rPr>
          <w:spacing w:val="-21"/>
        </w:rPr>
        <w:t> </w:t>
      </w:r>
      <w:r>
        <w:rPr>
          <w:spacing w:val="-21"/>
        </w:rPr>
      </w:r>
      <w:r>
        <w:rPr/>
        <w:t>火等多领域市场。</w:t>
      </w:r>
    </w:p>
    <w:p>
      <w:pPr>
        <w:pStyle w:val="BodyText"/>
        <w:spacing w:line="350" w:lineRule="auto" w:before="68"/>
        <w:ind w:left="152" w:right="0" w:firstLine="420"/>
        <w:jc w:val="left"/>
      </w:pPr>
      <w:r>
        <w:rPr/>
        <w:t>电源业务涵盖工业类及消费类开关电源，主要产品包括服务器电源、通信光电类电源、</w:t>
      </w:r>
      <w:r>
        <w:rPr>
          <w:rFonts w:ascii="Times New Roman" w:hAnsi="Times New Roman" w:cs="Times New Roman" w:eastAsia="Times New Roman" w:hint="default"/>
        </w:rPr>
        <w:t>PC</w:t>
      </w:r>
      <w:r>
        <w:rPr>
          <w:rFonts w:ascii="Times New Roman" w:hAnsi="Times New Roman" w:cs="Times New Roman" w:eastAsia="Times New Roman" w:hint="default"/>
          <w:spacing w:val="19"/>
        </w:rPr>
        <w:t> </w:t>
      </w:r>
      <w:r>
        <w:rPr/>
        <w:t>电源、消</w:t>
      </w:r>
      <w:r>
        <w:rPr>
          <w:w w:val="100"/>
        </w:rPr>
        <w:t> </w:t>
      </w:r>
      <w:r>
        <w:rPr>
          <w:spacing w:val="-2"/>
        </w:rPr>
        <w:t>费电子产品电源等，可满足市场差异化需求。公司拥有专业的电源技术研发团队，拥有全国唯一的企业开</w:t>
      </w:r>
      <w:r>
        <w:rPr>
          <w:spacing w:val="-43"/>
        </w:rPr>
        <w:t> </w:t>
      </w:r>
      <w:r>
        <w:rPr>
          <w:spacing w:val="-43"/>
        </w:rPr>
      </w:r>
      <w:r>
        <w:rPr>
          <w:spacing w:val="-2"/>
        </w:rPr>
        <w:t>关电源技术实验室，具备强大的电源研发和制造能力，在单体功率、转换效率、功率密度等方面技术特点</w:t>
      </w:r>
      <w:r>
        <w:rPr>
          <w:spacing w:val="-47"/>
        </w:rPr>
        <w:t> </w:t>
      </w:r>
      <w:r>
        <w:rPr>
          <w:spacing w:val="-47"/>
        </w:rPr>
      </w:r>
      <w:r>
        <w:rPr>
          <w:spacing w:val="-2"/>
        </w:rPr>
        <w:t>突出，掌握自主安全电源研发技术，是电源国家标准主要起草单位之一。工业类电源产品多年雄踞国内市</w:t>
      </w:r>
      <w:r>
        <w:rPr>
          <w:spacing w:val="-44"/>
        </w:rPr>
        <w:t> </w:t>
      </w:r>
      <w:r>
        <w:rPr>
          <w:spacing w:val="-44"/>
        </w:rPr>
      </w:r>
      <w:r>
        <w:rPr>
          <w:spacing w:val="-2"/>
        </w:rPr>
        <w:t>场占有率领先品牌，国际化、高端化战略取得显著成果；消费类电源产品跻身国际一线水平，主要面向国</w:t>
      </w:r>
      <w:r>
        <w:rPr>
          <w:spacing w:val="-50"/>
        </w:rPr>
        <w:t> </w:t>
      </w:r>
      <w:r>
        <w:rPr>
          <w:spacing w:val="-50"/>
        </w:rPr>
      </w:r>
      <w:r>
        <w:rPr>
          <w:spacing w:val="-5"/>
        </w:rPr>
        <w:t>际大客户供货。重视研发创新与产品升级，业务规模增长率、产品盈利能力处于行业领先水平，产品质量、</w:t>
      </w:r>
      <w:r>
        <w:rPr>
          <w:spacing w:val="-13"/>
        </w:rPr>
        <w:t> </w:t>
      </w:r>
      <w:r>
        <w:rPr>
          <w:spacing w:val="-13"/>
        </w:rPr>
      </w:r>
      <w:r>
        <w:rPr/>
        <w:t>市场反馈、客户口碑等逐步向电源行业全球一流企业靠近。</w:t>
      </w:r>
    </w:p>
    <w:p>
      <w:pPr>
        <w:pStyle w:val="BodyText"/>
        <w:spacing w:line="355" w:lineRule="auto" w:before="70"/>
        <w:ind w:left="152" w:right="0" w:firstLine="420"/>
        <w:jc w:val="left"/>
        <w:rPr>
          <w:rFonts w:ascii="宋体" w:hAnsi="宋体" w:cs="宋体" w:eastAsia="宋体" w:hint="default"/>
          <w:sz w:val="18"/>
          <w:szCs w:val="18"/>
        </w:rPr>
      </w:pPr>
      <w:r>
        <w:rPr>
          <w:spacing w:val="-5"/>
        </w:rPr>
        <w:t>公司拥有较好的园区与房产资源，优先满足生产经营需要前提下，部分房产对外租赁，创造经济效益。</w:t>
      </w:r>
      <w:r>
        <w:rPr>
          <w:w w:val="100"/>
        </w:rPr>
        <w:t> </w:t>
      </w:r>
      <w:r>
        <w:rPr>
          <w:spacing w:val="-2"/>
        </w:rPr>
        <w:t>中电软件园是长沙市重要的移动互联网产业核心聚集园区、工信部制造业“双创”平台试点示范基地；中</w:t>
      </w:r>
      <w:r>
        <w:rPr>
          <w:spacing w:val="-44"/>
        </w:rPr>
        <w:t> </w:t>
      </w:r>
      <w:r>
        <w:rPr>
          <w:spacing w:val="-44"/>
        </w:rPr>
      </w:r>
      <w:r>
        <w:rPr/>
        <w:t>电长城大厦即将形成新的房产资源租赁与销售业务增长点。</w:t>
      </w:r>
      <w:r>
        <w:rPr>
          <w:rFonts w:ascii="宋体" w:hAnsi="宋体" w:cs="宋体" w:eastAsia="宋体" w:hint="default"/>
          <w:sz w:val="18"/>
          <w:szCs w:val="18"/>
        </w:rPr>
        <w:t> </w:t>
      </w:r>
    </w:p>
    <w:p>
      <w:pPr>
        <w:spacing w:before="144"/>
        <w:ind w:left="513"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4"/>
        <w:rPr>
          <w:rFonts w:ascii="宋体" w:hAnsi="宋体" w:cs="宋体" w:eastAsia="宋体" w:hint="default"/>
          <w:sz w:val="20"/>
          <w:szCs w:val="20"/>
        </w:rPr>
      </w:pPr>
    </w:p>
    <w:p>
      <w:pPr>
        <w:pStyle w:val="Heading4"/>
        <w:spacing w:line="240" w:lineRule="auto" w:before="26"/>
        <w:ind w:left="1032" w:right="0"/>
        <w:jc w:val="left"/>
        <w:rPr>
          <w:b w:val="0"/>
          <w:bCs w:val="0"/>
        </w:rPr>
      </w:pPr>
      <w:r>
        <w:rPr/>
        <w:t>二、主要资产重大变化情况</w:t>
      </w:r>
      <w:r>
        <w:rPr>
          <w:b w:val="0"/>
          <w:bCs w:val="0"/>
        </w:rPr>
      </w:r>
    </w:p>
    <w:p>
      <w:pPr>
        <w:spacing w:line="240" w:lineRule="auto" w:before="2"/>
        <w:rPr>
          <w:rFonts w:ascii="宋体" w:hAnsi="宋体" w:cs="宋体" w:eastAsia="宋体" w:hint="default"/>
          <w:b/>
          <w:bCs/>
          <w:sz w:val="20"/>
          <w:szCs w:val="20"/>
        </w:rPr>
      </w:pPr>
    </w:p>
    <w:p>
      <w:pPr>
        <w:pStyle w:val="Heading5"/>
        <w:spacing w:line="240" w:lineRule="auto" w:before="0"/>
        <w:ind w:left="1032"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4"/>
        <w:rPr>
          <w:rFonts w:ascii="宋体" w:hAnsi="宋体" w:cs="宋体" w:eastAsia="宋体" w:hint="default"/>
          <w:b/>
          <w:bCs/>
          <w:sz w:val="16"/>
          <w:szCs w:val="16"/>
        </w:rPr>
      </w:pPr>
    </w:p>
    <w:tbl>
      <w:tblPr>
        <w:tblW w:w="0" w:type="auto"/>
        <w:jc w:val="left"/>
        <w:tblInd w:w="1064" w:type="dxa"/>
        <w:tblLayout w:type="fixed"/>
        <w:tblCellMar>
          <w:top w:w="0" w:type="dxa"/>
          <w:left w:w="0" w:type="dxa"/>
          <w:bottom w:w="0" w:type="dxa"/>
          <w:right w:w="0" w:type="dxa"/>
        </w:tblCellMar>
        <w:tblLook w:val="01E0"/>
      </w:tblPr>
      <w:tblGrid>
        <w:gridCol w:w="2953"/>
        <w:gridCol w:w="6615"/>
      </w:tblGrid>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主要是新增联营企业投资所致</w:t>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主要是在建工程竣工验收及投资性房地产转换用途转入固定资产所致</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主要是公司中电长城大厦项目竣工后按持有目的不同转入存货和投资性房地产所致</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6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具体情况详见第四节中“资产构成重大变动情况”的相关介绍</w:t>
            </w:r>
          </w:p>
        </w:tc>
      </w:tr>
    </w:tbl>
    <w:p>
      <w:pPr>
        <w:spacing w:line="240" w:lineRule="auto" w:before="0"/>
        <w:rPr>
          <w:rFonts w:ascii="宋体" w:hAnsi="宋体" w:cs="宋体" w:eastAsia="宋体" w:hint="default"/>
          <w:b/>
          <w:bCs/>
          <w:sz w:val="10"/>
          <w:szCs w:val="10"/>
        </w:rPr>
      </w:pPr>
    </w:p>
    <w:p>
      <w:pPr>
        <w:pStyle w:val="Heading5"/>
        <w:spacing w:line="240" w:lineRule="auto"/>
        <w:ind w:left="1032"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17"/>
          <w:szCs w:val="17"/>
        </w:rPr>
      </w:pPr>
    </w:p>
    <w:p>
      <w:pPr>
        <w:spacing w:before="0"/>
        <w:ind w:left="103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668"/>
        <w:gridCol w:w="1039"/>
        <w:gridCol w:w="1493"/>
        <w:gridCol w:w="857"/>
        <w:gridCol w:w="1022"/>
        <w:gridCol w:w="2194"/>
        <w:gridCol w:w="1361"/>
        <w:gridCol w:w="960"/>
        <w:gridCol w:w="879"/>
      </w:tblGrid>
      <w:tr>
        <w:trPr>
          <w:trHeight w:val="1066"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99" w:right="0"/>
              <w:jc w:val="left"/>
              <w:rPr>
                <w:rFonts w:ascii="宋体" w:hAnsi="宋体" w:cs="宋体" w:eastAsia="宋体" w:hint="default"/>
                <w:sz w:val="18"/>
                <w:szCs w:val="18"/>
              </w:rPr>
            </w:pPr>
            <w:r>
              <w:rPr>
                <w:rFonts w:ascii="宋体" w:hAnsi="宋体" w:cs="宋体" w:eastAsia="宋体" w:hint="default"/>
                <w:sz w:val="18"/>
                <w:szCs w:val="18"/>
              </w:rPr>
              <w:t>资产的具体内容</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53"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81"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51"/>
              <w:jc w:val="right"/>
              <w:rPr>
                <w:rFonts w:ascii="宋体" w:hAnsi="宋体" w:cs="宋体" w:eastAsia="宋体" w:hint="default"/>
                <w:sz w:val="18"/>
                <w:szCs w:val="18"/>
              </w:rPr>
            </w:pPr>
            <w:r>
              <w:rPr>
                <w:rFonts w:ascii="宋体" w:hAnsi="宋体" w:cs="宋体" w:eastAsia="宋体" w:hint="default"/>
                <w:sz w:val="18"/>
                <w:szCs w:val="18"/>
              </w:rPr>
              <w:t>所在地</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4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1" w:right="0"/>
              <w:jc w:val="left"/>
              <w:rPr>
                <w:rFonts w:ascii="宋体" w:hAnsi="宋体" w:cs="宋体" w:eastAsia="宋体" w:hint="default"/>
                <w:sz w:val="18"/>
                <w:szCs w:val="18"/>
              </w:rPr>
            </w:pPr>
            <w:r>
              <w:rPr>
                <w:rFonts w:ascii="宋体" w:hAnsi="宋体" w:cs="宋体" w:eastAsia="宋体" w:hint="default"/>
                <w:sz w:val="18"/>
                <w:szCs w:val="18"/>
              </w:rPr>
              <w:t>保障资产安全性的控制措施</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14"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3" w:right="2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74" w:right="72"/>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14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 w:right="34"/>
              <w:jc w:val="left"/>
              <w:rPr>
                <w:rFonts w:ascii="宋体" w:hAnsi="宋体" w:cs="宋体" w:eastAsia="宋体" w:hint="default"/>
                <w:sz w:val="18"/>
                <w:szCs w:val="18"/>
              </w:rPr>
            </w:pPr>
            <w:r>
              <w:rPr>
                <w:rFonts w:ascii="宋体" w:hAnsi="宋体" w:cs="宋体" w:eastAsia="宋体" w:hint="default"/>
                <w:sz w:val="18"/>
                <w:szCs w:val="18"/>
              </w:rPr>
              <w:t>中国长城计算机（香 港）控股有限公司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right="127"/>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11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38,232.40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pStyle w:val="TableParagraph"/>
              <w:spacing w:line="240" w:lineRule="auto" w:before="103"/>
              <w:ind w:left="-1"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117"/>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10,961.70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 w:right="125"/>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销售型</w:t>
            </w:r>
          </w:p>
        </w:tc>
        <w:tc>
          <w:tcPr>
            <w:tcW w:w="21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2" w:right="21"/>
              <w:jc w:val="both"/>
              <w:rPr>
                <w:rFonts w:ascii="宋体" w:hAnsi="宋体" w:cs="宋体" w:eastAsia="宋体" w:hint="default"/>
                <w:sz w:val="18"/>
                <w:szCs w:val="18"/>
              </w:rPr>
            </w:pPr>
            <w:r>
              <w:rPr>
                <w:rFonts w:ascii="宋体" w:hAnsi="宋体" w:cs="宋体" w:eastAsia="宋体" w:hint="default"/>
                <w:sz w:val="18"/>
                <w:szCs w:val="18"/>
              </w:rPr>
              <w:t>公司本部定期对其资产及经 营状况进行分析和审阅并要 求其按照公司治理规范制度 体系履行审批流程和开展生 产运营。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72,671.48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pStyle w:val="TableParagraph"/>
              <w:spacing w:line="240" w:lineRule="auto" w:before="103"/>
              <w:ind w:left="-1"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11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820.33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1.27%</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46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 w:right="34"/>
              <w:jc w:val="left"/>
              <w:rPr>
                <w:rFonts w:ascii="宋体" w:hAnsi="宋体" w:cs="宋体" w:eastAsia="宋体" w:hint="default"/>
                <w:sz w:val="18"/>
                <w:szCs w:val="18"/>
              </w:rPr>
            </w:pPr>
            <w:r>
              <w:rPr>
                <w:rFonts w:ascii="宋体" w:hAnsi="宋体" w:cs="宋体" w:eastAsia="宋体" w:hint="default"/>
                <w:sz w:val="18"/>
                <w:szCs w:val="18"/>
              </w:rPr>
              <w:t>柏怡国际控股有限公 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right="127"/>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11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88,331.79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pStyle w:val="TableParagraph"/>
              <w:spacing w:line="240" w:lineRule="auto" w:before="104"/>
              <w:ind w:left="-1"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11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45,146.95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3" w:right="62" w:hanging="92"/>
              <w:jc w:val="left"/>
              <w:rPr>
                <w:rFonts w:ascii="宋体" w:hAnsi="宋体" w:cs="宋体" w:eastAsia="宋体" w:hint="default"/>
                <w:sz w:val="18"/>
                <w:szCs w:val="18"/>
              </w:rPr>
            </w:pPr>
            <w:r>
              <w:rPr>
                <w:rFonts w:ascii="宋体" w:hAnsi="宋体" w:cs="宋体" w:eastAsia="宋体" w:hint="default"/>
                <w:sz w:val="18"/>
                <w:szCs w:val="18"/>
              </w:rPr>
              <w:t>英属维尔 京群岛</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 w:right="-13"/>
              <w:jc w:val="left"/>
              <w:rPr>
                <w:rFonts w:ascii="宋体" w:hAnsi="宋体" w:cs="宋体" w:eastAsia="宋体" w:hint="default"/>
                <w:sz w:val="18"/>
                <w:szCs w:val="18"/>
              </w:rPr>
            </w:pPr>
            <w:r>
              <w:rPr>
                <w:rFonts w:ascii="宋体" w:hAnsi="宋体" w:cs="宋体" w:eastAsia="宋体" w:hint="default"/>
                <w:spacing w:val="-10"/>
                <w:sz w:val="18"/>
                <w:szCs w:val="18"/>
              </w:rPr>
              <w:t>设计、生产、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销售型</w:t>
            </w:r>
          </w:p>
        </w:tc>
        <w:tc>
          <w:tcPr>
            <w:tcW w:w="2194"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146,238.49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p>
            <w:pPr>
              <w:pStyle w:val="TableParagraph"/>
              <w:spacing w:line="240" w:lineRule="auto" w:before="101"/>
              <w:ind w:left="-1"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117"/>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6,586.09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5.22%</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2"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98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长城香港主要资产及业务位于香港；柏怡国际在深圳横岗及江西龙南设有工厂，在上海、台湾、日本、越南设有分支机构。</w:t>
            </w:r>
          </w:p>
        </w:tc>
      </w:tr>
    </w:tbl>
    <w:p>
      <w:pPr>
        <w:spacing w:line="240" w:lineRule="auto" w:before="6"/>
        <w:rPr>
          <w:rFonts w:ascii="宋体" w:hAnsi="宋体" w:cs="宋体" w:eastAsia="宋体" w:hint="default"/>
          <w:sz w:val="13"/>
          <w:szCs w:val="13"/>
        </w:rPr>
      </w:pPr>
    </w:p>
    <w:p>
      <w:pPr>
        <w:pStyle w:val="Heading4"/>
        <w:spacing w:line="240" w:lineRule="auto" w:before="26"/>
        <w:ind w:left="1032" w:right="0"/>
        <w:jc w:val="left"/>
        <w:rPr>
          <w:b w:val="0"/>
          <w:bCs w:val="0"/>
        </w:rPr>
      </w:pPr>
      <w:r>
        <w:rPr/>
        <w:t>三、核心竞争力分析</w:t>
      </w:r>
      <w:r>
        <w:rPr>
          <w:b w:val="0"/>
          <w:bCs w:val="0"/>
        </w:rPr>
      </w:r>
    </w:p>
    <w:p>
      <w:pPr>
        <w:spacing w:line="240" w:lineRule="auto" w:before="10"/>
        <w:rPr>
          <w:rFonts w:ascii="宋体" w:hAnsi="宋体" w:cs="宋体" w:eastAsia="宋体" w:hint="default"/>
          <w:b/>
          <w:bCs/>
          <w:sz w:val="21"/>
          <w:szCs w:val="21"/>
        </w:rPr>
      </w:pPr>
    </w:p>
    <w:p>
      <w:pPr>
        <w:pStyle w:val="BodyText"/>
        <w:spacing w:line="314" w:lineRule="auto" w:before="0"/>
        <w:ind w:left="1032" w:right="1126" w:firstLine="420"/>
        <w:jc w:val="both"/>
      </w:pPr>
      <w:r>
        <w:rPr>
          <w:spacing w:val="-2"/>
        </w:rPr>
        <w:t>作为中国电子网络安全与信息化领域的专业子集团，公司以创新驱动发展，高度重视科技创新能力的</w:t>
      </w:r>
      <w:r>
        <w:rPr>
          <w:w w:val="100"/>
        </w:rPr>
        <w:t> </w:t>
      </w:r>
      <w:r>
        <w:rPr/>
        <w:t>提升，强调技术研发自主创新与集成创新的有效结合。</w:t>
      </w:r>
    </w:p>
    <w:p>
      <w:pPr>
        <w:pStyle w:val="BodyText"/>
        <w:spacing w:line="302" w:lineRule="auto" w:before="58"/>
        <w:ind w:left="1032" w:right="1126" w:firstLine="420"/>
        <w:jc w:val="both"/>
      </w:pPr>
      <w:r>
        <w:rPr/>
        <w:t>公司拥有 </w:t>
      </w:r>
      <w:r>
        <w:rPr>
          <w:rFonts w:ascii="Times New Roman" w:hAnsi="Times New Roman" w:cs="Times New Roman" w:eastAsia="Times New Roman" w:hint="default"/>
        </w:rPr>
        <w:t>4 </w:t>
      </w:r>
      <w:r>
        <w:rPr/>
        <w:t>个国家级研发机构（</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个国家认定企业技术中心、复杂环境光纤信息技术国家地方联合工</w:t>
      </w:r>
      <w:r>
        <w:rPr>
          <w:w w:val="100"/>
        </w:rPr>
        <w:t> </w:t>
      </w:r>
      <w:r>
        <w:rPr>
          <w:spacing w:val="-9"/>
          <w:w w:val="100"/>
        </w:rPr>
        <w:t>程实验室、国家技术创新示范企业），</w:t>
      </w:r>
      <w:r>
        <w:rPr>
          <w:rFonts w:ascii="Times New Roman" w:hAnsi="Times New Roman" w:cs="Times New Roman" w:eastAsia="Times New Roman" w:hint="default"/>
          <w:spacing w:val="-9"/>
          <w:w w:val="100"/>
        </w:rPr>
        <w:t>12</w:t>
      </w:r>
      <w:r>
        <w:rPr>
          <w:rFonts w:ascii="Times New Roman" w:hAnsi="Times New Roman" w:cs="Times New Roman" w:eastAsia="Times New Roman" w:hint="default"/>
          <w:spacing w:val="4"/>
          <w:w w:val="100"/>
        </w:rPr>
        <w:t> </w:t>
      </w:r>
      <w:r>
        <w:rPr>
          <w:spacing w:val="-3"/>
          <w:w w:val="100"/>
        </w:rPr>
        <w:t>个省部级技术中心，</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spacing w:val="4"/>
          <w:w w:val="100"/>
        </w:rPr>
        <w:t> </w:t>
      </w:r>
      <w:r>
        <w:rPr>
          <w:spacing w:val="-4"/>
          <w:w w:val="100"/>
        </w:rPr>
        <w:t>个院士工作站，</w:t>
      </w:r>
      <w:r>
        <w:rPr>
          <w:rFonts w:ascii="Times New Roman" w:hAnsi="Times New Roman" w:cs="Times New Roman" w:eastAsia="Times New Roman" w:hint="default"/>
          <w:spacing w:val="-4"/>
          <w:w w:val="100"/>
        </w:rPr>
        <w:t>3</w:t>
      </w:r>
      <w:r>
        <w:rPr>
          <w:rFonts w:ascii="Times New Roman" w:hAnsi="Times New Roman" w:cs="Times New Roman" w:eastAsia="Times New Roman" w:hint="default"/>
          <w:spacing w:val="4"/>
          <w:w w:val="100"/>
        </w:rPr>
        <w:t> </w:t>
      </w:r>
      <w:r>
        <w:rPr>
          <w:spacing w:val="-3"/>
          <w:w w:val="100"/>
        </w:rPr>
        <w:t>个博士后工作站；拥有国</w:t>
      </w:r>
      <w:r>
        <w:rPr>
          <w:spacing w:val="-103"/>
          <w:w w:val="100"/>
        </w:rPr>
        <w:t> </w:t>
      </w:r>
      <w:r>
        <w:rPr>
          <w:spacing w:val="-103"/>
          <w:w w:val="100"/>
        </w:rPr>
      </w:r>
      <w:r>
        <w:rPr>
          <w:spacing w:val="-2"/>
          <w:w w:val="100"/>
        </w:rPr>
        <w:t>家技术创新示范企业、高新技术企业、军工四证、深圳市首批“自主创新行业龙头企业”、湖南商用密码</w:t>
      </w:r>
      <w:r>
        <w:rPr>
          <w:spacing w:val="-90"/>
          <w:w w:val="100"/>
        </w:rPr>
        <w:t> </w:t>
      </w:r>
      <w:r>
        <w:rPr>
          <w:spacing w:val="-90"/>
          <w:w w:val="100"/>
        </w:rPr>
      </w:r>
      <w:r>
        <w:rPr/>
        <w:t>产业示范基地等资质。</w:t>
      </w:r>
    </w:p>
    <w:p>
      <w:pPr>
        <w:pStyle w:val="BodyText"/>
        <w:spacing w:line="295" w:lineRule="auto" w:before="71"/>
        <w:ind w:left="1032" w:right="1128" w:firstLine="420"/>
        <w:jc w:val="both"/>
      </w:pPr>
      <w:r>
        <w:rPr>
          <w:rFonts w:ascii="Times New Roman" w:hAnsi="Times New Roman" w:cs="Times New Roman" w:eastAsia="Times New Roman" w:hint="default"/>
        </w:rPr>
        <w:t>2019 </w:t>
      </w:r>
      <w:r>
        <w:rPr/>
        <w:t>年公司进入中国上市公司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spacing w:val="-5"/>
        </w:rPr>
        <w:t>强排行榜，利润和信创整机收入双创整合新高，同时军事通讯高新</w:t>
      </w:r>
      <w:r>
        <w:rPr>
          <w:w w:val="100"/>
        </w:rPr>
        <w:t> </w:t>
      </w:r>
      <w:r>
        <w:rPr/>
        <w:t>电子业务合同额、营业额也双创历史新高。</w:t>
      </w:r>
    </w:p>
    <w:p>
      <w:pPr>
        <w:pStyle w:val="BodyText"/>
        <w:spacing w:line="304" w:lineRule="auto" w:before="75"/>
        <w:ind w:left="1032" w:right="1126"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4"/>
        </w:rPr>
        <w:t>年，为充分调动公司及下属企业科技人员的积极性和创造性，推动公司科技进步，出台《中国长</w:t>
      </w:r>
      <w:r>
        <w:rPr>
          <w:w w:val="100"/>
        </w:rPr>
        <w:t> </w:t>
      </w:r>
      <w:r>
        <w:rPr>
          <w:spacing w:val="-2"/>
          <w:w w:val="100"/>
        </w:rPr>
        <w:t>城科技创新奖励办法》，成功组织开展首届中国长城科技创新奖评选工作。公司科技创新工作得到集团高</w:t>
      </w:r>
      <w:r>
        <w:rPr>
          <w:spacing w:val="-94"/>
          <w:w w:val="100"/>
        </w:rPr>
        <w:t> </w:t>
      </w:r>
      <w:r>
        <w:rPr>
          <w:spacing w:val="-94"/>
          <w:w w:val="100"/>
        </w:rPr>
      </w:r>
      <w:r>
        <w:rPr>
          <w:spacing w:val="-7"/>
          <w:w w:val="100"/>
        </w:rPr>
        <w:t>度肯定，荣获“中国电子科技创新特别贡献奖”；《高效能异构并行调度关键技术及应用》获得国家科技进</w:t>
      </w:r>
    </w:p>
    <w:p>
      <w:pPr>
        <w:spacing w:after="0" w:line="304" w:lineRule="auto"/>
        <w:jc w:val="both"/>
        <w:sectPr>
          <w:pgSz w:w="11910" w:h="16840"/>
          <w:pgMar w:header="789" w:footer="975" w:top="1100" w:bottom="1160" w:left="100" w:right="0"/>
        </w:sectPr>
      </w:pPr>
    </w:p>
    <w:p>
      <w:pPr>
        <w:spacing w:line="240" w:lineRule="auto" w:before="2"/>
        <w:rPr>
          <w:rFonts w:ascii="宋体" w:hAnsi="宋体" w:cs="宋体" w:eastAsia="宋体" w:hint="default"/>
          <w:sz w:val="23"/>
          <w:szCs w:val="23"/>
        </w:rPr>
      </w:pPr>
    </w:p>
    <w:p>
      <w:pPr>
        <w:pStyle w:val="BodyText"/>
        <w:spacing w:line="302" w:lineRule="auto"/>
        <w:ind w:left="152" w:right="1126"/>
        <w:jc w:val="both"/>
      </w:pPr>
      <w:r>
        <w:rPr/>
        <w:t>步二等奖。全年完成科技成果鉴定 </w:t>
      </w:r>
      <w:r>
        <w:rPr>
          <w:rFonts w:ascii="Times New Roman" w:hAnsi="Times New Roman" w:cs="Times New Roman" w:eastAsia="Times New Roman" w:hint="default"/>
        </w:rPr>
        <w:t>13</w:t>
      </w:r>
      <w:r>
        <w:rPr>
          <w:rFonts w:ascii="Times New Roman" w:hAnsi="Times New Roman" w:cs="Times New Roman" w:eastAsia="Times New Roman" w:hint="default"/>
          <w:spacing w:val="24"/>
        </w:rPr>
        <w:t> </w:t>
      </w:r>
      <w:r>
        <w:rPr/>
        <w:t>项，其中《高速大额现金智能自助终端研发与产业化》和《微功率</w:t>
      </w:r>
      <w:r>
        <w:rPr>
          <w:w w:val="100"/>
        </w:rPr>
        <w:t> </w:t>
      </w:r>
      <w:r>
        <w:rPr>
          <w:spacing w:val="-3"/>
        </w:rPr>
        <w:t>无线自组网关键技术研究及应用》两个项目被认定为国际先进。</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2"/>
        </w:rPr>
        <w:t> </w:t>
      </w:r>
      <w:r>
        <w:rPr/>
        <w:t>年获授权专利</w:t>
      </w:r>
      <w:r>
        <w:rPr>
          <w:spacing w:val="-37"/>
        </w:rPr>
        <w:t> </w:t>
      </w:r>
      <w:r>
        <w:rPr>
          <w:rFonts w:ascii="Times New Roman" w:hAnsi="Times New Roman" w:cs="Times New Roman" w:eastAsia="Times New Roman" w:hint="default"/>
        </w:rPr>
        <w:t>161</w:t>
      </w:r>
      <w:r>
        <w:rPr>
          <w:rFonts w:ascii="Times New Roman" w:hAnsi="Times New Roman" w:cs="Times New Roman" w:eastAsia="Times New Roman" w:hint="default"/>
          <w:spacing w:val="13"/>
        </w:rPr>
        <w:t> </w:t>
      </w:r>
      <w:r>
        <w:rPr>
          <w:spacing w:val="-5"/>
        </w:rPr>
        <w:t>项。按照中国电子</w:t>
      </w:r>
      <w:r>
        <w:rPr>
          <w:spacing w:val="-98"/>
        </w:rPr>
        <w:t> </w:t>
      </w:r>
      <w:r>
        <w:rPr>
          <w:spacing w:val="-98"/>
        </w:rPr>
      </w:r>
      <w:r>
        <w:rPr>
          <w:spacing w:val="-2"/>
        </w:rPr>
        <w:t>的战略部署，肩负网络安全国家队的战略使命，中国长城聚焦网络安全与信息化、高新电子两大核心主业</w:t>
      </w:r>
      <w:r>
        <w:rPr>
          <w:spacing w:val="-44"/>
        </w:rPr>
        <w:t> </w:t>
      </w:r>
      <w:r>
        <w:rPr>
          <w:spacing w:val="-44"/>
        </w:rPr>
      </w:r>
      <w:r>
        <w:rPr/>
        <w:t>并保持良好发展态势，相关业务水平处于国内领先地位。</w:t>
      </w:r>
    </w:p>
    <w:p>
      <w:pPr>
        <w:pStyle w:val="BodyText"/>
        <w:spacing w:line="302" w:lineRule="auto" w:before="71"/>
        <w:ind w:left="152" w:right="1092" w:firstLine="420"/>
        <w:jc w:val="both"/>
      </w:pPr>
      <w:r>
        <w:rPr>
          <w:spacing w:val="-3"/>
        </w:rPr>
        <w:t>网络安全与信息化：紧抓资源优势，实施一体化管理，加强基于产业链市场化应用的创新与研发，培</w:t>
      </w:r>
      <w:r>
        <w:rPr>
          <w:w w:val="100"/>
        </w:rPr>
        <w:t> </w:t>
      </w:r>
      <w:r>
        <w:rPr>
          <w:spacing w:val="-2"/>
        </w:rPr>
        <w:t>育产业生态，推进示范应用，持续增强竞争力。业务主要包括自主安全系列产品、行业信息化、关键基础</w:t>
      </w:r>
      <w:r>
        <w:rPr>
          <w:spacing w:val="-43"/>
        </w:rPr>
        <w:t> </w:t>
      </w:r>
      <w:r>
        <w:rPr>
          <w:spacing w:val="-43"/>
        </w:rPr>
      </w:r>
      <w:r>
        <w:rPr>
          <w:spacing w:val="-2"/>
        </w:rPr>
        <w:t>部件和信息服务业务，以关系国家信息安全和国民经济命脉的重要行业和领域为主要市场，提供软硬结合</w:t>
      </w:r>
      <w:r>
        <w:rPr>
          <w:spacing w:val="-43"/>
        </w:rPr>
        <w:t> </w:t>
      </w:r>
      <w:r>
        <w:rPr>
          <w:spacing w:val="-43"/>
        </w:rPr>
      </w:r>
      <w:r>
        <w:rPr>
          <w:spacing w:val="-6"/>
          <w:w w:val="100"/>
        </w:rPr>
        <w:t>的核心产品、行业解决方案和服务。（</w:t>
      </w:r>
      <w:r>
        <w:rPr>
          <w:rFonts w:ascii="Times New Roman" w:hAnsi="Times New Roman" w:cs="Times New Roman" w:eastAsia="Times New Roman" w:hint="default"/>
          <w:spacing w:val="-6"/>
          <w:w w:val="100"/>
        </w:rPr>
        <w:t>1</w:t>
      </w:r>
      <w:r>
        <w:rPr>
          <w:spacing w:val="-6"/>
          <w:w w:val="100"/>
        </w:rPr>
        <w:t>）成功收购天津飞腾</w:t>
      </w:r>
      <w:r>
        <w:rPr>
          <w:spacing w:val="-40"/>
          <w:w w:val="100"/>
        </w:rPr>
        <w:t> </w:t>
      </w:r>
      <w:r>
        <w:rPr>
          <w:rFonts w:ascii="Times New Roman" w:hAnsi="Times New Roman" w:cs="Times New Roman" w:eastAsia="Times New Roman" w:hint="default"/>
          <w:spacing w:val="-2"/>
          <w:w w:val="100"/>
        </w:rPr>
        <w:t>35%</w:t>
      </w:r>
      <w:r>
        <w:rPr>
          <w:spacing w:val="-2"/>
          <w:w w:val="100"/>
        </w:rPr>
        <w:t>的股权，发布新一代飞腾</w:t>
      </w:r>
      <w:r>
        <w:rPr>
          <w:spacing w:val="-42"/>
          <w:w w:val="100"/>
        </w:rPr>
        <w:t> </w:t>
      </w:r>
      <w:r>
        <w:rPr>
          <w:rFonts w:ascii="Times New Roman" w:hAnsi="Times New Roman" w:cs="Times New Roman" w:eastAsia="Times New Roman" w:hint="default"/>
          <w:spacing w:val="-1"/>
          <w:w w:val="100"/>
        </w:rPr>
        <w:t>CPU2000</w:t>
      </w:r>
      <w:r>
        <w:rPr>
          <w:spacing w:val="-1"/>
          <w:w w:val="100"/>
        </w:rPr>
        <w:t>＋</w:t>
      </w:r>
      <w:r>
        <w:rPr>
          <w:rFonts w:ascii="Times New Roman" w:hAnsi="Times New Roman" w:cs="Times New Roman" w:eastAsia="Times New Roman" w:hint="default"/>
          <w:spacing w:val="-1"/>
          <w:w w:val="100"/>
        </w:rPr>
        <w:t>/4</w:t>
      </w:r>
      <w:r>
        <w:rPr>
          <w:spacing w:val="-1"/>
          <w:w w:val="100"/>
        </w:rPr>
        <w:t>、</w:t>
      </w:r>
      <w:r>
        <w:rPr>
          <w:spacing w:val="-100"/>
          <w:w w:val="100"/>
        </w:rPr>
        <w:t> </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/64</w:t>
      </w:r>
      <w:r>
        <w:rPr>
          <w:rFonts w:ascii="Times New Roman" w:hAnsi="Times New Roman" w:cs="Times New Roman" w:eastAsia="Times New Roman" w:hint="default"/>
          <w:spacing w:val="-1"/>
        </w:rPr>
        <w:t> </w:t>
      </w:r>
      <w:r>
        <w:rPr/>
        <w:t>处理器，开发了基于</w:t>
      </w:r>
      <w:r>
        <w:rPr>
          <w:spacing w:val="-51"/>
        </w:rPr>
        <w:t> </w:t>
      </w:r>
      <w:r>
        <w:rPr>
          <w:rFonts w:ascii="Times New Roman" w:hAnsi="Times New Roman" w:cs="Times New Roman" w:eastAsia="Times New Roman" w:hint="default"/>
        </w:rPr>
        <w:t>PK </w:t>
      </w:r>
      <w:r>
        <w:rPr/>
        <w:t>体系的新四核桌面终端、笔记本和</w:t>
      </w:r>
      <w:r>
        <w:rPr>
          <w:spacing w:val="-51"/>
        </w:rPr>
        <w:t> </w:t>
      </w:r>
      <w:r>
        <w:rPr>
          <w:rFonts w:ascii="Times New Roman" w:hAnsi="Times New Roman" w:cs="Times New Roman" w:eastAsia="Times New Roman" w:hint="default"/>
        </w:rPr>
        <w:t>64</w:t>
      </w:r>
      <w:r>
        <w:rPr>
          <w:rFonts w:ascii="Times New Roman" w:hAnsi="Times New Roman" w:cs="Times New Roman" w:eastAsia="Times New Roman" w:hint="default"/>
          <w:spacing w:val="1"/>
        </w:rPr>
        <w:t> </w:t>
      </w:r>
      <w:r>
        <w:rPr/>
        <w:t>核新一代服务器系列产品，大幅</w:t>
      </w:r>
      <w:r>
        <w:rPr>
          <w:w w:val="100"/>
        </w:rPr>
        <w:t> </w:t>
      </w:r>
      <w:r>
        <w:rPr>
          <w:spacing w:val="-2"/>
        </w:rPr>
        <w:t>提升自主安全生态体系建设中的整体实力和核心竞争力，进一步完善从“芯片</w:t>
      </w:r>
      <w:r>
        <w:rPr>
          <w:rFonts w:ascii="Times New Roman" w:hAnsi="Times New Roman" w:cs="Times New Roman" w:eastAsia="Times New Roman" w:hint="default"/>
          <w:spacing w:val="-2"/>
        </w:rPr>
        <w:t>-</w:t>
      </w:r>
      <w:r>
        <w:rPr>
          <w:spacing w:val="-2"/>
        </w:rPr>
        <w:t>整机</w:t>
      </w:r>
      <w:r>
        <w:rPr>
          <w:rFonts w:ascii="Times New Roman" w:hAnsi="Times New Roman" w:cs="Times New Roman" w:eastAsia="Times New Roman" w:hint="default"/>
          <w:spacing w:val="-2"/>
        </w:rPr>
        <w:t>-</w:t>
      </w:r>
      <w:r>
        <w:rPr>
          <w:spacing w:val="-2"/>
        </w:rPr>
        <w:t>数据中心</w:t>
      </w:r>
      <w:r>
        <w:rPr>
          <w:rFonts w:ascii="Times New Roman" w:hAnsi="Times New Roman" w:cs="Times New Roman" w:eastAsia="Times New Roman" w:hint="default"/>
          <w:spacing w:val="-2"/>
        </w:rPr>
        <w:t>-</w:t>
      </w:r>
      <w:r>
        <w:rPr>
          <w:spacing w:val="-2"/>
        </w:rPr>
        <w:t>安全解决方</w:t>
      </w:r>
      <w:r>
        <w:rPr>
          <w:spacing w:val="-42"/>
        </w:rPr>
        <w:t> </w:t>
      </w:r>
      <w:r>
        <w:rPr>
          <w:spacing w:val="-42"/>
        </w:rPr>
      </w:r>
      <w:r>
        <w:rPr>
          <w:spacing w:val="-4"/>
          <w:w w:val="100"/>
        </w:rPr>
        <w:t>案”的全自主安全产业链，具备了自主安全整机从设计、研发、验证到生产的能力。（</w:t>
      </w:r>
      <w:r>
        <w:rPr>
          <w:rFonts w:ascii="Times New Roman" w:hAnsi="Times New Roman" w:cs="Times New Roman" w:eastAsia="Times New Roman" w:hint="default"/>
          <w:spacing w:val="-4"/>
          <w:w w:val="100"/>
        </w:rPr>
        <w:t>2</w:t>
      </w:r>
      <w:r>
        <w:rPr>
          <w:spacing w:val="-4"/>
          <w:w w:val="100"/>
        </w:rPr>
        <w:t>）加速信创产业在</w:t>
      </w:r>
      <w:r>
        <w:rPr>
          <w:w w:val="100"/>
        </w:rPr>
        <w:t> </w:t>
      </w:r>
      <w:r>
        <w:rPr>
          <w:spacing w:val="-2"/>
        </w:rPr>
        <w:t>全国的市场布局，先后在山西太原、河南郑州、浙江温州、安徽合肥、新疆乌鲁木齐等地建立信息技术应</w:t>
      </w:r>
      <w:r>
        <w:rPr>
          <w:spacing w:val="-43"/>
        </w:rPr>
        <w:t> </w:t>
      </w:r>
      <w:r>
        <w:rPr>
          <w:spacing w:val="-43"/>
        </w:rPr>
      </w:r>
      <w:r>
        <w:rPr>
          <w:spacing w:val="-4"/>
          <w:w w:val="100"/>
        </w:rPr>
        <w:t>用创新基地、智能制造工厂、数据中心。（</w:t>
      </w:r>
      <w:r>
        <w:rPr>
          <w:rFonts w:ascii="Times New Roman" w:hAnsi="Times New Roman" w:cs="Times New Roman" w:eastAsia="Times New Roman" w:hint="default"/>
          <w:spacing w:val="-4"/>
          <w:w w:val="100"/>
        </w:rPr>
        <w:t>3</w:t>
      </w:r>
      <w:r>
        <w:rPr>
          <w:spacing w:val="-4"/>
          <w:w w:val="100"/>
        </w:rPr>
        <w:t>）是金融自助设备和综合解决方案市场领域的领导者，形成了</w:t>
      </w:r>
      <w:r>
        <w:rPr>
          <w:w w:val="100"/>
        </w:rPr>
        <w:t> </w:t>
      </w:r>
      <w:r>
        <w:rPr>
          <w:spacing w:val="-3"/>
          <w:w w:val="100"/>
        </w:rPr>
        <w:t>智能新型自助产品、移动便携产品、</w:t>
      </w:r>
      <w:r>
        <w:rPr>
          <w:rFonts w:ascii="Times New Roman" w:hAnsi="Times New Roman" w:cs="Times New Roman" w:eastAsia="Times New Roman" w:hint="default"/>
          <w:spacing w:val="-3"/>
          <w:w w:val="100"/>
        </w:rPr>
        <w:t>smart+</w:t>
      </w:r>
      <w:r>
        <w:rPr>
          <w:spacing w:val="-3"/>
          <w:w w:val="100"/>
        </w:rPr>
        <w:t>新产品等系列产品，技术水平处于国内领先地位。（</w:t>
      </w:r>
      <w:r>
        <w:rPr>
          <w:rFonts w:ascii="Times New Roman" w:hAnsi="Times New Roman" w:cs="Times New Roman" w:eastAsia="Times New Roman" w:hint="default"/>
          <w:spacing w:val="-3"/>
          <w:w w:val="100"/>
        </w:rPr>
        <w:t>4</w:t>
      </w:r>
      <w:r>
        <w:rPr>
          <w:spacing w:val="-3"/>
          <w:w w:val="100"/>
        </w:rPr>
        <w:t>）是医疗</w:t>
      </w:r>
      <w:r>
        <w:rPr>
          <w:spacing w:val="-99"/>
          <w:w w:val="100"/>
        </w:rPr>
        <w:t> </w:t>
      </w:r>
      <w:r>
        <w:rPr>
          <w:spacing w:val="-99"/>
          <w:w w:val="100"/>
        </w:rPr>
      </w:r>
      <w:r>
        <w:rPr>
          <w:spacing w:val="-4"/>
        </w:rPr>
        <w:t>电子领域开拓者，形成了长城医疗互联网</w:t>
      </w:r>
      <w:r>
        <w:rPr>
          <w:rFonts w:ascii="Times New Roman" w:hAnsi="Times New Roman" w:cs="Times New Roman" w:eastAsia="Times New Roman" w:hint="default"/>
          <w:spacing w:val="-4"/>
        </w:rPr>
        <w:t>+</w:t>
      </w:r>
      <w:r>
        <w:rPr>
          <w:spacing w:val="-4"/>
        </w:rPr>
        <w:t>智慧门诊</w:t>
      </w:r>
      <w:r>
        <w:rPr>
          <w:rFonts w:ascii="Times New Roman" w:hAnsi="Times New Roman" w:cs="Times New Roman" w:eastAsia="Times New Roman" w:hint="default"/>
          <w:spacing w:val="-4"/>
        </w:rPr>
        <w:t>&amp;</w:t>
      </w:r>
      <w:r>
        <w:rPr>
          <w:spacing w:val="-4"/>
        </w:rPr>
        <w:t>病区建设方案，医院自助综合服务系统与银医一卡通</w:t>
      </w:r>
      <w:r>
        <w:rPr>
          <w:spacing w:val="-21"/>
        </w:rPr>
        <w:t> </w:t>
      </w:r>
      <w:r>
        <w:rPr>
          <w:spacing w:val="-21"/>
        </w:rPr>
      </w:r>
      <w:r>
        <w:rPr>
          <w:spacing w:val="-2"/>
        </w:rPr>
        <w:t>模式三甲医院市场占有率位列前茅；承接区域卫生信息平台项目，首次在国内实现了信息安全技术在医疗</w:t>
      </w:r>
      <w:r>
        <w:rPr>
          <w:spacing w:val="-42"/>
        </w:rPr>
        <w:t> </w:t>
      </w:r>
      <w:r>
        <w:rPr>
          <w:spacing w:val="-42"/>
        </w:rPr>
      </w:r>
      <w:r>
        <w:rPr>
          <w:spacing w:val="-5"/>
          <w:w w:val="100"/>
        </w:rPr>
        <w:t>信息领域的应用。（</w:t>
      </w:r>
      <w:r>
        <w:rPr>
          <w:rFonts w:ascii="Times New Roman" w:hAnsi="Times New Roman" w:cs="Times New Roman" w:eastAsia="Times New Roman" w:hint="default"/>
          <w:spacing w:val="-5"/>
          <w:w w:val="100"/>
        </w:rPr>
        <w:t>5</w:t>
      </w:r>
      <w:r>
        <w:rPr>
          <w:spacing w:val="-5"/>
          <w:w w:val="100"/>
        </w:rPr>
        <w:t>）基础关键部件</w:t>
      </w:r>
      <w:r>
        <w:rPr>
          <w:rFonts w:ascii="Times New Roman" w:hAnsi="Times New Roman" w:cs="Times New Roman" w:eastAsia="Times New Roman" w:hint="default"/>
          <w:spacing w:val="-5"/>
          <w:w w:val="100"/>
        </w:rPr>
        <w:t>—</w:t>
      </w:r>
      <w:r>
        <w:rPr>
          <w:spacing w:val="-5"/>
          <w:w w:val="100"/>
        </w:rPr>
        <w:t>电源领域，国内规模最大、技术最强的服务器及计算机电源研制厂</w:t>
      </w:r>
      <w:r>
        <w:rPr>
          <w:spacing w:val="-65"/>
          <w:w w:val="100"/>
        </w:rPr>
        <w:t> </w:t>
      </w:r>
      <w:r>
        <w:rPr>
          <w:spacing w:val="-65"/>
          <w:w w:val="100"/>
        </w:rPr>
      </w:r>
      <w:r>
        <w:rPr>
          <w:spacing w:val="-4"/>
        </w:rPr>
        <w:t>商，形成了服务器电源、台式机电源、通信电源、</w:t>
      </w:r>
      <w:r>
        <w:rPr>
          <w:rFonts w:ascii="Times New Roman" w:hAnsi="Times New Roman" w:cs="Times New Roman" w:eastAsia="Times New Roman" w:hint="default"/>
          <w:spacing w:val="-4"/>
        </w:rPr>
        <w:t>LED </w:t>
      </w:r>
      <w:r>
        <w:rPr>
          <w:spacing w:val="-3"/>
        </w:rPr>
        <w:t>电源、工控电源五大产品线，建设有电源关键技术</w:t>
      </w:r>
      <w:r>
        <w:rPr>
          <w:spacing w:val="-63"/>
        </w:rPr>
        <w:t> </w:t>
      </w:r>
      <w:r>
        <w:rPr>
          <w:spacing w:val="-63"/>
        </w:rPr>
      </w:r>
      <w:r>
        <w:rPr/>
        <w:t>企业重点实验室，</w:t>
      </w:r>
      <w:r>
        <w:rPr>
          <w:rFonts w:ascii="Times New Roman" w:hAnsi="Times New Roman" w:cs="Times New Roman" w:eastAsia="Times New Roman" w:hint="default"/>
        </w:rPr>
        <w:t>CNAS</w:t>
      </w:r>
      <w:r>
        <w:rPr>
          <w:rFonts w:ascii="Times New Roman" w:hAnsi="Times New Roman" w:cs="Times New Roman" w:eastAsia="Times New Roman" w:hint="default"/>
          <w:spacing w:val="-8"/>
        </w:rPr>
        <w:t> </w:t>
      </w:r>
      <w:r>
        <w:rPr/>
        <w:t>认可实验室，是诸多知名企业的电源供应商，先后研发出国内单体功率最大的塔</w:t>
      </w:r>
      <w:r>
        <w:rPr>
          <w:w w:val="100"/>
        </w:rPr>
        <w:t> </w:t>
      </w:r>
      <w:r>
        <w:rPr/>
        <w:t>式服务器电源和国内最高功率密度的服务器电源，服务器电源和 </w:t>
      </w:r>
      <w:r>
        <w:rPr>
          <w:rFonts w:ascii="Times New Roman" w:hAnsi="Times New Roman" w:cs="Times New Roman" w:eastAsia="Times New Roman" w:hint="default"/>
        </w:rPr>
        <w:t>PC</w:t>
      </w:r>
      <w:r>
        <w:rPr>
          <w:rFonts w:ascii="Times New Roman" w:hAnsi="Times New Roman" w:cs="Times New Roman" w:eastAsia="Times New Roman" w:hint="default"/>
          <w:spacing w:val="-22"/>
        </w:rPr>
        <w:t> </w:t>
      </w:r>
      <w:r>
        <w:rPr/>
        <w:t>电脑电源技术和产品占有率居国内市</w:t>
      </w:r>
      <w:r>
        <w:rPr>
          <w:w w:val="100"/>
        </w:rPr>
        <w:t> </w:t>
      </w:r>
      <w:r>
        <w:rPr/>
        <w:t>场领导地位。</w:t>
      </w:r>
    </w:p>
    <w:p>
      <w:pPr>
        <w:pStyle w:val="BodyText"/>
        <w:spacing w:line="302" w:lineRule="auto" w:before="69"/>
        <w:ind w:left="152" w:right="0" w:firstLine="420"/>
        <w:jc w:val="left"/>
      </w:pPr>
      <w:r>
        <w:rPr/>
        <w:t>高新电子：专注于军事通信和海洋信息安全产业，是我军国防信息化系统解决方案和装备的重要提供</w:t>
      </w:r>
      <w:r>
        <w:rPr>
          <w:w w:val="100"/>
        </w:rPr>
        <w:t> </w:t>
      </w:r>
      <w:r>
        <w:rPr>
          <w:spacing w:val="-4"/>
        </w:rPr>
        <w:t>商及服务商，承担了多项大系统总体任务，竞争力不断增强。</w:t>
      </w:r>
      <w:r>
        <w:rPr>
          <w:rFonts w:ascii="Times New Roman" w:hAnsi="Times New Roman" w:cs="Times New Roman" w:eastAsia="Times New Roman" w:hint="default"/>
          <w:spacing w:val="-4"/>
        </w:rPr>
        <w:t>2019 </w:t>
      </w:r>
      <w:r>
        <w:rPr>
          <w:spacing w:val="-3"/>
        </w:rPr>
        <w:t>年高新电子的产品市场占有率、竞争力</w:t>
      </w:r>
      <w:r>
        <w:rPr>
          <w:spacing w:val="-59"/>
        </w:rPr>
        <w:t> </w:t>
      </w:r>
      <w:r>
        <w:rPr>
          <w:spacing w:val="-59"/>
        </w:rPr>
      </w:r>
      <w:r>
        <w:rPr>
          <w:spacing w:val="-5"/>
          <w:w w:val="100"/>
        </w:rPr>
        <w:t>双提高。（</w:t>
      </w:r>
      <w:r>
        <w:rPr>
          <w:rFonts w:ascii="Times New Roman" w:hAnsi="Times New Roman" w:cs="Times New Roman" w:eastAsia="Times New Roman" w:hint="default"/>
          <w:spacing w:val="-5"/>
          <w:w w:val="100"/>
        </w:rPr>
        <w:t>1</w:t>
      </w:r>
      <w:r>
        <w:rPr>
          <w:spacing w:val="-5"/>
          <w:w w:val="100"/>
        </w:rPr>
        <w:t>）在通信领域拥有强大的科研技术能力，在通信系统和设备、卫星定位导航、系统集成领域及</w:t>
      </w:r>
      <w:r>
        <w:rPr>
          <w:spacing w:val="-62"/>
          <w:w w:val="100"/>
        </w:rPr>
        <w:t> </w:t>
      </w:r>
      <w:r>
        <w:rPr>
          <w:spacing w:val="-62"/>
          <w:w w:val="100"/>
        </w:rPr>
      </w:r>
      <w:r>
        <w:rPr>
          <w:spacing w:val="-2"/>
        </w:rPr>
        <w:t>抗干扰通信技术、网络技术方面处于国际先进、国内领先水平，产品在国内长期保持领先地位。①掌握了</w:t>
      </w:r>
      <w:r>
        <w:rPr>
          <w:spacing w:val="-50"/>
        </w:rPr>
        <w:t> </w:t>
      </w:r>
      <w:r>
        <w:rPr>
          <w:spacing w:val="-50"/>
        </w:rPr>
      </w:r>
      <w:r>
        <w:rPr>
          <w:spacing w:val="-2"/>
        </w:rPr>
        <w:t>小型化、低功耗、模块化宽带射频前端设计技术，可满足战术通信装备“体积小、重量轻、功耗低”的实</w:t>
      </w:r>
      <w:r>
        <w:rPr>
          <w:spacing w:val="-46"/>
        </w:rPr>
        <w:t> </w:t>
      </w:r>
      <w:r>
        <w:rPr>
          <w:spacing w:val="-46"/>
        </w:rPr>
      </w:r>
      <w:r>
        <w:rPr>
          <w:spacing w:val="-6"/>
          <w:w w:val="100"/>
        </w:rPr>
        <w:t>用需求；②掌握了高密度互联（</w:t>
      </w:r>
      <w:r>
        <w:rPr>
          <w:rFonts w:ascii="Times New Roman" w:hAnsi="Times New Roman" w:cs="Times New Roman" w:eastAsia="Times New Roman" w:hint="default"/>
          <w:spacing w:val="-6"/>
          <w:w w:val="100"/>
        </w:rPr>
        <w:t>HDI</w:t>
      </w:r>
      <w:r>
        <w:rPr>
          <w:spacing w:val="-6"/>
          <w:w w:val="100"/>
        </w:rPr>
        <w:t>）、微孔工艺等关键技术，印制电路板面积可缩减</w:t>
      </w:r>
      <w:r>
        <w:rPr>
          <w:spacing w:val="-50"/>
          <w:w w:val="100"/>
        </w:rPr>
        <w:t> </w:t>
      </w:r>
      <w:r>
        <w:rPr>
          <w:rFonts w:ascii="Times New Roman" w:hAnsi="Times New Roman" w:cs="Times New Roman" w:eastAsia="Times New Roman" w:hint="default"/>
          <w:spacing w:val="-5"/>
          <w:w w:val="100"/>
        </w:rPr>
        <w:t>60%</w:t>
      </w:r>
      <w:r>
        <w:rPr>
          <w:spacing w:val="-5"/>
          <w:w w:val="100"/>
        </w:rPr>
        <w:t>，电磁兼容、可</w:t>
      </w:r>
      <w:r>
        <w:rPr>
          <w:spacing w:val="-97"/>
          <w:w w:val="100"/>
        </w:rPr>
        <w:t> </w:t>
      </w:r>
      <w:r>
        <w:rPr>
          <w:spacing w:val="-97"/>
          <w:w w:val="100"/>
        </w:rPr>
      </w:r>
      <w:r>
        <w:rPr>
          <w:spacing w:val="-4"/>
        </w:rPr>
        <w:t>靠性等得到显著提高；③掌握了红黑分离的信息安全架构、高可靠 </w:t>
      </w:r>
      <w:r>
        <w:rPr>
          <w:rFonts w:ascii="Times New Roman" w:hAnsi="Times New Roman" w:cs="Times New Roman" w:eastAsia="Times New Roman" w:hint="default"/>
        </w:rPr>
        <w:t>IP </w:t>
      </w:r>
      <w:r>
        <w:rPr>
          <w:spacing w:val="-4"/>
        </w:rPr>
        <w:t>加密等关键技术，可有效提升战术通</w:t>
      </w:r>
      <w:r>
        <w:rPr>
          <w:spacing w:val="-87"/>
        </w:rPr>
        <w:t> </w:t>
      </w:r>
      <w:r>
        <w:rPr>
          <w:spacing w:val="-87"/>
        </w:rPr>
      </w:r>
      <w:r>
        <w:rPr>
          <w:spacing w:val="-5"/>
          <w:w w:val="100"/>
        </w:rPr>
        <w:t>信装备信息安全技术水平。（</w:t>
      </w:r>
      <w:r>
        <w:rPr>
          <w:rFonts w:ascii="Times New Roman" w:hAnsi="Times New Roman" w:cs="Times New Roman" w:eastAsia="Times New Roman" w:hint="default"/>
          <w:spacing w:val="-5"/>
          <w:w w:val="100"/>
        </w:rPr>
        <w:t>2</w:t>
      </w:r>
      <w:r>
        <w:rPr>
          <w:spacing w:val="-5"/>
          <w:w w:val="100"/>
        </w:rPr>
        <w:t>）是我军水下通信、远程通信系统和装备的重要提供商，为部队提供水下通</w:t>
      </w:r>
      <w:r>
        <w:rPr>
          <w:spacing w:val="-70"/>
          <w:w w:val="100"/>
        </w:rPr>
        <w:t> </w:t>
      </w:r>
      <w:r>
        <w:rPr>
          <w:spacing w:val="-70"/>
          <w:w w:val="100"/>
        </w:rPr>
      </w:r>
      <w:r>
        <w:rPr/>
        <w:t>信技术体制及主要通信装备，整体技术水平国内领先；拥有新型光纤水下探测设备研发制造能力，在光纤</w:t>
      </w:r>
      <w:r>
        <w:rPr>
          <w:w w:val="100"/>
        </w:rPr>
        <w:t> </w:t>
      </w:r>
      <w:r>
        <w:rPr>
          <w:spacing w:val="-7"/>
          <w:w w:val="100"/>
        </w:rPr>
        <w:t>传感技术、信号处理技术等方面处于行业领先地位。（</w:t>
      </w:r>
      <w:r>
        <w:rPr>
          <w:rFonts w:ascii="Times New Roman" w:hAnsi="Times New Roman" w:cs="Times New Roman" w:eastAsia="Times New Roman" w:hint="default"/>
          <w:spacing w:val="-7"/>
          <w:w w:val="100"/>
        </w:rPr>
        <w:t>3</w:t>
      </w:r>
      <w:r>
        <w:rPr>
          <w:spacing w:val="-7"/>
          <w:w w:val="100"/>
        </w:rPr>
        <w:t>）在自主安全网络交换、显示和国产化计算等领域，</w:t>
      </w:r>
      <w:r>
        <w:rPr>
          <w:spacing w:val="-75"/>
          <w:w w:val="100"/>
        </w:rPr>
        <w:t> </w:t>
      </w:r>
      <w:r>
        <w:rPr>
          <w:spacing w:val="-75"/>
          <w:w w:val="100"/>
        </w:rPr>
      </w:r>
      <w:r>
        <w:rPr>
          <w:spacing w:val="-15"/>
          <w:w w:val="100"/>
        </w:rPr>
        <w:t>掌握“基于国产软硬件平台的网络交换”、“多网融合实时以太网交换”、“新一代机载图卡显示”、“液晶屏</w:t>
      </w:r>
      <w:r>
        <w:rPr>
          <w:spacing w:val="-96"/>
          <w:w w:val="100"/>
        </w:rPr>
        <w:t> </w:t>
      </w:r>
      <w:r>
        <w:rPr>
          <w:spacing w:val="-96"/>
          <w:w w:val="100"/>
        </w:rPr>
      </w:r>
      <w:r>
        <w:rPr>
          <w:spacing w:val="-5"/>
          <w:w w:val="100"/>
        </w:rPr>
        <w:t>光学绑定”及“基于飞腾系列平台的核心计算主板研制”等关键及核心技术。（</w:t>
      </w:r>
      <w:r>
        <w:rPr>
          <w:rFonts w:ascii="Times New Roman" w:hAnsi="Times New Roman" w:cs="Times New Roman" w:eastAsia="Times New Roman" w:hint="default"/>
          <w:spacing w:val="-5"/>
          <w:w w:val="100"/>
        </w:rPr>
        <w:t>4</w:t>
      </w:r>
      <w:r>
        <w:rPr>
          <w:spacing w:val="-5"/>
          <w:w w:val="100"/>
        </w:rPr>
        <w:t>）拥有军用锂电池核心技</w:t>
      </w:r>
      <w:r>
        <w:rPr>
          <w:spacing w:val="-64"/>
          <w:w w:val="100"/>
        </w:rPr>
        <w:t> </w:t>
      </w:r>
      <w:r>
        <w:rPr>
          <w:spacing w:val="-64"/>
          <w:w w:val="100"/>
        </w:rPr>
      </w:r>
      <w:r>
        <w:rPr>
          <w:spacing w:val="-6"/>
        </w:rPr>
        <w:t>术，技术实力处于国内领先地位；电池新材料技术突破特种应用电池技术、电池管理及 </w:t>
      </w:r>
      <w:r>
        <w:rPr>
          <w:rFonts w:ascii="Times New Roman" w:hAnsi="Times New Roman" w:cs="Times New Roman" w:eastAsia="Times New Roman" w:hint="default"/>
          <w:spacing w:val="-6"/>
        </w:rPr>
        <w:t>PACK </w:t>
      </w:r>
      <w:r>
        <w:rPr/>
        <w:t>成组技术等，</w:t>
      </w:r>
      <w:r>
        <w:rPr>
          <w:spacing w:val="-64"/>
        </w:rPr>
        <w:t> </w:t>
      </w:r>
      <w:r>
        <w:rPr>
          <w:spacing w:val="-64"/>
        </w:rPr>
      </w:r>
      <w:r>
        <w:rPr/>
        <w:t>成功研发高能量密度深低温电池和高能量密度软包电池。</w:t>
      </w:r>
    </w:p>
    <w:p>
      <w:pPr>
        <w:pStyle w:val="BodyText"/>
        <w:spacing w:line="314" w:lineRule="auto" w:before="69"/>
        <w:ind w:left="152" w:right="1133" w:firstLine="420"/>
        <w:jc w:val="left"/>
        <w:rPr>
          <w:rFonts w:ascii="宋体" w:hAnsi="宋体" w:cs="宋体" w:eastAsia="宋体" w:hint="default"/>
          <w:sz w:val="18"/>
          <w:szCs w:val="18"/>
        </w:rPr>
      </w:pPr>
      <w:r>
        <w:rPr>
          <w:spacing w:val="-2"/>
        </w:rPr>
        <w:t>未来，公司将始终以保障国家网络安全为己任，以突破网络安全和信息化、高新电子领域核心关键技</w:t>
      </w:r>
      <w:r>
        <w:rPr>
          <w:w w:val="100"/>
        </w:rPr>
        <w:t> </w:t>
      </w:r>
      <w:r>
        <w:rPr>
          <w:spacing w:val="-2"/>
        </w:rPr>
        <w:t>术为攻关方向，以技术迭代创新推动高质量发展，持续提升核心竞争力，为建设网络强国提供强力支撑。</w:t>
      </w:r>
      <w:r>
        <w:rPr>
          <w:rFonts w:ascii="宋体" w:hAnsi="宋体" w:cs="宋体" w:eastAsia="宋体" w:hint="default"/>
          <w:sz w:val="18"/>
          <w:szCs w:val="18"/>
        </w:rPr>
        <w:t> </w:t>
      </w:r>
    </w:p>
    <w:p>
      <w:pPr>
        <w:spacing w:before="115"/>
        <w:ind w:left="513"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4"/>
        <w:spacing w:line="240" w:lineRule="auto" w:before="26"/>
        <w:ind w:right="1133"/>
        <w:jc w:val="left"/>
        <w:rPr>
          <w:b w:val="0"/>
          <w:bCs w:val="0"/>
        </w:rPr>
      </w:pPr>
      <w:r>
        <w:rPr/>
        <w:t>一、概述</w:t>
      </w:r>
      <w:r>
        <w:rPr>
          <w:b w:val="0"/>
          <w:bCs w:val="0"/>
        </w:rPr>
      </w:r>
    </w:p>
    <w:p>
      <w:pPr>
        <w:spacing w:line="240" w:lineRule="auto" w:before="3"/>
        <w:rPr>
          <w:rFonts w:ascii="宋体" w:hAnsi="宋体" w:cs="宋体" w:eastAsia="宋体" w:hint="default"/>
          <w:b/>
          <w:bCs/>
          <w:sz w:val="28"/>
          <w:szCs w:val="28"/>
        </w:rPr>
      </w:pPr>
    </w:p>
    <w:p>
      <w:pPr>
        <w:pStyle w:val="BodyText"/>
        <w:spacing w:line="348" w:lineRule="auto" w:before="0"/>
        <w:ind w:left="152" w:right="1126"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50"/>
        </w:rPr>
        <w:t> </w:t>
      </w:r>
      <w:r>
        <w:rPr>
          <w:spacing w:val="-4"/>
        </w:rPr>
        <w:t>年经济发展面临的国际、国内环境都在发生深刻变化。面对复杂而困难的经营环境，公司经营班</w:t>
      </w:r>
      <w:r>
        <w:rPr>
          <w:w w:val="100"/>
        </w:rPr>
        <w:t> </w:t>
      </w:r>
      <w:r>
        <w:rPr>
          <w:spacing w:val="-2"/>
        </w:rPr>
        <w:t>子坚定执行董事会决策部署，聚焦战略，改革创新，攻坚克难，砥砺前行，公司全年实现收入、利润“双</w:t>
      </w:r>
      <w:r>
        <w:rPr>
          <w:spacing w:val="-43"/>
        </w:rPr>
        <w:t> </w:t>
      </w:r>
      <w:r>
        <w:rPr>
          <w:spacing w:val="-43"/>
        </w:rPr>
      </w:r>
      <w:r>
        <w:rPr>
          <w:spacing w:val="-2"/>
          <w:w w:val="100"/>
        </w:rPr>
        <w:t>增长”，各主营业务发展态势良好，自主安全业务更是实现倍数级增长，各项重点工作有序推进，迈向高</w:t>
      </w:r>
      <w:r>
        <w:rPr>
          <w:spacing w:val="-94"/>
          <w:w w:val="100"/>
        </w:rPr>
        <w:t> </w:t>
      </w:r>
      <w:r>
        <w:rPr>
          <w:spacing w:val="-94"/>
          <w:w w:val="100"/>
        </w:rPr>
      </w:r>
      <w:r>
        <w:rPr/>
        <w:t>质量发展新阶段。</w:t>
      </w:r>
    </w:p>
    <w:p>
      <w:pPr>
        <w:pStyle w:val="BodyText"/>
        <w:spacing w:line="343" w:lineRule="auto"/>
        <w:ind w:left="152" w:right="1043" w:firstLine="420"/>
        <w:jc w:val="left"/>
      </w:pPr>
      <w:r>
        <w:rPr>
          <w:spacing w:val="-5"/>
        </w:rPr>
        <w:t>网络安全与信息化业务：强力推动市场开拓，自主安全业务规模、市场合同实现倍数级增长；基于</w:t>
      </w:r>
      <w:r>
        <w:rPr>
          <w:spacing w:val="-27"/>
        </w:rPr>
        <w:t> </w:t>
      </w:r>
      <w:r>
        <w:rPr>
          <w:rFonts w:ascii="Times New Roman" w:hAnsi="Times New Roman" w:cs="Times New Roman" w:eastAsia="Times New Roman" w:hint="default"/>
          <w:spacing w:val="-3"/>
        </w:rPr>
        <w:t>PK</w:t>
      </w:r>
      <w:r>
        <w:rPr>
          <w:rFonts w:ascii="Times New Roman" w:hAnsi="Times New Roman" w:cs="Times New Roman" w:eastAsia="Times New Roman" w:hint="default"/>
          <w:spacing w:val="-3"/>
          <w:w w:val="100"/>
        </w:rPr>
        <w:t> </w:t>
      </w:r>
      <w:r>
        <w:rPr>
          <w:spacing w:val="-2"/>
        </w:rPr>
        <w:t>体系的整机产品在国家重点项目中占有率保持第一，多款产品顺利进入国家自主安全相关部门采购目录，</w:t>
      </w:r>
      <w:r>
        <w:rPr>
          <w:spacing w:val="-21"/>
        </w:rPr>
        <w:t> </w:t>
      </w:r>
      <w:r>
        <w:rPr>
          <w:spacing w:val="-21"/>
        </w:rPr>
      </w:r>
      <w:r>
        <w:rPr>
          <w:spacing w:val="-2"/>
        </w:rPr>
        <w:t>进一步进入多个关键行业，打造示范案例。完善产业布局，拓展地方市场，完成山西、河南等地自主安全</w:t>
      </w:r>
      <w:r>
        <w:rPr>
          <w:spacing w:val="-43"/>
        </w:rPr>
        <w:t> </w:t>
      </w:r>
      <w:r>
        <w:rPr>
          <w:spacing w:val="-43"/>
        </w:rPr>
      </w:r>
      <w:r>
        <w:rPr>
          <w:spacing w:val="-2"/>
        </w:rPr>
        <w:t>产业投资项目落地。布局产业上游，并购天津飞腾，形成了贯通上下游从芯片到端到云的完整生态链，提</w:t>
      </w:r>
      <w:r>
        <w:rPr>
          <w:spacing w:val="-47"/>
        </w:rPr>
        <w:t> </w:t>
      </w:r>
      <w:r>
        <w:rPr>
          <w:spacing w:val="-47"/>
        </w:rPr>
      </w:r>
      <w:r>
        <w:rPr/>
        <w:t>升了筑牢网信领域安全底座的核心竞争力。加大研发投入，研制推出飞腾新四核终端、</w:t>
      </w:r>
      <w:r>
        <w:rPr>
          <w:rFonts w:ascii="Times New Roman" w:hAnsi="Times New Roman" w:cs="Times New Roman" w:eastAsia="Times New Roman" w:hint="default"/>
        </w:rPr>
        <w:t>FT2000+</w:t>
      </w:r>
      <w:r>
        <w:rPr/>
        <w:t>服务器等</w:t>
      </w:r>
      <w:r>
        <w:rPr>
          <w:spacing w:val="-76"/>
        </w:rPr>
        <w:t> </w:t>
      </w:r>
      <w:r>
        <w:rPr>
          <w:spacing w:val="-76"/>
        </w:rPr>
      </w:r>
      <w:r>
        <w:rPr>
          <w:rFonts w:ascii="Times New Roman" w:hAnsi="Times New Roman" w:cs="Times New Roman" w:eastAsia="Times New Roman" w:hint="default"/>
        </w:rPr>
        <w:t>16 </w:t>
      </w:r>
      <w:r>
        <w:rPr>
          <w:spacing w:val="-4"/>
        </w:rPr>
        <w:t>款新品，基于飞腾平台的终端和服务器产品性能保持行业领先；发布自研固件产品，固件开发能力达到</w:t>
      </w:r>
      <w:r>
        <w:rPr>
          <w:spacing w:val="-67"/>
        </w:rPr>
        <w:t> </w:t>
      </w:r>
      <w:r>
        <w:rPr>
          <w:spacing w:val="-67"/>
        </w:rPr>
      </w:r>
      <w:r>
        <w:rPr/>
        <w:t>业界领先水平；实现基础架构产品零的突破，发布端到云的完整整机解决方案产品；推进基于</w:t>
      </w:r>
      <w:r>
        <w:rPr>
          <w:spacing w:val="-42"/>
        </w:rPr>
        <w:t> </w:t>
      </w:r>
      <w:r>
        <w:rPr>
          <w:rFonts w:ascii="Times New Roman" w:hAnsi="Times New Roman" w:cs="Times New Roman" w:eastAsia="Times New Roman" w:hint="default"/>
        </w:rPr>
        <w:t>PK</w:t>
      </w:r>
      <w:r>
        <w:rPr>
          <w:rFonts w:ascii="Times New Roman" w:hAnsi="Times New Roman" w:cs="Times New Roman" w:eastAsia="Times New Roman" w:hint="default"/>
          <w:spacing w:val="9"/>
        </w:rPr>
        <w:t> </w:t>
      </w:r>
      <w:r>
        <w:rPr/>
        <w:t>体系的</w:t>
      </w:r>
      <w:r>
        <w:rPr>
          <w:w w:val="100"/>
        </w:rPr>
        <w:t> </w:t>
      </w:r>
      <w:r>
        <w:rPr>
          <w:spacing w:val="-2"/>
        </w:rPr>
        <w:t>安全可信云架构</w:t>
      </w:r>
      <w:r>
        <w:rPr>
          <w:rFonts w:ascii="Times New Roman" w:hAnsi="Times New Roman" w:cs="Times New Roman" w:eastAsia="Times New Roman" w:hint="default"/>
          <w:spacing w:val="-2"/>
        </w:rPr>
        <w:t>—</w:t>
      </w:r>
      <w:r>
        <w:rPr>
          <w:spacing w:val="-2"/>
        </w:rPr>
        <w:t>长城云的开发，加速构建从基础软硬件到整机</w:t>
      </w:r>
      <w:r>
        <w:rPr>
          <w:rFonts w:ascii="Times New Roman" w:hAnsi="Times New Roman" w:cs="Times New Roman" w:eastAsia="Times New Roman" w:hint="default"/>
          <w:spacing w:val="-2"/>
        </w:rPr>
        <w:t>/</w:t>
      </w:r>
      <w:r>
        <w:rPr>
          <w:spacing w:val="-2"/>
        </w:rPr>
        <w:t>终端到安全应用及服务的完整产业链条。</w:t>
      </w:r>
      <w:r>
        <w:rPr>
          <w:spacing w:val="-21"/>
        </w:rPr>
        <w:t> </w:t>
      </w:r>
      <w:r>
        <w:rPr>
          <w:spacing w:val="-21"/>
        </w:rPr>
      </w:r>
      <w:r>
        <w:rPr/>
        <w:t>推动基于</w:t>
      </w:r>
      <w:r>
        <w:rPr>
          <w:spacing w:val="-42"/>
        </w:rPr>
        <w:t> </w:t>
      </w:r>
      <w:r>
        <w:rPr>
          <w:rFonts w:ascii="Times New Roman" w:hAnsi="Times New Roman" w:cs="Times New Roman" w:eastAsia="Times New Roman" w:hint="default"/>
        </w:rPr>
        <w:t>PK</w:t>
      </w:r>
      <w:r>
        <w:rPr>
          <w:rFonts w:ascii="Times New Roman" w:hAnsi="Times New Roman" w:cs="Times New Roman" w:eastAsia="Times New Roman" w:hint="default"/>
          <w:spacing w:val="9"/>
        </w:rPr>
        <w:t> </w:t>
      </w:r>
      <w:r>
        <w:rPr/>
        <w:t>体系的数据中心建设，强化适配中心技术力量，加快与合作伙伴的适配进程，自研并上线国</w:t>
      </w:r>
      <w:r>
        <w:rPr>
          <w:w w:val="100"/>
        </w:rPr>
        <w:t> </w:t>
      </w:r>
      <w:r>
        <w:rPr/>
        <w:t>内首个线上适配</w:t>
      </w:r>
      <w:r>
        <w:rPr>
          <w:spacing w:val="-46"/>
        </w:rPr>
        <w:t> </w:t>
      </w:r>
      <w:r>
        <w:rPr>
          <w:rFonts w:ascii="Times New Roman" w:hAnsi="Times New Roman" w:cs="Times New Roman" w:eastAsia="Times New Roman" w:hint="default"/>
        </w:rPr>
        <w:t>PK</w:t>
      </w:r>
      <w:r>
        <w:rPr>
          <w:rFonts w:ascii="Times New Roman" w:hAnsi="Times New Roman" w:cs="Times New Roman" w:eastAsia="Times New Roman" w:hint="default"/>
          <w:spacing w:val="8"/>
        </w:rPr>
        <w:t> </w:t>
      </w:r>
      <w:r>
        <w:rPr>
          <w:spacing w:val="-6"/>
        </w:rPr>
        <w:t>生态服务平台，为</w:t>
      </w:r>
      <w:r>
        <w:rPr>
          <w:spacing w:val="-45"/>
        </w:rPr>
        <w:t> </w:t>
      </w:r>
      <w:r>
        <w:rPr>
          <w:rFonts w:ascii="Times New Roman" w:hAnsi="Times New Roman" w:cs="Times New Roman" w:eastAsia="Times New Roman" w:hint="default"/>
        </w:rPr>
        <w:t>PK</w:t>
      </w:r>
      <w:r>
        <w:rPr>
          <w:rFonts w:ascii="Times New Roman" w:hAnsi="Times New Roman" w:cs="Times New Roman" w:eastAsia="Times New Roman" w:hint="default"/>
          <w:spacing w:val="5"/>
        </w:rPr>
        <w:t> </w:t>
      </w:r>
      <w:r>
        <w:rPr>
          <w:spacing w:val="-4"/>
        </w:rPr>
        <w:t>生态合作伙伴、终端用户提供多样性</w:t>
      </w:r>
      <w:r>
        <w:rPr>
          <w:spacing w:val="-46"/>
        </w:rPr>
        <w:t> </w:t>
      </w:r>
      <w:r>
        <w:rPr>
          <w:rFonts w:ascii="Times New Roman" w:hAnsi="Times New Roman" w:cs="Times New Roman" w:eastAsia="Times New Roman" w:hint="default"/>
        </w:rPr>
        <w:t>PK</w:t>
      </w:r>
      <w:r>
        <w:rPr>
          <w:rFonts w:ascii="Times New Roman" w:hAnsi="Times New Roman" w:cs="Times New Roman" w:eastAsia="Times New Roman" w:hint="default"/>
          <w:spacing w:val="8"/>
        </w:rPr>
        <w:t> </w:t>
      </w:r>
      <w:r>
        <w:rPr>
          <w:spacing w:val="-5"/>
        </w:rPr>
        <w:t>生态支撑服务，进一步</w:t>
      </w:r>
      <w:r>
        <w:rPr>
          <w:spacing w:val="-91"/>
        </w:rPr>
        <w:t> </w:t>
      </w:r>
      <w:r>
        <w:rPr>
          <w:spacing w:val="-91"/>
        </w:rPr>
      </w:r>
      <w:r>
        <w:rPr>
          <w:spacing w:val="-2"/>
        </w:rPr>
        <w:t>提升解决方案和信息服务能力。继续保持在非现金金融智能自助领域的领先地位，巩固扩大行业、区域市</w:t>
      </w:r>
      <w:r>
        <w:rPr>
          <w:spacing w:val="-44"/>
        </w:rPr>
        <w:t> </w:t>
      </w:r>
      <w:r>
        <w:rPr>
          <w:spacing w:val="-44"/>
        </w:rPr>
      </w:r>
      <w:r>
        <w:rPr>
          <w:spacing w:val="-2"/>
        </w:rPr>
        <w:t>场份额，依托自身技术优势，在保险、证券等领域中标多个项目，取得销售突破。医疗电子加快业务转型</w:t>
      </w:r>
      <w:r>
        <w:rPr>
          <w:spacing w:val="-43"/>
        </w:rPr>
        <w:t> </w:t>
      </w:r>
      <w:r>
        <w:rPr>
          <w:spacing w:val="-43"/>
        </w:rPr>
      </w:r>
      <w:r>
        <w:rPr/>
        <w:t>步伐，打造基于</w:t>
      </w:r>
      <w:r>
        <w:rPr>
          <w:spacing w:val="-45"/>
        </w:rPr>
        <w:t> </w:t>
      </w:r>
      <w:r>
        <w:rPr>
          <w:rFonts w:ascii="Times New Roman" w:hAnsi="Times New Roman" w:cs="Times New Roman" w:eastAsia="Times New Roman" w:hint="default"/>
        </w:rPr>
        <w:t>PK</w:t>
      </w:r>
      <w:r>
        <w:rPr>
          <w:rFonts w:ascii="Times New Roman" w:hAnsi="Times New Roman" w:cs="Times New Roman" w:eastAsia="Times New Roman" w:hint="default"/>
          <w:spacing w:val="11"/>
        </w:rPr>
        <w:t> </w:t>
      </w:r>
      <w:r>
        <w:rPr/>
        <w:t>体系的云计算、大数据、人工智能产品体系和方案，实施云计算产品和方案在医疗行</w:t>
      </w:r>
      <w:r>
        <w:rPr>
          <w:w w:val="100"/>
        </w:rPr>
        <w:t> </w:t>
      </w:r>
      <w:r>
        <w:rPr/>
        <w:t>业推广应用和服务的试点示范项目。</w:t>
      </w:r>
    </w:p>
    <w:p>
      <w:pPr>
        <w:pStyle w:val="BodyText"/>
        <w:spacing w:line="350" w:lineRule="auto" w:before="40"/>
        <w:ind w:left="152" w:right="1043" w:firstLine="420"/>
        <w:jc w:val="left"/>
      </w:pPr>
      <w:r>
        <w:rPr/>
        <w:t>高新电子业务：高新电子业务规模、盈利能力取得突破。紧抓市场新趋势、新要求，聚合资源，加快</w:t>
      </w:r>
      <w:r>
        <w:rPr>
          <w:w w:val="100"/>
        </w:rPr>
        <w:t> </w:t>
      </w:r>
      <w:r>
        <w:rPr/>
        <w:t>推进 </w:t>
      </w:r>
      <w:r>
        <w:rPr>
          <w:rFonts w:ascii="Times New Roman" w:hAnsi="Times New Roman" w:cs="Times New Roman" w:eastAsia="Times New Roman" w:hint="default"/>
        </w:rPr>
        <w:t>PK</w:t>
      </w:r>
      <w:r>
        <w:rPr>
          <w:rFonts w:ascii="Times New Roman" w:hAnsi="Times New Roman" w:cs="Times New Roman" w:eastAsia="Times New Roman" w:hint="default"/>
          <w:spacing w:val="-32"/>
        </w:rPr>
        <w:t> </w:t>
      </w:r>
      <w:r>
        <w:rPr/>
        <w:t>体系在装备上的广泛应用，顶层设计能力、业务协同能力和重大项目策划能力不断增强，联合中</w:t>
      </w:r>
      <w:r>
        <w:rPr>
          <w:w w:val="100"/>
        </w:rPr>
        <w:t> </w:t>
      </w:r>
      <w:r>
        <w:rPr>
          <w:spacing w:val="-2"/>
        </w:rPr>
        <w:t>国电子集团内相关单位开展技术攻关，高新电子重大专项按照既定部署顺利推进，多项关键技术得到进一</w:t>
      </w:r>
      <w:r>
        <w:rPr>
          <w:spacing w:val="-43"/>
        </w:rPr>
        <w:t> </w:t>
      </w:r>
      <w:r>
        <w:rPr>
          <w:spacing w:val="-43"/>
        </w:rPr>
      </w:r>
      <w:r>
        <w:rPr>
          <w:spacing w:val="-5"/>
        </w:rPr>
        <w:t>步突破和完善。军事通信业务方面，竞标成功多个预研项目，争取到某试点项目通信和北斗设备独家配套，</w:t>
      </w:r>
      <w:r>
        <w:rPr>
          <w:spacing w:val="-3"/>
        </w:rPr>
        <w:t> </w:t>
      </w:r>
      <w:r>
        <w:rPr>
          <w:spacing w:val="-3"/>
        </w:rPr>
      </w:r>
      <w:r>
        <w:rPr>
          <w:spacing w:val="-2"/>
        </w:rPr>
        <w:t>通用战术车辆市场配套订货创历史新高；加快拓展其他军兵种业务，分别在空降兵、战支部队等领域首次</w:t>
      </w:r>
      <w:r>
        <w:rPr>
          <w:spacing w:val="-44"/>
        </w:rPr>
        <w:t> </w:t>
      </w:r>
      <w:r>
        <w:rPr>
          <w:spacing w:val="-44"/>
        </w:rPr>
      </w:r>
      <w:r>
        <w:rPr>
          <w:spacing w:val="-2"/>
        </w:rPr>
        <w:t>承担批次配套任务，在多个机关单位科研项目申报取得突破。加快海洋信息业务核心能力构建，多个重点</w:t>
      </w:r>
      <w:r>
        <w:rPr>
          <w:spacing w:val="-43"/>
        </w:rPr>
        <w:t> </w:t>
      </w:r>
      <w:r>
        <w:rPr>
          <w:spacing w:val="-43"/>
        </w:rPr>
      </w:r>
      <w:r>
        <w:rPr>
          <w:spacing w:val="-2"/>
        </w:rPr>
        <w:t>任务取得阶段性关键成果，成功中标某矢量重大预研项目等，填补了国内矢量应用领域的空白，顺利成为</w:t>
      </w:r>
      <w:r>
        <w:rPr>
          <w:spacing w:val="-44"/>
        </w:rPr>
        <w:t> </w:t>
      </w:r>
      <w:r>
        <w:rPr>
          <w:spacing w:val="-44"/>
        </w:rPr>
      </w:r>
      <w:r>
        <w:rPr/>
        <w:t>某观测网共建单位，进一步提升了公司在海洋信息业务领域的地位。</w:t>
      </w:r>
    </w:p>
    <w:p>
      <w:pPr>
        <w:pStyle w:val="BodyText"/>
        <w:spacing w:line="355" w:lineRule="auto" w:before="34"/>
        <w:ind w:left="152" w:right="1126" w:firstLine="420"/>
        <w:jc w:val="both"/>
      </w:pPr>
      <w:r>
        <w:rPr>
          <w:spacing w:val="-2"/>
        </w:rPr>
        <w:t>电源业务：加快高端化、国际化发展步伐。加强科技创新，以深圳为研发基地，充分发挥南京研发中</w:t>
      </w:r>
      <w:r>
        <w:rPr>
          <w:w w:val="100"/>
        </w:rPr>
        <w:t> </w:t>
      </w:r>
      <w:r>
        <w:rPr>
          <w:spacing w:val="-2"/>
        </w:rPr>
        <w:t>心技术优势，加快数字化、高性能高端产品研发，向高端电源产品转型升级。国内市场方面服务器电源出</w:t>
      </w:r>
      <w:r>
        <w:rPr>
          <w:spacing w:val="-47"/>
        </w:rPr>
        <w:t> </w:t>
      </w:r>
      <w:r>
        <w:rPr>
          <w:spacing w:val="-47"/>
        </w:rPr>
      </w:r>
      <w:r>
        <w:rPr>
          <w:spacing w:val="-4"/>
        </w:rPr>
        <w:t>货同比持续增长，</w:t>
      </w:r>
      <w:r>
        <w:rPr>
          <w:rFonts w:ascii="Times New Roman" w:hAnsi="Times New Roman" w:cs="Times New Roman" w:eastAsia="Times New Roman" w:hint="default"/>
          <w:spacing w:val="-4"/>
        </w:rPr>
        <w:t>PC  </w:t>
      </w:r>
      <w:r>
        <w:rPr>
          <w:spacing w:val="-4"/>
        </w:rPr>
        <w:t>电源出货保持行业领先，在 </w:t>
      </w:r>
      <w:r>
        <w:rPr>
          <w:rFonts w:ascii="Times New Roman" w:hAnsi="Times New Roman" w:cs="Times New Roman" w:eastAsia="Times New Roman" w:hint="default"/>
        </w:rPr>
        <w:t>5G</w:t>
      </w:r>
      <w:r>
        <w:rPr>
          <w:rFonts w:ascii="Times New Roman" w:hAnsi="Times New Roman" w:cs="Times New Roman" w:eastAsia="Times New Roman" w:hint="default"/>
          <w:spacing w:val="-10"/>
        </w:rPr>
        <w:t> </w:t>
      </w:r>
      <w:r>
        <w:rPr>
          <w:spacing w:val="-3"/>
        </w:rPr>
        <w:t>通信电源领域与行业领先客户建立合作关系；加大国</w:t>
      </w:r>
    </w:p>
    <w:p>
      <w:pPr>
        <w:spacing w:after="0" w:line="355" w:lineRule="auto"/>
        <w:jc w:val="both"/>
        <w:sectPr>
          <w:pgSz w:w="11910" w:h="16840"/>
          <w:pgMar w:header="789" w:footer="975" w:top="1100" w:bottom="1160" w:left="980" w:right="0"/>
        </w:sectPr>
      </w:pPr>
    </w:p>
    <w:p>
      <w:pPr>
        <w:spacing w:line="240" w:lineRule="auto" w:before="12"/>
        <w:rPr>
          <w:rFonts w:ascii="宋体" w:hAnsi="宋体" w:cs="宋体" w:eastAsia="宋体" w:hint="default"/>
          <w:sz w:val="24"/>
          <w:szCs w:val="24"/>
        </w:rPr>
      </w:pPr>
    </w:p>
    <w:p>
      <w:pPr>
        <w:pStyle w:val="BodyText"/>
        <w:spacing w:line="336" w:lineRule="auto"/>
        <w:ind w:left="212" w:right="0"/>
        <w:jc w:val="left"/>
      </w:pPr>
      <w:r>
        <w:rPr>
          <w:spacing w:val="-4"/>
        </w:rPr>
        <w:t>际市场拓展力度，建立与国际 </w:t>
      </w:r>
      <w:r>
        <w:rPr>
          <w:rFonts w:ascii="Times New Roman" w:hAnsi="Times New Roman" w:cs="Times New Roman" w:eastAsia="Times New Roman" w:hint="default"/>
        </w:rPr>
        <w:t>PC </w:t>
      </w:r>
      <w:r>
        <w:rPr>
          <w:spacing w:val="-3"/>
        </w:rPr>
        <w:t>巨头的合作关系，部分项目已实现批量供货。推进机器人替换人工项目，</w:t>
      </w:r>
      <w:r>
        <w:rPr>
          <w:spacing w:val="-86"/>
        </w:rPr>
        <w:t> </w:t>
      </w:r>
      <w:r>
        <w:rPr>
          <w:spacing w:val="-86"/>
        </w:rPr>
      </w:r>
      <w:r>
        <w:rPr/>
        <w:t>提升电源生产线智能制造能力。</w:t>
      </w:r>
    </w:p>
    <w:p>
      <w:pPr>
        <w:pStyle w:val="BodyText"/>
        <w:spacing w:line="355" w:lineRule="auto" w:before="46"/>
        <w:ind w:left="212" w:right="1128" w:firstLine="420"/>
        <w:jc w:val="both"/>
      </w:pPr>
      <w:r>
        <w:rPr>
          <w:spacing w:val="-2"/>
        </w:rPr>
        <w:t>园区与物业服务：公司在满足自身经营需要的基础上，积极盘活房产资源，开发优质客户，提升园区</w:t>
      </w:r>
      <w:r>
        <w:rPr>
          <w:w w:val="100"/>
        </w:rPr>
        <w:t> </w:t>
      </w:r>
      <w:r>
        <w:rPr/>
        <w:t>服务，提升园区与物业服务业务效益。加快推进中电长城大厦竣工验收，形成新的业务增长点。</w:t>
      </w:r>
    </w:p>
    <w:p>
      <w:pPr>
        <w:pStyle w:val="BodyText"/>
        <w:spacing w:line="374" w:lineRule="auto" w:before="46"/>
        <w:ind w:left="212" w:right="1127" w:firstLine="420"/>
        <w:jc w:val="both"/>
        <w:rPr>
          <w:rFonts w:ascii="宋体" w:hAnsi="宋体" w:cs="宋体" w:eastAsia="宋体" w:hint="default"/>
          <w:sz w:val="18"/>
          <w:szCs w:val="18"/>
        </w:rPr>
      </w:pPr>
      <w:r>
        <w:rPr>
          <w:rFonts w:ascii="Times New Roman" w:hAnsi="Times New Roman" w:cs="Times New Roman" w:eastAsia="Times New Roman" w:hint="default"/>
        </w:rPr>
        <w:t>2019</w:t>
      </w:r>
      <w:r>
        <w:rPr>
          <w:rFonts w:ascii="Times New Roman" w:hAnsi="Times New Roman" w:cs="Times New Roman" w:eastAsia="Times New Roman" w:hint="default"/>
          <w:spacing w:val="47"/>
        </w:rPr>
        <w:t> </w:t>
      </w:r>
      <w:r>
        <w:rPr>
          <w:spacing w:val="-4"/>
        </w:rPr>
        <w:t>年公司在积极推动业务发展的同时，着力打造战略性核心竞争力，深化市场化结构性改革，苦练</w:t>
      </w:r>
      <w:r>
        <w:rPr>
          <w:w w:val="100"/>
        </w:rPr>
        <w:t> </w:t>
      </w:r>
      <w:r>
        <w:rPr>
          <w:spacing w:val="-2"/>
        </w:rPr>
        <w:t>内功，提质增效。推进自主安全业务板块一体化管理，成立自主安全业务总部，优化人才结构，引进一大</w:t>
      </w:r>
      <w:r>
        <w:rPr>
          <w:spacing w:val="-43"/>
        </w:rPr>
        <w:t> </w:t>
      </w:r>
      <w:r>
        <w:rPr>
          <w:spacing w:val="-43"/>
        </w:rPr>
      </w:r>
      <w:r>
        <w:rPr>
          <w:spacing w:val="-2"/>
        </w:rPr>
        <w:t>批职业经理人、高层次核心技术人才。通过信息化、自动化改造、生产工艺流程优化等，建立与业务发展</w:t>
      </w:r>
      <w:r>
        <w:rPr>
          <w:spacing w:val="-43"/>
        </w:rPr>
        <w:t> </w:t>
      </w:r>
      <w:r>
        <w:rPr>
          <w:spacing w:val="-43"/>
        </w:rPr>
      </w:r>
      <w:r>
        <w:rPr/>
        <w:t>相适应的各项能力，保障业务发展，提升市场竞争力。</w:t>
      </w:r>
      <w:r>
        <w:rPr>
          <w:rFonts w:ascii="宋体" w:hAnsi="宋体" w:cs="宋体" w:eastAsia="宋体" w:hint="default"/>
          <w:sz w:val="18"/>
          <w:szCs w:val="18"/>
        </w:rPr>
        <w:t> </w:t>
      </w:r>
    </w:p>
    <w:p>
      <w:pPr>
        <w:spacing w:line="240" w:lineRule="auto" w:before="8"/>
        <w:rPr>
          <w:rFonts w:ascii="宋体" w:hAnsi="宋体" w:cs="宋体" w:eastAsia="宋体" w:hint="default"/>
          <w:sz w:val="19"/>
          <w:szCs w:val="19"/>
        </w:rPr>
      </w:pPr>
    </w:p>
    <w:p>
      <w:pPr>
        <w:pStyle w:val="Heading4"/>
        <w:spacing w:line="240" w:lineRule="auto"/>
        <w:ind w:left="212" w:right="0"/>
        <w:jc w:val="left"/>
        <w:rPr>
          <w:b w:val="0"/>
          <w:bCs w:val="0"/>
        </w:rPr>
      </w:pPr>
      <w:r>
        <w:rPr/>
        <w:t>二、主营业务分析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left="212"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line="240" w:lineRule="auto" w:before="0"/>
        <w:rPr>
          <w:rFonts w:ascii="宋体" w:hAnsi="宋体" w:cs="宋体" w:eastAsia="宋体" w:hint="default"/>
          <w:sz w:val="18"/>
          <w:szCs w:val="18"/>
        </w:rPr>
      </w:pPr>
    </w:p>
    <w:p>
      <w:pPr>
        <w:pStyle w:val="Heading5"/>
        <w:spacing w:line="240" w:lineRule="auto" w:before="118"/>
        <w:ind w:left="212"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212"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17"/>
          <w:szCs w:val="1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324"/>
        <w:gridCol w:w="1681"/>
        <w:gridCol w:w="1500"/>
        <w:gridCol w:w="1560"/>
        <w:gridCol w:w="1532"/>
        <w:gridCol w:w="1260"/>
      </w:tblGrid>
      <w:tr>
        <w:trPr>
          <w:trHeight w:val="361" w:hRule="exact"/>
        </w:trPr>
        <w:tc>
          <w:tcPr>
            <w:tcW w:w="2324" w:type="dxa"/>
            <w:vMerge w:val="restart"/>
            <w:tcBorders>
              <w:top w:val="single" w:sz="4" w:space="0" w:color="000000"/>
              <w:left w:val="single" w:sz="4" w:space="0" w:color="000000"/>
              <w:right w:val="single" w:sz="4" w:space="0" w:color="000000"/>
            </w:tcBorders>
            <w:shd w:val="clear" w:color="auto" w:fill="D2D2D2"/>
          </w:tcPr>
          <w:p>
            <w:pPr/>
          </w:p>
        </w:tc>
        <w:tc>
          <w:tcPr>
            <w:tcW w:w="31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61" w:hRule="exact"/>
        </w:trPr>
        <w:tc>
          <w:tcPr>
            <w:tcW w:w="2324" w:type="dxa"/>
            <w:vMerge/>
            <w:tcBorders>
              <w:left w:val="single" w:sz="4" w:space="0" w:color="000000"/>
              <w:bottom w:val="single" w:sz="4" w:space="0" w:color="000000"/>
              <w:right w:val="single" w:sz="4" w:space="0" w:color="000000"/>
            </w:tcBorders>
            <w:shd w:val="clear" w:color="auto" w:fill="D2D2D2"/>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占营业收入比重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占营业收入比重</w:t>
            </w:r>
          </w:p>
        </w:tc>
        <w:tc>
          <w:tcPr>
            <w:tcW w:w="1260" w:type="dxa"/>
            <w:vMerge/>
            <w:tcBorders>
              <w:left w:val="single" w:sz="4" w:space="0" w:color="000000"/>
              <w:bottom w:val="single" w:sz="4" w:space="0" w:color="000000"/>
              <w:right w:val="single" w:sz="4" w:space="0" w:color="000000"/>
            </w:tcBorders>
            <w:shd w:val="clear" w:color="auto" w:fill="D2D2D2"/>
          </w:tcPr>
          <w:p>
            <w:pPr/>
          </w:p>
        </w:tc>
      </w:tr>
      <w:tr>
        <w:trPr>
          <w:trHeight w:val="368" w:hRule="exact"/>
        </w:trPr>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10,843,784,576.71</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10,009,483,496.74</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8.34%</w:t>
            </w:r>
          </w:p>
        </w:tc>
      </w:tr>
      <w:tr>
        <w:trPr>
          <w:trHeight w:val="358" w:hRule="exact"/>
        </w:trPr>
        <w:tc>
          <w:tcPr>
            <w:tcW w:w="98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高新电子</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2"/>
                <w:sz w:val="18"/>
              </w:rPr>
              <w:t>4,112,170,204.11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37.92%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4,001,045,290.39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39.97%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2.78%</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信息安全整机及解决方案</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2,769,560,183.07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25.54%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1,928,213,047.01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19.26%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43.63%</w:t>
            </w:r>
          </w:p>
        </w:tc>
      </w:tr>
      <w:tr>
        <w:trPr>
          <w:trHeight w:val="360"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电源产品</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2,904,485,943.68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26.78%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3,046,133,377.08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30.43%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-4.65%</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园区及物业服务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77,576,287.65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0.72%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78,390,526.85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0.78%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-1.04%</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53,943,882.51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-100.00%</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979,991,958.20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9.04%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901,757,372.90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9.01%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8.68%</w:t>
            </w:r>
          </w:p>
        </w:tc>
      </w:tr>
      <w:tr>
        <w:trPr>
          <w:trHeight w:val="362" w:hRule="exact"/>
        </w:trPr>
        <w:tc>
          <w:tcPr>
            <w:tcW w:w="98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高新电子</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2"/>
                <w:sz w:val="18"/>
              </w:rPr>
              <w:t>4,112,170,204.11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37.92%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4,001,045,290.39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39.97%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2.78%</w:t>
            </w:r>
          </w:p>
        </w:tc>
      </w:tr>
      <w:tr>
        <w:trPr>
          <w:trHeight w:val="360"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信息安全整机及解决方案</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2,769,560,183.07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25.54%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1,928,213,047.01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19.26%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43.63%</w:t>
            </w:r>
          </w:p>
        </w:tc>
      </w:tr>
      <w:tr>
        <w:trPr>
          <w:trHeight w:val="36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18"/>
                <w:szCs w:val="18"/>
              </w:rPr>
            </w:pPr>
            <w:r>
              <w:rPr>
                <w:rFonts w:ascii="宋体" w:hAnsi="宋体" w:cs="宋体" w:eastAsia="宋体" w:hint="default"/>
                <w:sz w:val="18"/>
                <w:szCs w:val="18"/>
              </w:rPr>
              <w:t>电源产品</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18"/>
                <w:szCs w:val="18"/>
              </w:rPr>
            </w:pPr>
            <w:r>
              <w:rPr>
                <w:rFonts w:ascii="Times New Roman"/>
                <w:spacing w:val="-1"/>
                <w:sz w:val="18"/>
              </w:rPr>
              <w:t>2,904,485,943.68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26.78%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18"/>
                <w:szCs w:val="18"/>
              </w:rPr>
            </w:pPr>
            <w:r>
              <w:rPr>
                <w:rFonts w:ascii="Times New Roman"/>
                <w:spacing w:val="-1"/>
                <w:sz w:val="18"/>
              </w:rPr>
              <w:t>3,046,133,377.08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30.43%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-4.65%</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园区及物业服务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77,576,287.65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0.72%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78,390,526.85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-1.04%</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53,943,882.51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-100.00%</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979,991,958.20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9.04%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901,757,372.90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9.01%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8.68%</w:t>
            </w:r>
          </w:p>
        </w:tc>
      </w:tr>
      <w:tr>
        <w:trPr>
          <w:trHeight w:val="362" w:hRule="exact"/>
        </w:trPr>
        <w:tc>
          <w:tcPr>
            <w:tcW w:w="98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7,963,211,170.63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73.44%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7,499,376,912.03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74.92%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6.18%</w:t>
            </w:r>
          </w:p>
        </w:tc>
      </w:tr>
    </w:tbl>
    <w:p>
      <w:pPr>
        <w:spacing w:after="0" w:line="240" w:lineRule="auto"/>
        <w:jc w:val="center"/>
        <w:rPr>
          <w:rFonts w:ascii="Times New Roman" w:hAnsi="Times New Roman" w:cs="Times New Roman" w:eastAsia="Times New Roman" w:hint="default"/>
          <w:sz w:val="18"/>
          <w:szCs w:val="18"/>
        </w:rPr>
        <w:sectPr>
          <w:pgSz w:w="11910" w:h="16840"/>
          <w:pgMar w:header="789" w:footer="975" w:top="1100" w:bottom="1160" w:left="920" w:right="0"/>
        </w:sectPr>
      </w:pPr>
    </w:p>
    <w:p>
      <w:pPr>
        <w:spacing w:line="240" w:lineRule="auto" w:before="2"/>
        <w:rPr>
          <w:rFonts w:ascii="宋体" w:hAnsi="宋体" w:cs="宋体" w:eastAsia="宋体" w:hint="default"/>
          <w:sz w:val="25"/>
          <w:szCs w:val="25"/>
        </w:rPr>
      </w:pPr>
    </w:p>
    <w:tbl>
      <w:tblPr>
        <w:tblW w:w="0" w:type="auto"/>
        <w:jc w:val="left"/>
        <w:tblInd w:w="240" w:type="dxa"/>
        <w:tblLayout w:type="fixed"/>
        <w:tblCellMar>
          <w:top w:w="0" w:type="dxa"/>
          <w:left w:w="0" w:type="dxa"/>
          <w:bottom w:w="0" w:type="dxa"/>
          <w:right w:w="0" w:type="dxa"/>
        </w:tblCellMar>
        <w:tblLook w:val="01E0"/>
      </w:tblPr>
      <w:tblGrid>
        <w:gridCol w:w="2324"/>
        <w:gridCol w:w="1681"/>
        <w:gridCol w:w="1500"/>
        <w:gridCol w:w="1560"/>
        <w:gridCol w:w="1532"/>
        <w:gridCol w:w="1260"/>
      </w:tblGrid>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北美</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793,629,799.64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Times New Roman" w:hAnsi="Times New Roman" w:cs="Times New Roman" w:eastAsia="Times New Roman" w:hint="default"/>
                <w:sz w:val="18"/>
                <w:szCs w:val="18"/>
              </w:rPr>
            </w:pPr>
            <w:r>
              <w:rPr>
                <w:rFonts w:ascii="Times New Roman"/>
                <w:sz w:val="18"/>
              </w:rPr>
              <w:t>7.32%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511,153,417.09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30"/>
              <w:jc w:val="right"/>
              <w:rPr>
                <w:rFonts w:ascii="Times New Roman" w:hAnsi="Times New Roman" w:cs="Times New Roman" w:eastAsia="Times New Roman" w:hint="default"/>
                <w:sz w:val="18"/>
                <w:szCs w:val="18"/>
              </w:rPr>
            </w:pPr>
            <w:r>
              <w:rPr>
                <w:rFonts w:ascii="Times New Roman"/>
                <w:spacing w:val="-2"/>
                <w:sz w:val="18"/>
              </w:rPr>
              <w:t>5.11%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55.26%</w:t>
            </w:r>
          </w:p>
        </w:tc>
      </w:tr>
      <w:tr>
        <w:trPr>
          <w:trHeight w:val="36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34,139,270.28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Times New Roman" w:hAnsi="Times New Roman" w:cs="Times New Roman" w:eastAsia="Times New Roman" w:hint="default"/>
                <w:sz w:val="18"/>
                <w:szCs w:val="18"/>
              </w:rPr>
            </w:pPr>
            <w:r>
              <w:rPr>
                <w:rFonts w:ascii="Times New Roman"/>
                <w:sz w:val="18"/>
              </w:rPr>
              <w:t>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4,477,373.70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27"/>
              <w:jc w:val="right"/>
              <w:rPr>
                <w:rFonts w:ascii="Times New Roman" w:hAnsi="Times New Roman" w:cs="Times New Roman" w:eastAsia="Times New Roman" w:hint="default"/>
                <w:sz w:val="18"/>
                <w:szCs w:val="18"/>
              </w:rPr>
            </w:pPr>
            <w:r>
              <w:rPr>
                <w:rFonts w:ascii="Times New Roman"/>
                <w:sz w:val="18"/>
              </w:rPr>
              <w:t>0.04%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662.48%</w:t>
            </w:r>
          </w:p>
        </w:tc>
      </w:tr>
      <w:tr>
        <w:trPr>
          <w:trHeight w:val="360"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456,522,347.65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Times New Roman" w:hAnsi="Times New Roman" w:cs="Times New Roman" w:eastAsia="Times New Roman" w:hint="default"/>
                <w:sz w:val="18"/>
                <w:szCs w:val="18"/>
              </w:rPr>
            </w:pPr>
            <w:r>
              <w:rPr>
                <w:rFonts w:ascii="Times New Roman"/>
                <w:sz w:val="18"/>
              </w:rPr>
              <w:t>4.21%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439,926,177.70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27"/>
              <w:jc w:val="right"/>
              <w:rPr>
                <w:rFonts w:ascii="Times New Roman" w:hAnsi="Times New Roman" w:cs="Times New Roman" w:eastAsia="Times New Roman" w:hint="default"/>
                <w:sz w:val="18"/>
                <w:szCs w:val="18"/>
              </w:rPr>
            </w:pPr>
            <w:r>
              <w:rPr>
                <w:rFonts w:ascii="Times New Roman"/>
                <w:sz w:val="18"/>
              </w:rPr>
              <w:t>4.40%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3.77%</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40,924,718.84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3" w:right="0"/>
              <w:jc w:val="left"/>
              <w:rPr>
                <w:rFonts w:ascii="Times New Roman" w:hAnsi="Times New Roman" w:cs="Times New Roman" w:eastAsia="Times New Roman" w:hint="default"/>
                <w:sz w:val="18"/>
                <w:szCs w:val="18"/>
              </w:rPr>
            </w:pPr>
            <w:r>
              <w:rPr>
                <w:rFonts w:ascii="Times New Roman"/>
                <w:sz w:val="18"/>
              </w:rPr>
              <w:t>0.38%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89,533,917.04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27"/>
              <w:jc w:val="right"/>
              <w:rPr>
                <w:rFonts w:ascii="Times New Roman" w:hAnsi="Times New Roman" w:cs="Times New Roman" w:eastAsia="Times New Roman" w:hint="default"/>
                <w:sz w:val="18"/>
                <w:szCs w:val="18"/>
              </w:rPr>
            </w:pPr>
            <w:r>
              <w:rPr>
                <w:rFonts w:ascii="Times New Roman"/>
                <w:sz w:val="18"/>
              </w:rPr>
              <w:t>0.89%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-54.29%</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南美</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2,116,273.74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Times New Roman" w:hAnsi="Times New Roman" w:cs="Times New Roman" w:eastAsia="Times New Roman" w:hint="default"/>
                <w:sz w:val="18"/>
                <w:szCs w:val="18"/>
              </w:rPr>
            </w:pPr>
            <w:r>
              <w:rPr>
                <w:rFonts w:ascii="Times New Roman"/>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7,867,580.31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27"/>
              <w:jc w:val="right"/>
              <w:rPr>
                <w:rFonts w:ascii="Times New Roman" w:hAnsi="Times New Roman" w:cs="Times New Roman" w:eastAsia="Times New Roman" w:hint="default"/>
                <w:sz w:val="18"/>
                <w:szCs w:val="18"/>
              </w:rPr>
            </w:pPr>
            <w:r>
              <w:rPr>
                <w:rFonts w:ascii="Times New Roman"/>
                <w:sz w:val="18"/>
              </w:rPr>
              <w:t>0.08%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-73.10%</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日本及其他地区</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573,249,037.73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Times New Roman" w:hAnsi="Times New Roman" w:cs="Times New Roman" w:eastAsia="Times New Roman" w:hint="default"/>
                <w:sz w:val="18"/>
                <w:szCs w:val="18"/>
              </w:rPr>
            </w:pPr>
            <w:r>
              <w:rPr>
                <w:rFonts w:ascii="Times New Roman"/>
                <w:sz w:val="18"/>
              </w:rPr>
              <w:t>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555,390,745.97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27"/>
              <w:jc w:val="right"/>
              <w:rPr>
                <w:rFonts w:ascii="Times New Roman" w:hAnsi="Times New Roman" w:cs="Times New Roman" w:eastAsia="Times New Roman" w:hint="default"/>
                <w:sz w:val="18"/>
                <w:szCs w:val="18"/>
              </w:rPr>
            </w:pPr>
            <w:r>
              <w:rPr>
                <w:rFonts w:ascii="Times New Roman"/>
                <w:sz w:val="18"/>
              </w:rPr>
              <w:t>5.55%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3.22%</w:t>
            </w:r>
          </w:p>
        </w:tc>
      </w:tr>
      <w:tr>
        <w:trPr>
          <w:trHeight w:val="362"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979,991,958.20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3" w:right="0"/>
              <w:jc w:val="left"/>
              <w:rPr>
                <w:rFonts w:ascii="Times New Roman" w:hAnsi="Times New Roman" w:cs="Times New Roman" w:eastAsia="Times New Roman" w:hint="default"/>
                <w:sz w:val="18"/>
                <w:szCs w:val="18"/>
              </w:rPr>
            </w:pPr>
            <w:r>
              <w:rPr>
                <w:rFonts w:ascii="Times New Roman"/>
                <w:sz w:val="18"/>
              </w:rPr>
              <w:t>9.04%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901,757,372.90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27"/>
              <w:jc w:val="right"/>
              <w:rPr>
                <w:rFonts w:ascii="Times New Roman" w:hAnsi="Times New Roman" w:cs="Times New Roman" w:eastAsia="Times New Roman" w:hint="default"/>
                <w:sz w:val="18"/>
                <w:szCs w:val="18"/>
              </w:rPr>
            </w:pPr>
            <w:r>
              <w:rPr>
                <w:rFonts w:ascii="Times New Roman"/>
                <w:sz w:val="18"/>
              </w:rPr>
              <w:t>9.01%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8.68%</w:t>
            </w:r>
          </w:p>
        </w:tc>
      </w:tr>
    </w:tbl>
    <w:p>
      <w:pPr>
        <w:spacing w:before="32"/>
        <w:ind w:left="336" w:right="4362" w:firstLine="0"/>
        <w:jc w:val="center"/>
        <w:rPr>
          <w:rFonts w:ascii="宋体" w:hAnsi="宋体" w:cs="宋体" w:eastAsia="宋体" w:hint="default"/>
          <w:sz w:val="18"/>
          <w:szCs w:val="18"/>
        </w:rPr>
      </w:pPr>
      <w:r>
        <w:rPr>
          <w:rFonts w:ascii="宋体" w:hAnsi="宋体" w:cs="宋体" w:eastAsia="宋体" w:hint="default"/>
          <w:sz w:val="18"/>
          <w:szCs w:val="18"/>
        </w:rPr>
        <w:t>注：其他项为逆变器业务（非核心业务</w:t>
      </w:r>
      <w:r>
        <w:rPr>
          <w:rFonts w:ascii="宋体" w:hAnsi="宋体" w:cs="宋体" w:eastAsia="宋体" w:hint="default"/>
          <w:spacing w:val="-92"/>
          <w:sz w:val="18"/>
          <w:szCs w:val="18"/>
        </w:rPr>
        <w:t>）</w:t>
      </w:r>
      <w:r>
        <w:rPr>
          <w:rFonts w:ascii="宋体" w:hAnsi="宋体" w:cs="宋体" w:eastAsia="宋体" w:hint="default"/>
          <w:sz w:val="18"/>
          <w:szCs w:val="18"/>
        </w:rPr>
        <w:t>，本报告期内未涉</w:t>
      </w:r>
      <w:r>
        <w:rPr>
          <w:rFonts w:ascii="宋体" w:hAnsi="宋体" w:cs="宋体" w:eastAsia="宋体" w:hint="default"/>
          <w:spacing w:val="2"/>
          <w:sz w:val="18"/>
          <w:szCs w:val="18"/>
        </w:rPr>
        <w:t>及</w:t>
      </w:r>
      <w:r>
        <w:rPr>
          <w:rFonts w:ascii="宋体" w:hAnsi="宋体" w:cs="宋体" w:eastAsia="宋体" w:hint="default"/>
          <w:sz w:val="18"/>
          <w:szCs w:val="18"/>
        </w:rPr>
        <w:t>成本收益。</w:t>
      </w:r>
    </w:p>
    <w:p>
      <w:pPr>
        <w:spacing w:line="240" w:lineRule="auto" w:before="11"/>
        <w:rPr>
          <w:rFonts w:ascii="宋体" w:hAnsi="宋体" w:cs="宋体" w:eastAsia="宋体" w:hint="default"/>
          <w:sz w:val="17"/>
          <w:szCs w:val="17"/>
        </w:rPr>
      </w:pPr>
    </w:p>
    <w:p>
      <w:pPr>
        <w:pStyle w:val="Heading5"/>
        <w:spacing w:line="240" w:lineRule="auto" w:before="0"/>
        <w:ind w:left="336" w:right="4480"/>
        <w:jc w:val="center"/>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7"/>
        <w:rPr>
          <w:rFonts w:ascii="宋体" w:hAnsi="宋体" w:cs="宋体" w:eastAsia="宋体" w:hint="default"/>
          <w:b/>
          <w:bCs/>
          <w:sz w:val="13"/>
          <w:szCs w:val="13"/>
        </w:rPr>
      </w:pPr>
    </w:p>
    <w:p>
      <w:pPr>
        <w:spacing w:before="44"/>
        <w:ind w:left="3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9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249"/>
        <w:gridCol w:w="1501"/>
        <w:gridCol w:w="1500"/>
        <w:gridCol w:w="812"/>
        <w:gridCol w:w="1454"/>
        <w:gridCol w:w="1349"/>
        <w:gridCol w:w="1426"/>
      </w:tblGrid>
      <w:tr>
        <w:trPr>
          <w:trHeight w:val="634" w:hRule="exact"/>
        </w:trPr>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62" w:right="89" w:hanging="269"/>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09" w:right="38"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36" w:right="77"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22" w:hRule="exact"/>
        </w:trPr>
        <w:tc>
          <w:tcPr>
            <w:tcW w:w="1029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2"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高新电子</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4,112,170,204.11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2,906,871,945.43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29.31%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-1.82%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3.31%</w:t>
            </w:r>
          </w:p>
        </w:tc>
      </w:tr>
      <w:tr>
        <w:trPr>
          <w:trHeight w:val="324"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信息安全整机及解决方案</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2,769,560,183.07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2,007,210,191.32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2" w:right="0"/>
              <w:jc w:val="left"/>
              <w:rPr>
                <w:rFonts w:ascii="Times New Roman" w:hAnsi="Times New Roman" w:cs="Times New Roman" w:eastAsia="Times New Roman" w:hint="default"/>
                <w:sz w:val="18"/>
                <w:szCs w:val="18"/>
              </w:rPr>
            </w:pPr>
            <w:r>
              <w:rPr>
                <w:rFonts w:ascii="Times New Roman"/>
                <w:sz w:val="18"/>
              </w:rPr>
              <w:t>27.53%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43.63%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33.08%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5.75%</w:t>
            </w:r>
          </w:p>
        </w:tc>
      </w:tr>
      <w:tr>
        <w:trPr>
          <w:trHeight w:val="322"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电源产品</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2,904,485,943.68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2,406,437,842.13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17.15%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-6.97%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2.07%</w:t>
            </w:r>
          </w:p>
        </w:tc>
      </w:tr>
      <w:tr>
        <w:trPr>
          <w:trHeight w:val="322" w:hRule="exact"/>
        </w:trPr>
        <w:tc>
          <w:tcPr>
            <w:tcW w:w="1029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2"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高新电子</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4,112,170,204.11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2,906,871,945.43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29.31%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-1.82%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3.31%</w:t>
            </w:r>
          </w:p>
        </w:tc>
      </w:tr>
      <w:tr>
        <w:trPr>
          <w:trHeight w:val="322"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信息安全整机及解决方案</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2,769,560,183.07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2,007,210,191.32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27.53%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43.63%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33.08%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5.75%</w:t>
            </w:r>
          </w:p>
        </w:tc>
      </w:tr>
      <w:tr>
        <w:trPr>
          <w:trHeight w:val="323"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电源产品</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2,904,485,943.68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2,406,437,842.13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17.15%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-6.97%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2.07%</w:t>
            </w:r>
          </w:p>
        </w:tc>
      </w:tr>
      <w:tr>
        <w:trPr>
          <w:trHeight w:val="323" w:hRule="exact"/>
        </w:trPr>
        <w:tc>
          <w:tcPr>
            <w:tcW w:w="1029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7,963,211,170.63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5,703,596,222.13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28.38%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6.18%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-0.74%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5.00%</w:t>
            </w:r>
          </w:p>
        </w:tc>
      </w:tr>
    </w:tbl>
    <w:p>
      <w:pPr>
        <w:spacing w:before="10"/>
        <w:ind w:left="3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23"/>
        <w:ind w:left="3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Heading5"/>
        <w:spacing w:line="240" w:lineRule="auto" w:before="0"/>
        <w:ind w:left="352"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before="164"/>
        <w:ind w:left="3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384"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高新电子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万台（万千瓦时）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582,401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577,262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0.89%</w:t>
            </w:r>
          </w:p>
        </w:tc>
      </w:tr>
      <w:tr>
        <w:trPr>
          <w:trHeight w:val="32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万台（万千瓦时）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583,764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577,994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1.00%</w:t>
            </w:r>
          </w:p>
        </w:tc>
      </w:tr>
      <w:tr>
        <w:trPr>
          <w:trHeight w:val="32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万台（万千瓦时）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5,554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5,879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-5.53%</w:t>
            </w:r>
          </w:p>
        </w:tc>
      </w:tr>
      <w:tr>
        <w:trPr>
          <w:trHeight w:val="32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信息安全整机及解 决方案</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2.66%</w:t>
            </w:r>
          </w:p>
        </w:tc>
      </w:tr>
      <w:tr>
        <w:trPr>
          <w:trHeight w:val="32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4.38%</w:t>
            </w:r>
          </w:p>
        </w:tc>
      </w:tr>
      <w:tr>
        <w:trPr>
          <w:trHeight w:val="32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4.68%</w:t>
            </w:r>
          </w:p>
        </w:tc>
      </w:tr>
      <w:tr>
        <w:trPr>
          <w:trHeight w:val="324"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电源产品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10,184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z w:val="18"/>
              </w:rPr>
              <w:t>9,441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7.87%</w:t>
            </w:r>
          </w:p>
        </w:tc>
      </w:tr>
      <w:tr>
        <w:trPr>
          <w:trHeight w:val="32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9,872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4.38%</w:t>
            </w:r>
          </w:p>
        </w:tc>
      </w:tr>
      <w:tr>
        <w:trPr>
          <w:trHeight w:val="32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12.75%</w:t>
            </w:r>
          </w:p>
        </w:tc>
      </w:tr>
    </w:tbl>
    <w:p>
      <w:pPr>
        <w:spacing w:before="32"/>
        <w:ind w:left="3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82"/>
        <w:ind w:left="3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89" w:footer="975" w:top="1100" w:bottom="1160" w:left="780" w:right="0"/>
        </w:sectPr>
      </w:pPr>
    </w:p>
    <w:p>
      <w:pPr>
        <w:spacing w:line="240" w:lineRule="auto" w:before="6"/>
        <w:rPr>
          <w:rFonts w:ascii="宋体" w:hAnsi="宋体" w:cs="宋体" w:eastAsia="宋体" w:hint="default"/>
          <w:sz w:val="21"/>
          <w:szCs w:val="21"/>
        </w:rPr>
      </w:pPr>
    </w:p>
    <w:p>
      <w:pPr>
        <w:pStyle w:val="Heading5"/>
        <w:spacing w:line="240" w:lineRule="auto"/>
        <w:ind w:left="172" w:right="1117"/>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17"/>
          <w:szCs w:val="17"/>
        </w:rPr>
      </w:pPr>
    </w:p>
    <w:p>
      <w:pPr>
        <w:spacing w:before="0"/>
        <w:ind w:left="172" w:right="111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Heading5"/>
        <w:spacing w:line="240" w:lineRule="auto" w:before="0"/>
        <w:ind w:left="172" w:right="1117"/>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13"/>
          <w:szCs w:val="13"/>
        </w:rPr>
      </w:pPr>
    </w:p>
    <w:p>
      <w:pPr>
        <w:spacing w:before="44"/>
        <w:ind w:left="172" w:right="1117"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9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371"/>
        <w:gridCol w:w="1202"/>
        <w:gridCol w:w="1441"/>
        <w:gridCol w:w="1460"/>
        <w:gridCol w:w="1562"/>
        <w:gridCol w:w="1342"/>
        <w:gridCol w:w="1368"/>
      </w:tblGrid>
      <w:tr>
        <w:trPr>
          <w:trHeight w:val="360"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行业及产品分类</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6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高新电子</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2,463,819,663.20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33.50%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2,518,387,379.25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35.37%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-2.17%</w:t>
            </w:r>
          </w:p>
        </w:tc>
      </w:tr>
      <w:tr>
        <w:trPr>
          <w:trHeight w:val="362" w:hRule="exact"/>
        </w:trPr>
        <w:tc>
          <w:tcPr>
            <w:tcW w:w="1371" w:type="dxa"/>
            <w:vMerge/>
            <w:tcBorders>
              <w:left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295,912,505.38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4.02%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329,662,431.45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-10.24%</w:t>
            </w:r>
          </w:p>
        </w:tc>
      </w:tr>
      <w:tr>
        <w:trPr>
          <w:trHeight w:val="362" w:hRule="exact"/>
        </w:trPr>
        <w:tc>
          <w:tcPr>
            <w:tcW w:w="1371"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147,139,776.85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112,685,791.23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30.58%</w:t>
            </w:r>
          </w:p>
        </w:tc>
      </w:tr>
      <w:tr>
        <w:trPr>
          <w:trHeight w:val="363"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信息安全整机及 解决方案</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1,926,224,511.27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26.19%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1,419,813,506.95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35.67%</w:t>
            </w:r>
          </w:p>
        </w:tc>
      </w:tr>
      <w:tr>
        <w:trPr>
          <w:trHeight w:val="360" w:hRule="exact"/>
        </w:trPr>
        <w:tc>
          <w:tcPr>
            <w:tcW w:w="1371" w:type="dxa"/>
            <w:vMerge/>
            <w:tcBorders>
              <w:left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64,650,006.94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0.88%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69,490,757.60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-6.97%</w:t>
            </w:r>
          </w:p>
        </w:tc>
      </w:tr>
      <w:tr>
        <w:trPr>
          <w:trHeight w:val="362" w:hRule="exact"/>
        </w:trPr>
        <w:tc>
          <w:tcPr>
            <w:tcW w:w="1371"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16,335,673.11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0.22%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19,002,678.20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-14.03%</w:t>
            </w:r>
          </w:p>
        </w:tc>
      </w:tr>
      <w:tr>
        <w:trPr>
          <w:trHeight w:val="403"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电源产品</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1,990,104,107.41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27.06%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2,166,721,007.90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-8.15%</w:t>
            </w:r>
          </w:p>
        </w:tc>
      </w:tr>
      <w:tr>
        <w:trPr>
          <w:trHeight w:val="401" w:hRule="exact"/>
        </w:trPr>
        <w:tc>
          <w:tcPr>
            <w:tcW w:w="1371" w:type="dxa"/>
            <w:vMerge/>
            <w:tcBorders>
              <w:left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263,451,549.00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3.58%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274,348,686.77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-3.97%</w:t>
            </w:r>
          </w:p>
        </w:tc>
      </w:tr>
      <w:tr>
        <w:trPr>
          <w:trHeight w:val="403" w:hRule="exact"/>
        </w:trPr>
        <w:tc>
          <w:tcPr>
            <w:tcW w:w="1371"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152,882,185.72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145,758,117.63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4.89%</w:t>
            </w:r>
          </w:p>
        </w:tc>
      </w:tr>
      <w:tr>
        <w:trPr>
          <w:trHeight w:val="362"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园区及物业服务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15,389,199.95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0.21%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16,437,349.15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-6.38%</w:t>
            </w:r>
          </w:p>
        </w:tc>
      </w:tr>
      <w:tr>
        <w:trPr>
          <w:trHeight w:val="360" w:hRule="exact"/>
        </w:trPr>
        <w:tc>
          <w:tcPr>
            <w:tcW w:w="1371"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18,782,359.23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0.26%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15,358,242.32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22.29%</w:t>
            </w:r>
          </w:p>
        </w:tc>
      </w:tr>
      <w:tr>
        <w:trPr>
          <w:trHeight w:val="362"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23,098,960.97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62" w:hRule="exact"/>
        </w:trPr>
        <w:tc>
          <w:tcPr>
            <w:tcW w:w="1371" w:type="dxa"/>
            <w:vMerge/>
            <w:tcBorders>
              <w:left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1,839,527.93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63" w:hRule="exact"/>
        </w:trPr>
        <w:tc>
          <w:tcPr>
            <w:tcW w:w="1371"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8,328,400.91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sz w:val="19"/>
          <w:szCs w:val="19"/>
        </w:rPr>
      </w:pPr>
    </w:p>
    <w:p>
      <w:pPr>
        <w:pStyle w:val="Heading5"/>
        <w:spacing w:line="240" w:lineRule="auto"/>
        <w:ind w:left="172" w:right="1117"/>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72" w:right="111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300" w:lineRule="auto" w:before="117"/>
        <w:ind w:left="172" w:right="111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月，公司向关联方中电工业互联网有限公司转让湖南凯杰科技有限责任公司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股权交易完成，湖南凯杰科 技有限责任公司不再纳入公司合并范围；</w:t>
      </w:r>
    </w:p>
    <w:p>
      <w:pPr>
        <w:spacing w:before="70"/>
        <w:ind w:left="5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月，新设立的子公司河南长城计算机系统有限公司纳入公司合并范围；</w:t>
      </w:r>
    </w:p>
    <w:p>
      <w:pPr>
        <w:spacing w:before="103"/>
        <w:ind w:left="5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月，新设立的子公司山西长城计算机系统有限公司纳入公司合并范围；</w:t>
      </w:r>
    </w:p>
    <w:p>
      <w:pPr>
        <w:spacing w:before="103"/>
        <w:ind w:left="5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月，新设立的子公司安徽长城计算机系统有限公司纳入公司合并范围；</w:t>
      </w:r>
    </w:p>
    <w:p>
      <w:pPr>
        <w:spacing w:before="101"/>
        <w:ind w:left="5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月，新设立的子公司浙江长城计算机系统有限公司纳入公司合并范围；</w:t>
      </w:r>
    </w:p>
    <w:p>
      <w:pPr>
        <w:spacing w:before="103"/>
        <w:ind w:left="5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月，新设立的子公司新疆长城计算机系统有限公司纳入公司合并范围；</w:t>
      </w:r>
    </w:p>
    <w:p>
      <w:pPr>
        <w:spacing w:line="348" w:lineRule="auto" w:before="104"/>
        <w:ind w:left="533" w:right="21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月，圣非凡完成对轨道交通研究院的收购，以同一控制下企业合并的方式纳入公司合并范围。 湖南长城信息金融设备有限责任公司股权转让湖南长城科技，级次下沉； 详见财务报告附注“合并范围的变更”中的相关内容。</w:t>
      </w:r>
    </w:p>
    <w:p>
      <w:pPr>
        <w:spacing w:line="240" w:lineRule="auto" w:before="11"/>
        <w:rPr>
          <w:rFonts w:ascii="宋体" w:hAnsi="宋体" w:cs="宋体" w:eastAsia="宋体" w:hint="default"/>
          <w:sz w:val="20"/>
          <w:szCs w:val="20"/>
        </w:rPr>
      </w:pPr>
    </w:p>
    <w:p>
      <w:pPr>
        <w:pStyle w:val="Heading5"/>
        <w:spacing w:line="240" w:lineRule="auto" w:before="0"/>
        <w:ind w:left="172" w:right="1117"/>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72" w:right="111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89" w:footer="975" w:top="1100" w:bottom="1160" w:left="960" w:right="0"/>
        </w:sectPr>
      </w:pPr>
    </w:p>
    <w:p>
      <w:pPr>
        <w:spacing w:line="240" w:lineRule="auto" w:before="6"/>
        <w:rPr>
          <w:rFonts w:ascii="宋体" w:hAnsi="宋体" w:cs="宋体" w:eastAsia="宋体" w:hint="default"/>
          <w:sz w:val="21"/>
          <w:szCs w:val="21"/>
        </w:rPr>
      </w:pPr>
    </w:p>
    <w:p>
      <w:pPr>
        <w:pStyle w:val="Heading5"/>
        <w:spacing w:line="240" w:lineRule="auto"/>
        <w:ind w:left="152"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2"/>
        <w:rPr>
          <w:rFonts w:ascii="宋体" w:hAnsi="宋体" w:cs="宋体" w:eastAsia="宋体" w:hint="default"/>
          <w:b/>
          <w:bCs/>
          <w:sz w:val="30"/>
          <w:szCs w:val="30"/>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4645"/>
        <w:gridCol w:w="4923"/>
      </w:tblGrid>
      <w:tr>
        <w:trPr>
          <w:trHeight w:val="401"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1,430,406,853.78</w:t>
            </w:r>
          </w:p>
        </w:tc>
      </w:tr>
      <w:tr>
        <w:trPr>
          <w:trHeight w:val="403"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13.19%</w:t>
            </w:r>
          </w:p>
        </w:tc>
      </w:tr>
      <w:tr>
        <w:trPr>
          <w:trHeight w:val="401"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1.95%</w:t>
            </w:r>
          </w:p>
        </w:tc>
      </w:tr>
    </w:tbl>
    <w:p>
      <w:pPr>
        <w:spacing w:before="51"/>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802"/>
        <w:gridCol w:w="3841"/>
        <w:gridCol w:w="2463"/>
        <w:gridCol w:w="246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353,793,571.85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3.26%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340,021,444.17</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3.14%</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326,602,574.29</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3.01%</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211,780,337.75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1.95%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198,208,925.72</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1,430,406,853.78</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13.19%</w:t>
            </w:r>
          </w:p>
        </w:tc>
      </w:tr>
    </w:tbl>
    <w:p>
      <w:pPr>
        <w:spacing w:before="51"/>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513" w:right="1129"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前五名客户中中软信息系统工程有限公司为本公司实际控制人的控股公司；除此外，本公司与其他四名客户不存在关联</w:t>
      </w:r>
    </w:p>
    <w:p>
      <w:pPr>
        <w:spacing w:line="224" w:lineRule="exact"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关系；本公司董事、监事、高级管理人员等在主要客户中未直接或者间接拥有权益。</w:t>
      </w:r>
    </w:p>
    <w:p>
      <w:pPr>
        <w:spacing w:before="117"/>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4808"/>
        <w:gridCol w:w="4760"/>
      </w:tblGrid>
      <w:tr>
        <w:trPr>
          <w:trHeight w:val="401" w:hRule="exact"/>
        </w:trPr>
        <w:tc>
          <w:tcPr>
            <w:tcW w:w="4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962,110,507.10</w:t>
            </w:r>
          </w:p>
        </w:tc>
      </w:tr>
      <w:tr>
        <w:trPr>
          <w:trHeight w:val="404" w:hRule="exact"/>
        </w:trPr>
        <w:tc>
          <w:tcPr>
            <w:tcW w:w="4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11.76%</w:t>
            </w:r>
          </w:p>
        </w:tc>
      </w:tr>
      <w:tr>
        <w:trPr>
          <w:trHeight w:val="401" w:hRule="exact"/>
        </w:trPr>
        <w:tc>
          <w:tcPr>
            <w:tcW w:w="4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1.33%</w:t>
            </w:r>
          </w:p>
        </w:tc>
      </w:tr>
    </w:tbl>
    <w:p>
      <w:pPr>
        <w:spacing w:before="51"/>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934"/>
        <w:gridCol w:w="3169"/>
        <w:gridCol w:w="2324"/>
        <w:gridCol w:w="3142"/>
      </w:tblGrid>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306,658,274.00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3.75%</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304,638,231.87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121,275,927.97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1.48%</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120,373,991.47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1.47%</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广东亿安仓供应链科技有限公司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109,164,081.79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1.33%</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962,110,507.10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11.76%</w:t>
            </w:r>
          </w:p>
        </w:tc>
      </w:tr>
    </w:tbl>
    <w:p>
      <w:pPr>
        <w:spacing w:before="52"/>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line="357" w:lineRule="auto" w:before="117"/>
        <w:ind w:left="513" w:right="1129"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前五名供应商中广东亿安仓供应链科技有限公司为本公司实际控制人的控股公司；除此外，本公司与其他四名供应商不</w:t>
      </w:r>
    </w:p>
    <w:p>
      <w:pPr>
        <w:spacing w:line="224" w:lineRule="exact"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存在关联关系；本公司董事、监事、高级管理人员等在主要供应商中未直接或者间接拥有权益。</w:t>
      </w:r>
    </w:p>
    <w:p>
      <w:pPr>
        <w:spacing w:after="0" w:line="224" w:lineRule="exact"/>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6"/>
        <w:rPr>
          <w:rFonts w:ascii="宋体" w:hAnsi="宋体" w:cs="宋体" w:eastAsia="宋体" w:hint="default"/>
          <w:sz w:val="21"/>
          <w:szCs w:val="21"/>
        </w:rPr>
      </w:pPr>
    </w:p>
    <w:p>
      <w:pPr>
        <w:pStyle w:val="Heading5"/>
        <w:spacing w:line="240" w:lineRule="auto"/>
        <w:ind w:left="152"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241"/>
        <w:gridCol w:w="1606"/>
        <w:gridCol w:w="1606"/>
        <w:gridCol w:w="1184"/>
        <w:gridCol w:w="3932"/>
      </w:tblGrid>
      <w:tr>
        <w:trPr>
          <w:trHeight w:val="382"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5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5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3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72"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490,627,552.30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377,184,892.46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 w:right="0"/>
              <w:jc w:val="center"/>
              <w:rPr>
                <w:rFonts w:ascii="Times New Roman" w:hAnsi="Times New Roman" w:cs="Times New Roman" w:eastAsia="Times New Roman" w:hint="default"/>
                <w:sz w:val="18"/>
                <w:szCs w:val="18"/>
              </w:rPr>
            </w:pPr>
            <w:r>
              <w:rPr>
                <w:rFonts w:ascii="Times New Roman"/>
                <w:sz w:val="18"/>
              </w:rPr>
              <w:t>30.08%</w:t>
            </w:r>
          </w:p>
        </w:tc>
        <w:tc>
          <w:tcPr>
            <w:tcW w:w="393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主要是本报告期职工薪酬及维修费增加所致</w:t>
            </w:r>
          </w:p>
        </w:tc>
      </w:tr>
      <w:tr>
        <w:trPr>
          <w:trHeight w:val="362"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587,422,110.46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604,683,004.58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sz w:val="18"/>
              </w:rPr>
              <w:t>-2.85%</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62"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107,573,062.27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42,566,247.72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sz w:val="18"/>
              </w:rPr>
              <w:t>152.72%</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主要是本报告期借款增加致使利息支出增加所致</w:t>
            </w:r>
          </w:p>
        </w:tc>
      </w:tr>
      <w:tr>
        <w:trPr>
          <w:trHeight w:val="38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849,138,654.98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658,444,267.32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 w:right="0"/>
              <w:jc w:val="center"/>
              <w:rPr>
                <w:rFonts w:ascii="Times New Roman" w:hAnsi="Times New Roman" w:cs="Times New Roman" w:eastAsia="Times New Roman" w:hint="default"/>
                <w:sz w:val="18"/>
                <w:szCs w:val="18"/>
              </w:rPr>
            </w:pPr>
            <w:r>
              <w:rPr>
                <w:rFonts w:ascii="Times New Roman"/>
                <w:sz w:val="18"/>
              </w:rPr>
              <w:t>28.96%</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主要是本报告期研发投入加大所致</w:t>
            </w:r>
          </w:p>
        </w:tc>
      </w:tr>
    </w:tbl>
    <w:p>
      <w:pPr>
        <w:spacing w:line="240" w:lineRule="auto" w:before="8"/>
        <w:rPr>
          <w:rFonts w:ascii="宋体" w:hAnsi="宋体" w:cs="宋体" w:eastAsia="宋体" w:hint="default"/>
          <w:sz w:val="14"/>
          <w:szCs w:val="14"/>
        </w:rPr>
      </w:pPr>
    </w:p>
    <w:p>
      <w:pPr>
        <w:pStyle w:val="Heading5"/>
        <w:spacing w:line="240" w:lineRule="auto"/>
        <w:ind w:left="152"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10"/>
        <w:rPr>
          <w:rFonts w:ascii="宋体" w:hAnsi="宋体" w:cs="宋体" w:eastAsia="宋体" w:hint="default"/>
          <w:b/>
          <w:bCs/>
          <w:sz w:val="21"/>
          <w:szCs w:val="21"/>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pStyle w:val="BodyText"/>
        <w:spacing w:line="357" w:lineRule="auto" w:before="144"/>
        <w:ind w:left="152" w:right="0" w:firstLine="42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spacing w:val="-4"/>
        </w:rPr>
        <w:t>年，公司以“成为网信产业引领者”为发展愿景，以“铸造网安长城，链接幸福世界”为发展使</w:t>
      </w:r>
      <w:r>
        <w:rPr>
          <w:w w:val="100"/>
        </w:rPr>
        <w:t> </w:t>
      </w:r>
      <w:r>
        <w:rPr>
          <w:spacing w:val="-5"/>
        </w:rPr>
        <w:t>命，坚持科技创新发展战略，持续加大自主创新力度和科技研发投入，加强基础关键技术研究及产品研发， </w:t>
      </w:r>
      <w:r>
        <w:rPr>
          <w:spacing w:val="-5"/>
        </w:rPr>
      </w:r>
      <w:r>
        <w:rPr/>
        <w:t>积极拓展新技术领域，攻克技术难关，推出系列创新型产品，科技工作取得丰硕成果。</w:t>
      </w:r>
    </w:p>
    <w:p>
      <w:pPr>
        <w:pStyle w:val="BodyText"/>
        <w:spacing w:line="350" w:lineRule="auto" w:before="83"/>
        <w:ind w:left="152" w:right="1104" w:firstLine="420"/>
        <w:jc w:val="both"/>
      </w:pPr>
      <w:r>
        <w:rPr>
          <w:spacing w:val="-3"/>
          <w:w w:val="100"/>
        </w:rPr>
        <w:t>在网络安全与信息化领域：（</w:t>
      </w:r>
      <w:r>
        <w:rPr>
          <w:rFonts w:ascii="Times New Roman" w:hAnsi="Times New Roman" w:cs="Times New Roman" w:eastAsia="Times New Roman" w:hint="default"/>
          <w:spacing w:val="-3"/>
          <w:w w:val="100"/>
        </w:rPr>
        <w:t>1</w:t>
      </w:r>
      <w:r>
        <w:rPr>
          <w:spacing w:val="-3"/>
          <w:w w:val="100"/>
        </w:rPr>
        <w:t>）研制推出新四核通用台式机、通用一体机、专用一体机、</w:t>
      </w:r>
      <w:r>
        <w:rPr>
          <w:rFonts w:ascii="Times New Roman" w:hAnsi="Times New Roman" w:cs="Times New Roman" w:eastAsia="Times New Roman" w:hint="default"/>
          <w:spacing w:val="-3"/>
          <w:w w:val="100"/>
        </w:rPr>
        <w:t>FT2000+</w:t>
      </w:r>
      <w:r>
        <w:rPr>
          <w:spacing w:val="-3"/>
          <w:w w:val="100"/>
        </w:rPr>
        <w:t>通</w:t>
      </w:r>
      <w:r>
        <w:rPr>
          <w:w w:val="100"/>
        </w:rPr>
        <w:t> </w:t>
      </w:r>
      <w:r>
        <w:rPr>
          <w:spacing w:val="-3"/>
        </w:rPr>
        <w:t>用均衡型服务器、</w:t>
      </w:r>
      <w:r>
        <w:rPr>
          <w:rFonts w:ascii="Times New Roman" w:hAnsi="Times New Roman" w:cs="Times New Roman" w:eastAsia="Times New Roman" w:hint="default"/>
          <w:spacing w:val="-3"/>
        </w:rPr>
        <w:t>FT2000+</w:t>
      </w:r>
      <w:r>
        <w:rPr>
          <w:spacing w:val="-3"/>
        </w:rPr>
        <w:t>计算型服务器等 </w:t>
      </w:r>
      <w:r>
        <w:rPr>
          <w:rFonts w:ascii="Times New Roman" w:hAnsi="Times New Roman" w:cs="Times New Roman" w:eastAsia="Times New Roman" w:hint="default"/>
        </w:rPr>
        <w:t>16 </w:t>
      </w:r>
      <w:r>
        <w:rPr>
          <w:spacing w:val="-4"/>
        </w:rPr>
        <w:t>款性能更高的产品；首次发布自研固件产品，固件开发能力</w:t>
      </w:r>
      <w:r>
        <w:rPr>
          <w:spacing w:val="-67"/>
        </w:rPr>
        <w:t> </w:t>
      </w:r>
      <w:r>
        <w:rPr>
          <w:spacing w:val="-67"/>
        </w:rPr>
      </w:r>
      <w:r>
        <w:rPr>
          <w:spacing w:val="-2"/>
        </w:rPr>
        <w:t>已达到业界领先水平。实现基础架构产品零的突破，发布端到云的完整整机解决方案产品</w:t>
      </w:r>
      <w:r>
        <w:rPr>
          <w:rFonts w:ascii="Times New Roman" w:hAnsi="Times New Roman" w:cs="Times New Roman" w:eastAsia="Times New Roman" w:hint="default"/>
          <w:spacing w:val="-2"/>
        </w:rPr>
        <w:t>—</w:t>
      </w:r>
      <w:r>
        <w:rPr>
          <w:spacing w:val="-2"/>
        </w:rPr>
        <w:t>模块化数据中</w:t>
      </w:r>
      <w:r>
        <w:rPr>
          <w:spacing w:val="-44"/>
        </w:rPr>
        <w:t> </w:t>
      </w:r>
      <w:r>
        <w:rPr>
          <w:spacing w:val="-44"/>
        </w:rPr>
      </w:r>
      <w:r>
        <w:rPr>
          <w:spacing w:val="-4"/>
        </w:rPr>
        <w:t>心产品；推进基于</w:t>
      </w:r>
      <w:r>
        <w:rPr>
          <w:spacing w:val="-56"/>
        </w:rPr>
        <w:t> </w:t>
      </w:r>
      <w:r>
        <w:rPr>
          <w:rFonts w:ascii="Times New Roman" w:hAnsi="Times New Roman" w:cs="Times New Roman" w:eastAsia="Times New Roman" w:hint="default"/>
        </w:rPr>
        <w:t>PK</w:t>
      </w:r>
      <w:r>
        <w:rPr>
          <w:rFonts w:ascii="Times New Roman" w:hAnsi="Times New Roman" w:cs="Times New Roman" w:eastAsia="Times New Roman" w:hint="default"/>
          <w:spacing w:val="-5"/>
        </w:rPr>
        <w:t> </w:t>
      </w:r>
      <w:r>
        <w:rPr/>
        <w:t>体系的安全可信云架构</w:t>
      </w:r>
      <w:r>
        <w:rPr>
          <w:rFonts w:ascii="Times New Roman" w:hAnsi="Times New Roman" w:cs="Times New Roman" w:eastAsia="Times New Roman" w:hint="default"/>
        </w:rPr>
        <w:t>—</w:t>
      </w:r>
      <w:r>
        <w:rPr/>
        <w:t>长城云的开发，加速从基础软硬件到整机</w:t>
      </w:r>
      <w:r>
        <w:rPr>
          <w:rFonts w:ascii="Times New Roman" w:hAnsi="Times New Roman" w:cs="Times New Roman" w:eastAsia="Times New Roman" w:hint="default"/>
        </w:rPr>
        <w:t>/</w:t>
      </w:r>
      <w:r>
        <w:rPr/>
        <w:t>终端到安全应用</w:t>
      </w:r>
      <w:r>
        <w:rPr>
          <w:w w:val="100"/>
        </w:rPr>
        <w:t> </w:t>
      </w:r>
      <w:r>
        <w:rPr>
          <w:spacing w:val="-10"/>
          <w:w w:val="100"/>
        </w:rPr>
        <w:t>及服务的完整产业链条构建。（</w:t>
      </w:r>
      <w:r>
        <w:rPr>
          <w:rFonts w:ascii="Times New Roman" w:hAnsi="Times New Roman" w:cs="Times New Roman" w:eastAsia="Times New Roman" w:hint="default"/>
          <w:spacing w:val="-10"/>
          <w:w w:val="100"/>
        </w:rPr>
        <w:t>2</w:t>
      </w:r>
      <w:r>
        <w:rPr>
          <w:spacing w:val="-10"/>
          <w:w w:val="100"/>
        </w:rPr>
        <w:t>）基于</w:t>
      </w:r>
      <w:r>
        <w:rPr>
          <w:spacing w:val="-45"/>
          <w:w w:val="100"/>
        </w:rPr>
        <w:t> </w:t>
      </w:r>
      <w:r>
        <w:rPr>
          <w:rFonts w:ascii="Times New Roman" w:hAnsi="Times New Roman" w:cs="Times New Roman" w:eastAsia="Times New Roman" w:hint="default"/>
          <w:spacing w:val="-1"/>
          <w:w w:val="100"/>
        </w:rPr>
        <w:t>PKS</w:t>
      </w:r>
      <w:r>
        <w:rPr>
          <w:rFonts w:ascii="Times New Roman" w:hAnsi="Times New Roman" w:cs="Times New Roman" w:eastAsia="Times New Roman" w:hint="default"/>
          <w:spacing w:val="11"/>
          <w:w w:val="100"/>
        </w:rPr>
        <w:t> </w:t>
      </w:r>
      <w:r>
        <w:rPr>
          <w:spacing w:val="-4"/>
          <w:w w:val="100"/>
        </w:rPr>
        <w:t>体系，推进单一产品向行业信息化服务集成方案转变。研发推</w:t>
      </w:r>
      <w:r>
        <w:rPr>
          <w:spacing w:val="-96"/>
          <w:w w:val="100"/>
        </w:rPr>
        <w:t> </w:t>
      </w:r>
      <w:r>
        <w:rPr>
          <w:spacing w:val="-96"/>
          <w:w w:val="100"/>
        </w:rPr>
      </w:r>
      <w:r>
        <w:rPr>
          <w:spacing w:val="-2"/>
        </w:rPr>
        <w:t>出了全国第一个从端到云的金融机具全栈自主安全解决方案，在行业率先打造多元创新产品方案；成功应</w:t>
      </w:r>
      <w:r>
        <w:rPr>
          <w:spacing w:val="-42"/>
        </w:rPr>
        <w:t> </w:t>
      </w:r>
      <w:r>
        <w:rPr>
          <w:spacing w:val="-42"/>
        </w:rPr>
      </w:r>
      <w:r>
        <w:rPr/>
        <w:t>用全国产一体柜</w:t>
      </w:r>
      <w:r>
        <w:rPr>
          <w:spacing w:val="-55"/>
        </w:rPr>
        <w:t> </w:t>
      </w:r>
      <w:r>
        <w:rPr>
          <w:rFonts w:ascii="Times New Roman" w:hAnsi="Times New Roman" w:cs="Times New Roman" w:eastAsia="Times New Roman" w:hint="default"/>
        </w:rPr>
        <w:t>IDC</w:t>
      </w:r>
      <w:r>
        <w:rPr>
          <w:rFonts w:ascii="Times New Roman" w:hAnsi="Times New Roman" w:cs="Times New Roman" w:eastAsia="Times New Roman" w:hint="default"/>
          <w:spacing w:val="-2"/>
        </w:rPr>
        <w:t> </w:t>
      </w:r>
      <w:r>
        <w:rPr/>
        <w:t>解决方案建成基于</w:t>
      </w:r>
      <w:r>
        <w:rPr>
          <w:spacing w:val="-54"/>
        </w:rPr>
        <w:t> </w:t>
      </w:r>
      <w:r>
        <w:rPr>
          <w:rFonts w:ascii="Times New Roman" w:hAnsi="Times New Roman" w:cs="Times New Roman" w:eastAsia="Times New Roman" w:hint="default"/>
        </w:rPr>
        <w:t>PK</w:t>
      </w:r>
      <w:r>
        <w:rPr>
          <w:rFonts w:ascii="Times New Roman" w:hAnsi="Times New Roman" w:cs="Times New Roman" w:eastAsia="Times New Roman" w:hint="default"/>
          <w:spacing w:val="-3"/>
        </w:rPr>
        <w:t> </w:t>
      </w:r>
      <w:r>
        <w:rPr/>
        <w:t>体系的智慧医疗平台；建成全国产化云数据中心并投入运营，</w:t>
      </w:r>
      <w:r>
        <w:rPr>
          <w:w w:val="100"/>
        </w:rPr>
        <w:t> </w:t>
      </w:r>
      <w:r>
        <w:rPr/>
        <w:t>为党政军及金融、能源、交通等关键行业提供全国产化的数据中心服务。</w:t>
      </w:r>
    </w:p>
    <w:p>
      <w:pPr>
        <w:pStyle w:val="BodyText"/>
        <w:spacing w:line="355" w:lineRule="auto" w:before="89"/>
        <w:ind w:left="152" w:right="1126" w:firstLine="420"/>
        <w:jc w:val="both"/>
      </w:pPr>
      <w:r>
        <w:rPr>
          <w:spacing w:val="-2"/>
        </w:rPr>
        <w:t>在高新电子领域：军事通信业务领域进一步突破和完善了指控链模块化设计应用、网链融合、战术网</w:t>
      </w:r>
      <w:r>
        <w:rPr>
          <w:w w:val="100"/>
        </w:rPr>
        <w:t> </w:t>
      </w:r>
      <w:r>
        <w:rPr>
          <w:spacing w:val="-4"/>
        </w:rPr>
        <w:t>络交换体系、宽带射频信道设计、小型化低功耗设计、隐蔽通信等关键技术；基于飞腾 </w:t>
      </w:r>
      <w:r>
        <w:rPr>
          <w:rFonts w:ascii="Times New Roman" w:hAnsi="Times New Roman" w:cs="Times New Roman" w:eastAsia="Times New Roman" w:hint="default"/>
        </w:rPr>
        <w:t>1500A </w:t>
      </w:r>
      <w:r>
        <w:rPr/>
        <w:t>和盛科国产</w:t>
      </w:r>
      <w:r>
        <w:rPr>
          <w:spacing w:val="-85"/>
        </w:rPr>
        <w:t> </w:t>
      </w:r>
      <w:r>
        <w:rPr>
          <w:spacing w:val="-85"/>
        </w:rPr>
      </w:r>
      <w:r>
        <w:rPr>
          <w:spacing w:val="-3"/>
        </w:rPr>
        <w:t>网络交换芯片的主板研制、基础软件适配、分系统级集成、交换机实时通信及基于国产 </w:t>
      </w:r>
      <w:r>
        <w:rPr>
          <w:rFonts w:ascii="Times New Roman" w:hAnsi="Times New Roman" w:cs="Times New Roman" w:eastAsia="Times New Roman" w:hint="default"/>
        </w:rPr>
        <w:t>FPGA </w:t>
      </w:r>
      <w:r>
        <w:rPr/>
        <w:t>的新型显控</w:t>
      </w:r>
      <w:r>
        <w:rPr>
          <w:spacing w:val="-85"/>
        </w:rPr>
        <w:t> </w:t>
      </w:r>
      <w:r>
        <w:rPr>
          <w:spacing w:val="-85"/>
        </w:rPr>
      </w:r>
      <w:r>
        <w:rPr>
          <w:spacing w:val="2"/>
        </w:rPr>
        <w:t>等关键技术取得良好成果；海洋信息化业务领域进一步发展和应用了深远海光纤水下探测方面的关键技</w:t>
      </w:r>
      <w:r>
        <w:rPr>
          <w:spacing w:val="-28"/>
        </w:rPr>
        <w:t> </w:t>
      </w:r>
      <w:r>
        <w:rPr>
          <w:spacing w:val="-28"/>
        </w:rPr>
      </w:r>
      <w:r>
        <w:rPr>
          <w:spacing w:val="-2"/>
        </w:rPr>
        <w:t>术。公司不断加强产学研合作，加大科研平台建设投入。完成量子实验室一期的工程建设，推进量子实验</w:t>
      </w:r>
      <w:r>
        <w:rPr>
          <w:spacing w:val="-50"/>
        </w:rPr>
        <w:t> </w:t>
      </w:r>
      <w:r>
        <w:rPr>
          <w:spacing w:val="-50"/>
        </w:rPr>
      </w:r>
      <w:r>
        <w:rPr/>
        <w:t>室二期和 </w:t>
      </w:r>
      <w:r>
        <w:rPr>
          <w:rFonts w:ascii="Times New Roman" w:hAnsi="Times New Roman" w:cs="Times New Roman" w:eastAsia="Times New Roman" w:hint="default"/>
        </w:rPr>
        <w:t>CPU</w:t>
      </w:r>
      <w:r>
        <w:rPr>
          <w:rFonts w:ascii="Times New Roman" w:hAnsi="Times New Roman" w:cs="Times New Roman" w:eastAsia="Times New Roman" w:hint="default"/>
          <w:spacing w:val="34"/>
        </w:rPr>
        <w:t> </w:t>
      </w:r>
      <w:r>
        <w:rPr/>
        <w:t>仿真工程技术中心建设，为下一代先进计算技术奠定基础；搭建国内首个地方性商用密码</w:t>
      </w:r>
      <w:r>
        <w:rPr>
          <w:w w:val="100"/>
        </w:rPr>
        <w:t> </w:t>
      </w:r>
      <w:r>
        <w:rPr>
          <w:spacing w:val="-4"/>
        </w:rPr>
        <w:t>产业示范基地，推动“自主安全</w:t>
      </w:r>
      <w:r>
        <w:rPr>
          <w:rFonts w:ascii="Times New Roman" w:hAnsi="Times New Roman" w:cs="Times New Roman" w:eastAsia="Times New Roman" w:hint="default"/>
          <w:spacing w:val="-4"/>
        </w:rPr>
        <w:t>+</w:t>
      </w:r>
      <w:r>
        <w:rPr>
          <w:spacing w:val="-4"/>
        </w:rPr>
        <w:t>商用密码”集成应用示范；建设全国首个 </w:t>
      </w:r>
      <w:r>
        <w:rPr>
          <w:rFonts w:ascii="Times New Roman" w:hAnsi="Times New Roman" w:cs="Times New Roman" w:eastAsia="Times New Roman" w:hint="default"/>
        </w:rPr>
        <w:t>PK </w:t>
      </w:r>
      <w:r>
        <w:rPr>
          <w:spacing w:val="-3"/>
        </w:rPr>
        <w:t>线上适配生态服务平台，与</w:t>
      </w:r>
      <w:r>
        <w:rPr>
          <w:spacing w:val="-89"/>
        </w:rPr>
        <w:t> </w:t>
      </w:r>
      <w:r>
        <w:rPr>
          <w:spacing w:val="-89"/>
        </w:rPr>
      </w:r>
      <w:r>
        <w:rPr/>
        <w:t>线下适配中心相结合，打造线上线下一体化适配服务能力；与中山大学国家超算中心开展基于</w:t>
      </w:r>
      <w:r>
        <w:rPr>
          <w:spacing w:val="-43"/>
        </w:rPr>
        <w:t> </w:t>
      </w:r>
      <w:r>
        <w:rPr>
          <w:rFonts w:ascii="Times New Roman" w:hAnsi="Times New Roman" w:cs="Times New Roman" w:eastAsia="Times New Roman" w:hint="default"/>
        </w:rPr>
        <w:t>PK</w:t>
      </w:r>
      <w:r>
        <w:rPr>
          <w:rFonts w:ascii="Times New Roman" w:hAnsi="Times New Roman" w:cs="Times New Roman" w:eastAsia="Times New Roman" w:hint="default"/>
          <w:spacing w:val="8"/>
        </w:rPr>
        <w:t> </w:t>
      </w:r>
      <w:r>
        <w:rPr/>
        <w:t>体系的</w:t>
      </w:r>
      <w:r>
        <w:rPr>
          <w:w w:val="100"/>
        </w:rPr>
        <w:t> </w:t>
      </w:r>
      <w:r>
        <w:rPr/>
        <w:t>自主安全信息化数据中心建设，发掘超级计算在公司网络安全与信息化业务中的拓展作用。</w:t>
      </w:r>
    </w:p>
    <w:p>
      <w:pPr>
        <w:pStyle w:val="BodyText"/>
        <w:spacing w:line="369" w:lineRule="auto" w:before="85"/>
        <w:ind w:left="152" w:right="1133" w:firstLine="420"/>
        <w:jc w:val="left"/>
        <w:rPr>
          <w:rFonts w:ascii="宋体" w:hAnsi="宋体" w:cs="宋体" w:eastAsia="宋体" w:hint="default"/>
        </w:rPr>
      </w:pPr>
      <w:r>
        <w:rPr>
          <w:spacing w:val="-2"/>
        </w:rPr>
        <w:t>公司在上述技术领域的科技创新工作紧贴国家政策，按照中国电子集团发展规划为纲领有序开展，以</w:t>
      </w:r>
      <w:r>
        <w:rPr>
          <w:w w:val="100"/>
        </w:rPr>
        <w:t> </w:t>
      </w:r>
      <w:r>
        <w:rPr>
          <w:spacing w:val="-7"/>
          <w:w w:val="100"/>
        </w:rPr>
        <w:t>市场需求为导向，增强公司技术创新能力和产品竞争力，加速公司战略规划的实施和促进经济效益的提升。</w:t>
      </w:r>
      <w:r>
        <w:rPr>
          <w:rFonts w:ascii="宋体" w:hAnsi="宋体" w:cs="宋体" w:eastAsia="宋体" w:hint="default"/>
          <w:w w:val="100"/>
        </w:rPr>
        <w:t> </w:t>
      </w:r>
    </w:p>
    <w:p>
      <w:pPr>
        <w:spacing w:after="0" w:line="369" w:lineRule="auto"/>
        <w:jc w:val="left"/>
        <w:rPr>
          <w:rFonts w:ascii="宋体" w:hAnsi="宋体" w:cs="宋体" w:eastAsia="宋体" w:hint="default"/>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848"/>
        <w:gridCol w:w="1935"/>
        <w:gridCol w:w="1939"/>
        <w:gridCol w:w="1937"/>
      </w:tblGrid>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4,240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3,577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18.54%</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25.83%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5.41%</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966,755,960.63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749,470,258.62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28.99%</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8.92%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1.43%</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129,019,117.31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132,099,431.86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-2.33%</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-4.28%</w:t>
            </w:r>
          </w:p>
        </w:tc>
      </w:tr>
    </w:tbl>
    <w:p>
      <w:pPr>
        <w:spacing w:before="51"/>
        <w:ind w:left="152" w:right="113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57" w:lineRule="auto" w:before="117"/>
        <w:ind w:left="15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研发投入资本化率大幅变动的原因及其合理性说明</w:t>
      </w:r>
    </w:p>
    <w:p>
      <w:pPr>
        <w:spacing w:before="29"/>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left="152"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664"/>
        <w:gridCol w:w="2302"/>
        <w:gridCol w:w="2302"/>
        <w:gridCol w:w="2300"/>
      </w:tblGrid>
      <w:tr>
        <w:trPr>
          <w:trHeight w:val="401"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11,159,400,338.16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9,877,085,234.37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12.98%</w:t>
            </w:r>
          </w:p>
        </w:tc>
      </w:tr>
      <w:tr>
        <w:trPr>
          <w:trHeight w:val="401"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11,050,246,523.04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9,804,662,987.52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12.70%</w:t>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109,153,815.12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72,422,246.85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50.72%</w:t>
            </w:r>
          </w:p>
        </w:tc>
      </w:tr>
      <w:tr>
        <w:trPr>
          <w:trHeight w:val="401"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727,066,654.72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1,951,190,169.72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-62.74%</w:t>
            </w:r>
          </w:p>
        </w:tc>
      </w:tr>
      <w:tr>
        <w:trPr>
          <w:trHeight w:val="404"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1,824,811,793.15</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2,459,382,737.19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-25.80%</w:t>
            </w:r>
          </w:p>
        </w:tc>
      </w:tr>
      <w:tr>
        <w:trPr>
          <w:trHeight w:val="401"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-1,097,745,138.43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-508,192,567.47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5,855,694,852.64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3,576,616,715.46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63.72%</w:t>
            </w:r>
          </w:p>
        </w:tc>
      </w:tr>
      <w:tr>
        <w:trPr>
          <w:trHeight w:val="401"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4,264,757,407.12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2,878,743,782.39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48.15%</w:t>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1,590,937,445.52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697,872,933.07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127.97%</w:t>
            </w:r>
          </w:p>
        </w:tc>
      </w:tr>
      <w:tr>
        <w:trPr>
          <w:trHeight w:val="401"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596,310,676.42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278,108,766.60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114.42%</w:t>
            </w:r>
          </w:p>
        </w:tc>
      </w:tr>
    </w:tbl>
    <w:p>
      <w:pPr>
        <w:spacing w:before="51"/>
        <w:ind w:left="152"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57" w:lineRule="auto" w:before="117"/>
        <w:ind w:left="513" w:right="1129"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经营活动产生的现金流量净额较上年同期相比发生较大变动，主要是由于本报告期货款回款增加所致；投资活动产生的</w:t>
      </w:r>
    </w:p>
    <w:p>
      <w:pPr>
        <w:spacing w:line="22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现金流量净额较上年同期相比发生较大变动，主要是由于本报告期投资增加及理财产品到期结算收回减少所致；筹资活动产</w:t>
      </w:r>
    </w:p>
    <w:p>
      <w:pPr>
        <w:spacing w:line="338" w:lineRule="auto" w:before="77"/>
        <w:ind w:left="152" w:right="1129" w:firstLine="0"/>
        <w:jc w:val="left"/>
        <w:rPr>
          <w:rFonts w:ascii="宋体" w:hAnsi="宋体" w:cs="宋体" w:eastAsia="宋体" w:hint="default"/>
          <w:sz w:val="18"/>
          <w:szCs w:val="18"/>
        </w:rPr>
      </w:pPr>
      <w:r>
        <w:rPr>
          <w:rFonts w:ascii="宋体" w:hAnsi="宋体" w:cs="宋体" w:eastAsia="宋体" w:hint="default"/>
          <w:spacing w:val="-2"/>
          <w:sz w:val="18"/>
          <w:szCs w:val="18"/>
        </w:rPr>
        <w:t>生的现金流量净额较上年同期相比发生较大变动，主要是由于本报告期借款增加所致；现金及现金等价物净增加额较上年同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期相比发生较大变动，主要是由于本报告期货款回款增加及借款增加所致。</w:t>
      </w:r>
      <w:r>
        <w:rPr>
          <w:rFonts w:ascii="宋体" w:hAnsi="宋体" w:cs="宋体" w:eastAsia="宋体" w:hint="default"/>
          <w:sz w:val="18"/>
          <w:szCs w:val="18"/>
        </w:rPr>
        <w:t> 报告期内公司经营活动产生的现金净流量与本年度净利润存在重大差异的原因说明</w:t>
      </w:r>
    </w:p>
    <w:p>
      <w:pPr>
        <w:spacing w:before="43"/>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513" w:right="0" w:firstLine="0"/>
        <w:jc w:val="left"/>
        <w:rPr>
          <w:rFonts w:ascii="宋体" w:hAnsi="宋体" w:cs="宋体" w:eastAsia="宋体" w:hint="default"/>
          <w:sz w:val="18"/>
          <w:szCs w:val="18"/>
        </w:rPr>
      </w:pPr>
      <w:r>
        <w:rPr>
          <w:rFonts w:ascii="宋体" w:hAnsi="宋体" w:cs="宋体" w:eastAsia="宋体" w:hint="default"/>
          <w:sz w:val="18"/>
          <w:szCs w:val="18"/>
        </w:rPr>
        <w:t>报告期公司经营活动产生的现金流量净额为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10,915.38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万元，报告期净利润为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116,586.39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万元，存在差异的主要原因是：</w:t>
      </w:r>
    </w:p>
    <w:p>
      <w:pPr>
        <w:spacing w:before="84"/>
        <w:ind w:left="513" w:right="1133" w:firstLine="0"/>
        <w:jc w:val="left"/>
        <w:rPr>
          <w:rFonts w:ascii="宋体" w:hAnsi="宋体" w:cs="宋体" w:eastAsia="宋体" w:hint="default"/>
          <w:sz w:val="18"/>
          <w:szCs w:val="18"/>
        </w:rPr>
      </w:pPr>
      <w:r>
        <w:rPr>
          <w:rFonts w:ascii="宋体" w:hAnsi="宋体" w:cs="宋体" w:eastAsia="宋体" w:hint="default"/>
          <w:sz w:val="18"/>
          <w:szCs w:val="18"/>
        </w:rPr>
        <w:t>●信用减值损失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3,081.89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82"/>
        <w:ind w:left="513" w:right="1133" w:firstLine="0"/>
        <w:jc w:val="left"/>
        <w:rPr>
          <w:rFonts w:ascii="宋体" w:hAnsi="宋体" w:cs="宋体" w:eastAsia="宋体" w:hint="default"/>
          <w:sz w:val="18"/>
          <w:szCs w:val="18"/>
        </w:rPr>
      </w:pPr>
      <w:r>
        <w:rPr>
          <w:rFonts w:ascii="宋体" w:hAnsi="宋体" w:cs="宋体" w:eastAsia="宋体" w:hint="default"/>
          <w:sz w:val="18"/>
          <w:szCs w:val="18"/>
        </w:rPr>
        <w:t>●资产减值准备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7,617.46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before="44"/>
        <w:ind w:left="873" w:right="1120" w:firstLine="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18,239.95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82"/>
        <w:ind w:left="873" w:right="1120" w:firstLine="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4,011.35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spacing w:before="84"/>
        <w:ind w:left="873" w:right="1120" w:firstLine="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1,273.75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82"/>
        <w:ind w:left="873" w:right="1120" w:firstLine="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82"/>
        <w:ind w:left="873" w:right="1120" w:firstLine="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84"/>
        <w:ind w:left="873" w:right="1120" w:firstLine="0"/>
        <w:jc w:val="left"/>
        <w:rPr>
          <w:rFonts w:ascii="宋体" w:hAnsi="宋体" w:cs="宋体" w:eastAsia="宋体" w:hint="default"/>
          <w:sz w:val="18"/>
          <w:szCs w:val="18"/>
        </w:rPr>
      </w:pPr>
      <w:r>
        <w:rPr>
          <w:rFonts w:ascii="宋体" w:hAnsi="宋体" w:cs="宋体" w:eastAsia="宋体" w:hint="default"/>
          <w:sz w:val="18"/>
          <w:szCs w:val="18"/>
        </w:rPr>
        <w:t>●公允价值变动收益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27,937.12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82"/>
        <w:ind w:left="873" w:right="1120" w:firstLine="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82"/>
        <w:ind w:left="873" w:right="1120" w:firstLine="0"/>
        <w:jc w:val="left"/>
        <w:rPr>
          <w:rFonts w:ascii="宋体" w:hAnsi="宋体" w:cs="宋体" w:eastAsia="宋体" w:hint="default"/>
          <w:sz w:val="18"/>
          <w:szCs w:val="18"/>
        </w:rPr>
      </w:pPr>
      <w:r>
        <w:rPr>
          <w:rFonts w:ascii="宋体" w:hAnsi="宋体" w:cs="宋体" w:eastAsia="宋体" w:hint="default"/>
          <w:sz w:val="18"/>
          <w:szCs w:val="18"/>
        </w:rPr>
        <w:t>●投资收益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882.70 </w:t>
      </w:r>
      <w:r>
        <w:rPr>
          <w:rFonts w:ascii="宋体" w:hAnsi="宋体" w:cs="宋体" w:eastAsia="宋体" w:hint="default"/>
          <w:sz w:val="18"/>
          <w:szCs w:val="18"/>
        </w:rPr>
        <w:t>万元；</w:t>
      </w:r>
    </w:p>
    <w:p>
      <w:pPr>
        <w:spacing w:before="84"/>
        <w:ind w:left="873" w:right="1120" w:firstLine="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82"/>
        <w:ind w:left="873" w:right="1120" w:firstLine="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15,184.02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82"/>
        <w:ind w:left="873" w:right="1120" w:firstLine="0"/>
        <w:jc w:val="left"/>
        <w:rPr>
          <w:rFonts w:ascii="宋体" w:hAnsi="宋体" w:cs="宋体" w:eastAsia="宋体" w:hint="default"/>
          <w:sz w:val="18"/>
          <w:szCs w:val="18"/>
        </w:rPr>
      </w:pPr>
      <w:r>
        <w:rPr>
          <w:rFonts w:ascii="宋体" w:hAnsi="宋体" w:cs="宋体" w:eastAsia="宋体" w:hint="default"/>
          <w:sz w:val="18"/>
          <w:szCs w:val="18"/>
        </w:rPr>
        <w:t>●存货增加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25,173.95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84"/>
        <w:ind w:left="873" w:right="1120" w:firstLine="0"/>
        <w:jc w:val="left"/>
        <w:rPr>
          <w:rFonts w:ascii="宋体" w:hAnsi="宋体" w:cs="宋体" w:eastAsia="宋体" w:hint="default"/>
          <w:sz w:val="18"/>
          <w:szCs w:val="18"/>
        </w:rPr>
      </w:pPr>
      <w:r>
        <w:rPr>
          <w:rFonts w:ascii="宋体" w:hAnsi="宋体" w:cs="宋体" w:eastAsia="宋体" w:hint="default"/>
          <w:sz w:val="18"/>
          <w:szCs w:val="18"/>
        </w:rPr>
        <w:t>●经营性应收项目增加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184,374.65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82"/>
        <w:ind w:left="873" w:right="1120" w:firstLine="0"/>
        <w:jc w:val="left"/>
        <w:rPr>
          <w:rFonts w:ascii="宋体" w:hAnsi="宋体" w:cs="宋体" w:eastAsia="宋体" w:hint="default"/>
          <w:sz w:val="18"/>
          <w:szCs w:val="18"/>
        </w:rPr>
      </w:pPr>
      <w:r>
        <w:rPr>
          <w:rFonts w:ascii="宋体" w:hAnsi="宋体" w:cs="宋体" w:eastAsia="宋体" w:hint="default"/>
          <w:sz w:val="18"/>
          <w:szCs w:val="18"/>
        </w:rPr>
        <w:t>●经营性应付项目增加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69,262.10 </w:t>
      </w:r>
      <w:r>
        <w:rPr>
          <w:rFonts w:ascii="宋体" w:hAnsi="宋体" w:cs="宋体" w:eastAsia="宋体" w:hint="default"/>
          <w:sz w:val="18"/>
          <w:szCs w:val="18"/>
        </w:rPr>
        <w:t>万元。</w:t>
      </w:r>
      <w:r>
        <w:rPr>
          <w:rFonts w:ascii="宋体" w:hAnsi="宋体" w:cs="宋体" w:eastAsia="宋体" w:hint="default"/>
          <w:sz w:val="18"/>
          <w:szCs w:val="18"/>
        </w:rPr>
        <w:t> </w:t>
      </w:r>
    </w:p>
    <w:p>
      <w:pPr>
        <w:spacing w:line="240" w:lineRule="auto" w:before="6"/>
        <w:rPr>
          <w:rFonts w:ascii="宋体" w:hAnsi="宋体" w:cs="宋体" w:eastAsia="宋体" w:hint="default"/>
          <w:sz w:val="19"/>
          <w:szCs w:val="19"/>
        </w:rPr>
      </w:pPr>
    </w:p>
    <w:p>
      <w:pPr>
        <w:pStyle w:val="Heading4"/>
        <w:spacing w:line="240" w:lineRule="auto"/>
        <w:ind w:left="512" w:right="1120"/>
        <w:jc w:val="left"/>
        <w:rPr>
          <w:b w:val="0"/>
          <w:bCs w:val="0"/>
        </w:rPr>
      </w:pPr>
      <w:r>
        <w:rPr/>
        <w:t>三、非主营业务分析</w:t>
      </w:r>
      <w:r>
        <w:rPr>
          <w:b w:val="0"/>
          <w:bCs w:val="0"/>
        </w:rPr>
      </w:r>
    </w:p>
    <w:p>
      <w:pPr>
        <w:spacing w:line="240" w:lineRule="auto" w:before="6"/>
        <w:rPr>
          <w:rFonts w:ascii="宋体" w:hAnsi="宋体" w:cs="宋体" w:eastAsia="宋体" w:hint="default"/>
          <w:b/>
          <w:bCs/>
          <w:sz w:val="18"/>
          <w:szCs w:val="18"/>
        </w:rPr>
      </w:pPr>
    </w:p>
    <w:p>
      <w:pPr>
        <w:spacing w:before="44"/>
        <w:ind w:left="512" w:right="11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544" w:type="dxa"/>
        <w:tblLayout w:type="fixed"/>
        <w:tblCellMar>
          <w:top w:w="0" w:type="dxa"/>
          <w:left w:w="0" w:type="dxa"/>
          <w:bottom w:w="0" w:type="dxa"/>
          <w:right w:w="0" w:type="dxa"/>
        </w:tblCellMar>
        <w:tblLook w:val="01E0"/>
      </w:tblPr>
      <w:tblGrid>
        <w:gridCol w:w="1522"/>
        <w:gridCol w:w="1419"/>
        <w:gridCol w:w="1418"/>
        <w:gridCol w:w="3687"/>
        <w:gridCol w:w="1522"/>
      </w:tblGrid>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占利润总额比例</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8,827,041.99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0.65%</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279,371,153.85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20.69%</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交易性金融资产和投资性房地产公允价值变动</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-76,174,647.54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-5.64%</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14,621,814.51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1.08%</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核销无法支付的应付款项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11,400,182.44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 w:right="0"/>
              <w:jc w:val="center"/>
              <w:rPr>
                <w:rFonts w:ascii="Times New Roman" w:hAnsi="Times New Roman" w:cs="Times New Roman" w:eastAsia="Times New Roman" w:hint="default"/>
                <w:sz w:val="18"/>
                <w:szCs w:val="18"/>
              </w:rPr>
            </w:pPr>
            <w:r>
              <w:rPr>
                <w:rFonts w:ascii="Times New Roman"/>
                <w:sz w:val="18"/>
              </w:rPr>
              <w:t>0.84%</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产品质量赔偿金和非流动资产毁损报废损失</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13"/>
          <w:szCs w:val="13"/>
        </w:rPr>
      </w:pPr>
    </w:p>
    <w:p>
      <w:pPr>
        <w:pStyle w:val="Heading4"/>
        <w:spacing w:line="240" w:lineRule="auto" w:before="26"/>
        <w:ind w:left="512" w:right="1120"/>
        <w:jc w:val="left"/>
        <w:rPr>
          <w:b w:val="0"/>
          <w:bCs w:val="0"/>
        </w:rPr>
      </w:pPr>
      <w:r>
        <w:rPr/>
        <w:t>四、资产及负债状况</w:t>
      </w:r>
      <w:r>
        <w:rPr>
          <w:b w:val="0"/>
          <w:bCs w:val="0"/>
        </w:rPr>
      </w:r>
    </w:p>
    <w:p>
      <w:pPr>
        <w:spacing w:line="240" w:lineRule="auto" w:before="2"/>
        <w:rPr>
          <w:rFonts w:ascii="宋体" w:hAnsi="宋体" w:cs="宋体" w:eastAsia="宋体" w:hint="default"/>
          <w:b/>
          <w:bCs/>
          <w:sz w:val="18"/>
          <w:szCs w:val="18"/>
        </w:rPr>
      </w:pPr>
    </w:p>
    <w:p>
      <w:pPr>
        <w:pStyle w:val="Heading4"/>
        <w:spacing w:line="240" w:lineRule="auto"/>
        <w:ind w:left="512" w:right="112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89" w:footer="975" w:top="1100" w:bottom="1160" w:left="620" w:right="0"/>
        </w:sectPr>
      </w:pPr>
    </w:p>
    <w:p>
      <w:pPr>
        <w:spacing w:before="44"/>
        <w:ind w:left="512" w:right="-16"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512" w:right="-1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50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700" w:left="620" w:right="0"/>
          <w:cols w:num="2" w:equalWidth="0">
            <w:col w:w="8886" w:space="40"/>
            <w:col w:w="2364"/>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24"/>
        <w:gridCol w:w="1418"/>
        <w:gridCol w:w="850"/>
        <w:gridCol w:w="1418"/>
        <w:gridCol w:w="850"/>
        <w:gridCol w:w="850"/>
        <w:gridCol w:w="3826"/>
      </w:tblGrid>
      <w:tr>
        <w:trPr>
          <w:trHeight w:val="390" w:hRule="exact"/>
        </w:trPr>
        <w:tc>
          <w:tcPr>
            <w:tcW w:w="1224" w:type="dxa"/>
            <w:vMerge w:val="restart"/>
            <w:tcBorders>
              <w:top w:val="single" w:sz="4" w:space="0" w:color="000000"/>
              <w:left w:val="single" w:sz="4" w:space="0" w:color="000000"/>
              <w:right w:val="single" w:sz="4" w:space="0" w:color="000000"/>
            </w:tcBorders>
            <w:shd w:val="clear" w:color="auto" w:fill="D2D2D2"/>
          </w:tcPr>
          <w:p>
            <w:pP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7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7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701" w:hRule="exact"/>
        </w:trPr>
        <w:tc>
          <w:tcPr>
            <w:tcW w:w="122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239" w:right="5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239" w:right="5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比重增减</w:t>
            </w:r>
          </w:p>
        </w:tc>
        <w:tc>
          <w:tcPr>
            <w:tcW w:w="382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2"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3,979,276,595.36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1" w:right="0"/>
              <w:jc w:val="left"/>
              <w:rPr>
                <w:rFonts w:ascii="Times New Roman" w:hAnsi="Times New Roman" w:cs="Times New Roman" w:eastAsia="Times New Roman" w:hint="default"/>
                <w:sz w:val="18"/>
                <w:szCs w:val="18"/>
              </w:rPr>
            </w:pPr>
            <w:r>
              <w:rPr>
                <w:rFonts w:ascii="Times New Roman"/>
                <w:sz w:val="18"/>
              </w:rPr>
              <w:t>18.36%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3,395,465,223.99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1" w:right="0"/>
              <w:jc w:val="left"/>
              <w:rPr>
                <w:rFonts w:ascii="Times New Roman" w:hAnsi="Times New Roman" w:cs="Times New Roman" w:eastAsia="Times New Roman" w:hint="default"/>
                <w:sz w:val="18"/>
                <w:szCs w:val="18"/>
              </w:rPr>
            </w:pPr>
            <w:r>
              <w:rPr>
                <w:rFonts w:ascii="Times New Roman"/>
                <w:sz w:val="18"/>
              </w:rPr>
              <w:t>20.03%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-1.67%</w:t>
            </w:r>
          </w:p>
        </w:tc>
        <w:tc>
          <w:tcPr>
            <w:tcW w:w="38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22"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3,012,407,025.01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left"/>
              <w:rPr>
                <w:rFonts w:ascii="Times New Roman" w:hAnsi="Times New Roman" w:cs="Times New Roman" w:eastAsia="Times New Roman" w:hint="default"/>
                <w:sz w:val="18"/>
                <w:szCs w:val="18"/>
              </w:rPr>
            </w:pPr>
            <w:r>
              <w:rPr>
                <w:rFonts w:ascii="Times New Roman"/>
                <w:sz w:val="18"/>
              </w:rPr>
              <w:t>13.90%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2,962,065,462.06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left"/>
              <w:rPr>
                <w:rFonts w:ascii="Times New Roman" w:hAnsi="Times New Roman" w:cs="Times New Roman" w:eastAsia="Times New Roman" w:hint="default"/>
                <w:sz w:val="18"/>
                <w:szCs w:val="18"/>
              </w:rPr>
            </w:pPr>
            <w:r>
              <w:rPr>
                <w:rFonts w:ascii="Times New Roman"/>
                <w:sz w:val="18"/>
              </w:rPr>
              <w:t>17.48%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-3.58%</w:t>
            </w:r>
          </w:p>
        </w:tc>
        <w:tc>
          <w:tcPr>
            <w:tcW w:w="3826" w:type="dxa"/>
            <w:vMerge/>
            <w:tcBorders>
              <w:left w:val="single" w:sz="4" w:space="0" w:color="000000"/>
              <w:bottom w:val="single" w:sz="4" w:space="0" w:color="000000"/>
              <w:right w:val="single" w:sz="4" w:space="0" w:color="000000"/>
            </w:tcBorders>
          </w:tcPr>
          <w:p>
            <w:pP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3,642,039,493.12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16.81%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1,984,172,857.87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11.71%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5.10%</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32"/>
              <w:jc w:val="left"/>
              <w:rPr>
                <w:rFonts w:ascii="宋体" w:hAnsi="宋体" w:cs="宋体" w:eastAsia="宋体" w:hint="default"/>
                <w:sz w:val="18"/>
                <w:szCs w:val="18"/>
              </w:rPr>
            </w:pPr>
            <w:r>
              <w:rPr>
                <w:rFonts w:ascii="宋体" w:hAnsi="宋体" w:cs="宋体" w:eastAsia="宋体" w:hint="default"/>
                <w:sz w:val="18"/>
                <w:szCs w:val="18"/>
              </w:rPr>
              <w:t>主要是公司中电长城大厦项目竣工后按持有目的 类型转入存货所致</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2,774,996,188.59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12.81%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1,758,671,860.90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10.38%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2.43%</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32"/>
              <w:jc w:val="left"/>
              <w:rPr>
                <w:rFonts w:ascii="宋体" w:hAnsi="宋体" w:cs="宋体" w:eastAsia="宋体" w:hint="default"/>
                <w:sz w:val="18"/>
                <w:szCs w:val="18"/>
              </w:rPr>
            </w:pPr>
            <w:r>
              <w:rPr>
                <w:rFonts w:ascii="宋体" w:hAnsi="宋体" w:cs="宋体" w:eastAsia="宋体" w:hint="default"/>
                <w:sz w:val="18"/>
                <w:szCs w:val="18"/>
              </w:rPr>
              <w:t>主要是公司中电长城大厦项目竣工后按持有目的 类型转入投资性房地产所致</w:t>
            </w:r>
          </w:p>
        </w:tc>
      </w:tr>
      <w:tr>
        <w:trPr>
          <w:trHeight w:val="324"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647,687,326.61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2.99%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313,773,928.61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1.85%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1.14%</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主要是新增联营企业投资所致</w:t>
            </w:r>
          </w:p>
        </w:tc>
      </w:tr>
    </w:tbl>
    <w:p>
      <w:pPr>
        <w:spacing w:after="0" w:line="240" w:lineRule="auto"/>
        <w:jc w:val="left"/>
        <w:rPr>
          <w:rFonts w:ascii="宋体" w:hAnsi="宋体" w:cs="宋体" w:eastAsia="宋体" w:hint="default"/>
          <w:sz w:val="18"/>
          <w:szCs w:val="18"/>
        </w:rPr>
        <w:sectPr>
          <w:type w:val="continuous"/>
          <w:pgSz w:w="11910" w:h="16840"/>
          <w:pgMar w:top="1100" w:bottom="700" w:left="620" w:right="0"/>
        </w:sectPr>
      </w:pPr>
    </w:p>
    <w:p>
      <w:pPr>
        <w:spacing w:line="240" w:lineRule="auto" w:before="2"/>
        <w:rPr>
          <w:rFonts w:ascii="宋体" w:hAnsi="宋体" w:cs="宋体" w:eastAsia="宋体" w:hint="default"/>
          <w:sz w:val="25"/>
          <w:szCs w:val="25"/>
        </w:rPr>
      </w:pPr>
    </w:p>
    <w:tbl>
      <w:tblPr>
        <w:tblW w:w="0" w:type="auto"/>
        <w:jc w:val="left"/>
        <w:tblInd w:w="529" w:type="dxa"/>
        <w:tblLayout w:type="fixed"/>
        <w:tblCellMar>
          <w:top w:w="0" w:type="dxa"/>
          <w:left w:w="0" w:type="dxa"/>
          <w:bottom w:w="0" w:type="dxa"/>
          <w:right w:w="0" w:type="dxa"/>
        </w:tblCellMar>
        <w:tblLook w:val="01E0"/>
      </w:tblPr>
      <w:tblGrid>
        <w:gridCol w:w="1224"/>
        <w:gridCol w:w="1418"/>
        <w:gridCol w:w="850"/>
        <w:gridCol w:w="1418"/>
        <w:gridCol w:w="850"/>
        <w:gridCol w:w="850"/>
        <w:gridCol w:w="3826"/>
      </w:tblGrid>
      <w:tr>
        <w:trPr>
          <w:trHeight w:val="634"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2,781,574,403.89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12.84%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1,927,309,832.29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11.37%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1.46%</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 w:right="32"/>
              <w:jc w:val="left"/>
              <w:rPr>
                <w:rFonts w:ascii="宋体" w:hAnsi="宋体" w:cs="宋体" w:eastAsia="宋体" w:hint="default"/>
                <w:sz w:val="18"/>
                <w:szCs w:val="18"/>
              </w:rPr>
            </w:pPr>
            <w:r>
              <w:rPr>
                <w:rFonts w:ascii="宋体" w:hAnsi="宋体" w:cs="宋体" w:eastAsia="宋体" w:hint="default"/>
                <w:sz w:val="18"/>
                <w:szCs w:val="18"/>
              </w:rPr>
              <w:t>主要是在建工程竣工验收及投资性房地产转换用 途转入固定资产所致</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376,463,927.65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2,208,899,418.95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13.03%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-11.30%</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32"/>
              <w:jc w:val="left"/>
              <w:rPr>
                <w:rFonts w:ascii="宋体" w:hAnsi="宋体" w:cs="宋体" w:eastAsia="宋体" w:hint="default"/>
                <w:sz w:val="18"/>
                <w:szCs w:val="18"/>
              </w:rPr>
            </w:pPr>
            <w:r>
              <w:rPr>
                <w:rFonts w:ascii="宋体" w:hAnsi="宋体" w:cs="宋体" w:eastAsia="宋体" w:hint="default"/>
                <w:sz w:val="18"/>
                <w:szCs w:val="18"/>
              </w:rPr>
              <w:t>主要是公司中电长城大厦项目竣工后按持有目的 不同转入存货和投资性房地产所致</w:t>
            </w:r>
          </w:p>
        </w:tc>
      </w:tr>
      <w:tr>
        <w:trPr>
          <w:trHeight w:val="322"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3,954,600,892.89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left"/>
              <w:rPr>
                <w:rFonts w:ascii="Times New Roman" w:hAnsi="Times New Roman" w:cs="Times New Roman" w:eastAsia="Times New Roman" w:hint="default"/>
                <w:sz w:val="18"/>
                <w:szCs w:val="18"/>
              </w:rPr>
            </w:pPr>
            <w:r>
              <w:rPr>
                <w:rFonts w:ascii="Times New Roman"/>
                <w:sz w:val="18"/>
              </w:rPr>
              <w:t>18.25%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2,023,011,798.95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6" w:right="0"/>
              <w:jc w:val="left"/>
              <w:rPr>
                <w:rFonts w:ascii="Times New Roman" w:hAnsi="Times New Roman" w:cs="Times New Roman" w:eastAsia="Times New Roman" w:hint="default"/>
                <w:sz w:val="18"/>
                <w:szCs w:val="18"/>
              </w:rPr>
            </w:pPr>
            <w:r>
              <w:rPr>
                <w:rFonts w:ascii="Times New Roman"/>
                <w:sz w:val="18"/>
              </w:rPr>
              <w:t>11.94%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6.31%</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主要是本期流动资金贷款增加所致</w:t>
            </w:r>
          </w:p>
        </w:tc>
      </w:tr>
      <w:tr>
        <w:trPr>
          <w:trHeight w:val="324"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2,207,104,307.23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1" w:right="0"/>
              <w:jc w:val="left"/>
              <w:rPr>
                <w:rFonts w:ascii="Times New Roman" w:hAnsi="Times New Roman" w:cs="Times New Roman" w:eastAsia="Times New Roman" w:hint="default"/>
                <w:sz w:val="18"/>
                <w:szCs w:val="18"/>
              </w:rPr>
            </w:pPr>
            <w:r>
              <w:rPr>
                <w:rFonts w:ascii="Times New Roman"/>
                <w:sz w:val="18"/>
              </w:rPr>
              <w:t>10.18%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1,243,584,695.47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7" w:right="0"/>
              <w:jc w:val="left"/>
              <w:rPr>
                <w:rFonts w:ascii="Times New Roman" w:hAnsi="Times New Roman" w:cs="Times New Roman" w:eastAsia="Times New Roman" w:hint="default"/>
                <w:sz w:val="18"/>
                <w:szCs w:val="18"/>
              </w:rPr>
            </w:pPr>
            <w:r>
              <w:rPr>
                <w:rFonts w:ascii="Times New Roman"/>
                <w:sz w:val="18"/>
              </w:rPr>
              <w:t>7.34%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 w:right="0"/>
              <w:jc w:val="center"/>
              <w:rPr>
                <w:rFonts w:ascii="Times New Roman" w:hAnsi="Times New Roman" w:cs="Times New Roman" w:eastAsia="Times New Roman" w:hint="default"/>
                <w:sz w:val="18"/>
                <w:szCs w:val="18"/>
              </w:rPr>
            </w:pPr>
            <w:r>
              <w:rPr>
                <w:rFonts w:ascii="Times New Roman"/>
                <w:sz w:val="18"/>
              </w:rPr>
              <w:t>2.85%</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主要是本期长期借款增加所致</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130"/>
              <w:jc w:val="left"/>
              <w:rPr>
                <w:rFonts w:ascii="宋体" w:hAnsi="宋体" w:cs="宋体" w:eastAsia="宋体" w:hint="default"/>
                <w:sz w:val="18"/>
                <w:szCs w:val="18"/>
              </w:rPr>
            </w:pPr>
            <w:r>
              <w:rPr>
                <w:rFonts w:ascii="宋体" w:hAnsi="宋体" w:cs="宋体" w:eastAsia="宋体" w:hint="default"/>
                <w:sz w:val="18"/>
                <w:szCs w:val="18"/>
              </w:rPr>
              <w:t>交易性金融资 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418,768,388.48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218,512,285.41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0.64%</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32"/>
              <w:jc w:val="left"/>
              <w:rPr>
                <w:rFonts w:ascii="宋体" w:hAnsi="宋体" w:cs="宋体" w:eastAsia="宋体" w:hint="default"/>
                <w:sz w:val="18"/>
                <w:szCs w:val="18"/>
              </w:rPr>
            </w:pPr>
            <w:r>
              <w:rPr>
                <w:rFonts w:ascii="宋体" w:hAnsi="宋体" w:cs="宋体" w:eastAsia="宋体" w:hint="default"/>
                <w:sz w:val="18"/>
                <w:szCs w:val="18"/>
              </w:rPr>
              <w:t>主要是本期公允价值变动及理财产品投资增加所 致</w:t>
            </w:r>
          </w:p>
        </w:tc>
      </w:tr>
      <w:tr>
        <w:trPr>
          <w:trHeight w:val="32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1,518,091,014.75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7.01%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754,922,504.48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4.45%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2.55%</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主要是子公司以票据结算货款方式增加所致</w:t>
            </w:r>
          </w:p>
        </w:tc>
      </w:tr>
      <w:tr>
        <w:trPr>
          <w:trHeight w:val="32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1,211,495,154.18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5.59%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219,350,720.55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1.29%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4.30%</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主要是子公司预付货款增加所致</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90,835,520.28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64,216,862.12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0.04%</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32"/>
              <w:jc w:val="left"/>
              <w:rPr>
                <w:rFonts w:ascii="宋体" w:hAnsi="宋体" w:cs="宋体" w:eastAsia="宋体" w:hint="default"/>
                <w:sz w:val="18"/>
                <w:szCs w:val="18"/>
              </w:rPr>
            </w:pPr>
            <w:r>
              <w:rPr>
                <w:rFonts w:ascii="宋体" w:hAnsi="宋体" w:cs="宋体" w:eastAsia="宋体" w:hint="default"/>
                <w:sz w:val="18"/>
                <w:szCs w:val="18"/>
              </w:rPr>
              <w:t>主要是子公司应收其他业务款项及保证金押金增 加所致</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 w:right="130"/>
              <w:jc w:val="left"/>
              <w:rPr>
                <w:rFonts w:ascii="宋体" w:hAnsi="宋体" w:cs="宋体" w:eastAsia="宋体" w:hint="default"/>
                <w:sz w:val="18"/>
                <w:szCs w:val="18"/>
              </w:rPr>
            </w:pPr>
            <w:r>
              <w:rPr>
                <w:rFonts w:ascii="宋体" w:hAnsi="宋体" w:cs="宋体" w:eastAsia="宋体" w:hint="default"/>
                <w:sz w:val="18"/>
                <w:szCs w:val="18"/>
              </w:rPr>
              <w:t>一年内到期的 非流动资产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18,968,121.42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0.09%</w:t>
            </w:r>
          </w:p>
        </w:tc>
        <w:tc>
          <w:tcPr>
            <w:tcW w:w="38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主要是子公司转入了一年内到期的债券投资所致</w:t>
            </w:r>
          </w:p>
        </w:tc>
      </w:tr>
      <w:tr>
        <w:trPr>
          <w:trHeight w:val="32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9,251,878.55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7" w:right="0"/>
              <w:jc w:val="left"/>
              <w:rPr>
                <w:rFonts w:ascii="Times New Roman" w:hAnsi="Times New Roman" w:cs="Times New Roman" w:eastAsia="Times New Roman" w:hint="default"/>
                <w:sz w:val="18"/>
                <w:szCs w:val="18"/>
              </w:rPr>
            </w:pPr>
            <w:r>
              <w:rPr>
                <w:rFonts w:ascii="Times New Roman"/>
                <w:sz w:val="18"/>
              </w:rPr>
              <w:t>0.04%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28,081,425.01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7" w:right="0"/>
              <w:jc w:val="left"/>
              <w:rPr>
                <w:rFonts w:ascii="Times New Roman" w:hAnsi="Times New Roman" w:cs="Times New Roman" w:eastAsia="Times New Roman" w:hint="default"/>
                <w:sz w:val="18"/>
                <w:szCs w:val="18"/>
              </w:rPr>
            </w:pPr>
            <w:r>
              <w:rPr>
                <w:rFonts w:ascii="Times New Roman"/>
                <w:sz w:val="18"/>
              </w:rPr>
              <w:t>0.17%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-0.12%</w:t>
            </w:r>
          </w:p>
        </w:tc>
        <w:tc>
          <w:tcPr>
            <w:tcW w:w="3826" w:type="dxa"/>
            <w:vMerge/>
            <w:tcBorders>
              <w:left w:val="single" w:sz="4" w:space="0" w:color="000000"/>
              <w:bottom w:val="single" w:sz="4" w:space="0" w:color="000000"/>
              <w:right w:val="single" w:sz="4" w:space="0" w:color="000000"/>
            </w:tcBorders>
          </w:tcPr>
          <w:p>
            <w:pPr/>
          </w:p>
        </w:tc>
      </w:tr>
      <w:tr>
        <w:trPr>
          <w:trHeight w:val="32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129,920,481.21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0.60%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95,325,375.40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0.56%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0.04%</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主要是子公司预缴税金增加所致</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130"/>
              <w:jc w:val="left"/>
              <w:rPr>
                <w:rFonts w:ascii="宋体" w:hAnsi="宋体" w:cs="宋体" w:eastAsia="宋体" w:hint="default"/>
                <w:sz w:val="18"/>
                <w:szCs w:val="18"/>
              </w:rPr>
            </w:pPr>
            <w:r>
              <w:rPr>
                <w:rFonts w:ascii="宋体" w:hAnsi="宋体" w:cs="宋体" w:eastAsia="宋体" w:hint="default"/>
                <w:sz w:val="18"/>
                <w:szCs w:val="18"/>
              </w:rPr>
              <w:t>其他非流动资 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180,820,551.63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120,016,886.26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0.13%</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主要是子公司预付固定资产款增加所致</w:t>
            </w:r>
          </w:p>
        </w:tc>
      </w:tr>
      <w:tr>
        <w:trPr>
          <w:trHeight w:val="32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2,861,896,218.31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left"/>
              <w:rPr>
                <w:rFonts w:ascii="Times New Roman" w:hAnsi="Times New Roman" w:cs="Times New Roman" w:eastAsia="Times New Roman" w:hint="default"/>
                <w:sz w:val="18"/>
                <w:szCs w:val="18"/>
              </w:rPr>
            </w:pPr>
            <w:r>
              <w:rPr>
                <w:rFonts w:ascii="Times New Roman"/>
                <w:sz w:val="18"/>
              </w:rPr>
              <w:t>13.21%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2,147,640,016.23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left"/>
              <w:rPr>
                <w:rFonts w:ascii="Times New Roman" w:hAnsi="Times New Roman" w:cs="Times New Roman" w:eastAsia="Times New Roman" w:hint="default"/>
                <w:sz w:val="18"/>
                <w:szCs w:val="18"/>
              </w:rPr>
            </w:pPr>
            <w:r>
              <w:rPr>
                <w:rFonts w:ascii="Times New Roman"/>
                <w:sz w:val="18"/>
              </w:rPr>
              <w:t>12.67%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0.53%</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主要是子公司备货增加导致应付采购款增加所致</w:t>
            </w:r>
          </w:p>
        </w:tc>
      </w:tr>
      <w:tr>
        <w:trPr>
          <w:trHeight w:val="32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293,987,598.79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1.36%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146,425,887.90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0.86%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0.49%</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主要是公司预收房产处置款所致</w:t>
            </w:r>
          </w:p>
        </w:tc>
      </w:tr>
      <w:tr>
        <w:trPr>
          <w:trHeight w:val="32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141,226,158.12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0.65%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304,108,228.42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1.79%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-1.14%</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主要是支付了前期的应交税费所致</w:t>
            </w:r>
          </w:p>
        </w:tc>
      </w:tr>
      <w:tr>
        <w:trPr>
          <w:trHeight w:val="32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1,171,052,210.63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7" w:right="0"/>
              <w:jc w:val="left"/>
              <w:rPr>
                <w:rFonts w:ascii="Times New Roman" w:hAnsi="Times New Roman" w:cs="Times New Roman" w:eastAsia="Times New Roman" w:hint="default"/>
                <w:sz w:val="18"/>
                <w:szCs w:val="18"/>
              </w:rPr>
            </w:pPr>
            <w:r>
              <w:rPr>
                <w:rFonts w:ascii="Times New Roman"/>
                <w:sz w:val="18"/>
              </w:rPr>
              <w:t>5.40%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767,881,000.94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7" w:right="0"/>
              <w:jc w:val="left"/>
              <w:rPr>
                <w:rFonts w:ascii="Times New Roman" w:hAnsi="Times New Roman" w:cs="Times New Roman" w:eastAsia="Times New Roman" w:hint="default"/>
                <w:sz w:val="18"/>
                <w:szCs w:val="18"/>
              </w:rPr>
            </w:pPr>
            <w:r>
              <w:rPr>
                <w:rFonts w:ascii="Times New Roman"/>
                <w:sz w:val="18"/>
              </w:rPr>
              <w:t>4.53%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 w:right="0"/>
              <w:jc w:val="center"/>
              <w:rPr>
                <w:rFonts w:ascii="Times New Roman" w:hAnsi="Times New Roman" w:cs="Times New Roman" w:eastAsia="Times New Roman" w:hint="default"/>
                <w:sz w:val="18"/>
                <w:szCs w:val="18"/>
              </w:rPr>
            </w:pPr>
            <w:r>
              <w:rPr>
                <w:rFonts w:ascii="Times New Roman"/>
                <w:sz w:val="18"/>
              </w:rPr>
              <w:t>0.87%</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主要是应付设备款及工程款增加所致</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130"/>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784,000,000.00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-4.58%</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主要是偿还了一年内到期的长期借款所致</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 w:right="130"/>
              <w:jc w:val="left"/>
              <w:rPr>
                <w:rFonts w:ascii="宋体" w:hAnsi="宋体" w:cs="宋体" w:eastAsia="宋体" w:hint="default"/>
                <w:sz w:val="18"/>
                <w:szCs w:val="18"/>
              </w:rPr>
            </w:pPr>
            <w:r>
              <w:rPr>
                <w:rFonts w:ascii="宋体" w:hAnsi="宋体" w:cs="宋体" w:eastAsia="宋体" w:hint="default"/>
                <w:sz w:val="18"/>
                <w:szCs w:val="18"/>
              </w:rPr>
              <w:t>长期应付职工 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490,191.34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721,678.96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0.00%</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主要是本期内退人员辞退福利摊销所致</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130"/>
              <w:jc w:val="left"/>
              <w:rPr>
                <w:rFonts w:ascii="宋体" w:hAnsi="宋体" w:cs="宋体" w:eastAsia="宋体" w:hint="default"/>
                <w:sz w:val="18"/>
                <w:szCs w:val="18"/>
              </w:rPr>
            </w:pPr>
            <w:r>
              <w:rPr>
                <w:rFonts w:ascii="宋体" w:hAnsi="宋体" w:cs="宋体" w:eastAsia="宋体" w:hint="default"/>
                <w:sz w:val="18"/>
                <w:szCs w:val="18"/>
              </w:rPr>
              <w:t>递延所得税负 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369,224,159.00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155,986,388.98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0.78%</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32"/>
              <w:jc w:val="left"/>
              <w:rPr>
                <w:rFonts w:ascii="宋体" w:hAnsi="宋体" w:cs="宋体" w:eastAsia="宋体" w:hint="default"/>
                <w:sz w:val="18"/>
                <w:szCs w:val="18"/>
              </w:rPr>
            </w:pPr>
            <w:r>
              <w:rPr>
                <w:rFonts w:ascii="宋体" w:hAnsi="宋体" w:cs="宋体" w:eastAsia="宋体" w:hint="default"/>
                <w:sz w:val="18"/>
                <w:szCs w:val="18"/>
              </w:rPr>
              <w:t>主要是交易性金融资产和投资性房地产公允价值 变动而相应计提增加所致</w:t>
            </w:r>
          </w:p>
        </w:tc>
      </w:tr>
      <w:tr>
        <w:trPr>
          <w:trHeight w:val="32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7,983,507.00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-0.05%</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主要是业绩补偿股份的回购注销所致</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364,356,267.03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-10,705,170.77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1.74%</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32"/>
              <w:jc w:val="left"/>
              <w:rPr>
                <w:rFonts w:ascii="宋体" w:hAnsi="宋体" w:cs="宋体" w:eastAsia="宋体" w:hint="default"/>
                <w:sz w:val="18"/>
                <w:szCs w:val="18"/>
              </w:rPr>
            </w:pPr>
            <w:r>
              <w:rPr>
                <w:rFonts w:ascii="宋体" w:hAnsi="宋体" w:cs="宋体" w:eastAsia="宋体" w:hint="default"/>
                <w:sz w:val="18"/>
                <w:szCs w:val="18"/>
              </w:rPr>
              <w:t>主要是房产用途改变转至投资性房地产并按转换 日公允价值确认所致</w:t>
            </w:r>
          </w:p>
        </w:tc>
      </w:tr>
      <w:tr>
        <w:trPr>
          <w:trHeight w:val="32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2,784,004.95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7" w:right="0"/>
              <w:jc w:val="left"/>
              <w:rPr>
                <w:rFonts w:ascii="Times New Roman" w:hAnsi="Times New Roman" w:cs="Times New Roman" w:eastAsia="Times New Roman" w:hint="default"/>
                <w:sz w:val="18"/>
                <w:szCs w:val="18"/>
              </w:rPr>
            </w:pPr>
            <w:r>
              <w:rPr>
                <w:rFonts w:ascii="Times New Roman"/>
                <w:sz w:val="18"/>
              </w:rPr>
              <w:t>0.01%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1,235,782.10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7" w:right="0"/>
              <w:jc w:val="left"/>
              <w:rPr>
                <w:rFonts w:ascii="Times New Roman" w:hAnsi="Times New Roman" w:cs="Times New Roman" w:eastAsia="Times New Roman" w:hint="default"/>
                <w:sz w:val="18"/>
                <w:szCs w:val="18"/>
              </w:rPr>
            </w:pPr>
            <w:r>
              <w:rPr>
                <w:rFonts w:ascii="Times New Roman"/>
                <w:sz w:val="18"/>
              </w:rPr>
              <w:t>0.01%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 w:right="0"/>
              <w:jc w:val="center"/>
              <w:rPr>
                <w:rFonts w:ascii="Times New Roman" w:hAnsi="Times New Roman" w:cs="Times New Roman" w:eastAsia="Times New Roman" w:hint="default"/>
                <w:sz w:val="18"/>
                <w:szCs w:val="18"/>
              </w:rPr>
            </w:pPr>
            <w:r>
              <w:rPr>
                <w:rFonts w:ascii="Times New Roman"/>
                <w:sz w:val="18"/>
              </w:rPr>
              <w:t>0.01%</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主要是子公司计提的专项储备增加所致</w:t>
            </w:r>
          </w:p>
        </w:tc>
      </w:tr>
    </w:tbl>
    <w:p>
      <w:pPr>
        <w:pStyle w:val="Heading4"/>
        <w:spacing w:line="240" w:lineRule="auto" w:before="82"/>
        <w:ind w:left="932" w:right="6794"/>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7"/>
          <w:szCs w:val="7"/>
        </w:rPr>
      </w:pPr>
    </w:p>
    <w:p>
      <w:pPr>
        <w:spacing w:before="44"/>
        <w:ind w:left="93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791"/>
        <w:gridCol w:w="1361"/>
        <w:gridCol w:w="1265"/>
        <w:gridCol w:w="1358"/>
        <w:gridCol w:w="785"/>
        <w:gridCol w:w="1217"/>
        <w:gridCol w:w="1201"/>
        <w:gridCol w:w="926"/>
        <w:gridCol w:w="1390"/>
      </w:tblGrid>
      <w:tr>
        <w:trPr>
          <w:trHeight w:val="716"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6" w:right="87"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4" w:right="41"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7" w:right="27"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5"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9503" w:type="dxa"/>
            <w:gridSpan w:val="8"/>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交易性金融资产（不</w:t>
            </w:r>
            <w:r>
              <w:rPr>
                <w:rFonts w:ascii="宋体" w:hAnsi="宋体" w:cs="宋体" w:eastAsia="宋体" w:hint="default"/>
                <w:sz w:val="18"/>
                <w:szCs w:val="18"/>
              </w:rPr>
              <w:t> 含衍生金融资产）</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200,988,285.41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71,432,138.70</w:t>
            </w:r>
          </w:p>
        </w:tc>
        <w:tc>
          <w:tcPr>
            <w:tcW w:w="13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626,000,000.00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475,000,000.00</w:t>
            </w:r>
          </w:p>
        </w:tc>
        <w:tc>
          <w:tcPr>
            <w:tcW w:w="92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400,852,788.48</w:t>
            </w:r>
          </w:p>
        </w:tc>
      </w:tr>
      <w:tr>
        <w:trPr>
          <w:trHeight w:val="40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17,524,000.00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17,915,600.00</w:t>
            </w:r>
          </w:p>
        </w:tc>
      </w:tr>
    </w:tbl>
    <w:p>
      <w:pPr>
        <w:spacing w:after="0" w:line="240" w:lineRule="auto"/>
        <w:jc w:val="right"/>
        <w:rPr>
          <w:rFonts w:ascii="Times New Roman" w:hAnsi="Times New Roman" w:cs="Times New Roman" w:eastAsia="Times New Roman" w:hint="default"/>
          <w:sz w:val="18"/>
          <w:szCs w:val="18"/>
        </w:rPr>
        <w:sectPr>
          <w:pgSz w:w="11910" w:h="16840"/>
          <w:pgMar w:header="789" w:footer="975" w:top="1100" w:bottom="1160" w:left="200" w:right="0"/>
        </w:sectPr>
      </w:pPr>
    </w:p>
    <w:p>
      <w:pPr>
        <w:spacing w:line="240" w:lineRule="auto" w:before="2"/>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1791"/>
        <w:gridCol w:w="1361"/>
        <w:gridCol w:w="1265"/>
        <w:gridCol w:w="1358"/>
        <w:gridCol w:w="785"/>
        <w:gridCol w:w="1217"/>
        <w:gridCol w:w="1201"/>
        <w:gridCol w:w="926"/>
        <w:gridCol w:w="1390"/>
      </w:tblGrid>
      <w:tr>
        <w:trPr>
          <w:trHeight w:val="40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其他债权投资</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28,081,425.01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-357,024.84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-1,535,757.59</w:t>
            </w:r>
          </w:p>
        </w:tc>
        <w:tc>
          <w:tcPr>
            <w:tcW w:w="78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28,219,999.97</w:t>
            </w:r>
          </w:p>
        </w:tc>
      </w:tr>
      <w:tr>
        <w:trPr>
          <w:trHeight w:val="40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其他权益工具投资</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202,321,052.00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spacing w:val="-1"/>
                <w:sz w:val="18"/>
              </w:rPr>
              <w:t>8,850,541.00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5,099,440.50</w:t>
            </w:r>
          </w:p>
        </w:tc>
        <w:tc>
          <w:tcPr>
            <w:tcW w:w="78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213,398,640.00</w:t>
            </w:r>
          </w:p>
        </w:tc>
      </w:tr>
      <w:tr>
        <w:trPr>
          <w:trHeight w:val="40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448,914,762.42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79,925,654.86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3,563,682.91</w:t>
            </w:r>
          </w:p>
        </w:tc>
        <w:tc>
          <w:tcPr>
            <w:tcW w:w="78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626,000,000.00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475,000,000.00</w:t>
            </w:r>
          </w:p>
        </w:tc>
        <w:tc>
          <w:tcPr>
            <w:tcW w:w="92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660,387,028.45</w:t>
            </w:r>
          </w:p>
        </w:tc>
      </w:tr>
      <w:tr>
        <w:trPr>
          <w:trHeight w:val="40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1,758,671,860.90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210,506,650.78</w:t>
            </w:r>
          </w:p>
        </w:tc>
        <w:tc>
          <w:tcPr>
            <w:tcW w:w="13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2,774,996,188.59</w:t>
            </w:r>
          </w:p>
        </w:tc>
      </w:tr>
      <w:tr>
        <w:trPr>
          <w:trHeight w:val="40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5,152,116.83</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29,606,755.74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29,261,090.54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121,326.17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5,619,108.20</w:t>
            </w:r>
          </w:p>
        </w:tc>
      </w:tr>
      <w:tr>
        <w:trPr>
          <w:trHeight w:val="40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2,212,738,740.15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290,432,305.64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3,563,682.91</w:t>
            </w:r>
          </w:p>
        </w:tc>
        <w:tc>
          <w:tcPr>
            <w:tcW w:w="78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655,606,755.74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504,261,090.54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121,326.17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3,441,002,325.24</w:t>
            </w:r>
          </w:p>
        </w:tc>
      </w:tr>
      <w:tr>
        <w:trPr>
          <w:trHeight w:val="40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6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932" w:right="6794" w:firstLine="360"/>
        <w:jc w:val="left"/>
        <w:rPr>
          <w:rFonts w:ascii="宋体" w:hAnsi="宋体" w:cs="宋体" w:eastAsia="宋体" w:hint="default"/>
          <w:sz w:val="18"/>
          <w:szCs w:val="18"/>
        </w:rPr>
      </w:pPr>
      <w:r>
        <w:rPr>
          <w:rFonts w:ascii="宋体" w:hAnsi="宋体" w:cs="宋体" w:eastAsia="宋体" w:hint="default"/>
          <w:sz w:val="18"/>
          <w:szCs w:val="18"/>
        </w:rPr>
        <w:t>注：其他变动为汇率变动。 报告期内公司主要资产计量属性是否发生重大变化</w:t>
      </w:r>
    </w:p>
    <w:p>
      <w:pPr>
        <w:spacing w:before="29"/>
        <w:ind w:left="932" w:right="679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50"/>
        <w:ind w:left="932" w:right="1115"/>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6"/>
          <w:szCs w:val="6"/>
        </w:rPr>
      </w:pPr>
    </w:p>
    <w:tbl>
      <w:tblPr>
        <w:tblW w:w="0" w:type="auto"/>
        <w:jc w:val="left"/>
        <w:tblInd w:w="911" w:type="dxa"/>
        <w:tblLayout w:type="fixed"/>
        <w:tblCellMar>
          <w:top w:w="0" w:type="dxa"/>
          <w:left w:w="0" w:type="dxa"/>
          <w:bottom w:w="0" w:type="dxa"/>
          <w:right w:w="0" w:type="dxa"/>
        </w:tblCellMar>
        <w:tblLook w:val="01E0"/>
      </w:tblPr>
      <w:tblGrid>
        <w:gridCol w:w="2422"/>
        <w:gridCol w:w="2554"/>
        <w:gridCol w:w="4626"/>
      </w:tblGrid>
      <w:tr>
        <w:trPr>
          <w:trHeight w:val="504" w:hRule="exact"/>
        </w:trPr>
        <w:tc>
          <w:tcPr>
            <w:tcW w:w="242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4"/>
              <w:ind w:left="72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462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804" w:hRule="exact"/>
        </w:trPr>
        <w:tc>
          <w:tcPr>
            <w:tcW w:w="2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161,192,313.94</w:t>
            </w:r>
          </w:p>
        </w:tc>
        <w:tc>
          <w:tcPr>
            <w:tcW w:w="462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92"/>
              <w:ind w:left="2" w:right="1"/>
              <w:jc w:val="left"/>
              <w:rPr>
                <w:rFonts w:ascii="宋体" w:hAnsi="宋体" w:cs="宋体" w:eastAsia="宋体" w:hint="default"/>
                <w:sz w:val="18"/>
                <w:szCs w:val="18"/>
              </w:rPr>
            </w:pPr>
            <w:r>
              <w:rPr>
                <w:rFonts w:ascii="宋体" w:hAnsi="宋体" w:cs="宋体" w:eastAsia="宋体" w:hint="default"/>
                <w:spacing w:val="-4"/>
                <w:sz w:val="18"/>
                <w:szCs w:val="18"/>
              </w:rPr>
              <w:t>用于担保的定期存款、票据保证金、履约保证金、证券保证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金、</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保证金、诉讼冻结资金、购房按揭保证金</w:t>
            </w:r>
          </w:p>
        </w:tc>
      </w:tr>
      <w:tr>
        <w:trPr>
          <w:trHeight w:val="492" w:hRule="exact"/>
        </w:trPr>
        <w:tc>
          <w:tcPr>
            <w:tcW w:w="2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413,968,900.00</w:t>
            </w:r>
          </w:p>
        </w:tc>
        <w:tc>
          <w:tcPr>
            <w:tcW w:w="4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92" w:hRule="exact"/>
        </w:trPr>
        <w:tc>
          <w:tcPr>
            <w:tcW w:w="2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400,716,252.12</w:t>
            </w:r>
          </w:p>
        </w:tc>
        <w:tc>
          <w:tcPr>
            <w:tcW w:w="4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92" w:hRule="exact"/>
        </w:trPr>
        <w:tc>
          <w:tcPr>
            <w:tcW w:w="2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40,493,938.79</w:t>
            </w:r>
          </w:p>
        </w:tc>
        <w:tc>
          <w:tcPr>
            <w:tcW w:w="4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已背书或贴现且在资产负债表日尚未到期的商业承兑汇票</w:t>
            </w:r>
          </w:p>
        </w:tc>
      </w:tr>
      <w:tr>
        <w:trPr>
          <w:trHeight w:val="492" w:hRule="exact"/>
        </w:trPr>
        <w:tc>
          <w:tcPr>
            <w:tcW w:w="2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42,124,072.47</w:t>
            </w:r>
          </w:p>
        </w:tc>
        <w:tc>
          <w:tcPr>
            <w:tcW w:w="4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 </w:t>
            </w:r>
          </w:p>
        </w:tc>
      </w:tr>
      <w:tr>
        <w:trPr>
          <w:trHeight w:val="492" w:hRule="exact"/>
        </w:trPr>
        <w:tc>
          <w:tcPr>
            <w:tcW w:w="2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其他债权投资</w:t>
            </w:r>
            <w:r>
              <w:rPr>
                <w:rFonts w:ascii="宋体" w:hAnsi="宋体" w:cs="宋体" w:eastAsia="宋体" w:hint="default"/>
                <w:sz w:val="18"/>
                <w:szCs w:val="18"/>
              </w:rPr>
              <w:t> </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28,219,999.97</w:t>
            </w:r>
          </w:p>
        </w:tc>
        <w:tc>
          <w:tcPr>
            <w:tcW w:w="4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债券质押借款</w:t>
            </w:r>
          </w:p>
        </w:tc>
      </w:tr>
      <w:tr>
        <w:trPr>
          <w:trHeight w:val="492" w:hRule="exact"/>
        </w:trPr>
        <w:tc>
          <w:tcPr>
            <w:tcW w:w="242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1,086,715,477.29</w:t>
            </w:r>
          </w:p>
        </w:tc>
        <w:tc>
          <w:tcPr>
            <w:tcW w:w="4626"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22"/>
          <w:szCs w:val="22"/>
        </w:rPr>
      </w:pPr>
    </w:p>
    <w:p>
      <w:pPr>
        <w:pStyle w:val="Heading4"/>
        <w:spacing w:line="240" w:lineRule="auto" w:before="26"/>
        <w:ind w:left="932" w:right="6794"/>
        <w:jc w:val="left"/>
        <w:rPr>
          <w:b w:val="0"/>
          <w:bCs w:val="0"/>
        </w:rPr>
      </w:pPr>
      <w:r>
        <w:rPr/>
        <w:t>五、投资状况</w:t>
      </w:r>
      <w:r>
        <w:rPr>
          <w:b w:val="0"/>
          <w:bCs w:val="0"/>
        </w:rPr>
      </w:r>
    </w:p>
    <w:p>
      <w:pPr>
        <w:spacing w:line="240" w:lineRule="auto" w:before="4"/>
        <w:rPr>
          <w:rFonts w:ascii="宋体" w:hAnsi="宋体" w:cs="宋体" w:eastAsia="宋体" w:hint="default"/>
          <w:b/>
          <w:bCs/>
          <w:sz w:val="29"/>
          <w:szCs w:val="29"/>
        </w:rPr>
      </w:pPr>
    </w:p>
    <w:p>
      <w:pPr>
        <w:pStyle w:val="Heading5"/>
        <w:spacing w:line="240" w:lineRule="auto" w:before="0"/>
        <w:ind w:left="932" w:right="6794"/>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932" w:right="679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适用 </w:t>
      </w:r>
      <w:r>
        <w:rPr>
          <w:rFonts w:ascii="宋体" w:hAnsi="宋体" w:cs="宋体" w:eastAsia="宋体" w:hint="default"/>
          <w:sz w:val="18"/>
          <w:szCs w:val="18"/>
        </w:rPr>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不适用</w:t>
      </w:r>
      <w:r>
        <w:rPr>
          <w:rFonts w:ascii="宋体" w:hAnsi="宋体" w:cs="宋体" w:eastAsia="宋体" w:hint="default"/>
          <w:sz w:val="18"/>
          <w:szCs w:val="18"/>
        </w:rPr>
        <w:t> </w:t>
      </w:r>
    </w:p>
    <w:p>
      <w:pPr>
        <w:spacing w:line="240" w:lineRule="auto" w:before="2"/>
        <w:rPr>
          <w:rFonts w:ascii="宋体" w:hAnsi="宋体" w:cs="宋体" w:eastAsia="宋体" w:hint="default"/>
          <w:sz w:val="8"/>
          <w:szCs w:val="8"/>
        </w:rPr>
      </w:pPr>
    </w:p>
    <w:tbl>
      <w:tblPr>
        <w:tblW w:w="0" w:type="auto"/>
        <w:jc w:val="left"/>
        <w:tblInd w:w="961" w:type="dxa"/>
        <w:tblLayout w:type="fixed"/>
        <w:tblCellMar>
          <w:top w:w="0" w:type="dxa"/>
          <w:left w:w="0" w:type="dxa"/>
          <w:bottom w:w="0" w:type="dxa"/>
          <w:right w:w="0" w:type="dxa"/>
        </w:tblCellMar>
        <w:tblLook w:val="01E0"/>
      </w:tblPr>
      <w:tblGrid>
        <w:gridCol w:w="3191"/>
        <w:gridCol w:w="3190"/>
        <w:gridCol w:w="3190"/>
      </w:tblGrid>
      <w:tr>
        <w:trPr>
          <w:trHeight w:val="48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8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896" w:right="0"/>
              <w:jc w:val="left"/>
              <w:rPr>
                <w:rFonts w:ascii="Times New Roman" w:hAnsi="Times New Roman" w:cs="Times New Roman" w:eastAsia="Times New Roman" w:hint="default"/>
                <w:sz w:val="18"/>
                <w:szCs w:val="18"/>
              </w:rPr>
            </w:pPr>
            <w:r>
              <w:rPr>
                <w:rFonts w:ascii="Times New Roman"/>
                <w:sz w:val="18"/>
              </w:rPr>
              <w:t>1,782,454,632.84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898" w:right="0"/>
              <w:jc w:val="left"/>
              <w:rPr>
                <w:rFonts w:ascii="Times New Roman" w:hAnsi="Times New Roman" w:cs="Times New Roman" w:eastAsia="Times New Roman" w:hint="default"/>
                <w:sz w:val="18"/>
                <w:szCs w:val="18"/>
              </w:rPr>
            </w:pPr>
            <w:r>
              <w:rPr>
                <w:rFonts w:ascii="Times New Roman"/>
                <w:sz w:val="18"/>
              </w:rPr>
              <w:t>1,603,185,907.86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sz w:val="18"/>
              </w:rPr>
              <w:t>11.18%</w:t>
            </w:r>
          </w:p>
        </w:tc>
      </w:tr>
    </w:tbl>
    <w:p>
      <w:pPr>
        <w:spacing w:before="51"/>
        <w:ind w:left="1293" w:right="1115" w:firstLine="0"/>
        <w:jc w:val="left"/>
        <w:rPr>
          <w:rFonts w:ascii="宋体" w:hAnsi="宋体" w:cs="宋体" w:eastAsia="宋体" w:hint="default"/>
          <w:sz w:val="18"/>
          <w:szCs w:val="18"/>
        </w:rPr>
      </w:pPr>
      <w:r>
        <w:rPr>
          <w:rFonts w:ascii="宋体" w:hAnsi="宋体" w:cs="宋体" w:eastAsia="宋体" w:hint="default"/>
          <w:sz w:val="18"/>
          <w:szCs w:val="18"/>
        </w:rPr>
        <w:t>注：报告期投资额为报告期内实际发生的对外股权投资金额。</w:t>
      </w:r>
    </w:p>
    <w:p>
      <w:pPr>
        <w:spacing w:after="0"/>
        <w:jc w:val="left"/>
        <w:rPr>
          <w:rFonts w:ascii="宋体" w:hAnsi="宋体" w:cs="宋体" w:eastAsia="宋体" w:hint="default"/>
          <w:sz w:val="18"/>
          <w:szCs w:val="18"/>
        </w:rPr>
        <w:sectPr>
          <w:pgSz w:w="11910" w:h="16840"/>
          <w:pgMar w:header="789" w:footer="975" w:top="1100" w:bottom="1160" w:left="200" w:right="0"/>
        </w:sectPr>
      </w:pPr>
    </w:p>
    <w:p>
      <w:pPr>
        <w:spacing w:line="240" w:lineRule="auto" w:before="6"/>
        <w:rPr>
          <w:rFonts w:ascii="宋体" w:hAnsi="宋体" w:cs="宋体" w:eastAsia="宋体" w:hint="default"/>
          <w:sz w:val="21"/>
          <w:szCs w:val="21"/>
        </w:rPr>
      </w:pPr>
    </w:p>
    <w:p>
      <w:pPr>
        <w:pStyle w:val="Heading5"/>
        <w:spacing w:line="240" w:lineRule="auto"/>
        <w:ind w:left="1072" w:right="679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spacing w:before="44"/>
        <w:ind w:left="1072" w:right="679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pict>
          <v:shape style="position:absolute;margin-left:447.070007pt;margin-top:69.641716pt;width:61.6pt;height:78pt;mso-position-horizontal-relative:page;mso-position-vertical-relative:paragraph;z-index:-1630336"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3"/>
                      <w:szCs w:val="13"/>
                    </w:rPr>
                  </w:pPr>
                  <w:r>
                    <w:rPr>
                      <w:rFonts w:ascii="宋体" w:hAnsi="宋体" w:cs="宋体" w:eastAsia="宋体" w:hint="default"/>
                      <w:sz w:val="13"/>
                      <w:szCs w:val="13"/>
                    </w:rPr>
                    <w:t>万元、</w:t>
                  </w:r>
                </w:p>
              </w:txbxContent>
            </v:textbox>
            <w10:wrap type="none"/>
          </v:shape>
        </w:pict>
      </w:r>
      <w:r>
        <w:rPr/>
        <w:pict>
          <v:group style="position:absolute;margin-left:463.899994pt;margin-top:69.641716pt;width:44.8pt;height:31.2pt;mso-position-horizontal-relative:page;mso-position-vertical-relative:paragraph;z-index:-1630312" coordorigin="9278,1393" coordsize="896,624">
            <v:shape style="position:absolute;left:9278;top:1393;width:896;height:624" coordorigin="9278,1393" coordsize="896,624" path="m9278,2017l10173,2017,10173,1393,9278,1393,9278,2017xe" filled="true" fillcolor="#ffffff" stroked="false">
              <v:path arrowok="t"/>
              <v:fill type="solid"/>
            </v:shape>
            <w10:wrap type="none"/>
          </v:group>
        </w:pict>
      </w:r>
      <w:r>
        <w:rPr/>
        <w:pict>
          <v:group style="position:absolute;margin-left:463.899994pt;margin-top:116.441711pt;width:44.8pt;height:31.2pt;mso-position-horizontal-relative:page;mso-position-vertical-relative:paragraph;z-index:-1630288" coordorigin="9278,2329" coordsize="896,624">
            <v:shape style="position:absolute;left:9278;top:2329;width:896;height:624" coordorigin="9278,2329" coordsize="896,624" path="m9278,2953l10173,2953,10173,2329,9278,2329,9278,2953xe" filled="true" fillcolor="#ffffff" stroked="false">
              <v:path arrowok="t"/>
              <v:fill type="solid"/>
            </v:shape>
            <w10:wrap type="none"/>
          </v:group>
        </w:pict>
      </w:r>
      <w:r>
        <w:rPr>
          <w:rFonts w:ascii="宋体" w:hAnsi="宋体" w:cs="宋体" w:eastAsia="宋体" w:hint="default"/>
          <w:sz w:val="18"/>
          <w:szCs w:val="18"/>
        </w:rPr>
        <w:t>单位：元</w:t>
      </w:r>
    </w:p>
    <w:p>
      <w:pPr>
        <w:spacing w:line="240" w:lineRule="auto" w:before="7"/>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965"/>
        <w:gridCol w:w="1020"/>
        <w:gridCol w:w="396"/>
        <w:gridCol w:w="965"/>
        <w:gridCol w:w="425"/>
        <w:gridCol w:w="398"/>
        <w:gridCol w:w="737"/>
        <w:gridCol w:w="454"/>
        <w:gridCol w:w="679"/>
        <w:gridCol w:w="965"/>
        <w:gridCol w:w="2098"/>
        <w:gridCol w:w="75"/>
        <w:gridCol w:w="832"/>
        <w:gridCol w:w="425"/>
        <w:gridCol w:w="566"/>
        <w:gridCol w:w="569"/>
      </w:tblGrid>
      <w:tr>
        <w:trPr>
          <w:trHeight w:val="946"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97" w:right="24" w:hanging="269"/>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 w:right="11"/>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 w:right="12"/>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8" w:right="24"/>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9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1" w:right="84"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5"/>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6"/>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157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439" w:lineRule="auto"/>
              <w:ind w:left="2" w:right="43"/>
              <w:jc w:val="left"/>
              <w:rPr>
                <w:rFonts w:ascii="宋体" w:hAnsi="宋体" w:cs="宋体" w:eastAsia="宋体" w:hint="default"/>
                <w:sz w:val="13"/>
                <w:szCs w:val="13"/>
              </w:rPr>
            </w:pPr>
            <w:r>
              <w:rPr>
                <w:rFonts w:ascii="宋体" w:hAnsi="宋体" w:cs="宋体" w:eastAsia="宋体" w:hint="default"/>
                <w:sz w:val="13"/>
                <w:szCs w:val="13"/>
              </w:rPr>
              <w:t>武汉中原电子集</w:t>
            </w:r>
            <w:r>
              <w:rPr>
                <w:rFonts w:ascii="宋体" w:hAnsi="宋体" w:cs="宋体" w:eastAsia="宋体" w:hint="default"/>
                <w:w w:val="99"/>
                <w:sz w:val="13"/>
                <w:szCs w:val="13"/>
              </w:rPr>
              <w:t> </w:t>
            </w:r>
            <w:r>
              <w:rPr>
                <w:rFonts w:ascii="宋体" w:hAnsi="宋体" w:cs="宋体" w:eastAsia="宋体" w:hint="default"/>
                <w:sz w:val="13"/>
                <w:szCs w:val="13"/>
              </w:rPr>
              <w:t>团有限公司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2" w:right="0"/>
              <w:jc w:val="left"/>
              <w:rPr>
                <w:rFonts w:ascii="宋体" w:hAnsi="宋体" w:cs="宋体" w:eastAsia="宋体" w:hint="default"/>
                <w:sz w:val="13"/>
                <w:szCs w:val="13"/>
              </w:rPr>
            </w:pPr>
            <w:r>
              <w:rPr>
                <w:rFonts w:ascii="宋体" w:hAnsi="宋体" w:cs="宋体" w:eastAsia="宋体" w:hint="default"/>
                <w:spacing w:val="-4"/>
                <w:sz w:val="13"/>
                <w:szCs w:val="13"/>
              </w:rPr>
              <w:t>通信系统、自主可</w:t>
            </w:r>
            <w:r>
              <w:rPr>
                <w:rFonts w:ascii="宋体" w:hAnsi="宋体" w:cs="宋体" w:eastAsia="宋体" w:hint="default"/>
                <w:w w:val="99"/>
                <w:sz w:val="13"/>
                <w:szCs w:val="13"/>
              </w:rPr>
              <w:t> </w:t>
            </w:r>
            <w:r>
              <w:rPr>
                <w:rFonts w:ascii="宋体" w:hAnsi="宋体" w:cs="宋体" w:eastAsia="宋体" w:hint="default"/>
                <w:spacing w:val="-4"/>
                <w:sz w:val="13"/>
                <w:szCs w:val="13"/>
              </w:rPr>
              <w:t>控通信装备、网络</w:t>
            </w:r>
            <w:r>
              <w:rPr>
                <w:rFonts w:ascii="宋体" w:hAnsi="宋体" w:cs="宋体" w:eastAsia="宋体" w:hint="default"/>
                <w:w w:val="99"/>
                <w:sz w:val="13"/>
                <w:szCs w:val="13"/>
              </w:rPr>
              <w:t> </w:t>
            </w:r>
            <w:r>
              <w:rPr>
                <w:rFonts w:ascii="宋体" w:hAnsi="宋体" w:cs="宋体" w:eastAsia="宋体" w:hint="default"/>
                <w:spacing w:val="-4"/>
                <w:sz w:val="13"/>
                <w:szCs w:val="13"/>
              </w:rPr>
              <w:t>设备、信息对抗及</w:t>
            </w:r>
            <w:r>
              <w:rPr>
                <w:rFonts w:ascii="宋体" w:hAnsi="宋体" w:cs="宋体" w:eastAsia="宋体" w:hint="default"/>
                <w:w w:val="99"/>
                <w:sz w:val="13"/>
                <w:szCs w:val="13"/>
              </w:rPr>
              <w:t> </w:t>
            </w:r>
            <w:r>
              <w:rPr>
                <w:rFonts w:ascii="宋体" w:hAnsi="宋体" w:cs="宋体" w:eastAsia="宋体" w:hint="default"/>
                <w:sz w:val="13"/>
                <w:szCs w:val="13"/>
              </w:rPr>
              <w:t>防护等软硬件产</w:t>
            </w:r>
            <w:r>
              <w:rPr>
                <w:rFonts w:ascii="宋体" w:hAnsi="宋体" w:cs="宋体" w:eastAsia="宋体" w:hint="default"/>
                <w:w w:val="99"/>
                <w:sz w:val="13"/>
                <w:szCs w:val="13"/>
              </w:rPr>
              <w:t> </w:t>
            </w:r>
            <w:r>
              <w:rPr>
                <w:rFonts w:ascii="宋体" w:hAnsi="宋体" w:cs="宋体" w:eastAsia="宋体" w:hint="default"/>
                <w:sz w:val="13"/>
                <w:szCs w:val="13"/>
              </w:rPr>
              <w:t>品及解决方案</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增资</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950,000,000.00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3"/>
                <w:szCs w:val="13"/>
              </w:rPr>
            </w:pPr>
            <w:r>
              <w:rPr>
                <w:rFonts w:ascii="Times New Roman"/>
                <w:sz w:val="13"/>
              </w:rPr>
              <w:t>100%</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439" w:lineRule="auto"/>
              <w:ind w:left="-1" w:right="19"/>
              <w:jc w:val="both"/>
              <w:rPr>
                <w:rFonts w:ascii="宋体" w:hAnsi="宋体" w:cs="宋体" w:eastAsia="宋体" w:hint="default"/>
                <w:sz w:val="13"/>
                <w:szCs w:val="13"/>
              </w:rPr>
            </w:pPr>
            <w:r>
              <w:rPr>
                <w:rFonts w:ascii="宋体" w:hAnsi="宋体" w:cs="宋体" w:eastAsia="宋体" w:hint="default"/>
                <w:sz w:val="13"/>
                <w:szCs w:val="13"/>
              </w:rPr>
              <w:t>军事电子领</w:t>
            </w:r>
            <w:r>
              <w:rPr>
                <w:rFonts w:ascii="宋体" w:hAnsi="宋体" w:cs="宋体" w:eastAsia="宋体" w:hint="default"/>
                <w:w w:val="99"/>
                <w:sz w:val="13"/>
                <w:szCs w:val="13"/>
              </w:rPr>
              <w:t> </w:t>
            </w:r>
            <w:r>
              <w:rPr>
                <w:rFonts w:ascii="宋体" w:hAnsi="宋体" w:cs="宋体" w:eastAsia="宋体" w:hint="default"/>
                <w:sz w:val="13"/>
                <w:szCs w:val="13"/>
              </w:rPr>
              <w:t>域的研发、</w:t>
            </w:r>
            <w:r>
              <w:rPr>
                <w:rFonts w:ascii="宋体" w:hAnsi="宋体" w:cs="宋体" w:eastAsia="宋体" w:hint="default"/>
                <w:w w:val="99"/>
                <w:sz w:val="13"/>
                <w:szCs w:val="13"/>
              </w:rPr>
              <w:t> </w:t>
            </w:r>
            <w:r>
              <w:rPr>
                <w:rFonts w:ascii="宋体" w:hAnsi="宋体" w:cs="宋体" w:eastAsia="宋体" w:hint="default"/>
                <w:sz w:val="13"/>
                <w:szCs w:val="13"/>
              </w:rPr>
              <w:t>制造与服务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已完成</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52"/>
              <w:ind w:left="-1" w:right="2"/>
              <w:jc w:val="both"/>
              <w:rPr>
                <w:rFonts w:ascii="Times New Roman" w:hAnsi="Times New Roman" w:cs="Times New Roman" w:eastAsia="Times New Roman" w:hint="default"/>
                <w:sz w:val="13"/>
                <w:szCs w:val="13"/>
              </w:rPr>
            </w:pPr>
            <w:r>
              <w:rPr>
                <w:rFonts w:ascii="宋体" w:hAnsi="宋体" w:cs="宋体" w:eastAsia="宋体" w:hint="default"/>
                <w:sz w:val="13"/>
                <w:szCs w:val="13"/>
              </w:rPr>
              <w:t>中原电子在 </w:t>
            </w:r>
            <w:r>
              <w:rPr>
                <w:rFonts w:ascii="Times New Roman" w:hAnsi="Times New Roman" w:cs="Times New Roman" w:eastAsia="Times New Roman" w:hint="default"/>
                <w:sz w:val="13"/>
                <w:szCs w:val="13"/>
              </w:rPr>
              <w:t>2017 </w:t>
            </w:r>
            <w:r>
              <w:rPr>
                <w:rFonts w:ascii="宋体" w:hAnsi="宋体" w:cs="宋体" w:eastAsia="宋体" w:hint="default"/>
                <w:sz w:val="13"/>
                <w:szCs w:val="13"/>
              </w:rPr>
              <w:t>年、</w:t>
            </w:r>
            <w:r>
              <w:rPr>
                <w:rFonts w:ascii="Times New Roman" w:hAnsi="Times New Roman" w:cs="Times New Roman" w:eastAsia="Times New Roman" w:hint="default"/>
                <w:sz w:val="13"/>
                <w:szCs w:val="13"/>
              </w:rPr>
              <w:t>2018</w:t>
            </w:r>
            <w:r>
              <w:rPr>
                <w:rFonts w:ascii="Times New Roman" w:hAnsi="Times New Roman" w:cs="Times New Roman" w:eastAsia="Times New Roman" w:hint="default"/>
                <w:spacing w:val="4"/>
                <w:sz w:val="13"/>
                <w:szCs w:val="13"/>
              </w:rPr>
              <w:t> </w:t>
            </w:r>
            <w:r>
              <w:rPr>
                <w:rFonts w:ascii="宋体" w:hAnsi="宋体" w:cs="宋体" w:eastAsia="宋体" w:hint="default"/>
                <w:sz w:val="13"/>
                <w:szCs w:val="13"/>
              </w:rPr>
              <w:t>年、</w:t>
            </w:r>
            <w:r>
              <w:rPr>
                <w:rFonts w:ascii="Times New Roman" w:hAnsi="Times New Roman" w:cs="Times New Roman" w:eastAsia="Times New Roman" w:hint="default"/>
                <w:sz w:val="13"/>
                <w:szCs w:val="13"/>
              </w:rPr>
              <w:t>2019</w:t>
            </w:r>
            <w:r>
              <w:rPr>
                <w:rFonts w:ascii="Times New Roman" w:hAnsi="Times New Roman" w:cs="Times New Roman" w:eastAsia="Times New Roman" w:hint="default"/>
                <w:w w:val="99"/>
                <w:sz w:val="13"/>
                <w:szCs w:val="13"/>
              </w:rPr>
              <w:t> </w:t>
            </w:r>
            <w:r>
              <w:rPr>
                <w:rFonts w:ascii="宋体" w:hAnsi="宋体" w:cs="宋体" w:eastAsia="宋体" w:hint="default"/>
                <w:sz w:val="13"/>
                <w:szCs w:val="13"/>
              </w:rPr>
              <w:t>年经审计的扣除非经常性损益归属于</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母公司所有者的净利润之和将不低于</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Times New Roman" w:hAnsi="Times New Roman" w:cs="Times New Roman" w:eastAsia="Times New Roman" w:hint="default"/>
                <w:sz w:val="13"/>
                <w:szCs w:val="13"/>
              </w:rPr>
              <w:t>5.7 </w:t>
            </w:r>
            <w:r>
              <w:rPr>
                <w:rFonts w:ascii="宋体" w:hAnsi="宋体" w:cs="宋体" w:eastAsia="宋体" w:hint="default"/>
                <w:spacing w:val="-6"/>
                <w:sz w:val="13"/>
                <w:szCs w:val="13"/>
              </w:rPr>
              <w:t>亿元，具体分别为</w:t>
            </w:r>
            <w:r>
              <w:rPr>
                <w:rFonts w:ascii="宋体" w:hAnsi="宋体" w:cs="宋体" w:eastAsia="宋体" w:hint="default"/>
                <w:spacing w:val="-37"/>
                <w:sz w:val="13"/>
                <w:szCs w:val="13"/>
              </w:rPr>
              <w:t> </w:t>
            </w:r>
            <w:r>
              <w:rPr>
                <w:rFonts w:ascii="Times New Roman" w:hAnsi="Times New Roman" w:cs="Times New Roman" w:eastAsia="Times New Roman" w:hint="default"/>
                <w:sz w:val="13"/>
                <w:szCs w:val="13"/>
              </w:rPr>
              <w:t>18,182.84</w:t>
            </w:r>
          </w:p>
          <w:p>
            <w:pPr>
              <w:pStyle w:val="TableParagraph"/>
              <w:spacing w:line="240" w:lineRule="auto" w:before="17"/>
              <w:ind w:left="-1" w:right="0"/>
              <w:jc w:val="both"/>
              <w:rPr>
                <w:rFonts w:ascii="宋体" w:hAnsi="宋体" w:cs="宋体" w:eastAsia="宋体" w:hint="default"/>
                <w:sz w:val="13"/>
                <w:szCs w:val="13"/>
              </w:rPr>
            </w:pPr>
            <w:r>
              <w:rPr>
                <w:rFonts w:ascii="Times New Roman" w:hAnsi="Times New Roman" w:cs="Times New Roman" w:eastAsia="Times New Roman" w:hint="default"/>
                <w:sz w:val="13"/>
                <w:szCs w:val="13"/>
              </w:rPr>
              <w:t>18,495.39 </w:t>
            </w:r>
            <w:r>
              <w:rPr>
                <w:rFonts w:ascii="宋体" w:hAnsi="宋体" w:cs="宋体" w:eastAsia="宋体" w:hint="default"/>
                <w:sz w:val="13"/>
                <w:szCs w:val="13"/>
              </w:rPr>
              <w:t>万元、</w:t>
            </w:r>
            <w:r>
              <w:rPr>
                <w:rFonts w:ascii="Times New Roman" w:hAnsi="Times New Roman" w:cs="Times New Roman" w:eastAsia="Times New Roman" w:hint="default"/>
                <w:sz w:val="13"/>
                <w:szCs w:val="13"/>
              </w:rPr>
              <w:t>20,329.37</w:t>
            </w:r>
            <w:r>
              <w:rPr>
                <w:rFonts w:ascii="Times New Roman" w:hAnsi="Times New Roman" w:cs="Times New Roman" w:eastAsia="Times New Roman" w:hint="default"/>
                <w:spacing w:val="-14"/>
                <w:sz w:val="13"/>
                <w:szCs w:val="13"/>
              </w:rPr>
              <w:t> </w:t>
            </w:r>
            <w:r>
              <w:rPr>
                <w:rFonts w:ascii="宋体" w:hAnsi="宋体" w:cs="宋体" w:eastAsia="宋体" w:hint="default"/>
                <w:sz w:val="13"/>
                <w:szCs w:val="13"/>
              </w:rPr>
              <w:t>万元。</w:t>
            </w:r>
          </w:p>
        </w:tc>
        <w:tc>
          <w:tcPr>
            <w:tcW w:w="75" w:type="dxa"/>
            <w:tcBorders>
              <w:top w:val="single" w:sz="4" w:space="0" w:color="000000"/>
              <w:left w:val="single" w:sz="4" w:space="0" w:color="000000"/>
              <w:bottom w:val="single" w:sz="4" w:space="0" w:color="000000"/>
              <w:right w:val="nil" w:sz="6" w:space="0" w:color="auto"/>
            </w:tcBorders>
          </w:tcPr>
          <w:p>
            <w:pPr/>
          </w:p>
        </w:tc>
        <w:tc>
          <w:tcPr>
            <w:tcW w:w="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5" w:right="-2"/>
              <w:jc w:val="left"/>
              <w:rPr>
                <w:rFonts w:ascii="Times New Roman" w:hAnsi="Times New Roman" w:cs="Times New Roman" w:eastAsia="Times New Roman" w:hint="default"/>
                <w:sz w:val="13"/>
                <w:szCs w:val="13"/>
              </w:rPr>
            </w:pPr>
            <w:r>
              <w:rPr>
                <w:rFonts w:ascii="Times New Roman"/>
                <w:sz w:val="13"/>
              </w:rPr>
              <w:t>250,523,255.64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 w:right="-3"/>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w:t>
            </w:r>
            <w:r>
              <w:rPr>
                <w:rFonts w:ascii="Times New Roman" w:hAnsi="Times New Roman" w:cs="Times New Roman" w:eastAsia="Times New Roman" w:hint="default"/>
                <w:spacing w:val="-15"/>
                <w:sz w:val="13"/>
                <w:szCs w:val="13"/>
              </w:rPr>
              <w:t> </w:t>
            </w:r>
            <w:r>
              <w:rPr>
                <w:rFonts w:ascii="宋体" w:hAnsi="宋体" w:cs="宋体" w:eastAsia="宋体" w:hint="default"/>
                <w:sz w:val="13"/>
                <w:szCs w:val="13"/>
              </w:rPr>
              <w:t>年</w:t>
            </w:r>
            <w:r>
              <w:rPr>
                <w:rFonts w:ascii="宋体" w:hAnsi="宋体" w:cs="宋体" w:eastAsia="宋体" w:hint="default"/>
                <w:spacing w:val="-47"/>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22 </w:t>
            </w:r>
            <w:r>
              <w:rPr>
                <w:rFonts w:ascii="宋体" w:hAnsi="宋体" w:cs="宋体" w:eastAsia="宋体" w:hint="default"/>
                <w:sz w:val="13"/>
                <w:szCs w:val="13"/>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31" w:right="0"/>
              <w:jc w:val="left"/>
              <w:rPr>
                <w:rFonts w:ascii="Times New Roman" w:hAnsi="Times New Roman" w:cs="Times New Roman" w:eastAsia="Times New Roman" w:hint="default"/>
                <w:sz w:val="13"/>
                <w:szCs w:val="13"/>
              </w:rPr>
            </w:pPr>
            <w:r>
              <w:rPr>
                <w:rFonts w:ascii="Times New Roman"/>
                <w:sz w:val="13"/>
              </w:rPr>
              <w:t>2018-082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84" w:right="0"/>
              <w:jc w:val="left"/>
              <w:rPr>
                <w:rFonts w:ascii="宋体" w:hAnsi="宋体" w:cs="宋体" w:eastAsia="宋体" w:hint="default"/>
                <w:sz w:val="13"/>
                <w:szCs w:val="13"/>
              </w:rPr>
            </w:pPr>
            <w:r>
              <w:rPr>
                <w:rFonts w:ascii="宋体" w:hAnsi="宋体" w:cs="宋体" w:eastAsia="宋体" w:hint="default"/>
                <w:sz w:val="13"/>
                <w:szCs w:val="13"/>
              </w:rPr>
              <w:t>号公告</w:t>
            </w:r>
          </w:p>
        </w:tc>
      </w:tr>
      <w:tr>
        <w:trPr>
          <w:trHeight w:val="94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441" w:lineRule="auto"/>
              <w:ind w:left="2" w:right="43"/>
              <w:jc w:val="left"/>
              <w:rPr>
                <w:rFonts w:ascii="宋体" w:hAnsi="宋体" w:cs="宋体" w:eastAsia="宋体" w:hint="default"/>
                <w:sz w:val="13"/>
                <w:szCs w:val="13"/>
              </w:rPr>
            </w:pPr>
            <w:r>
              <w:rPr>
                <w:rFonts w:ascii="宋体" w:hAnsi="宋体" w:cs="宋体" w:eastAsia="宋体" w:hint="default"/>
                <w:sz w:val="13"/>
                <w:szCs w:val="13"/>
              </w:rPr>
              <w:t>中国电子财务有</w:t>
            </w:r>
            <w:r>
              <w:rPr>
                <w:rFonts w:ascii="宋体" w:hAnsi="宋体" w:cs="宋体" w:eastAsia="宋体" w:hint="default"/>
                <w:w w:val="99"/>
                <w:sz w:val="13"/>
                <w:szCs w:val="13"/>
              </w:rPr>
              <w:t> </w:t>
            </w:r>
            <w:r>
              <w:rPr>
                <w:rFonts w:ascii="宋体" w:hAnsi="宋体" w:cs="宋体" w:eastAsia="宋体" w:hint="default"/>
                <w:sz w:val="13"/>
                <w:szCs w:val="13"/>
              </w:rPr>
              <w:t>限责任公司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441" w:lineRule="auto" w:before="52"/>
              <w:ind w:left="2" w:right="99"/>
              <w:jc w:val="both"/>
              <w:rPr>
                <w:rFonts w:ascii="宋体" w:hAnsi="宋体" w:cs="宋体" w:eastAsia="宋体" w:hint="default"/>
                <w:sz w:val="13"/>
                <w:szCs w:val="13"/>
              </w:rPr>
            </w:pPr>
            <w:r>
              <w:rPr>
                <w:rFonts w:ascii="宋体" w:hAnsi="宋体" w:cs="宋体" w:eastAsia="宋体" w:hint="default"/>
                <w:sz w:val="13"/>
                <w:szCs w:val="13"/>
              </w:rPr>
              <w:t>为企业集团成员</w:t>
            </w:r>
            <w:r>
              <w:rPr>
                <w:rFonts w:ascii="宋体" w:hAnsi="宋体" w:cs="宋体" w:eastAsia="宋体" w:hint="default"/>
                <w:w w:val="99"/>
                <w:sz w:val="13"/>
                <w:szCs w:val="13"/>
              </w:rPr>
              <w:t> </w:t>
            </w:r>
            <w:r>
              <w:rPr>
                <w:rFonts w:ascii="宋体" w:hAnsi="宋体" w:cs="宋体" w:eastAsia="宋体" w:hint="default"/>
                <w:sz w:val="13"/>
                <w:szCs w:val="13"/>
              </w:rPr>
              <w:t>单位提供资金结</w:t>
            </w:r>
            <w:r>
              <w:rPr>
                <w:rFonts w:ascii="宋体" w:hAnsi="宋体" w:cs="宋体" w:eastAsia="宋体" w:hint="default"/>
                <w:w w:val="99"/>
                <w:sz w:val="13"/>
                <w:szCs w:val="13"/>
              </w:rPr>
              <w:t> </w:t>
            </w:r>
            <w:r>
              <w:rPr>
                <w:rFonts w:ascii="宋体" w:hAnsi="宋体" w:cs="宋体" w:eastAsia="宋体" w:hint="default"/>
                <w:sz w:val="13"/>
                <w:szCs w:val="13"/>
              </w:rPr>
              <w:t>算和筹融资服务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收购</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right="0"/>
              <w:jc w:val="right"/>
              <w:rPr>
                <w:rFonts w:ascii="Times New Roman" w:hAnsi="Times New Roman" w:cs="Times New Roman" w:eastAsia="Times New Roman" w:hint="default"/>
                <w:sz w:val="13"/>
                <w:szCs w:val="13"/>
              </w:rPr>
            </w:pPr>
            <w:r>
              <w:rPr>
                <w:rFonts w:ascii="Times New Roman"/>
                <w:sz w:val="13"/>
              </w:rPr>
              <w:t>508,914,975.00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left="3" w:right="0"/>
              <w:jc w:val="center"/>
              <w:rPr>
                <w:rFonts w:ascii="Times New Roman" w:hAnsi="Times New Roman" w:cs="Times New Roman" w:eastAsia="Times New Roman" w:hint="default"/>
                <w:sz w:val="13"/>
                <w:szCs w:val="13"/>
              </w:rPr>
            </w:pPr>
            <w:r>
              <w:rPr>
                <w:rFonts w:ascii="Times New Roman"/>
                <w:sz w:val="13"/>
              </w:rPr>
              <w:t>15.00%</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3"/>
                <w:szCs w:val="13"/>
              </w:rPr>
            </w:pPr>
            <w:r>
              <w:rPr>
                <w:rFonts w:ascii="宋体" w:hAnsi="宋体" w:cs="宋体" w:eastAsia="宋体" w:hint="default"/>
                <w:sz w:val="13"/>
                <w:szCs w:val="13"/>
              </w:rPr>
              <w:t>财务公司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未完成</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3"/>
                <w:szCs w:val="13"/>
              </w:rPr>
            </w:pPr>
            <w:r>
              <w:rPr>
                <w:rFonts w:ascii="宋体" w:hAnsi="宋体" w:cs="宋体" w:eastAsia="宋体" w:hint="default"/>
                <w:sz w:val="13"/>
                <w:szCs w:val="13"/>
              </w:rPr>
              <w:t>不适用</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left="4" w:right="0"/>
              <w:jc w:val="center"/>
              <w:rPr>
                <w:rFonts w:ascii="Times New Roman" w:hAnsi="Times New Roman" w:cs="Times New Roman" w:eastAsia="Times New Roman" w:hint="default"/>
                <w:sz w:val="13"/>
                <w:szCs w:val="13"/>
              </w:rPr>
            </w:pPr>
            <w:r>
              <w:rPr>
                <w:rFonts w:ascii="Times New Roman"/>
                <w:sz w:val="13"/>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3"/>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w:t>
            </w:r>
            <w:r>
              <w:rPr>
                <w:rFonts w:ascii="Times New Roman" w:hAnsi="Times New Roman" w:cs="Times New Roman" w:eastAsia="Times New Roman" w:hint="default"/>
                <w:spacing w:val="-15"/>
                <w:sz w:val="13"/>
                <w:szCs w:val="13"/>
              </w:rPr>
              <w:t> </w:t>
            </w:r>
            <w:r>
              <w:rPr>
                <w:rFonts w:ascii="宋体" w:hAnsi="宋体" w:cs="宋体" w:eastAsia="宋体" w:hint="default"/>
                <w:sz w:val="13"/>
                <w:szCs w:val="13"/>
              </w:rPr>
              <w:t>年</w:t>
            </w:r>
            <w:r>
              <w:rPr>
                <w:rFonts w:ascii="宋体" w:hAnsi="宋体" w:cs="宋体" w:eastAsia="宋体" w:hint="default"/>
                <w:spacing w:val="-47"/>
                <w:sz w:val="13"/>
                <w:szCs w:val="13"/>
              </w:rPr>
              <w:t> </w:t>
            </w:r>
            <w:r>
              <w:rPr>
                <w:rFonts w:ascii="Times New Roman" w:hAnsi="Times New Roman" w:cs="Times New Roman" w:eastAsia="Times New Roman" w:hint="default"/>
                <w:sz w:val="13"/>
                <w:szCs w:val="13"/>
              </w:rPr>
              <w:t>04</w:t>
            </w: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5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30 </w:t>
            </w:r>
            <w:r>
              <w:rPr>
                <w:rFonts w:ascii="宋体" w:hAnsi="宋体" w:cs="宋体" w:eastAsia="宋体" w:hint="default"/>
                <w:sz w:val="13"/>
                <w:szCs w:val="13"/>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left="31" w:right="0"/>
              <w:jc w:val="left"/>
              <w:rPr>
                <w:rFonts w:ascii="Times New Roman" w:hAnsi="Times New Roman" w:cs="Times New Roman" w:eastAsia="Times New Roman" w:hint="default"/>
                <w:sz w:val="13"/>
                <w:szCs w:val="13"/>
              </w:rPr>
            </w:pPr>
            <w:r>
              <w:rPr>
                <w:rFonts w:ascii="Times New Roman"/>
                <w:sz w:val="13"/>
              </w:rPr>
              <w:t>2019-032</w:t>
            </w: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84" w:right="0"/>
              <w:jc w:val="left"/>
              <w:rPr>
                <w:rFonts w:ascii="宋体" w:hAnsi="宋体" w:cs="宋体" w:eastAsia="宋体" w:hint="default"/>
                <w:sz w:val="13"/>
                <w:szCs w:val="13"/>
              </w:rPr>
            </w:pPr>
            <w:r>
              <w:rPr>
                <w:rFonts w:ascii="宋体" w:hAnsi="宋体" w:cs="宋体" w:eastAsia="宋体" w:hint="default"/>
                <w:sz w:val="13"/>
                <w:szCs w:val="13"/>
              </w:rPr>
              <w:t>号公告</w:t>
            </w:r>
          </w:p>
        </w:tc>
      </w:tr>
      <w:tr>
        <w:trPr>
          <w:trHeight w:val="126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p>
          <w:p>
            <w:pPr>
              <w:pStyle w:val="TableParagraph"/>
              <w:spacing w:line="439" w:lineRule="auto"/>
              <w:ind w:left="2" w:right="43"/>
              <w:jc w:val="left"/>
              <w:rPr>
                <w:rFonts w:ascii="宋体" w:hAnsi="宋体" w:cs="宋体" w:eastAsia="宋体" w:hint="default"/>
                <w:sz w:val="13"/>
                <w:szCs w:val="13"/>
              </w:rPr>
            </w:pPr>
            <w:r>
              <w:rPr>
                <w:rFonts w:ascii="宋体" w:hAnsi="宋体" w:cs="宋体" w:eastAsia="宋体" w:hint="default"/>
                <w:sz w:val="13"/>
                <w:szCs w:val="13"/>
              </w:rPr>
              <w:t>武汉中元通信股</w:t>
            </w:r>
            <w:r>
              <w:rPr>
                <w:rFonts w:ascii="宋体" w:hAnsi="宋体" w:cs="宋体" w:eastAsia="宋体" w:hint="default"/>
                <w:w w:val="99"/>
                <w:sz w:val="13"/>
                <w:szCs w:val="13"/>
              </w:rPr>
              <w:t> </w:t>
            </w:r>
            <w:r>
              <w:rPr>
                <w:rFonts w:ascii="宋体" w:hAnsi="宋体" w:cs="宋体" w:eastAsia="宋体" w:hint="default"/>
                <w:sz w:val="13"/>
                <w:szCs w:val="13"/>
              </w:rPr>
              <w:t>份有限公司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4"/>
              <w:ind w:left="2" w:right="0"/>
              <w:jc w:val="left"/>
              <w:rPr>
                <w:rFonts w:ascii="宋体" w:hAnsi="宋体" w:cs="宋体" w:eastAsia="宋体" w:hint="default"/>
                <w:sz w:val="13"/>
                <w:szCs w:val="13"/>
              </w:rPr>
            </w:pPr>
            <w:r>
              <w:rPr>
                <w:rFonts w:ascii="宋体" w:hAnsi="宋体" w:cs="宋体" w:eastAsia="宋体" w:hint="default"/>
                <w:sz w:val="13"/>
                <w:szCs w:val="13"/>
              </w:rPr>
              <w:t>军用通信领域相</w:t>
            </w:r>
            <w:r>
              <w:rPr>
                <w:rFonts w:ascii="宋体" w:hAnsi="宋体" w:cs="宋体" w:eastAsia="宋体" w:hint="default"/>
                <w:w w:val="99"/>
                <w:sz w:val="13"/>
                <w:szCs w:val="13"/>
              </w:rPr>
              <w:t> </w:t>
            </w:r>
            <w:r>
              <w:rPr>
                <w:rFonts w:ascii="宋体" w:hAnsi="宋体" w:cs="宋体" w:eastAsia="宋体" w:hint="default"/>
                <w:sz w:val="13"/>
                <w:szCs w:val="13"/>
              </w:rPr>
              <w:t>关系统和设备设</w:t>
            </w:r>
            <w:r>
              <w:rPr>
                <w:rFonts w:ascii="宋体" w:hAnsi="宋体" w:cs="宋体" w:eastAsia="宋体" w:hint="default"/>
                <w:w w:val="99"/>
                <w:sz w:val="13"/>
                <w:szCs w:val="13"/>
              </w:rPr>
              <w:t> </w:t>
            </w:r>
            <w:r>
              <w:rPr>
                <w:rFonts w:ascii="宋体" w:hAnsi="宋体" w:cs="宋体" w:eastAsia="宋体" w:hint="default"/>
                <w:spacing w:val="-4"/>
                <w:sz w:val="13"/>
                <w:szCs w:val="13"/>
              </w:rPr>
              <w:t>计、开发、生产和</w:t>
            </w:r>
            <w:r>
              <w:rPr>
                <w:rFonts w:ascii="宋体" w:hAnsi="宋体" w:cs="宋体" w:eastAsia="宋体" w:hint="default"/>
                <w:w w:val="99"/>
                <w:sz w:val="13"/>
                <w:szCs w:val="13"/>
              </w:rPr>
              <w:t> </w:t>
            </w:r>
            <w:r>
              <w:rPr>
                <w:rFonts w:ascii="宋体" w:hAnsi="宋体" w:cs="宋体" w:eastAsia="宋体" w:hint="default"/>
                <w:sz w:val="13"/>
                <w:szCs w:val="13"/>
              </w:rPr>
              <w:t>服务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收购</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right="0"/>
              <w:jc w:val="right"/>
              <w:rPr>
                <w:rFonts w:ascii="Times New Roman" w:hAnsi="Times New Roman" w:cs="Times New Roman" w:eastAsia="Times New Roman" w:hint="default"/>
                <w:sz w:val="13"/>
                <w:szCs w:val="13"/>
              </w:rPr>
            </w:pPr>
            <w:r>
              <w:rPr>
                <w:rFonts w:ascii="Times New Roman"/>
                <w:sz w:val="13"/>
              </w:rPr>
              <w:t>156,690,052.37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1" w:right="0"/>
              <w:jc w:val="center"/>
              <w:rPr>
                <w:rFonts w:ascii="Times New Roman" w:hAnsi="Times New Roman" w:cs="Times New Roman" w:eastAsia="Times New Roman" w:hint="default"/>
                <w:sz w:val="13"/>
                <w:szCs w:val="13"/>
              </w:rPr>
            </w:pPr>
            <w:r>
              <w:rPr>
                <w:rFonts w:ascii="Times New Roman"/>
                <w:sz w:val="13"/>
              </w:rPr>
              <w:t>4.98%</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439" w:lineRule="auto"/>
              <w:ind w:left="-1" w:right="19"/>
              <w:jc w:val="both"/>
              <w:rPr>
                <w:rFonts w:ascii="宋体" w:hAnsi="宋体" w:cs="宋体" w:eastAsia="宋体" w:hint="default"/>
                <w:sz w:val="13"/>
                <w:szCs w:val="13"/>
              </w:rPr>
            </w:pPr>
            <w:r>
              <w:rPr>
                <w:rFonts w:ascii="宋体" w:hAnsi="宋体" w:cs="宋体" w:eastAsia="宋体" w:hint="default"/>
                <w:sz w:val="13"/>
                <w:szCs w:val="13"/>
              </w:rPr>
              <w:t>军工电子领</w:t>
            </w:r>
            <w:r>
              <w:rPr>
                <w:rFonts w:ascii="宋体" w:hAnsi="宋体" w:cs="宋体" w:eastAsia="宋体" w:hint="default"/>
                <w:w w:val="99"/>
                <w:sz w:val="13"/>
                <w:szCs w:val="13"/>
              </w:rPr>
              <w:t> </w:t>
            </w:r>
            <w:r>
              <w:rPr>
                <w:rFonts w:ascii="宋体" w:hAnsi="宋体" w:cs="宋体" w:eastAsia="宋体" w:hint="default"/>
                <w:sz w:val="13"/>
                <w:szCs w:val="13"/>
              </w:rPr>
              <w:t>域的研发、</w:t>
            </w:r>
            <w:r>
              <w:rPr>
                <w:rFonts w:ascii="宋体" w:hAnsi="宋体" w:cs="宋体" w:eastAsia="宋体" w:hint="default"/>
                <w:w w:val="99"/>
                <w:sz w:val="13"/>
                <w:szCs w:val="13"/>
              </w:rPr>
              <w:t> </w:t>
            </w:r>
            <w:r>
              <w:rPr>
                <w:rFonts w:ascii="宋体" w:hAnsi="宋体" w:cs="宋体" w:eastAsia="宋体" w:hint="default"/>
                <w:sz w:val="13"/>
                <w:szCs w:val="13"/>
              </w:rPr>
              <w:t>制造与服务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已完成</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3"/>
                <w:szCs w:val="13"/>
              </w:rPr>
            </w:pPr>
            <w:r>
              <w:rPr>
                <w:rFonts w:ascii="宋体" w:hAnsi="宋体" w:cs="宋体" w:eastAsia="宋体" w:hint="default"/>
                <w:sz w:val="13"/>
                <w:szCs w:val="13"/>
              </w:rPr>
              <w:t>不适用</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218" w:right="-5"/>
              <w:jc w:val="left"/>
              <w:rPr>
                <w:rFonts w:ascii="Times New Roman" w:hAnsi="Times New Roman" w:cs="Times New Roman" w:eastAsia="Times New Roman" w:hint="default"/>
                <w:sz w:val="13"/>
                <w:szCs w:val="13"/>
              </w:rPr>
            </w:pPr>
            <w:r>
              <w:rPr>
                <w:rFonts w:ascii="Times New Roman"/>
                <w:sz w:val="13"/>
              </w:rPr>
              <w:t>8,958,729.73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 w:right="-3"/>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w:t>
            </w:r>
            <w:r>
              <w:rPr>
                <w:rFonts w:ascii="Times New Roman" w:hAnsi="Times New Roman" w:cs="Times New Roman" w:eastAsia="Times New Roman" w:hint="default"/>
                <w:spacing w:val="-15"/>
                <w:sz w:val="13"/>
                <w:szCs w:val="13"/>
              </w:rPr>
              <w:t> </w:t>
            </w:r>
            <w:r>
              <w:rPr>
                <w:rFonts w:ascii="宋体" w:hAnsi="宋体" w:cs="宋体" w:eastAsia="宋体" w:hint="default"/>
                <w:sz w:val="13"/>
                <w:szCs w:val="13"/>
              </w:rPr>
              <w:t>年</w:t>
            </w:r>
            <w:r>
              <w:rPr>
                <w:rFonts w:ascii="宋体" w:hAnsi="宋体" w:cs="宋体" w:eastAsia="宋体" w:hint="default"/>
                <w:spacing w:val="-47"/>
                <w:sz w:val="13"/>
                <w:szCs w:val="13"/>
              </w:rPr>
              <w:t> </w:t>
            </w:r>
            <w:r>
              <w:rPr>
                <w:rFonts w:ascii="Times New Roman" w:hAnsi="Times New Roman" w:cs="Times New Roman" w:eastAsia="Times New Roman" w:hint="default"/>
                <w:sz w:val="13"/>
                <w:szCs w:val="13"/>
              </w:rPr>
              <w:t>07</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25 </w:t>
            </w:r>
            <w:r>
              <w:rPr>
                <w:rFonts w:ascii="宋体" w:hAnsi="宋体" w:cs="宋体" w:eastAsia="宋体" w:hint="default"/>
                <w:sz w:val="13"/>
                <w:szCs w:val="13"/>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left="31" w:right="0"/>
              <w:jc w:val="left"/>
              <w:rPr>
                <w:rFonts w:ascii="Times New Roman" w:hAnsi="Times New Roman" w:cs="Times New Roman" w:eastAsia="Times New Roman" w:hint="default"/>
                <w:sz w:val="13"/>
                <w:szCs w:val="13"/>
              </w:rPr>
            </w:pPr>
            <w:r>
              <w:rPr>
                <w:rFonts w:ascii="Times New Roman"/>
                <w:sz w:val="13"/>
              </w:rPr>
              <w:t>2019-048</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84" w:right="0"/>
              <w:jc w:val="left"/>
              <w:rPr>
                <w:rFonts w:ascii="宋体" w:hAnsi="宋体" w:cs="宋体" w:eastAsia="宋体" w:hint="default"/>
                <w:sz w:val="13"/>
                <w:szCs w:val="13"/>
              </w:rPr>
            </w:pPr>
            <w:r>
              <w:rPr>
                <w:rFonts w:ascii="宋体" w:hAnsi="宋体" w:cs="宋体" w:eastAsia="宋体" w:hint="default"/>
                <w:sz w:val="13"/>
                <w:szCs w:val="13"/>
              </w:rPr>
              <w:t>号公告</w:t>
            </w:r>
          </w:p>
        </w:tc>
      </w:tr>
      <w:tr>
        <w:trPr>
          <w:trHeight w:val="125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439" w:lineRule="auto"/>
              <w:ind w:left="2" w:right="43"/>
              <w:jc w:val="left"/>
              <w:rPr>
                <w:rFonts w:ascii="宋体" w:hAnsi="宋体" w:cs="宋体" w:eastAsia="宋体" w:hint="default"/>
                <w:sz w:val="13"/>
                <w:szCs w:val="13"/>
              </w:rPr>
            </w:pPr>
            <w:r>
              <w:rPr>
                <w:rFonts w:ascii="宋体" w:hAnsi="宋体" w:cs="宋体" w:eastAsia="宋体" w:hint="default"/>
                <w:sz w:val="13"/>
                <w:szCs w:val="13"/>
              </w:rPr>
              <w:t>天津飞腾信息技</w:t>
            </w:r>
            <w:r>
              <w:rPr>
                <w:rFonts w:ascii="宋体" w:hAnsi="宋体" w:cs="宋体" w:eastAsia="宋体" w:hint="default"/>
                <w:w w:val="99"/>
                <w:sz w:val="13"/>
                <w:szCs w:val="13"/>
              </w:rPr>
              <w:t> </w:t>
            </w:r>
            <w:r>
              <w:rPr>
                <w:rFonts w:ascii="宋体" w:hAnsi="宋体" w:cs="宋体" w:eastAsia="宋体" w:hint="default"/>
                <w:sz w:val="13"/>
                <w:szCs w:val="13"/>
              </w:rPr>
              <w:t>术有限公司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439" w:lineRule="auto"/>
              <w:ind w:left="2" w:right="0"/>
              <w:jc w:val="left"/>
              <w:rPr>
                <w:rFonts w:ascii="宋体" w:hAnsi="宋体" w:cs="宋体" w:eastAsia="宋体" w:hint="default"/>
                <w:sz w:val="13"/>
                <w:szCs w:val="13"/>
              </w:rPr>
            </w:pPr>
            <w:r>
              <w:rPr>
                <w:rFonts w:ascii="宋体" w:hAnsi="宋体" w:cs="宋体" w:eastAsia="宋体" w:hint="default"/>
                <w:spacing w:val="-4"/>
                <w:sz w:val="13"/>
                <w:szCs w:val="13"/>
              </w:rPr>
              <w:t>国产高性能、低功</w:t>
            </w:r>
            <w:r>
              <w:rPr>
                <w:rFonts w:ascii="宋体" w:hAnsi="宋体" w:cs="宋体" w:eastAsia="宋体" w:hint="default"/>
                <w:w w:val="99"/>
                <w:sz w:val="13"/>
                <w:szCs w:val="13"/>
              </w:rPr>
              <w:t> </w:t>
            </w:r>
            <w:r>
              <w:rPr>
                <w:rFonts w:ascii="宋体" w:hAnsi="宋体" w:cs="宋体" w:eastAsia="宋体" w:hint="default"/>
                <w:sz w:val="13"/>
                <w:szCs w:val="13"/>
              </w:rPr>
              <w:t>耗集成电路芯片</w:t>
            </w:r>
            <w:r>
              <w:rPr>
                <w:rFonts w:ascii="宋体" w:hAnsi="宋体" w:cs="宋体" w:eastAsia="宋体" w:hint="default"/>
                <w:w w:val="99"/>
                <w:sz w:val="13"/>
                <w:szCs w:val="13"/>
              </w:rPr>
              <w:t> </w:t>
            </w:r>
            <w:r>
              <w:rPr>
                <w:rFonts w:ascii="宋体" w:hAnsi="宋体" w:cs="宋体" w:eastAsia="宋体" w:hint="default"/>
                <w:sz w:val="13"/>
                <w:szCs w:val="13"/>
              </w:rPr>
              <w:t>的设计与服务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收购</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sz w:val="13"/>
              </w:rPr>
              <w:t>302,190,000.00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3" w:right="0"/>
              <w:jc w:val="center"/>
              <w:rPr>
                <w:rFonts w:ascii="Times New Roman" w:hAnsi="Times New Roman" w:cs="Times New Roman" w:eastAsia="Times New Roman" w:hint="default"/>
                <w:sz w:val="13"/>
                <w:szCs w:val="13"/>
              </w:rPr>
            </w:pPr>
            <w:r>
              <w:rPr>
                <w:rFonts w:ascii="Times New Roman"/>
                <w:sz w:val="13"/>
              </w:rPr>
              <w:t>35.00%</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415" w:lineRule="auto" w:before="52"/>
              <w:ind w:left="-1" w:right="19"/>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CPU</w:t>
            </w:r>
            <w:r>
              <w:rPr>
                <w:rFonts w:ascii="宋体" w:hAnsi="宋体" w:cs="宋体" w:eastAsia="宋体" w:hint="default"/>
                <w:sz w:val="13"/>
                <w:szCs w:val="13"/>
              </w:rPr>
              <w:t>、</w:t>
            </w:r>
            <w:r>
              <w:rPr>
                <w:rFonts w:ascii="宋体" w:hAnsi="宋体" w:cs="宋体" w:eastAsia="宋体" w:hint="default"/>
                <w:w w:val="99"/>
                <w:sz w:val="13"/>
                <w:szCs w:val="13"/>
              </w:rPr>
              <w:t> </w:t>
            </w:r>
            <w:r>
              <w:rPr>
                <w:rFonts w:ascii="Times New Roman" w:hAnsi="Times New Roman" w:cs="Times New Roman" w:eastAsia="Times New Roman" w:hint="default"/>
                <w:sz w:val="13"/>
                <w:szCs w:val="13"/>
              </w:rPr>
              <w:t>ASIC</w:t>
            </w:r>
            <w:r>
              <w:rPr>
                <w:rFonts w:ascii="宋体" w:hAnsi="宋体" w:cs="宋体" w:eastAsia="宋体" w:hint="default"/>
                <w:sz w:val="13"/>
                <w:szCs w:val="13"/>
              </w:rPr>
              <w:t>、</w:t>
            </w:r>
            <w:r>
              <w:rPr>
                <w:rFonts w:ascii="Times New Roman" w:hAnsi="Times New Roman" w:cs="Times New Roman" w:eastAsia="Times New Roman" w:hint="default"/>
                <w:sz w:val="13"/>
                <w:szCs w:val="13"/>
              </w:rPr>
              <w:t>SoC</w:t>
            </w:r>
          </w:p>
          <w:p>
            <w:pPr>
              <w:pStyle w:val="TableParagraph"/>
              <w:spacing w:line="240" w:lineRule="auto" w:before="27"/>
              <w:ind w:left="-1" w:right="0"/>
              <w:jc w:val="left"/>
              <w:rPr>
                <w:rFonts w:ascii="宋体" w:hAnsi="宋体" w:cs="宋体" w:eastAsia="宋体" w:hint="default"/>
                <w:sz w:val="13"/>
                <w:szCs w:val="13"/>
              </w:rPr>
            </w:pPr>
            <w:r>
              <w:rPr>
                <w:rFonts w:ascii="宋体" w:hAnsi="宋体" w:cs="宋体" w:eastAsia="宋体" w:hint="default"/>
                <w:sz w:val="13"/>
                <w:szCs w:val="13"/>
              </w:rPr>
              <w:t>等芯片产</w:t>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left"/>
              <w:rPr>
                <w:rFonts w:ascii="宋体" w:hAnsi="宋体" w:cs="宋体" w:eastAsia="宋体" w:hint="default"/>
                <w:sz w:val="13"/>
                <w:szCs w:val="13"/>
              </w:rPr>
            </w:pPr>
            <w:r>
              <w:rPr>
                <w:rFonts w:ascii="宋体" w:hAnsi="宋体" w:cs="宋体" w:eastAsia="宋体" w:hint="default"/>
                <w:sz w:val="13"/>
                <w:szCs w:val="13"/>
              </w:rPr>
              <w:t>品、</w:t>
            </w:r>
            <w:r>
              <w:rPr>
                <w:rFonts w:ascii="Times New Roman" w:hAnsi="Times New Roman" w:cs="Times New Roman" w:eastAsia="Times New Roman" w:hint="default"/>
                <w:sz w:val="13"/>
                <w:szCs w:val="13"/>
              </w:rPr>
              <w:t>IP</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产品</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已完成</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3"/>
                <w:szCs w:val="13"/>
              </w:rPr>
            </w:pPr>
            <w:r>
              <w:rPr>
                <w:rFonts w:ascii="宋体" w:hAnsi="宋体" w:cs="宋体" w:eastAsia="宋体" w:hint="default"/>
                <w:sz w:val="13"/>
                <w:szCs w:val="13"/>
              </w:rPr>
              <w:t>不适用</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175" w:right="-5"/>
              <w:jc w:val="left"/>
              <w:rPr>
                <w:rFonts w:ascii="Times New Roman" w:hAnsi="Times New Roman" w:cs="Times New Roman" w:eastAsia="Times New Roman" w:hint="default"/>
                <w:sz w:val="13"/>
                <w:szCs w:val="13"/>
              </w:rPr>
            </w:pPr>
            <w:r>
              <w:rPr>
                <w:rFonts w:ascii="Times New Roman"/>
                <w:sz w:val="13"/>
              </w:rPr>
              <w:t>-1,949,773.27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3"/>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w:t>
            </w:r>
            <w:r>
              <w:rPr>
                <w:rFonts w:ascii="Times New Roman" w:hAnsi="Times New Roman" w:cs="Times New Roman" w:eastAsia="Times New Roman" w:hint="default"/>
                <w:spacing w:val="-15"/>
                <w:sz w:val="13"/>
                <w:szCs w:val="13"/>
              </w:rPr>
              <w:t> </w:t>
            </w:r>
            <w:r>
              <w:rPr>
                <w:rFonts w:ascii="宋体" w:hAnsi="宋体" w:cs="宋体" w:eastAsia="宋体" w:hint="default"/>
                <w:sz w:val="13"/>
                <w:szCs w:val="13"/>
              </w:rPr>
              <w:t>年</w:t>
            </w:r>
            <w:r>
              <w:rPr>
                <w:rFonts w:ascii="宋体" w:hAnsi="宋体" w:cs="宋体" w:eastAsia="宋体" w:hint="default"/>
                <w:spacing w:val="-47"/>
                <w:sz w:val="13"/>
                <w:szCs w:val="13"/>
              </w:rPr>
              <w:t> </w:t>
            </w:r>
            <w:r>
              <w:rPr>
                <w:rFonts w:ascii="Times New Roman" w:hAnsi="Times New Roman" w:cs="Times New Roman" w:eastAsia="Times New Roman" w:hint="default"/>
                <w:sz w:val="13"/>
                <w:szCs w:val="13"/>
              </w:rPr>
              <w:t>08</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27 </w:t>
            </w:r>
            <w:r>
              <w:rPr>
                <w:rFonts w:ascii="宋体" w:hAnsi="宋体" w:cs="宋体" w:eastAsia="宋体" w:hint="default"/>
                <w:sz w:val="13"/>
                <w:szCs w:val="13"/>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31" w:right="0"/>
              <w:jc w:val="left"/>
              <w:rPr>
                <w:rFonts w:ascii="Times New Roman" w:hAnsi="Times New Roman" w:cs="Times New Roman" w:eastAsia="Times New Roman" w:hint="default"/>
                <w:sz w:val="13"/>
                <w:szCs w:val="13"/>
              </w:rPr>
            </w:pPr>
            <w:r>
              <w:rPr>
                <w:rFonts w:ascii="Times New Roman"/>
                <w:sz w:val="13"/>
              </w:rPr>
              <w:t>2019-058</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84" w:right="0"/>
              <w:jc w:val="left"/>
              <w:rPr>
                <w:rFonts w:ascii="宋体" w:hAnsi="宋体" w:cs="宋体" w:eastAsia="宋体" w:hint="default"/>
                <w:sz w:val="13"/>
                <w:szCs w:val="13"/>
              </w:rPr>
            </w:pPr>
            <w:r>
              <w:rPr>
                <w:rFonts w:ascii="宋体" w:hAnsi="宋体" w:cs="宋体" w:eastAsia="宋体" w:hint="default"/>
                <w:sz w:val="13"/>
                <w:szCs w:val="13"/>
              </w:rPr>
              <w:t>号公告</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2" w:right="43"/>
              <w:jc w:val="left"/>
              <w:rPr>
                <w:rFonts w:ascii="宋体" w:hAnsi="宋体" w:cs="宋体" w:eastAsia="宋体" w:hint="default"/>
                <w:sz w:val="13"/>
                <w:szCs w:val="13"/>
              </w:rPr>
            </w:pPr>
            <w:r>
              <w:rPr>
                <w:rFonts w:ascii="宋体" w:hAnsi="宋体" w:cs="宋体" w:eastAsia="宋体" w:hint="default"/>
                <w:sz w:val="13"/>
                <w:szCs w:val="13"/>
              </w:rPr>
              <w:t>郑州轨道交通信</w:t>
            </w:r>
            <w:r>
              <w:rPr>
                <w:rFonts w:ascii="宋体" w:hAnsi="宋体" w:cs="宋体" w:eastAsia="宋体" w:hint="default"/>
                <w:w w:val="99"/>
                <w:sz w:val="13"/>
                <w:szCs w:val="13"/>
              </w:rPr>
              <w:t> </w:t>
            </w:r>
            <w:r>
              <w:rPr>
                <w:rFonts w:ascii="宋体" w:hAnsi="宋体" w:cs="宋体" w:eastAsia="宋体" w:hint="default"/>
                <w:sz w:val="13"/>
                <w:szCs w:val="13"/>
              </w:rPr>
              <w:t>息技术研究院</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2" w:right="99"/>
              <w:jc w:val="left"/>
              <w:rPr>
                <w:rFonts w:ascii="宋体" w:hAnsi="宋体" w:cs="宋体" w:eastAsia="宋体" w:hint="default"/>
                <w:sz w:val="13"/>
                <w:szCs w:val="13"/>
              </w:rPr>
            </w:pPr>
            <w:r>
              <w:rPr>
                <w:rFonts w:ascii="宋体" w:hAnsi="宋体" w:cs="宋体" w:eastAsia="宋体" w:hint="default"/>
                <w:sz w:val="13"/>
                <w:szCs w:val="13"/>
              </w:rPr>
              <w:t>工控信息安全产</w:t>
            </w:r>
            <w:r>
              <w:rPr>
                <w:rFonts w:ascii="宋体" w:hAnsi="宋体" w:cs="宋体" w:eastAsia="宋体" w:hint="default"/>
                <w:w w:val="99"/>
                <w:sz w:val="13"/>
                <w:szCs w:val="13"/>
              </w:rPr>
              <w:t> </w:t>
            </w:r>
            <w:r>
              <w:rPr>
                <w:rFonts w:ascii="宋体" w:hAnsi="宋体" w:cs="宋体" w:eastAsia="宋体" w:hint="default"/>
                <w:sz w:val="13"/>
                <w:szCs w:val="13"/>
              </w:rPr>
              <w:t>业</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收购</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right="-2"/>
              <w:jc w:val="right"/>
              <w:rPr>
                <w:rFonts w:ascii="Times New Roman" w:hAnsi="Times New Roman" w:cs="Times New Roman" w:eastAsia="Times New Roman" w:hint="default"/>
                <w:sz w:val="13"/>
                <w:szCs w:val="13"/>
              </w:rPr>
            </w:pPr>
            <w:r>
              <w:rPr>
                <w:rFonts w:ascii="Times New Roman"/>
                <w:sz w:val="13"/>
              </w:rPr>
              <w:t>98,009,600.00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left="1" w:right="0"/>
              <w:jc w:val="center"/>
              <w:rPr>
                <w:rFonts w:ascii="Times New Roman" w:hAnsi="Times New Roman" w:cs="Times New Roman" w:eastAsia="Times New Roman" w:hint="default"/>
                <w:sz w:val="13"/>
                <w:szCs w:val="13"/>
              </w:rPr>
            </w:pPr>
            <w:r>
              <w:rPr>
                <w:rFonts w:ascii="Times New Roman"/>
                <w:sz w:val="13"/>
              </w:rPr>
              <w:t>100%</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1" w:right="19"/>
              <w:jc w:val="left"/>
              <w:rPr>
                <w:rFonts w:ascii="宋体" w:hAnsi="宋体" w:cs="宋体" w:eastAsia="宋体" w:hint="default"/>
                <w:sz w:val="13"/>
                <w:szCs w:val="13"/>
              </w:rPr>
            </w:pPr>
            <w:r>
              <w:rPr>
                <w:rFonts w:ascii="宋体" w:hAnsi="宋体" w:cs="宋体" w:eastAsia="宋体" w:hint="default"/>
                <w:sz w:val="13"/>
                <w:szCs w:val="13"/>
              </w:rPr>
              <w:t>工业控制系</w:t>
            </w:r>
            <w:r>
              <w:rPr>
                <w:rFonts w:ascii="宋体" w:hAnsi="宋体" w:cs="宋体" w:eastAsia="宋体" w:hint="default"/>
                <w:w w:val="99"/>
                <w:sz w:val="13"/>
                <w:szCs w:val="13"/>
              </w:rPr>
              <w:t> </w:t>
            </w:r>
            <w:r>
              <w:rPr>
                <w:rFonts w:ascii="宋体" w:hAnsi="宋体" w:cs="宋体" w:eastAsia="宋体" w:hint="default"/>
                <w:sz w:val="13"/>
                <w:szCs w:val="13"/>
              </w:rPr>
              <w:t>统产品</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已完成</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3"/>
                <w:szCs w:val="13"/>
              </w:rPr>
            </w:pPr>
            <w:r>
              <w:rPr>
                <w:rFonts w:ascii="宋体" w:hAnsi="宋体" w:cs="宋体" w:eastAsia="宋体" w:hint="default"/>
                <w:sz w:val="13"/>
                <w:szCs w:val="13"/>
              </w:rPr>
              <w:t>不适用</w:t>
            </w:r>
            <w:r>
              <w:rPr>
                <w:rFonts w:ascii="宋体" w:hAnsi="宋体" w:cs="宋体" w:eastAsia="宋体" w:hint="default"/>
                <w:sz w:val="13"/>
                <w:szCs w:val="13"/>
              </w:rPr>
              <w:t> </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left="153" w:right="-5"/>
              <w:jc w:val="left"/>
              <w:rPr>
                <w:rFonts w:ascii="Times New Roman" w:hAnsi="Times New Roman" w:cs="Times New Roman" w:eastAsia="Times New Roman" w:hint="default"/>
                <w:sz w:val="13"/>
                <w:szCs w:val="13"/>
              </w:rPr>
            </w:pPr>
            <w:r>
              <w:rPr>
                <w:rFonts w:ascii="Times New Roman"/>
                <w:sz w:val="13"/>
              </w:rPr>
              <w:t>24,263,331.81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3"/>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w:t>
            </w:r>
            <w:r>
              <w:rPr>
                <w:rFonts w:ascii="Times New Roman" w:hAnsi="Times New Roman" w:cs="Times New Roman" w:eastAsia="Times New Roman" w:hint="default"/>
                <w:spacing w:val="-15"/>
                <w:sz w:val="13"/>
                <w:szCs w:val="13"/>
              </w:rPr>
              <w:t> </w:t>
            </w:r>
            <w:r>
              <w:rPr>
                <w:rFonts w:ascii="宋体" w:hAnsi="宋体" w:cs="宋体" w:eastAsia="宋体" w:hint="default"/>
                <w:sz w:val="13"/>
                <w:szCs w:val="13"/>
              </w:rPr>
              <w:t>年</w:t>
            </w:r>
            <w:r>
              <w:rPr>
                <w:rFonts w:ascii="宋体" w:hAnsi="宋体" w:cs="宋体" w:eastAsia="宋体" w:hint="default"/>
                <w:spacing w:val="-47"/>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02 </w:t>
            </w:r>
            <w:r>
              <w:rPr>
                <w:rFonts w:ascii="宋体" w:hAnsi="宋体" w:cs="宋体" w:eastAsia="宋体" w:hint="default"/>
                <w:sz w:val="13"/>
                <w:szCs w:val="13"/>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1" w:right="0"/>
              <w:jc w:val="left"/>
              <w:rPr>
                <w:rFonts w:ascii="Times New Roman" w:hAnsi="Times New Roman" w:cs="Times New Roman" w:eastAsia="Times New Roman" w:hint="default"/>
                <w:sz w:val="13"/>
                <w:szCs w:val="13"/>
              </w:rPr>
            </w:pPr>
            <w:r>
              <w:rPr>
                <w:rFonts w:ascii="Times New Roman"/>
                <w:sz w:val="13"/>
              </w:rPr>
              <w:t>2019-085</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84" w:right="0"/>
              <w:jc w:val="left"/>
              <w:rPr>
                <w:rFonts w:ascii="宋体" w:hAnsi="宋体" w:cs="宋体" w:eastAsia="宋体" w:hint="default"/>
                <w:sz w:val="13"/>
                <w:szCs w:val="13"/>
              </w:rPr>
            </w:pPr>
            <w:r>
              <w:rPr>
                <w:rFonts w:ascii="宋体" w:hAnsi="宋体" w:cs="宋体" w:eastAsia="宋体" w:hint="default"/>
                <w:sz w:val="13"/>
                <w:szCs w:val="13"/>
              </w:rPr>
              <w:t>号公告</w:t>
            </w:r>
          </w:p>
        </w:tc>
      </w:tr>
      <w:tr>
        <w:trPr>
          <w:trHeight w:val="94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439" w:lineRule="auto"/>
              <w:ind w:left="2" w:right="43"/>
              <w:jc w:val="left"/>
              <w:rPr>
                <w:rFonts w:ascii="宋体" w:hAnsi="宋体" w:cs="宋体" w:eastAsia="宋体" w:hint="default"/>
                <w:sz w:val="13"/>
                <w:szCs w:val="13"/>
              </w:rPr>
            </w:pPr>
            <w:r>
              <w:rPr>
                <w:rFonts w:ascii="宋体" w:hAnsi="宋体" w:cs="宋体" w:eastAsia="宋体" w:hint="default"/>
                <w:sz w:val="13"/>
                <w:szCs w:val="13"/>
              </w:rPr>
              <w:t>河南长城计算机</w:t>
            </w:r>
            <w:r>
              <w:rPr>
                <w:rFonts w:ascii="宋体" w:hAnsi="宋体" w:cs="宋体" w:eastAsia="宋体" w:hint="default"/>
                <w:w w:val="99"/>
                <w:sz w:val="13"/>
                <w:szCs w:val="13"/>
              </w:rPr>
              <w:t> </w:t>
            </w:r>
            <w:r>
              <w:rPr>
                <w:rFonts w:ascii="宋体" w:hAnsi="宋体" w:cs="宋体" w:eastAsia="宋体" w:hint="default"/>
                <w:sz w:val="13"/>
                <w:szCs w:val="13"/>
              </w:rPr>
              <w:t>系统有限公司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2" w:right="0"/>
              <w:jc w:val="left"/>
              <w:rPr>
                <w:rFonts w:ascii="宋体" w:hAnsi="宋体" w:cs="宋体" w:eastAsia="宋体" w:hint="default"/>
                <w:sz w:val="13"/>
                <w:szCs w:val="13"/>
              </w:rPr>
            </w:pPr>
            <w:r>
              <w:rPr>
                <w:rFonts w:ascii="宋体" w:hAnsi="宋体" w:cs="宋体" w:eastAsia="宋体" w:hint="default"/>
                <w:sz w:val="13"/>
                <w:szCs w:val="13"/>
              </w:rPr>
              <w:t>自主研发计算机</w:t>
            </w:r>
            <w:r>
              <w:rPr>
                <w:rFonts w:ascii="宋体" w:hAnsi="宋体" w:cs="宋体" w:eastAsia="宋体" w:hint="default"/>
                <w:w w:val="99"/>
                <w:sz w:val="13"/>
                <w:szCs w:val="13"/>
              </w:rPr>
              <w:t> </w:t>
            </w:r>
            <w:r>
              <w:rPr>
                <w:rFonts w:ascii="宋体" w:hAnsi="宋体" w:cs="宋体" w:eastAsia="宋体" w:hint="default"/>
                <w:spacing w:val="-4"/>
                <w:sz w:val="13"/>
                <w:szCs w:val="13"/>
              </w:rPr>
              <w:t>开发、生产、销售</w:t>
            </w:r>
            <w:r>
              <w:rPr>
                <w:rFonts w:ascii="宋体" w:hAnsi="宋体" w:cs="宋体" w:eastAsia="宋体" w:hint="default"/>
                <w:w w:val="99"/>
                <w:sz w:val="13"/>
                <w:szCs w:val="13"/>
              </w:rPr>
              <w:t> </w:t>
            </w:r>
            <w:r>
              <w:rPr>
                <w:rFonts w:ascii="宋体" w:hAnsi="宋体" w:cs="宋体" w:eastAsia="宋体" w:hint="default"/>
                <w:sz w:val="13"/>
                <w:szCs w:val="13"/>
              </w:rPr>
              <w:t>及服务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新设</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right="0"/>
              <w:jc w:val="right"/>
              <w:rPr>
                <w:rFonts w:ascii="Times New Roman" w:hAnsi="Times New Roman" w:cs="Times New Roman" w:eastAsia="Times New Roman" w:hint="default"/>
                <w:sz w:val="13"/>
                <w:szCs w:val="13"/>
              </w:rPr>
            </w:pPr>
            <w:r>
              <w:rPr>
                <w:rFonts w:ascii="Times New Roman"/>
                <w:sz w:val="13"/>
              </w:rPr>
              <w:t>100,000,000.00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left="1" w:right="0"/>
              <w:jc w:val="center"/>
              <w:rPr>
                <w:rFonts w:ascii="Times New Roman" w:hAnsi="Times New Roman" w:cs="Times New Roman" w:eastAsia="Times New Roman" w:hint="default"/>
                <w:sz w:val="13"/>
                <w:szCs w:val="13"/>
              </w:rPr>
            </w:pPr>
            <w:r>
              <w:rPr>
                <w:rFonts w:ascii="Times New Roman"/>
                <w:sz w:val="13"/>
              </w:rPr>
              <w:t>100%</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1" w:right="19"/>
              <w:jc w:val="both"/>
              <w:rPr>
                <w:rFonts w:ascii="宋体" w:hAnsi="宋体" w:cs="宋体" w:eastAsia="宋体" w:hint="default"/>
                <w:sz w:val="13"/>
                <w:szCs w:val="13"/>
              </w:rPr>
            </w:pPr>
            <w:r>
              <w:rPr>
                <w:rFonts w:ascii="宋体" w:hAnsi="宋体" w:cs="宋体" w:eastAsia="宋体" w:hint="default"/>
                <w:sz w:val="13"/>
                <w:szCs w:val="13"/>
              </w:rPr>
              <w:t>国产化、安</w:t>
            </w:r>
            <w:r>
              <w:rPr>
                <w:rFonts w:ascii="宋体" w:hAnsi="宋体" w:cs="宋体" w:eastAsia="宋体" w:hint="default"/>
                <w:w w:val="99"/>
                <w:sz w:val="13"/>
                <w:szCs w:val="13"/>
              </w:rPr>
              <w:t> </w:t>
            </w:r>
            <w:r>
              <w:rPr>
                <w:rFonts w:ascii="宋体" w:hAnsi="宋体" w:cs="宋体" w:eastAsia="宋体" w:hint="default"/>
                <w:sz w:val="13"/>
                <w:szCs w:val="13"/>
              </w:rPr>
              <w:t>全计算机和</w:t>
            </w:r>
            <w:r>
              <w:rPr>
                <w:rFonts w:ascii="宋体" w:hAnsi="宋体" w:cs="宋体" w:eastAsia="宋体" w:hint="default"/>
                <w:w w:val="99"/>
                <w:sz w:val="13"/>
                <w:szCs w:val="13"/>
              </w:rPr>
              <w:t> </w:t>
            </w:r>
            <w:r>
              <w:rPr>
                <w:rFonts w:ascii="宋体" w:hAnsi="宋体" w:cs="宋体" w:eastAsia="宋体" w:hint="default"/>
                <w:sz w:val="13"/>
                <w:szCs w:val="13"/>
              </w:rPr>
              <w:t>服务器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已完成</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3"/>
                <w:szCs w:val="13"/>
              </w:rPr>
            </w:pPr>
            <w:r>
              <w:rPr>
                <w:rFonts w:ascii="宋体" w:hAnsi="宋体" w:cs="宋体" w:eastAsia="宋体" w:hint="default"/>
                <w:sz w:val="13"/>
                <w:szCs w:val="13"/>
              </w:rPr>
              <w:t>不适用</w:t>
            </w:r>
            <w:r>
              <w:rPr>
                <w:rFonts w:ascii="宋体" w:hAnsi="宋体" w:cs="宋体" w:eastAsia="宋体" w:hint="default"/>
                <w:sz w:val="13"/>
                <w:szCs w:val="13"/>
              </w:rPr>
              <w:t> </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left="153" w:right="-5"/>
              <w:jc w:val="left"/>
              <w:rPr>
                <w:rFonts w:ascii="Times New Roman" w:hAnsi="Times New Roman" w:cs="Times New Roman" w:eastAsia="Times New Roman" w:hint="default"/>
                <w:sz w:val="13"/>
                <w:szCs w:val="13"/>
              </w:rPr>
            </w:pPr>
            <w:r>
              <w:rPr>
                <w:rFonts w:ascii="Times New Roman"/>
                <w:sz w:val="13"/>
              </w:rPr>
              <w:t>74,273,914.53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3"/>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w:t>
            </w:r>
            <w:r>
              <w:rPr>
                <w:rFonts w:ascii="Times New Roman" w:hAnsi="Times New Roman" w:cs="Times New Roman" w:eastAsia="Times New Roman" w:hint="default"/>
                <w:spacing w:val="-15"/>
                <w:sz w:val="13"/>
                <w:szCs w:val="13"/>
              </w:rPr>
              <w:t> </w:t>
            </w:r>
            <w:r>
              <w:rPr>
                <w:rFonts w:ascii="宋体" w:hAnsi="宋体" w:cs="宋体" w:eastAsia="宋体" w:hint="default"/>
                <w:sz w:val="13"/>
                <w:szCs w:val="13"/>
              </w:rPr>
              <w:t>年</w:t>
            </w:r>
            <w:r>
              <w:rPr>
                <w:rFonts w:ascii="宋体" w:hAnsi="宋体" w:cs="宋体" w:eastAsia="宋体" w:hint="default"/>
                <w:spacing w:val="-47"/>
                <w:sz w:val="13"/>
                <w:szCs w:val="13"/>
              </w:rPr>
              <w:t> </w:t>
            </w:r>
            <w:r>
              <w:rPr>
                <w:rFonts w:ascii="Times New Roman" w:hAnsi="Times New Roman" w:cs="Times New Roman" w:eastAsia="Times New Roman" w:hint="default"/>
                <w:sz w:val="13"/>
                <w:szCs w:val="13"/>
              </w:rPr>
              <w:t>08</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15 </w:t>
            </w:r>
            <w:r>
              <w:rPr>
                <w:rFonts w:ascii="宋体" w:hAnsi="宋体" w:cs="宋体" w:eastAsia="宋体" w:hint="default"/>
                <w:sz w:val="13"/>
                <w:szCs w:val="13"/>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31" w:right="0"/>
              <w:jc w:val="left"/>
              <w:rPr>
                <w:rFonts w:ascii="Times New Roman" w:hAnsi="Times New Roman" w:cs="Times New Roman" w:eastAsia="Times New Roman" w:hint="default"/>
                <w:sz w:val="13"/>
                <w:szCs w:val="13"/>
              </w:rPr>
            </w:pPr>
            <w:r>
              <w:rPr>
                <w:rFonts w:ascii="Times New Roman"/>
                <w:sz w:val="13"/>
              </w:rPr>
              <w:t>2019-053</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84" w:right="0"/>
              <w:jc w:val="left"/>
              <w:rPr>
                <w:rFonts w:ascii="宋体" w:hAnsi="宋体" w:cs="宋体" w:eastAsia="宋体" w:hint="default"/>
                <w:sz w:val="13"/>
                <w:szCs w:val="13"/>
              </w:rPr>
            </w:pPr>
            <w:r>
              <w:rPr>
                <w:rFonts w:ascii="宋体" w:hAnsi="宋体" w:cs="宋体" w:eastAsia="宋体" w:hint="default"/>
                <w:sz w:val="13"/>
                <w:szCs w:val="13"/>
              </w:rPr>
              <w:t>号公告</w:t>
            </w:r>
          </w:p>
        </w:tc>
      </w:tr>
      <w:tr>
        <w:trPr>
          <w:trHeight w:val="94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439" w:lineRule="auto"/>
              <w:ind w:left="2" w:right="43"/>
              <w:jc w:val="left"/>
              <w:rPr>
                <w:rFonts w:ascii="宋体" w:hAnsi="宋体" w:cs="宋体" w:eastAsia="宋体" w:hint="default"/>
                <w:sz w:val="13"/>
                <w:szCs w:val="13"/>
              </w:rPr>
            </w:pPr>
            <w:r>
              <w:rPr>
                <w:rFonts w:ascii="宋体" w:hAnsi="宋体" w:cs="宋体" w:eastAsia="宋体" w:hint="default"/>
                <w:sz w:val="13"/>
                <w:szCs w:val="13"/>
              </w:rPr>
              <w:t>山西长城计算机</w:t>
            </w:r>
            <w:r>
              <w:rPr>
                <w:rFonts w:ascii="宋体" w:hAnsi="宋体" w:cs="宋体" w:eastAsia="宋体" w:hint="default"/>
                <w:w w:val="99"/>
                <w:sz w:val="13"/>
                <w:szCs w:val="13"/>
              </w:rPr>
              <w:t> </w:t>
            </w:r>
            <w:r>
              <w:rPr>
                <w:rFonts w:ascii="宋体" w:hAnsi="宋体" w:cs="宋体" w:eastAsia="宋体" w:hint="default"/>
                <w:sz w:val="13"/>
                <w:szCs w:val="13"/>
              </w:rPr>
              <w:t>系统有限公司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2" w:right="0"/>
              <w:jc w:val="left"/>
              <w:rPr>
                <w:rFonts w:ascii="宋体" w:hAnsi="宋体" w:cs="宋体" w:eastAsia="宋体" w:hint="default"/>
                <w:sz w:val="13"/>
                <w:szCs w:val="13"/>
              </w:rPr>
            </w:pPr>
            <w:r>
              <w:rPr>
                <w:rFonts w:ascii="宋体" w:hAnsi="宋体" w:cs="宋体" w:eastAsia="宋体" w:hint="default"/>
                <w:sz w:val="13"/>
                <w:szCs w:val="13"/>
              </w:rPr>
              <w:t>自主研发计算机</w:t>
            </w:r>
            <w:r>
              <w:rPr>
                <w:rFonts w:ascii="宋体" w:hAnsi="宋体" w:cs="宋体" w:eastAsia="宋体" w:hint="default"/>
                <w:w w:val="99"/>
                <w:sz w:val="13"/>
                <w:szCs w:val="13"/>
              </w:rPr>
              <w:t> </w:t>
            </w:r>
            <w:r>
              <w:rPr>
                <w:rFonts w:ascii="宋体" w:hAnsi="宋体" w:cs="宋体" w:eastAsia="宋体" w:hint="default"/>
                <w:spacing w:val="-4"/>
                <w:sz w:val="13"/>
                <w:szCs w:val="13"/>
              </w:rPr>
              <w:t>开发、生产、销售</w:t>
            </w:r>
            <w:r>
              <w:rPr>
                <w:rFonts w:ascii="宋体" w:hAnsi="宋体" w:cs="宋体" w:eastAsia="宋体" w:hint="default"/>
                <w:w w:val="99"/>
                <w:sz w:val="13"/>
                <w:szCs w:val="13"/>
              </w:rPr>
              <w:t> </w:t>
            </w:r>
            <w:r>
              <w:rPr>
                <w:rFonts w:ascii="宋体" w:hAnsi="宋体" w:cs="宋体" w:eastAsia="宋体" w:hint="default"/>
                <w:sz w:val="13"/>
                <w:szCs w:val="13"/>
              </w:rPr>
              <w:t>及服务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新设</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0"/>
              <w:jc w:val="right"/>
              <w:rPr>
                <w:rFonts w:ascii="Times New Roman" w:hAnsi="Times New Roman" w:cs="Times New Roman" w:eastAsia="Times New Roman" w:hint="default"/>
                <w:sz w:val="13"/>
                <w:szCs w:val="13"/>
              </w:rPr>
            </w:pPr>
            <w:r>
              <w:rPr>
                <w:rFonts w:ascii="Times New Roman"/>
                <w:sz w:val="13"/>
              </w:rPr>
              <w:t>100,000,000.00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1" w:right="0"/>
              <w:jc w:val="center"/>
              <w:rPr>
                <w:rFonts w:ascii="Times New Roman" w:hAnsi="Times New Roman" w:cs="Times New Roman" w:eastAsia="Times New Roman" w:hint="default"/>
                <w:sz w:val="13"/>
                <w:szCs w:val="13"/>
              </w:rPr>
            </w:pPr>
            <w:r>
              <w:rPr>
                <w:rFonts w:ascii="Times New Roman"/>
                <w:sz w:val="13"/>
              </w:rPr>
              <w:t>100%</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1" w:right="19"/>
              <w:jc w:val="both"/>
              <w:rPr>
                <w:rFonts w:ascii="宋体" w:hAnsi="宋体" w:cs="宋体" w:eastAsia="宋体" w:hint="default"/>
                <w:sz w:val="13"/>
                <w:szCs w:val="13"/>
              </w:rPr>
            </w:pPr>
            <w:r>
              <w:rPr>
                <w:rFonts w:ascii="宋体" w:hAnsi="宋体" w:cs="宋体" w:eastAsia="宋体" w:hint="default"/>
                <w:sz w:val="13"/>
                <w:szCs w:val="13"/>
              </w:rPr>
              <w:t>国产化、安</w:t>
            </w:r>
            <w:r>
              <w:rPr>
                <w:rFonts w:ascii="宋体" w:hAnsi="宋体" w:cs="宋体" w:eastAsia="宋体" w:hint="default"/>
                <w:w w:val="99"/>
                <w:sz w:val="13"/>
                <w:szCs w:val="13"/>
              </w:rPr>
              <w:t> </w:t>
            </w:r>
            <w:r>
              <w:rPr>
                <w:rFonts w:ascii="宋体" w:hAnsi="宋体" w:cs="宋体" w:eastAsia="宋体" w:hint="default"/>
                <w:sz w:val="13"/>
                <w:szCs w:val="13"/>
              </w:rPr>
              <w:t>全计算机和</w:t>
            </w:r>
            <w:r>
              <w:rPr>
                <w:rFonts w:ascii="宋体" w:hAnsi="宋体" w:cs="宋体" w:eastAsia="宋体" w:hint="default"/>
                <w:w w:val="99"/>
                <w:sz w:val="13"/>
                <w:szCs w:val="13"/>
              </w:rPr>
              <w:t> </w:t>
            </w:r>
            <w:r>
              <w:rPr>
                <w:rFonts w:ascii="宋体" w:hAnsi="宋体" w:cs="宋体" w:eastAsia="宋体" w:hint="default"/>
                <w:sz w:val="13"/>
                <w:szCs w:val="13"/>
              </w:rPr>
              <w:t>服务器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已完成</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3"/>
                <w:szCs w:val="13"/>
              </w:rPr>
            </w:pPr>
            <w:r>
              <w:rPr>
                <w:rFonts w:ascii="宋体" w:hAnsi="宋体" w:cs="宋体" w:eastAsia="宋体" w:hint="default"/>
                <w:sz w:val="13"/>
                <w:szCs w:val="13"/>
              </w:rPr>
              <w:t>不适用</w:t>
            </w:r>
            <w:r>
              <w:rPr>
                <w:rFonts w:ascii="宋体" w:hAnsi="宋体" w:cs="宋体" w:eastAsia="宋体" w:hint="default"/>
                <w:sz w:val="13"/>
                <w:szCs w:val="13"/>
              </w:rPr>
              <w:t> </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95" w:right="-2"/>
              <w:jc w:val="left"/>
              <w:rPr>
                <w:rFonts w:ascii="Times New Roman" w:hAnsi="Times New Roman" w:cs="Times New Roman" w:eastAsia="Times New Roman" w:hint="default"/>
                <w:sz w:val="13"/>
                <w:szCs w:val="13"/>
              </w:rPr>
            </w:pPr>
            <w:r>
              <w:rPr>
                <w:rFonts w:ascii="Times New Roman"/>
                <w:w w:val="95"/>
                <w:sz w:val="13"/>
              </w:rPr>
              <w:t>111,998,898.68</w:t>
            </w:r>
            <w:r>
              <w:rPr>
                <w:rFonts w:ascii="Times New Roman"/>
                <w:sz w:val="13"/>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3"/>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w:t>
            </w:r>
            <w:r>
              <w:rPr>
                <w:rFonts w:ascii="Times New Roman" w:hAnsi="Times New Roman" w:cs="Times New Roman" w:eastAsia="Times New Roman" w:hint="default"/>
                <w:spacing w:val="-15"/>
                <w:sz w:val="13"/>
                <w:szCs w:val="13"/>
              </w:rPr>
              <w:t> </w:t>
            </w:r>
            <w:r>
              <w:rPr>
                <w:rFonts w:ascii="宋体" w:hAnsi="宋体" w:cs="宋体" w:eastAsia="宋体" w:hint="default"/>
                <w:sz w:val="13"/>
                <w:szCs w:val="13"/>
              </w:rPr>
              <w:t>年</w:t>
            </w:r>
            <w:r>
              <w:rPr>
                <w:rFonts w:ascii="宋体" w:hAnsi="宋体" w:cs="宋体" w:eastAsia="宋体" w:hint="default"/>
                <w:spacing w:val="-47"/>
                <w:sz w:val="13"/>
                <w:szCs w:val="13"/>
              </w:rPr>
              <w:t> </w:t>
            </w:r>
            <w:r>
              <w:rPr>
                <w:rFonts w:ascii="Times New Roman" w:hAnsi="Times New Roman" w:cs="Times New Roman" w:eastAsia="Times New Roman" w:hint="default"/>
                <w:sz w:val="13"/>
                <w:szCs w:val="13"/>
              </w:rPr>
              <w:t>08</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15 </w:t>
            </w:r>
            <w:r>
              <w:rPr>
                <w:rFonts w:ascii="宋体" w:hAnsi="宋体" w:cs="宋体" w:eastAsia="宋体" w:hint="default"/>
                <w:sz w:val="13"/>
                <w:szCs w:val="13"/>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left="31" w:right="0"/>
              <w:jc w:val="left"/>
              <w:rPr>
                <w:rFonts w:ascii="Times New Roman" w:hAnsi="Times New Roman" w:cs="Times New Roman" w:eastAsia="Times New Roman" w:hint="default"/>
                <w:sz w:val="13"/>
                <w:szCs w:val="13"/>
              </w:rPr>
            </w:pPr>
            <w:r>
              <w:rPr>
                <w:rFonts w:ascii="Times New Roman"/>
                <w:sz w:val="13"/>
              </w:rPr>
              <w:t>2019-054</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84" w:right="0"/>
              <w:jc w:val="left"/>
              <w:rPr>
                <w:rFonts w:ascii="宋体" w:hAnsi="宋体" w:cs="宋体" w:eastAsia="宋体" w:hint="default"/>
                <w:sz w:val="13"/>
                <w:szCs w:val="13"/>
              </w:rPr>
            </w:pPr>
            <w:r>
              <w:rPr>
                <w:rFonts w:ascii="宋体" w:hAnsi="宋体" w:cs="宋体" w:eastAsia="宋体" w:hint="default"/>
                <w:sz w:val="13"/>
                <w:szCs w:val="13"/>
              </w:rPr>
              <w:t>号公告</w:t>
            </w:r>
          </w:p>
        </w:tc>
      </w:tr>
      <w:tr>
        <w:trPr>
          <w:trHeight w:val="94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439" w:lineRule="auto"/>
              <w:ind w:left="2" w:right="43"/>
              <w:jc w:val="left"/>
              <w:rPr>
                <w:rFonts w:ascii="宋体" w:hAnsi="宋体" w:cs="宋体" w:eastAsia="宋体" w:hint="default"/>
                <w:sz w:val="13"/>
                <w:szCs w:val="13"/>
              </w:rPr>
            </w:pPr>
            <w:r>
              <w:rPr>
                <w:rFonts w:ascii="宋体" w:hAnsi="宋体" w:cs="宋体" w:eastAsia="宋体" w:hint="default"/>
                <w:sz w:val="13"/>
                <w:szCs w:val="13"/>
              </w:rPr>
              <w:t>安徽长城计算机</w:t>
            </w:r>
            <w:r>
              <w:rPr>
                <w:rFonts w:ascii="宋体" w:hAnsi="宋体" w:cs="宋体" w:eastAsia="宋体" w:hint="default"/>
                <w:w w:val="99"/>
                <w:sz w:val="13"/>
                <w:szCs w:val="13"/>
              </w:rPr>
              <w:t> </w:t>
            </w:r>
            <w:r>
              <w:rPr>
                <w:rFonts w:ascii="宋体" w:hAnsi="宋体" w:cs="宋体" w:eastAsia="宋体" w:hint="default"/>
                <w:sz w:val="13"/>
                <w:szCs w:val="13"/>
              </w:rPr>
              <w:t>系统有限公司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2" w:right="0"/>
              <w:jc w:val="left"/>
              <w:rPr>
                <w:rFonts w:ascii="宋体" w:hAnsi="宋体" w:cs="宋体" w:eastAsia="宋体" w:hint="default"/>
                <w:sz w:val="13"/>
                <w:szCs w:val="13"/>
              </w:rPr>
            </w:pPr>
            <w:r>
              <w:rPr>
                <w:rFonts w:ascii="宋体" w:hAnsi="宋体" w:cs="宋体" w:eastAsia="宋体" w:hint="default"/>
                <w:sz w:val="13"/>
                <w:szCs w:val="13"/>
              </w:rPr>
              <w:t>自主研发计算机</w:t>
            </w:r>
            <w:r>
              <w:rPr>
                <w:rFonts w:ascii="宋体" w:hAnsi="宋体" w:cs="宋体" w:eastAsia="宋体" w:hint="default"/>
                <w:w w:val="99"/>
                <w:sz w:val="13"/>
                <w:szCs w:val="13"/>
              </w:rPr>
              <w:t> </w:t>
            </w:r>
            <w:r>
              <w:rPr>
                <w:rFonts w:ascii="宋体" w:hAnsi="宋体" w:cs="宋体" w:eastAsia="宋体" w:hint="default"/>
                <w:spacing w:val="-4"/>
                <w:sz w:val="13"/>
                <w:szCs w:val="13"/>
              </w:rPr>
              <w:t>开发、生产、销售</w:t>
            </w:r>
            <w:r>
              <w:rPr>
                <w:rFonts w:ascii="宋体" w:hAnsi="宋体" w:cs="宋体" w:eastAsia="宋体" w:hint="default"/>
                <w:w w:val="99"/>
                <w:sz w:val="13"/>
                <w:szCs w:val="13"/>
              </w:rPr>
              <w:t> </w:t>
            </w:r>
            <w:r>
              <w:rPr>
                <w:rFonts w:ascii="宋体" w:hAnsi="宋体" w:cs="宋体" w:eastAsia="宋体" w:hint="default"/>
                <w:sz w:val="13"/>
                <w:szCs w:val="13"/>
              </w:rPr>
              <w:t>及服务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新设</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0"/>
              <w:jc w:val="right"/>
              <w:rPr>
                <w:rFonts w:ascii="Times New Roman" w:hAnsi="Times New Roman" w:cs="Times New Roman" w:eastAsia="Times New Roman" w:hint="default"/>
                <w:sz w:val="13"/>
                <w:szCs w:val="13"/>
              </w:rPr>
            </w:pPr>
            <w:r>
              <w:rPr>
                <w:rFonts w:ascii="Times New Roman"/>
                <w:sz w:val="13"/>
              </w:rPr>
              <w:t>100,000,000.00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1" w:right="0"/>
              <w:jc w:val="center"/>
              <w:rPr>
                <w:rFonts w:ascii="Times New Roman" w:hAnsi="Times New Roman" w:cs="Times New Roman" w:eastAsia="Times New Roman" w:hint="default"/>
                <w:sz w:val="13"/>
                <w:szCs w:val="13"/>
              </w:rPr>
            </w:pPr>
            <w:r>
              <w:rPr>
                <w:rFonts w:ascii="Times New Roman"/>
                <w:sz w:val="13"/>
              </w:rPr>
              <w:t>100%</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1" w:right="19"/>
              <w:jc w:val="both"/>
              <w:rPr>
                <w:rFonts w:ascii="宋体" w:hAnsi="宋体" w:cs="宋体" w:eastAsia="宋体" w:hint="default"/>
                <w:sz w:val="13"/>
                <w:szCs w:val="13"/>
              </w:rPr>
            </w:pPr>
            <w:r>
              <w:rPr>
                <w:rFonts w:ascii="宋体" w:hAnsi="宋体" w:cs="宋体" w:eastAsia="宋体" w:hint="default"/>
                <w:sz w:val="13"/>
                <w:szCs w:val="13"/>
              </w:rPr>
              <w:t>国产化、安</w:t>
            </w:r>
            <w:r>
              <w:rPr>
                <w:rFonts w:ascii="宋体" w:hAnsi="宋体" w:cs="宋体" w:eastAsia="宋体" w:hint="default"/>
                <w:w w:val="99"/>
                <w:sz w:val="13"/>
                <w:szCs w:val="13"/>
              </w:rPr>
              <w:t> </w:t>
            </w:r>
            <w:r>
              <w:rPr>
                <w:rFonts w:ascii="宋体" w:hAnsi="宋体" w:cs="宋体" w:eastAsia="宋体" w:hint="default"/>
                <w:sz w:val="13"/>
                <w:szCs w:val="13"/>
              </w:rPr>
              <w:t>全计算机和</w:t>
            </w:r>
            <w:r>
              <w:rPr>
                <w:rFonts w:ascii="宋体" w:hAnsi="宋体" w:cs="宋体" w:eastAsia="宋体" w:hint="default"/>
                <w:w w:val="99"/>
                <w:sz w:val="13"/>
                <w:szCs w:val="13"/>
              </w:rPr>
              <w:t> </w:t>
            </w:r>
            <w:r>
              <w:rPr>
                <w:rFonts w:ascii="宋体" w:hAnsi="宋体" w:cs="宋体" w:eastAsia="宋体" w:hint="default"/>
                <w:sz w:val="13"/>
                <w:szCs w:val="13"/>
              </w:rPr>
              <w:t>服务器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已完成</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3"/>
                <w:szCs w:val="13"/>
              </w:rPr>
            </w:pPr>
            <w:r>
              <w:rPr>
                <w:rFonts w:ascii="宋体" w:hAnsi="宋体" w:cs="宋体" w:eastAsia="宋体" w:hint="default"/>
                <w:sz w:val="13"/>
                <w:szCs w:val="13"/>
              </w:rPr>
              <w:t>不适用</w:t>
            </w:r>
            <w:r>
              <w:rPr>
                <w:rFonts w:ascii="宋体" w:hAnsi="宋体" w:cs="宋体" w:eastAsia="宋体" w:hint="default"/>
                <w:sz w:val="13"/>
                <w:szCs w:val="13"/>
              </w:rPr>
              <w:t> </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3"/>
              <w:jc w:val="right"/>
              <w:rPr>
                <w:rFonts w:ascii="Times New Roman" w:hAnsi="Times New Roman" w:cs="Times New Roman" w:eastAsia="Times New Roman" w:hint="default"/>
                <w:sz w:val="13"/>
                <w:szCs w:val="13"/>
              </w:rPr>
            </w:pPr>
            <w:r>
              <w:rPr>
                <w:rFonts w:ascii="Times New Roman"/>
                <w:sz w:val="13"/>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3"/>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w:t>
            </w:r>
            <w:r>
              <w:rPr>
                <w:rFonts w:ascii="Times New Roman" w:hAnsi="Times New Roman" w:cs="Times New Roman" w:eastAsia="Times New Roman" w:hint="default"/>
                <w:spacing w:val="-15"/>
                <w:sz w:val="13"/>
                <w:szCs w:val="13"/>
              </w:rPr>
              <w:t> </w:t>
            </w:r>
            <w:r>
              <w:rPr>
                <w:rFonts w:ascii="宋体" w:hAnsi="宋体" w:cs="宋体" w:eastAsia="宋体" w:hint="default"/>
                <w:sz w:val="13"/>
                <w:szCs w:val="13"/>
              </w:rPr>
              <w:t>年</w:t>
            </w:r>
            <w:r>
              <w:rPr>
                <w:rFonts w:ascii="宋体" w:hAnsi="宋体" w:cs="宋体" w:eastAsia="宋体" w:hint="default"/>
                <w:spacing w:val="-47"/>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z w:val="13"/>
                <w:szCs w:val="13"/>
              </w:rPr>
              <w:t> </w:t>
            </w:r>
            <w:r>
              <w:rPr>
                <w:rFonts w:ascii="宋体" w:hAnsi="宋体" w:cs="宋体" w:eastAsia="宋体" w:hint="default"/>
                <w:sz w:val="13"/>
                <w:szCs w:val="13"/>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left="31" w:right="0"/>
              <w:jc w:val="left"/>
              <w:rPr>
                <w:rFonts w:ascii="Times New Roman" w:hAnsi="Times New Roman" w:cs="Times New Roman" w:eastAsia="Times New Roman" w:hint="default"/>
                <w:sz w:val="13"/>
                <w:szCs w:val="13"/>
              </w:rPr>
            </w:pPr>
            <w:r>
              <w:rPr>
                <w:rFonts w:ascii="Times New Roman"/>
                <w:sz w:val="13"/>
              </w:rPr>
              <w:t>2019-090</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84" w:right="0"/>
              <w:jc w:val="left"/>
              <w:rPr>
                <w:rFonts w:ascii="宋体" w:hAnsi="宋体" w:cs="宋体" w:eastAsia="宋体" w:hint="default"/>
                <w:sz w:val="13"/>
                <w:szCs w:val="13"/>
              </w:rPr>
            </w:pPr>
            <w:r>
              <w:rPr>
                <w:rFonts w:ascii="宋体" w:hAnsi="宋体" w:cs="宋体" w:eastAsia="宋体" w:hint="default"/>
                <w:sz w:val="13"/>
                <w:szCs w:val="13"/>
              </w:rPr>
              <w:t>号公告</w:t>
            </w:r>
          </w:p>
        </w:tc>
      </w:tr>
      <w:tr>
        <w:trPr>
          <w:trHeight w:val="94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439" w:lineRule="auto"/>
              <w:ind w:left="2" w:right="43"/>
              <w:jc w:val="left"/>
              <w:rPr>
                <w:rFonts w:ascii="宋体" w:hAnsi="宋体" w:cs="宋体" w:eastAsia="宋体" w:hint="default"/>
                <w:sz w:val="13"/>
                <w:szCs w:val="13"/>
              </w:rPr>
            </w:pPr>
            <w:r>
              <w:rPr>
                <w:rFonts w:ascii="宋体" w:hAnsi="宋体" w:cs="宋体" w:eastAsia="宋体" w:hint="default"/>
                <w:sz w:val="13"/>
                <w:szCs w:val="13"/>
              </w:rPr>
              <w:t>浙江长城计算机</w:t>
            </w:r>
            <w:r>
              <w:rPr>
                <w:rFonts w:ascii="宋体" w:hAnsi="宋体" w:cs="宋体" w:eastAsia="宋体" w:hint="default"/>
                <w:w w:val="99"/>
                <w:sz w:val="13"/>
                <w:szCs w:val="13"/>
              </w:rPr>
              <w:t> </w:t>
            </w:r>
            <w:r>
              <w:rPr>
                <w:rFonts w:ascii="宋体" w:hAnsi="宋体" w:cs="宋体" w:eastAsia="宋体" w:hint="default"/>
                <w:sz w:val="13"/>
                <w:szCs w:val="13"/>
              </w:rPr>
              <w:t>系统有限公司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4"/>
              <w:ind w:left="2" w:right="0"/>
              <w:jc w:val="left"/>
              <w:rPr>
                <w:rFonts w:ascii="宋体" w:hAnsi="宋体" w:cs="宋体" w:eastAsia="宋体" w:hint="default"/>
                <w:sz w:val="13"/>
                <w:szCs w:val="13"/>
              </w:rPr>
            </w:pPr>
            <w:r>
              <w:rPr>
                <w:rFonts w:ascii="宋体" w:hAnsi="宋体" w:cs="宋体" w:eastAsia="宋体" w:hint="default"/>
                <w:sz w:val="13"/>
                <w:szCs w:val="13"/>
              </w:rPr>
              <w:t>自主研发计算机</w:t>
            </w:r>
            <w:r>
              <w:rPr>
                <w:rFonts w:ascii="宋体" w:hAnsi="宋体" w:cs="宋体" w:eastAsia="宋体" w:hint="default"/>
                <w:w w:val="99"/>
                <w:sz w:val="13"/>
                <w:szCs w:val="13"/>
              </w:rPr>
              <w:t> </w:t>
            </w:r>
            <w:r>
              <w:rPr>
                <w:rFonts w:ascii="宋体" w:hAnsi="宋体" w:cs="宋体" w:eastAsia="宋体" w:hint="default"/>
                <w:spacing w:val="-4"/>
                <w:sz w:val="13"/>
                <w:szCs w:val="13"/>
              </w:rPr>
              <w:t>开发、生产、销售</w:t>
            </w:r>
            <w:r>
              <w:rPr>
                <w:rFonts w:ascii="宋体" w:hAnsi="宋体" w:cs="宋体" w:eastAsia="宋体" w:hint="default"/>
                <w:w w:val="99"/>
                <w:sz w:val="13"/>
                <w:szCs w:val="13"/>
              </w:rPr>
              <w:t> </w:t>
            </w:r>
            <w:r>
              <w:rPr>
                <w:rFonts w:ascii="宋体" w:hAnsi="宋体" w:cs="宋体" w:eastAsia="宋体" w:hint="default"/>
                <w:sz w:val="13"/>
                <w:szCs w:val="13"/>
              </w:rPr>
              <w:t>及服务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新设</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right="0"/>
              <w:jc w:val="right"/>
              <w:rPr>
                <w:rFonts w:ascii="Times New Roman" w:hAnsi="Times New Roman" w:cs="Times New Roman" w:eastAsia="Times New Roman" w:hint="default"/>
                <w:sz w:val="13"/>
                <w:szCs w:val="13"/>
              </w:rPr>
            </w:pPr>
            <w:r>
              <w:rPr>
                <w:rFonts w:ascii="Times New Roman"/>
                <w:sz w:val="13"/>
              </w:rPr>
              <w:t>100,000,000.00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left="1" w:right="0"/>
              <w:jc w:val="center"/>
              <w:rPr>
                <w:rFonts w:ascii="Times New Roman" w:hAnsi="Times New Roman" w:cs="Times New Roman" w:eastAsia="Times New Roman" w:hint="default"/>
                <w:sz w:val="13"/>
                <w:szCs w:val="13"/>
              </w:rPr>
            </w:pPr>
            <w:r>
              <w:rPr>
                <w:rFonts w:ascii="Times New Roman"/>
                <w:sz w:val="13"/>
              </w:rPr>
              <w:t>100%</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4"/>
              <w:ind w:left="-1" w:right="19"/>
              <w:jc w:val="both"/>
              <w:rPr>
                <w:rFonts w:ascii="宋体" w:hAnsi="宋体" w:cs="宋体" w:eastAsia="宋体" w:hint="default"/>
                <w:sz w:val="13"/>
                <w:szCs w:val="13"/>
              </w:rPr>
            </w:pPr>
            <w:r>
              <w:rPr>
                <w:rFonts w:ascii="宋体" w:hAnsi="宋体" w:cs="宋体" w:eastAsia="宋体" w:hint="default"/>
                <w:sz w:val="13"/>
                <w:szCs w:val="13"/>
              </w:rPr>
              <w:t>国产化、安</w:t>
            </w:r>
            <w:r>
              <w:rPr>
                <w:rFonts w:ascii="宋体" w:hAnsi="宋体" w:cs="宋体" w:eastAsia="宋体" w:hint="default"/>
                <w:w w:val="99"/>
                <w:sz w:val="13"/>
                <w:szCs w:val="13"/>
              </w:rPr>
              <w:t> </w:t>
            </w:r>
            <w:r>
              <w:rPr>
                <w:rFonts w:ascii="宋体" w:hAnsi="宋体" w:cs="宋体" w:eastAsia="宋体" w:hint="default"/>
                <w:sz w:val="13"/>
                <w:szCs w:val="13"/>
              </w:rPr>
              <w:t>全计算机和</w:t>
            </w:r>
            <w:r>
              <w:rPr>
                <w:rFonts w:ascii="宋体" w:hAnsi="宋体" w:cs="宋体" w:eastAsia="宋体" w:hint="default"/>
                <w:w w:val="99"/>
                <w:sz w:val="13"/>
                <w:szCs w:val="13"/>
              </w:rPr>
              <w:t> </w:t>
            </w:r>
            <w:r>
              <w:rPr>
                <w:rFonts w:ascii="宋体" w:hAnsi="宋体" w:cs="宋体" w:eastAsia="宋体" w:hint="default"/>
                <w:sz w:val="13"/>
                <w:szCs w:val="13"/>
              </w:rPr>
              <w:t>服务器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已完成</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3"/>
                <w:szCs w:val="13"/>
              </w:rPr>
            </w:pPr>
            <w:r>
              <w:rPr>
                <w:rFonts w:ascii="宋体" w:hAnsi="宋体" w:cs="宋体" w:eastAsia="宋体" w:hint="default"/>
                <w:sz w:val="13"/>
                <w:szCs w:val="13"/>
              </w:rPr>
              <w:t>不适用</w:t>
            </w:r>
            <w:r>
              <w:rPr>
                <w:rFonts w:ascii="宋体" w:hAnsi="宋体" w:cs="宋体" w:eastAsia="宋体" w:hint="default"/>
                <w:sz w:val="13"/>
                <w:szCs w:val="13"/>
              </w:rPr>
              <w:t> </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left="91" w:right="-2"/>
              <w:jc w:val="left"/>
              <w:rPr>
                <w:rFonts w:ascii="Times New Roman" w:hAnsi="Times New Roman" w:cs="Times New Roman" w:eastAsia="Times New Roman" w:hint="default"/>
                <w:sz w:val="13"/>
                <w:szCs w:val="13"/>
              </w:rPr>
            </w:pPr>
            <w:r>
              <w:rPr>
                <w:rFonts w:ascii="Times New Roman"/>
                <w:sz w:val="13"/>
              </w:rPr>
              <w:t>112,497,892.07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439" w:lineRule="auto"/>
              <w:ind w:left="2" w:right="43"/>
              <w:jc w:val="left"/>
              <w:rPr>
                <w:rFonts w:ascii="宋体" w:hAnsi="宋体" w:cs="宋体" w:eastAsia="宋体" w:hint="default"/>
                <w:sz w:val="13"/>
                <w:szCs w:val="13"/>
              </w:rPr>
            </w:pPr>
            <w:r>
              <w:rPr>
                <w:rFonts w:ascii="宋体" w:hAnsi="宋体" w:cs="宋体" w:eastAsia="宋体" w:hint="default"/>
                <w:sz w:val="13"/>
                <w:szCs w:val="13"/>
              </w:rPr>
              <w:t>新疆长城计算机</w:t>
            </w:r>
            <w:r>
              <w:rPr>
                <w:rFonts w:ascii="宋体" w:hAnsi="宋体" w:cs="宋体" w:eastAsia="宋体" w:hint="default"/>
                <w:w w:val="99"/>
                <w:sz w:val="13"/>
                <w:szCs w:val="13"/>
              </w:rPr>
              <w:t> </w:t>
            </w:r>
            <w:r>
              <w:rPr>
                <w:rFonts w:ascii="宋体" w:hAnsi="宋体" w:cs="宋体" w:eastAsia="宋体" w:hint="default"/>
                <w:sz w:val="13"/>
                <w:szCs w:val="13"/>
              </w:rPr>
              <w:t>系统有限公司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2" w:right="0"/>
              <w:jc w:val="left"/>
              <w:rPr>
                <w:rFonts w:ascii="宋体" w:hAnsi="宋体" w:cs="宋体" w:eastAsia="宋体" w:hint="default"/>
                <w:sz w:val="13"/>
                <w:szCs w:val="13"/>
              </w:rPr>
            </w:pPr>
            <w:r>
              <w:rPr>
                <w:rFonts w:ascii="宋体" w:hAnsi="宋体" w:cs="宋体" w:eastAsia="宋体" w:hint="default"/>
                <w:sz w:val="13"/>
                <w:szCs w:val="13"/>
              </w:rPr>
              <w:t>自主研发计算机</w:t>
            </w:r>
            <w:r>
              <w:rPr>
                <w:rFonts w:ascii="宋体" w:hAnsi="宋体" w:cs="宋体" w:eastAsia="宋体" w:hint="default"/>
                <w:w w:val="99"/>
                <w:sz w:val="13"/>
                <w:szCs w:val="13"/>
              </w:rPr>
              <w:t> </w:t>
            </w:r>
            <w:r>
              <w:rPr>
                <w:rFonts w:ascii="宋体" w:hAnsi="宋体" w:cs="宋体" w:eastAsia="宋体" w:hint="default"/>
                <w:spacing w:val="-4"/>
                <w:sz w:val="13"/>
                <w:szCs w:val="13"/>
              </w:rPr>
              <w:t>开发、生产、销售</w:t>
            </w:r>
            <w:r>
              <w:rPr>
                <w:rFonts w:ascii="宋体" w:hAnsi="宋体" w:cs="宋体" w:eastAsia="宋体" w:hint="default"/>
                <w:w w:val="99"/>
                <w:sz w:val="13"/>
                <w:szCs w:val="13"/>
              </w:rPr>
              <w:t> </w:t>
            </w:r>
            <w:r>
              <w:rPr>
                <w:rFonts w:ascii="宋体" w:hAnsi="宋体" w:cs="宋体" w:eastAsia="宋体" w:hint="default"/>
                <w:sz w:val="13"/>
                <w:szCs w:val="13"/>
              </w:rPr>
              <w:t>及服务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新设</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right="0"/>
              <w:jc w:val="right"/>
              <w:rPr>
                <w:rFonts w:ascii="Times New Roman" w:hAnsi="Times New Roman" w:cs="Times New Roman" w:eastAsia="Times New Roman" w:hint="default"/>
                <w:sz w:val="13"/>
                <w:szCs w:val="13"/>
              </w:rPr>
            </w:pPr>
            <w:r>
              <w:rPr>
                <w:rFonts w:ascii="Times New Roman"/>
                <w:sz w:val="13"/>
              </w:rPr>
              <w:t>100,000,000.00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left="1" w:right="0"/>
              <w:jc w:val="center"/>
              <w:rPr>
                <w:rFonts w:ascii="Times New Roman" w:hAnsi="Times New Roman" w:cs="Times New Roman" w:eastAsia="Times New Roman" w:hint="default"/>
                <w:sz w:val="13"/>
                <w:szCs w:val="13"/>
              </w:rPr>
            </w:pPr>
            <w:r>
              <w:rPr>
                <w:rFonts w:ascii="Times New Roman"/>
                <w:sz w:val="13"/>
              </w:rPr>
              <w:t>100%</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不适用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left="-1" w:right="19"/>
              <w:jc w:val="both"/>
              <w:rPr>
                <w:rFonts w:ascii="宋体" w:hAnsi="宋体" w:cs="宋体" w:eastAsia="宋体" w:hint="default"/>
                <w:sz w:val="13"/>
                <w:szCs w:val="13"/>
              </w:rPr>
            </w:pPr>
            <w:r>
              <w:rPr>
                <w:rFonts w:ascii="宋体" w:hAnsi="宋体" w:cs="宋体" w:eastAsia="宋体" w:hint="default"/>
                <w:sz w:val="13"/>
                <w:szCs w:val="13"/>
              </w:rPr>
              <w:t>国产化、安</w:t>
            </w:r>
            <w:r>
              <w:rPr>
                <w:rFonts w:ascii="宋体" w:hAnsi="宋体" w:cs="宋体" w:eastAsia="宋体" w:hint="default"/>
                <w:w w:val="99"/>
                <w:sz w:val="13"/>
                <w:szCs w:val="13"/>
              </w:rPr>
              <w:t> </w:t>
            </w:r>
            <w:r>
              <w:rPr>
                <w:rFonts w:ascii="宋体" w:hAnsi="宋体" w:cs="宋体" w:eastAsia="宋体" w:hint="default"/>
                <w:sz w:val="13"/>
                <w:szCs w:val="13"/>
              </w:rPr>
              <w:t>全计算机和</w:t>
            </w:r>
            <w:r>
              <w:rPr>
                <w:rFonts w:ascii="宋体" w:hAnsi="宋体" w:cs="宋体" w:eastAsia="宋体" w:hint="default"/>
                <w:w w:val="99"/>
                <w:sz w:val="13"/>
                <w:szCs w:val="13"/>
              </w:rPr>
              <w:t> </w:t>
            </w:r>
            <w:r>
              <w:rPr>
                <w:rFonts w:ascii="宋体" w:hAnsi="宋体" w:cs="宋体" w:eastAsia="宋体" w:hint="default"/>
                <w:sz w:val="13"/>
                <w:szCs w:val="13"/>
              </w:rPr>
              <w:t>服务器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已完成</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3"/>
                <w:szCs w:val="13"/>
              </w:rPr>
            </w:pPr>
            <w:r>
              <w:rPr>
                <w:rFonts w:ascii="宋体" w:hAnsi="宋体" w:cs="宋体" w:eastAsia="宋体" w:hint="default"/>
                <w:sz w:val="13"/>
                <w:szCs w:val="13"/>
              </w:rPr>
              <w:t>不适用</w:t>
            </w:r>
            <w:r>
              <w:rPr>
                <w:rFonts w:ascii="宋体" w:hAnsi="宋体" w:cs="宋体" w:eastAsia="宋体" w:hint="default"/>
                <w:sz w:val="13"/>
                <w:szCs w:val="13"/>
              </w:rPr>
              <w:t> </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1"/>
              <w:ind w:left="4" w:right="0"/>
              <w:jc w:val="center"/>
              <w:rPr>
                <w:rFonts w:ascii="Times New Roman" w:hAnsi="Times New Roman" w:cs="Times New Roman" w:eastAsia="Times New Roman" w:hint="default"/>
                <w:sz w:val="13"/>
                <w:szCs w:val="13"/>
              </w:rPr>
            </w:pPr>
            <w:r>
              <w:rPr>
                <w:rFonts w:ascii="Times New Roman"/>
                <w:sz w:val="13"/>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 w:right="0"/>
              <w:jc w:val="center"/>
              <w:rPr>
                <w:rFonts w:ascii="Times New Roman" w:hAnsi="Times New Roman" w:cs="Times New Roman" w:eastAsia="Times New Roman" w:hint="default"/>
                <w:sz w:val="13"/>
                <w:szCs w:val="13"/>
              </w:rPr>
            </w:pPr>
            <w:r>
              <w:rPr>
                <w:rFonts w:ascii="Times New Roman"/>
                <w:sz w:val="13"/>
              </w:rPr>
              <w:t>--</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 w:right="0"/>
              <w:jc w:val="center"/>
              <w:rPr>
                <w:rFonts w:ascii="Times New Roman" w:hAnsi="Times New Roman" w:cs="Times New Roman" w:eastAsia="Times New Roman" w:hint="default"/>
                <w:sz w:val="13"/>
                <w:szCs w:val="13"/>
              </w:rPr>
            </w:pPr>
            <w:r>
              <w:rPr>
                <w:rFonts w:ascii="Times New Roman"/>
                <w:sz w:val="13"/>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right"/>
              <w:rPr>
                <w:rFonts w:ascii="Times New Roman" w:hAnsi="Times New Roman" w:cs="Times New Roman" w:eastAsia="Times New Roman" w:hint="default"/>
                <w:sz w:val="13"/>
                <w:szCs w:val="13"/>
              </w:rPr>
            </w:pPr>
            <w:r>
              <w:rPr>
                <w:rFonts w:ascii="Times New Roman"/>
                <w:sz w:val="13"/>
              </w:rPr>
              <w:t>2,515,804,627.37</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 w:right="0"/>
              <w:jc w:val="center"/>
              <w:rPr>
                <w:rFonts w:ascii="Times New Roman" w:hAnsi="Times New Roman" w:cs="Times New Roman" w:eastAsia="Times New Roman" w:hint="default"/>
                <w:sz w:val="13"/>
                <w:szCs w:val="13"/>
              </w:rPr>
            </w:pPr>
            <w:r>
              <w:rPr>
                <w:rFonts w:ascii="Times New Roman"/>
                <w:sz w:val="13"/>
              </w:rPr>
              <w:t>--</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Times New Roman" w:hAnsi="Times New Roman" w:cs="Times New Roman" w:eastAsia="Times New Roman" w:hint="default"/>
                <w:sz w:val="13"/>
                <w:szCs w:val="13"/>
              </w:rPr>
            </w:pPr>
            <w:r>
              <w:rPr>
                <w:rFonts w:ascii="Times New Roman"/>
                <w:sz w:val="13"/>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Times New Roman" w:hAnsi="Times New Roman" w:cs="Times New Roman" w:eastAsia="Times New Roman" w:hint="default"/>
                <w:sz w:val="13"/>
                <w:szCs w:val="13"/>
              </w:rPr>
            </w:pPr>
            <w:r>
              <w:rPr>
                <w:rFonts w:ascii="Times New Roman"/>
                <w:sz w:val="13"/>
              </w:rPr>
              <w:t>--</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Times New Roman" w:hAnsi="Times New Roman" w:cs="Times New Roman" w:eastAsia="Times New Roman" w:hint="default"/>
                <w:sz w:val="13"/>
                <w:szCs w:val="13"/>
              </w:rPr>
            </w:pPr>
            <w:r>
              <w:rPr>
                <w:rFonts w:ascii="Times New Roman"/>
                <w:sz w:val="13"/>
              </w:rPr>
              <w:t>--</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Times New Roman" w:hAnsi="Times New Roman" w:cs="Times New Roman" w:eastAsia="Times New Roman" w:hint="default"/>
                <w:sz w:val="13"/>
                <w:szCs w:val="13"/>
              </w:rPr>
            </w:pPr>
            <w:r>
              <w:rPr>
                <w:rFonts w:ascii="Times New Roman"/>
                <w:sz w:val="13"/>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Times New Roman" w:hAnsi="Times New Roman" w:cs="Times New Roman" w:eastAsia="Times New Roman" w:hint="default"/>
                <w:sz w:val="13"/>
                <w:szCs w:val="13"/>
              </w:rPr>
            </w:pPr>
            <w:r>
              <w:rPr>
                <w:rFonts w:ascii="Times New Roman"/>
                <w:sz w:val="13"/>
              </w:rPr>
              <w:t>--</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3"/>
                <w:szCs w:val="13"/>
              </w:rPr>
            </w:pPr>
            <w:r>
              <w:rPr>
                <w:rFonts w:ascii="Times New Roman"/>
                <w:sz w:val="13"/>
              </w:rPr>
              <w:t>--</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6" w:right="-2"/>
              <w:jc w:val="left"/>
              <w:rPr>
                <w:rFonts w:ascii="Times New Roman" w:hAnsi="Times New Roman" w:cs="Times New Roman" w:eastAsia="Times New Roman" w:hint="default"/>
                <w:sz w:val="13"/>
                <w:szCs w:val="13"/>
              </w:rPr>
            </w:pPr>
            <w:r>
              <w:rPr>
                <w:rFonts w:ascii="Times New Roman"/>
                <w:sz w:val="13"/>
              </w:rPr>
              <w:t>580,566,248.19</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63" w:right="0"/>
              <w:jc w:val="left"/>
              <w:rPr>
                <w:rFonts w:ascii="Times New Roman" w:hAnsi="Times New Roman" w:cs="Times New Roman" w:eastAsia="Times New Roman" w:hint="default"/>
                <w:sz w:val="13"/>
                <w:szCs w:val="13"/>
              </w:rPr>
            </w:pPr>
            <w:r>
              <w:rPr>
                <w:rFonts w:ascii="Times New Roman"/>
                <w:sz w:val="13"/>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 w:right="0"/>
              <w:jc w:val="center"/>
              <w:rPr>
                <w:rFonts w:ascii="Times New Roman" w:hAnsi="Times New Roman" w:cs="Times New Roman" w:eastAsia="Times New Roman" w:hint="default"/>
                <w:sz w:val="13"/>
                <w:szCs w:val="13"/>
              </w:rPr>
            </w:pPr>
            <w:r>
              <w:rPr>
                <w:rFonts w:ascii="Times New Roman"/>
                <w:sz w:val="13"/>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 w:right="0"/>
              <w:jc w:val="center"/>
              <w:rPr>
                <w:rFonts w:ascii="Times New Roman" w:hAnsi="Times New Roman" w:cs="Times New Roman" w:eastAsia="Times New Roman" w:hint="default"/>
                <w:sz w:val="13"/>
                <w:szCs w:val="13"/>
              </w:rPr>
            </w:pPr>
            <w:r>
              <w:rPr>
                <w:rFonts w:ascii="Times New Roman"/>
                <w:sz w:val="13"/>
              </w:rPr>
              <w:t>--</w:t>
            </w:r>
          </w:p>
        </w:tc>
      </w:tr>
    </w:tbl>
    <w:p>
      <w:pPr>
        <w:spacing w:before="65"/>
        <w:ind w:left="1072" w:right="6793" w:firstLine="0"/>
        <w:jc w:val="left"/>
        <w:rPr>
          <w:rFonts w:ascii="宋体" w:hAnsi="宋体" w:cs="宋体" w:eastAsia="宋体" w:hint="default"/>
          <w:sz w:val="18"/>
          <w:szCs w:val="18"/>
        </w:rPr>
      </w:pPr>
      <w:r>
        <w:rPr>
          <w:rFonts w:ascii="宋体" w:hAnsi="宋体" w:cs="宋体" w:eastAsia="宋体" w:hint="default"/>
          <w:b/>
          <w:bCs/>
          <w:sz w:val="18"/>
          <w:szCs w:val="18"/>
        </w:rPr>
        <w:t>重大股权投资情况说明</w:t>
      </w:r>
      <w:r>
        <w:rPr>
          <w:rFonts w:ascii="宋体" w:hAnsi="宋体" w:cs="宋体" w:eastAsia="宋体" w:hint="default"/>
          <w:sz w:val="18"/>
          <w:szCs w:val="18"/>
        </w:rPr>
      </w:r>
    </w:p>
    <w:p>
      <w:pPr>
        <w:spacing w:before="148"/>
        <w:ind w:left="1433" w:right="679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）对中原电子进行增资</w:t>
      </w:r>
    </w:p>
    <w:p>
      <w:pPr>
        <w:spacing w:after="0"/>
        <w:jc w:val="left"/>
        <w:rPr>
          <w:rFonts w:ascii="宋体" w:hAnsi="宋体" w:cs="宋体" w:eastAsia="宋体" w:hint="default"/>
          <w:sz w:val="18"/>
          <w:szCs w:val="18"/>
        </w:rPr>
        <w:sectPr>
          <w:pgSz w:w="11910" w:h="16840"/>
          <w:pgMar w:header="789" w:footer="975" w:top="1100" w:bottom="1160" w:left="60" w:right="0"/>
        </w:sectPr>
      </w:pPr>
    </w:p>
    <w:p>
      <w:pPr>
        <w:spacing w:line="240" w:lineRule="auto" w:before="12"/>
        <w:rPr>
          <w:rFonts w:ascii="宋体" w:hAnsi="宋体" w:cs="宋体" w:eastAsia="宋体" w:hint="default"/>
          <w:sz w:val="23"/>
          <w:szCs w:val="23"/>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为满足中原电子的业务发展需要，推进其重点项目建设及业务规划的落实，增强竞争优势，经</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w:t>
      </w:r>
    </w:p>
    <w:p>
      <w:pPr>
        <w:spacing w:before="94"/>
        <w:ind w:left="152" w:right="0" w:firstLine="0"/>
        <w:jc w:val="left"/>
        <w:rPr>
          <w:rFonts w:ascii="宋体" w:hAnsi="宋体" w:cs="宋体" w:eastAsia="宋体" w:hint="default"/>
          <w:sz w:val="18"/>
          <w:szCs w:val="18"/>
        </w:rPr>
      </w:pPr>
      <w:r>
        <w:rPr>
          <w:rFonts w:ascii="宋体" w:hAnsi="宋体" w:cs="宋体" w:eastAsia="宋体" w:hint="default"/>
          <w:sz w:val="18"/>
          <w:szCs w:val="18"/>
        </w:rPr>
        <w:t>七届董事会第六次会议审议，同意公司以现金方式对中原电子进行增资，增资金额为人民币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亿元，专项用于重点项目建</w:t>
      </w:r>
    </w:p>
    <w:p>
      <w:pPr>
        <w:spacing w:line="369" w:lineRule="auto" w:before="94"/>
        <w:ind w:left="513" w:right="0" w:hanging="361"/>
        <w:jc w:val="left"/>
        <w:rPr>
          <w:rFonts w:ascii="宋体" w:hAnsi="宋体" w:cs="宋体" w:eastAsia="宋体" w:hint="default"/>
          <w:sz w:val="18"/>
          <w:szCs w:val="18"/>
        </w:rPr>
      </w:pPr>
      <w:r>
        <w:rPr>
          <w:rFonts w:ascii="宋体" w:hAnsi="宋体" w:cs="宋体" w:eastAsia="宋体" w:hint="default"/>
          <w:spacing w:val="-2"/>
          <w:sz w:val="18"/>
          <w:szCs w:val="18"/>
        </w:rPr>
        <w:t>设。如增资顺利完成，中原电子注册资本将由原来的</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13,789.10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万元增至</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108,789.10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万元（具体内容详见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2018-082</w:t>
      </w:r>
      <w:r>
        <w:rPr>
          <w:rFonts w:ascii="Times New Roman" w:hAnsi="Times New Roman" w:cs="Times New Roman" w:eastAsia="Times New Roman" w:hint="default"/>
          <w:spacing w:val="6"/>
          <w:sz w:val="18"/>
          <w:szCs w:val="18"/>
        </w:rPr>
        <w:t> </w:t>
      </w:r>
      <w:r>
        <w:rPr>
          <w:rFonts w:ascii="宋体" w:hAnsi="宋体" w:cs="宋体" w:eastAsia="宋体" w:hint="default"/>
          <w:spacing w:val="-19"/>
          <w:sz w:val="18"/>
          <w:szCs w:val="18"/>
        </w:rPr>
        <w:t>号公告）。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报告期内，公司已完成向中原电子的增资事项。</w:t>
      </w:r>
    </w:p>
    <w:p>
      <w:pPr>
        <w:spacing w:line="369" w:lineRule="auto" w:before="49"/>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）中原电子收购中电财务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股权暨关联交易 </w:t>
      </w:r>
      <w:r>
        <w:rPr>
          <w:rFonts w:ascii="宋体" w:hAnsi="宋体" w:cs="宋体" w:eastAsia="宋体" w:hint="default"/>
          <w:spacing w:val="-2"/>
          <w:sz w:val="18"/>
          <w:szCs w:val="18"/>
        </w:rPr>
        <w:t>为了更好利用中国电子财务有限责任公司（简称“中电财务”）的金融平台做好公司资金管理及存贷工作，通过优质金</w:t>
      </w:r>
    </w:p>
    <w:p>
      <w:pPr>
        <w:spacing w:line="331" w:lineRule="auto" w:before="10"/>
        <w:ind w:left="152" w:right="1122" w:firstLine="0"/>
        <w:jc w:val="left"/>
        <w:rPr>
          <w:rFonts w:ascii="宋体" w:hAnsi="宋体" w:cs="宋体" w:eastAsia="宋体" w:hint="default"/>
          <w:sz w:val="18"/>
          <w:szCs w:val="18"/>
        </w:rPr>
      </w:pPr>
      <w:r>
        <w:rPr>
          <w:rFonts w:ascii="宋体" w:hAnsi="宋体" w:cs="宋体" w:eastAsia="宋体" w:hint="default"/>
          <w:spacing w:val="-1"/>
          <w:sz w:val="18"/>
          <w:szCs w:val="18"/>
        </w:rPr>
        <w:t>融资产和业务促进公司实业发展，同时考虑到中原电子原已持有中电财务</w:t>
      </w:r>
      <w:r>
        <w:rPr>
          <w:rFonts w:ascii="宋体" w:hAnsi="宋体" w:cs="宋体" w:eastAsia="宋体" w:hint="default"/>
          <w:spacing w:val="-21"/>
          <w:sz w:val="18"/>
          <w:szCs w:val="18"/>
        </w:rPr>
        <w:t> </w:t>
      </w:r>
      <w:r>
        <w:rPr>
          <w:rFonts w:ascii="Times New Roman" w:hAnsi="Times New Roman" w:cs="Times New Roman" w:eastAsia="Times New Roman" w:hint="default"/>
          <w:spacing w:val="-2"/>
          <w:sz w:val="18"/>
          <w:szCs w:val="18"/>
        </w:rPr>
        <w:t>5.7112%</w:t>
      </w:r>
      <w:r>
        <w:rPr>
          <w:rFonts w:ascii="宋体" w:hAnsi="宋体" w:cs="宋体" w:eastAsia="宋体" w:hint="default"/>
          <w:spacing w:val="-2"/>
          <w:sz w:val="18"/>
          <w:szCs w:val="18"/>
        </w:rPr>
        <w:t>的股权，相对而言更为熟悉中电财务的内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部管理流程，为方便收购后的股权统一归集管理，经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日公司第六届董事会、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spacing w:line="331" w:lineRule="auto" w:before="18"/>
        <w:ind w:left="152" w:right="1043" w:firstLine="0"/>
        <w:jc w:val="left"/>
        <w:rPr>
          <w:rFonts w:ascii="宋体" w:hAnsi="宋体" w:cs="宋体" w:eastAsia="宋体" w:hint="default"/>
          <w:sz w:val="18"/>
          <w:szCs w:val="18"/>
        </w:rPr>
      </w:pPr>
      <w:r>
        <w:rPr>
          <w:rFonts w:ascii="宋体" w:hAnsi="宋体" w:cs="宋体" w:eastAsia="宋体" w:hint="default"/>
          <w:sz w:val="18"/>
          <w:szCs w:val="18"/>
        </w:rPr>
        <w:t>第三次临时股东大会、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日公司第七届董事会第十八次会议、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 同意中原电子与中国电子就收购中电财务</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股权事宜签署及更新《股权转让协议》（具体内容详见</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2019-032</w:t>
      </w:r>
      <w:r>
        <w:rPr>
          <w:rFonts w:ascii="Times New Roman" w:hAnsi="Times New Roman" w:cs="Times New Roman" w:eastAsia="Times New Roman" w:hint="default"/>
          <w:spacing w:val="9"/>
          <w:sz w:val="18"/>
          <w:szCs w:val="18"/>
        </w:rPr>
        <w:t> </w:t>
      </w:r>
      <w:r>
        <w:rPr>
          <w:rFonts w:ascii="宋体" w:hAnsi="宋体" w:cs="宋体" w:eastAsia="宋体" w:hint="default"/>
          <w:spacing w:val="-19"/>
          <w:sz w:val="18"/>
          <w:szCs w:val="18"/>
        </w:rPr>
        <w:t>号公告）。</w:t>
      </w:r>
    </w:p>
    <w:p>
      <w:pPr>
        <w:spacing w:before="59"/>
        <w:ind w:left="513" w:right="1133" w:firstLine="0"/>
        <w:jc w:val="left"/>
        <w:rPr>
          <w:rFonts w:ascii="宋体" w:hAnsi="宋体" w:cs="宋体" w:eastAsia="宋体" w:hint="default"/>
          <w:sz w:val="18"/>
          <w:szCs w:val="18"/>
        </w:rPr>
      </w:pPr>
      <w:r>
        <w:rPr>
          <w:rFonts w:ascii="宋体" w:hAnsi="宋体" w:cs="宋体" w:eastAsia="宋体" w:hint="default"/>
          <w:sz w:val="18"/>
          <w:szCs w:val="18"/>
        </w:rPr>
        <w:t>截至目前，该项目仍在进行中。</w:t>
      </w:r>
    </w:p>
    <w:p>
      <w:pPr>
        <w:spacing w:line="369" w:lineRule="auto" w:before="146"/>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）中原电子收购中元股份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4.98%</w:t>
      </w:r>
      <w:r>
        <w:rPr>
          <w:rFonts w:ascii="宋体" w:hAnsi="宋体" w:cs="宋体" w:eastAsia="宋体" w:hint="default"/>
          <w:sz w:val="18"/>
          <w:szCs w:val="18"/>
        </w:rPr>
        <w:t>股权暨关联交易 </w:t>
      </w:r>
      <w:r>
        <w:rPr>
          <w:rFonts w:ascii="宋体" w:hAnsi="宋体" w:cs="宋体" w:eastAsia="宋体" w:hint="default"/>
          <w:spacing w:val="-2"/>
          <w:sz w:val="18"/>
          <w:szCs w:val="18"/>
        </w:rPr>
        <w:t>武汉中元通信股份有限公司（简称“中元股份”）主要从事军工电子领域的研发、制造与服务等业务，为中原电子下属</w:t>
      </w:r>
    </w:p>
    <w:p>
      <w:pPr>
        <w:spacing w:before="10"/>
        <w:ind w:left="152"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重要子企业，为更好实现中原电子在高新电子板块的战略发展目标，进一步完善高新电子板块整体资产的经营管理，经</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2019</w:t>
      </w:r>
    </w:p>
    <w:p>
      <w:pPr>
        <w:spacing w:before="94"/>
        <w:ind w:left="152"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日公司第七届董事会第十九次会议审议，同意中原电子就收购中国电子所持有的中元股份</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4.98%</w:t>
      </w:r>
      <w:r>
        <w:rPr>
          <w:rFonts w:ascii="宋体" w:hAnsi="宋体" w:cs="宋体" w:eastAsia="宋体" w:hint="default"/>
          <w:sz w:val="18"/>
          <w:szCs w:val="18"/>
        </w:rPr>
        <w:t>股权签署《股权</w:t>
      </w:r>
    </w:p>
    <w:p>
      <w:pPr>
        <w:spacing w:line="369" w:lineRule="auto" w:before="94"/>
        <w:ind w:left="513" w:right="4886" w:hanging="361"/>
        <w:jc w:val="left"/>
        <w:rPr>
          <w:rFonts w:ascii="宋体" w:hAnsi="宋体" w:cs="宋体" w:eastAsia="宋体" w:hint="default"/>
          <w:sz w:val="18"/>
          <w:szCs w:val="18"/>
        </w:rPr>
      </w:pPr>
      <w:r>
        <w:rPr>
          <w:rFonts w:ascii="宋体" w:hAnsi="宋体" w:cs="宋体" w:eastAsia="宋体" w:hint="default"/>
          <w:spacing w:val="-8"/>
          <w:sz w:val="18"/>
          <w:szCs w:val="18"/>
        </w:rPr>
        <w:t>转让合同》（具体内容详见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2019-048</w:t>
      </w:r>
      <w:r>
        <w:rPr>
          <w:rFonts w:ascii="Times New Roman" w:hAnsi="Times New Roman" w:cs="Times New Roman" w:eastAsia="Times New Roman" w:hint="default"/>
          <w:spacing w:val="2"/>
          <w:sz w:val="18"/>
          <w:szCs w:val="18"/>
        </w:rPr>
        <w:t> </w:t>
      </w:r>
      <w:r>
        <w:rPr>
          <w:rFonts w:ascii="宋体" w:hAnsi="宋体" w:cs="宋体" w:eastAsia="宋体" w:hint="default"/>
          <w:spacing w:val="-19"/>
          <w:sz w:val="18"/>
          <w:szCs w:val="18"/>
        </w:rPr>
        <w:t>号公告）。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报告期内，收购事项完成，中原电子持有中元股份股权比例为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spacing w:line="369" w:lineRule="auto" w:before="24"/>
        <w:ind w:left="513" w:right="11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）收购天津飞腾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股权暨关联交易 </w:t>
      </w:r>
      <w:r>
        <w:rPr>
          <w:rFonts w:ascii="宋体" w:hAnsi="宋体" w:cs="宋体" w:eastAsia="宋体" w:hint="default"/>
          <w:spacing w:val="-2"/>
          <w:sz w:val="18"/>
          <w:szCs w:val="18"/>
        </w:rPr>
        <w:t>为充分利用集团内部资源推进自主安全业务专业化的整合，进一步充实核心关键技术、完善业务结构和优化产业链，提</w:t>
      </w:r>
    </w:p>
    <w:p>
      <w:pPr>
        <w:spacing w:before="10"/>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升公司在自主安全生态体系建设中的整体实力和核心竞争力，经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日公司第七届董事会第二十二次会议、</w:t>
      </w:r>
      <w:r>
        <w:rPr>
          <w:rFonts w:ascii="Times New Roman" w:hAnsi="Times New Roman" w:cs="Times New Roman" w:eastAsia="Times New Roman" w:hint="default"/>
          <w:spacing w:val="-3"/>
          <w:sz w:val="18"/>
          <w:szCs w:val="18"/>
        </w:rPr>
        <w:t>2019</w:t>
      </w:r>
    </w:p>
    <w:p>
      <w:pPr>
        <w:spacing w:line="331" w:lineRule="auto" w:before="94"/>
        <w:ind w:left="152" w:right="1130"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年度第三次临时股东大会审议，同意公司向华大半导体有限公司收购其所持有的天津飞腾</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13.54%</w:t>
      </w:r>
      <w:r>
        <w:rPr>
          <w:rFonts w:ascii="宋体" w:hAnsi="宋体" w:cs="宋体" w:eastAsia="宋体" w:hint="default"/>
          <w:sz w:val="18"/>
          <w:szCs w:val="18"/>
        </w:rPr>
        <w:t>股 </w:t>
      </w:r>
      <w:r>
        <w:rPr>
          <w:rFonts w:ascii="宋体" w:hAnsi="宋体" w:cs="宋体" w:eastAsia="宋体" w:hint="default"/>
          <w:spacing w:val="1"/>
          <w:sz w:val="18"/>
          <w:szCs w:val="18"/>
        </w:rPr>
        <w:t>权、向中国振华电子集团有限公司收购其所持有的天津飞腾</w:t>
      </w:r>
      <w:r>
        <w:rPr>
          <w:rFonts w:ascii="宋体" w:hAnsi="宋体" w:cs="宋体" w:eastAsia="宋体" w:hint="default"/>
          <w:spacing w:val="19"/>
          <w:sz w:val="18"/>
          <w:szCs w:val="18"/>
        </w:rPr>
        <w:t> </w:t>
      </w:r>
      <w:r>
        <w:rPr>
          <w:rFonts w:ascii="Times New Roman" w:hAnsi="Times New Roman" w:cs="Times New Roman" w:eastAsia="Times New Roman" w:hint="default"/>
          <w:spacing w:val="-2"/>
          <w:sz w:val="18"/>
          <w:szCs w:val="18"/>
        </w:rPr>
        <w:t>21.46%</w:t>
      </w:r>
      <w:r>
        <w:rPr>
          <w:rFonts w:ascii="宋体" w:hAnsi="宋体" w:cs="宋体" w:eastAsia="宋体" w:hint="default"/>
          <w:spacing w:val="-2"/>
          <w:sz w:val="18"/>
          <w:szCs w:val="18"/>
        </w:rPr>
        <w:t>股权并签署相应的《股权转让合同书》（具体内容详见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1"/>
          <w:sz w:val="18"/>
          <w:szCs w:val="18"/>
        </w:rPr>
        <w:t>2019-058</w:t>
      </w:r>
      <w:r>
        <w:rPr>
          <w:rFonts w:ascii="Times New Roman" w:hAnsi="Times New Roman" w:cs="Times New Roman" w:eastAsia="Times New Roman" w:hint="default"/>
          <w:spacing w:val="9"/>
          <w:sz w:val="18"/>
          <w:szCs w:val="18"/>
        </w:rPr>
        <w:t> </w:t>
      </w:r>
      <w:r>
        <w:rPr>
          <w:rFonts w:ascii="宋体" w:hAnsi="宋体" w:cs="宋体" w:eastAsia="宋体" w:hint="default"/>
          <w:spacing w:val="-19"/>
          <w:sz w:val="18"/>
          <w:szCs w:val="18"/>
        </w:rPr>
        <w:t>号公告）。</w:t>
      </w:r>
    </w:p>
    <w:p>
      <w:pPr>
        <w:spacing w:line="331" w:lineRule="auto" w:before="59"/>
        <w:ind w:left="152" w:right="1121" w:firstLine="360"/>
        <w:jc w:val="left"/>
        <w:rPr>
          <w:rFonts w:ascii="宋体" w:hAnsi="宋体" w:cs="宋体" w:eastAsia="宋体" w:hint="default"/>
          <w:sz w:val="18"/>
          <w:szCs w:val="18"/>
        </w:rPr>
      </w:pPr>
      <w:r>
        <w:rPr>
          <w:rFonts w:ascii="宋体" w:hAnsi="宋体" w:cs="宋体" w:eastAsia="宋体" w:hint="default"/>
          <w:sz w:val="18"/>
          <w:szCs w:val="18"/>
        </w:rPr>
        <w:t>报告期内，收购事项完成；其后天津飞腾实施股权激励方案，通过增发引入员工持股平台，公司持股比例由原</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下 降至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31.50%</w:t>
      </w:r>
      <w:r>
        <w:rPr>
          <w:rFonts w:ascii="宋体" w:hAnsi="宋体" w:cs="宋体" w:eastAsia="宋体" w:hint="default"/>
          <w:sz w:val="18"/>
          <w:szCs w:val="18"/>
        </w:rPr>
        <w:t>。</w:t>
      </w:r>
    </w:p>
    <w:p>
      <w:pPr>
        <w:spacing w:line="369" w:lineRule="auto" w:before="56"/>
        <w:ind w:left="513" w:right="11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）圣非凡收购轨道交通研究院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股权暨关联交易 </w:t>
      </w:r>
      <w:r>
        <w:rPr>
          <w:rFonts w:ascii="宋体" w:hAnsi="宋体" w:cs="宋体" w:eastAsia="宋体" w:hint="default"/>
          <w:spacing w:val="-2"/>
          <w:sz w:val="18"/>
          <w:szCs w:val="18"/>
        </w:rPr>
        <w:t>为充分利用集团内部资源推进信息化领域专业化的整合，构建高新电子业务多元化，打造新型区域经济模式，进一步完</w:t>
      </w:r>
    </w:p>
    <w:p>
      <w:pPr>
        <w:spacing w:before="10"/>
        <w:ind w:left="152" w:right="0" w:firstLine="0"/>
        <w:jc w:val="left"/>
        <w:rPr>
          <w:rFonts w:ascii="宋体" w:hAnsi="宋体" w:cs="宋体" w:eastAsia="宋体" w:hint="default"/>
          <w:sz w:val="18"/>
          <w:szCs w:val="18"/>
        </w:rPr>
      </w:pPr>
      <w:r>
        <w:rPr>
          <w:rFonts w:ascii="宋体" w:hAnsi="宋体" w:cs="宋体" w:eastAsia="宋体" w:hint="default"/>
          <w:sz w:val="18"/>
          <w:szCs w:val="18"/>
        </w:rPr>
        <w:t>善公司产业链和生态链，经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日公司第七届董事会第二十五次会议审议，同意圣非凡向中国电子信息产业集</w:t>
      </w:r>
    </w:p>
    <w:p>
      <w:pPr>
        <w:spacing w:before="94"/>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团有限公司第六研究所收购其所持有的轨道交通研究院</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股权并签署相应</w:t>
      </w:r>
      <w:r>
        <w:rPr>
          <w:rFonts w:ascii="宋体" w:hAnsi="宋体" w:cs="宋体" w:eastAsia="宋体" w:hint="default"/>
          <w:spacing w:val="-56"/>
          <w:sz w:val="18"/>
          <w:szCs w:val="18"/>
        </w:rPr>
        <w:t>的</w:t>
      </w:r>
      <w:r>
        <w:rPr>
          <w:rFonts w:ascii="宋体" w:hAnsi="宋体" w:cs="宋体" w:eastAsia="宋体" w:hint="default"/>
          <w:sz w:val="18"/>
          <w:szCs w:val="18"/>
        </w:rPr>
        <w:t>《股权转让合同书</w:t>
      </w:r>
      <w:r>
        <w:rPr>
          <w:rFonts w:ascii="宋体" w:hAnsi="宋体" w:cs="宋体" w:eastAsia="宋体" w:hint="default"/>
          <w:spacing w:val="-147"/>
          <w:sz w:val="18"/>
          <w:szCs w:val="18"/>
        </w:rPr>
        <w:t>》</w:t>
      </w:r>
      <w:r>
        <w:rPr>
          <w:rFonts w:ascii="宋体" w:hAnsi="宋体" w:cs="宋体" w:eastAsia="宋体" w:hint="default"/>
          <w:sz w:val="18"/>
          <w:szCs w:val="18"/>
        </w:rPr>
        <w:t>（具体内容详见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5</w:t>
      </w:r>
    </w:p>
    <w:p>
      <w:pPr>
        <w:spacing w:before="94"/>
        <w:ind w:left="152" w:right="1133" w:firstLine="0"/>
        <w:jc w:val="left"/>
        <w:rPr>
          <w:rFonts w:ascii="宋体" w:hAnsi="宋体" w:cs="宋体" w:eastAsia="宋体" w:hint="default"/>
          <w:sz w:val="18"/>
          <w:szCs w:val="18"/>
        </w:rPr>
      </w:pPr>
      <w:r>
        <w:rPr>
          <w:rFonts w:ascii="宋体" w:hAnsi="宋体" w:cs="宋体" w:eastAsia="宋体" w:hint="default"/>
          <w:sz w:val="18"/>
          <w:szCs w:val="18"/>
        </w:rPr>
        <w:t>号公告</w:t>
      </w:r>
      <w:r>
        <w:rPr>
          <w:rFonts w:ascii="宋体" w:hAnsi="宋体" w:cs="宋体" w:eastAsia="宋体" w:hint="default"/>
          <w:spacing w:val="-92"/>
          <w:sz w:val="18"/>
          <w:szCs w:val="18"/>
        </w:rPr>
        <w:t>）</w:t>
      </w:r>
      <w:r>
        <w:rPr>
          <w:rFonts w:ascii="宋体" w:hAnsi="宋体" w:cs="宋体" w:eastAsia="宋体" w:hint="default"/>
          <w:sz w:val="18"/>
          <w:szCs w:val="18"/>
        </w:rPr>
        <w:t>。</w:t>
      </w:r>
    </w:p>
    <w:p>
      <w:pPr>
        <w:spacing w:before="148"/>
        <w:ind w:left="513" w:right="1133" w:firstLine="0"/>
        <w:jc w:val="left"/>
        <w:rPr>
          <w:rFonts w:ascii="宋体" w:hAnsi="宋体" w:cs="宋体" w:eastAsia="宋体" w:hint="default"/>
          <w:sz w:val="18"/>
          <w:szCs w:val="18"/>
        </w:rPr>
      </w:pPr>
      <w:r>
        <w:rPr>
          <w:rFonts w:ascii="宋体" w:hAnsi="宋体" w:cs="宋体" w:eastAsia="宋体" w:hint="default"/>
          <w:sz w:val="18"/>
          <w:szCs w:val="18"/>
        </w:rPr>
        <w:t>报告期内，收购事项完成，轨道交通研究院成为公司下属全资企业。</w:t>
      </w:r>
    </w:p>
    <w:p>
      <w:pPr>
        <w:spacing w:line="369" w:lineRule="auto" w:before="146"/>
        <w:ind w:left="513" w:right="11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）投资产业化基地并设立全资子公司 </w:t>
      </w:r>
      <w:r>
        <w:rPr>
          <w:rFonts w:ascii="宋体" w:hAnsi="宋体" w:cs="宋体" w:eastAsia="宋体" w:hint="default"/>
          <w:spacing w:val="-2"/>
          <w:sz w:val="18"/>
          <w:szCs w:val="18"/>
        </w:rPr>
        <w:t>基于对国家网络安全与信息化战略的推进实施和未来自主安全业务市场前景的展望，为充分利用公司在网络安全、智能</w:t>
      </w:r>
    </w:p>
    <w:p>
      <w:pPr>
        <w:spacing w:line="350" w:lineRule="auto" w:before="10"/>
        <w:ind w:left="152" w:right="1034" w:firstLine="0"/>
        <w:jc w:val="left"/>
        <w:rPr>
          <w:rFonts w:ascii="宋体" w:hAnsi="宋体" w:cs="宋体" w:eastAsia="宋体" w:hint="default"/>
          <w:sz w:val="18"/>
          <w:szCs w:val="18"/>
        </w:rPr>
      </w:pPr>
      <w:r>
        <w:rPr>
          <w:rFonts w:ascii="宋体" w:hAnsi="宋体" w:cs="宋体" w:eastAsia="宋体" w:hint="default"/>
          <w:sz w:val="18"/>
          <w:szCs w:val="18"/>
        </w:rPr>
        <w:t>制造方面的业务能力和技术优势，依托地方政府的政策及资源，强化自主创新产品生产平台建设，保障公司主营业务发展， </w:t>
      </w:r>
      <w:r>
        <w:rPr>
          <w:rFonts w:ascii="宋体" w:hAnsi="宋体" w:cs="宋体" w:eastAsia="宋体" w:hint="default"/>
          <w:spacing w:val="-2"/>
          <w:sz w:val="18"/>
          <w:szCs w:val="18"/>
        </w:rPr>
        <w:t>提前做好相关市场布局，报告期内，公司分别于河南省郑州市、山西省太原市、安徽省合肥市、浙江省温州市、新疆维吾尔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自治区乌鲁木齐市投资建设自主创新产业化基地并设立项目配套全资子公司。</w:t>
      </w:r>
    </w:p>
    <w:p>
      <w:pPr>
        <w:spacing w:after="0" w:line="350" w:lineRule="auto"/>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6"/>
        <w:rPr>
          <w:rFonts w:ascii="宋体" w:hAnsi="宋体" w:cs="宋体" w:eastAsia="宋体" w:hint="default"/>
          <w:sz w:val="21"/>
          <w:szCs w:val="21"/>
        </w:rPr>
      </w:pPr>
    </w:p>
    <w:p>
      <w:pPr>
        <w:pStyle w:val="Heading5"/>
        <w:spacing w:line="240" w:lineRule="auto"/>
        <w:ind w:left="892"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18"/>
          <w:szCs w:val="18"/>
        </w:rPr>
      </w:pPr>
    </w:p>
    <w:p>
      <w:pPr>
        <w:spacing w:before="44"/>
        <w:ind w:left="89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376"/>
        <w:gridCol w:w="566"/>
        <w:gridCol w:w="708"/>
        <w:gridCol w:w="852"/>
        <w:gridCol w:w="992"/>
        <w:gridCol w:w="1085"/>
        <w:gridCol w:w="850"/>
        <w:gridCol w:w="850"/>
        <w:gridCol w:w="569"/>
        <w:gridCol w:w="992"/>
        <w:gridCol w:w="991"/>
        <w:gridCol w:w="710"/>
        <w:gridCol w:w="662"/>
      </w:tblGrid>
      <w:tr>
        <w:trPr>
          <w:trHeight w:val="946"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79" w:right="77"/>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1" w:right="38"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88" w:right="84"/>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0" w:right="39"/>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0" w:right="38"/>
              <w:jc w:val="both"/>
              <w:rPr>
                <w:rFonts w:ascii="宋体" w:hAnsi="宋体" w:cs="宋体" w:eastAsia="宋体" w:hint="default"/>
                <w:sz w:val="18"/>
                <w:szCs w:val="18"/>
              </w:rPr>
            </w:pPr>
            <w:r>
              <w:rPr>
                <w:rFonts w:ascii="宋体" w:hAnsi="宋体" w:cs="宋体" w:eastAsia="宋体" w:hint="default"/>
                <w:sz w:val="18"/>
                <w:szCs w:val="18"/>
              </w:rPr>
              <w:t>未达到计划 进度和预计 收益的原因</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6" w:right="144"/>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715"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中电长城大厦项目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474,542,984.34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2"/>
                <w:sz w:val="15"/>
              </w:rPr>
              <w:t>2,011,664,460.47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自筹加贷款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已完成</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pacing w:val="-6"/>
                <w:sz w:val="15"/>
                <w:szCs w:val="15"/>
              </w:rPr>
              <w:t>11</w:t>
            </w:r>
            <w:r>
              <w:rPr>
                <w:rFonts w:ascii="Times New Roman" w:hAnsi="Times New Roman" w:cs="Times New Roman" w:eastAsia="Times New Roman" w:hint="default"/>
                <w:sz w:val="15"/>
                <w:szCs w:val="15"/>
              </w:rPr>
            </w:r>
          </w:p>
          <w:p>
            <w:pPr>
              <w:pStyle w:val="TableParagraph"/>
              <w:spacing w:line="240" w:lineRule="auto" w:before="102"/>
              <w:ind w:left="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left"/>
              <w:rPr>
                <w:rFonts w:ascii="Times New Roman" w:hAnsi="Times New Roman" w:cs="Times New Roman" w:eastAsia="Times New Roman" w:hint="default"/>
                <w:sz w:val="15"/>
                <w:szCs w:val="15"/>
              </w:rPr>
            </w:pPr>
            <w:r>
              <w:rPr>
                <w:rFonts w:ascii="Times New Roman"/>
                <w:sz w:val="15"/>
              </w:rPr>
              <w:t>2015-078</w:t>
            </w:r>
          </w:p>
          <w:p>
            <w:pPr>
              <w:pStyle w:val="TableParagraph"/>
              <w:spacing w:line="240" w:lineRule="auto" w:before="104"/>
              <w:ind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713"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 w:right="8"/>
              <w:jc w:val="left"/>
              <w:rPr>
                <w:rFonts w:ascii="宋体" w:hAnsi="宋体" w:cs="宋体" w:eastAsia="宋体" w:hint="default"/>
                <w:sz w:val="15"/>
                <w:szCs w:val="15"/>
              </w:rPr>
            </w:pPr>
            <w:r>
              <w:rPr>
                <w:rFonts w:ascii="宋体" w:hAnsi="宋体" w:cs="宋体" w:eastAsia="宋体" w:hint="default"/>
                <w:sz w:val="15"/>
                <w:szCs w:val="15"/>
              </w:rPr>
              <w:t>石岩基地三期网络安</w:t>
            </w:r>
            <w:r>
              <w:rPr>
                <w:rFonts w:ascii="宋体" w:hAnsi="宋体" w:cs="宋体" w:eastAsia="宋体" w:hint="default"/>
                <w:w w:val="100"/>
                <w:sz w:val="15"/>
                <w:szCs w:val="15"/>
              </w:rPr>
              <w:t> </w:t>
            </w:r>
            <w:r>
              <w:rPr>
                <w:rFonts w:ascii="宋体" w:hAnsi="宋体" w:cs="宋体" w:eastAsia="宋体" w:hint="default"/>
                <w:sz w:val="15"/>
                <w:szCs w:val="15"/>
              </w:rPr>
              <w:t>全与信息化产业项目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96" w:right="41" w:hanging="152"/>
              <w:jc w:val="left"/>
              <w:rPr>
                <w:rFonts w:ascii="宋体" w:hAnsi="宋体" w:cs="宋体" w:eastAsia="宋体" w:hint="default"/>
                <w:sz w:val="15"/>
                <w:szCs w:val="15"/>
              </w:rPr>
            </w:pPr>
            <w:r>
              <w:rPr>
                <w:rFonts w:ascii="宋体" w:hAnsi="宋体" w:cs="宋体" w:eastAsia="宋体" w:hint="default"/>
                <w:sz w:val="15"/>
                <w:szCs w:val="15"/>
              </w:rPr>
              <w:t>网络安全和</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信息化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22,373,308.26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58,558,953.16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仍在进行中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2018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08</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left"/>
              <w:rPr>
                <w:rFonts w:ascii="Times New Roman" w:hAnsi="Times New Roman" w:cs="Times New Roman" w:eastAsia="Times New Roman" w:hint="default"/>
                <w:sz w:val="15"/>
                <w:szCs w:val="15"/>
              </w:rPr>
            </w:pPr>
            <w:r>
              <w:rPr>
                <w:rFonts w:ascii="Times New Roman"/>
                <w:sz w:val="15"/>
              </w:rPr>
              <w:t>2018-077</w:t>
            </w:r>
          </w:p>
          <w:p>
            <w:pPr>
              <w:pStyle w:val="TableParagraph"/>
              <w:spacing w:line="240" w:lineRule="auto" w:before="106"/>
              <w:ind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716"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2" w:right="8"/>
              <w:jc w:val="left"/>
              <w:rPr>
                <w:rFonts w:ascii="宋体" w:hAnsi="宋体" w:cs="宋体" w:eastAsia="宋体" w:hint="default"/>
                <w:sz w:val="15"/>
                <w:szCs w:val="15"/>
              </w:rPr>
            </w:pPr>
            <w:r>
              <w:rPr>
                <w:rFonts w:ascii="宋体" w:hAnsi="宋体" w:cs="宋体" w:eastAsia="宋体" w:hint="default"/>
                <w:sz w:val="15"/>
                <w:szCs w:val="15"/>
              </w:rPr>
              <w:t>汉南土地及地上房屋</w:t>
            </w:r>
            <w:r>
              <w:rPr>
                <w:rFonts w:ascii="宋体" w:hAnsi="宋体" w:cs="宋体" w:eastAsia="宋体" w:hint="default"/>
                <w:w w:val="100"/>
                <w:sz w:val="15"/>
                <w:szCs w:val="15"/>
              </w:rPr>
              <w:t> </w:t>
            </w:r>
            <w:r>
              <w:rPr>
                <w:rFonts w:ascii="宋体" w:hAnsi="宋体" w:cs="宋体" w:eastAsia="宋体" w:hint="default"/>
                <w:sz w:val="15"/>
                <w:szCs w:val="15"/>
              </w:rPr>
              <w:t>建（构）筑物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收购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3"/>
              <w:jc w:val="center"/>
              <w:rPr>
                <w:rFonts w:ascii="宋体" w:hAnsi="宋体" w:cs="宋体" w:eastAsia="宋体" w:hint="default"/>
                <w:sz w:val="15"/>
                <w:szCs w:val="15"/>
              </w:rPr>
            </w:pPr>
            <w:r>
              <w:rPr>
                <w:rFonts w:ascii="宋体" w:hAnsi="宋体" w:cs="宋体" w:eastAsia="宋体" w:hint="default"/>
                <w:w w:val="100"/>
                <w:sz w:val="15"/>
                <w:szCs w:val="15"/>
              </w:rPr>
              <w:t>电源</w:t>
            </w:r>
            <w:r>
              <w:rPr>
                <w:rFonts w:ascii="宋体" w:hAnsi="宋体" w:cs="宋体" w:eastAsia="宋体" w:hint="default"/>
                <w:spacing w:val="-63"/>
                <w:w w:val="100"/>
                <w:sz w:val="15"/>
                <w:szCs w:val="15"/>
              </w:rPr>
              <w:t>、</w:t>
            </w:r>
            <w:r>
              <w:rPr>
                <w:rFonts w:ascii="宋体" w:hAnsi="宋体" w:cs="宋体" w:eastAsia="宋体" w:hint="default"/>
                <w:w w:val="100"/>
                <w:sz w:val="15"/>
                <w:szCs w:val="15"/>
              </w:rPr>
              <w:t>锂</w:t>
            </w:r>
            <w:r>
              <w:rPr>
                <w:rFonts w:ascii="宋体" w:hAnsi="宋体" w:cs="宋体" w:eastAsia="宋体" w:hint="default"/>
                <w:spacing w:val="-3"/>
                <w:w w:val="100"/>
                <w:sz w:val="15"/>
                <w:szCs w:val="15"/>
              </w:rPr>
              <w:t>电</w:t>
            </w:r>
            <w:r>
              <w:rPr>
                <w:rFonts w:ascii="宋体" w:hAnsi="宋体" w:cs="宋体" w:eastAsia="宋体" w:hint="default"/>
                <w:w w:val="100"/>
                <w:sz w:val="15"/>
                <w:szCs w:val="15"/>
              </w:rPr>
              <w:t>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12,831,598.50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12,831,598.50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仍在进行中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2018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12</w:t>
            </w:r>
          </w:p>
          <w:p>
            <w:pPr>
              <w:pStyle w:val="TableParagraph"/>
              <w:spacing w:line="240" w:lineRule="auto" w:before="102"/>
              <w:ind w:left="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left"/>
              <w:rPr>
                <w:rFonts w:ascii="Times New Roman" w:hAnsi="Times New Roman" w:cs="Times New Roman" w:eastAsia="Times New Roman" w:hint="default"/>
                <w:sz w:val="15"/>
                <w:szCs w:val="15"/>
              </w:rPr>
            </w:pPr>
            <w:r>
              <w:rPr>
                <w:rFonts w:ascii="Times New Roman"/>
                <w:sz w:val="15"/>
              </w:rPr>
              <w:t>2018-110</w:t>
            </w:r>
          </w:p>
          <w:p>
            <w:pPr>
              <w:pStyle w:val="TableParagraph"/>
              <w:spacing w:line="240" w:lineRule="auto" w:before="104"/>
              <w:ind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713"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 w:right="8"/>
              <w:jc w:val="left"/>
              <w:rPr>
                <w:rFonts w:ascii="宋体" w:hAnsi="宋体" w:cs="宋体" w:eastAsia="宋体" w:hint="default"/>
                <w:sz w:val="15"/>
                <w:szCs w:val="15"/>
              </w:rPr>
            </w:pPr>
            <w:r>
              <w:rPr>
                <w:rFonts w:ascii="宋体" w:hAnsi="宋体" w:cs="宋体" w:eastAsia="宋体" w:hint="default"/>
                <w:sz w:val="15"/>
                <w:szCs w:val="15"/>
              </w:rPr>
              <w:t>长城信安购买长城银</w:t>
            </w:r>
            <w:r>
              <w:rPr>
                <w:rFonts w:ascii="宋体" w:hAnsi="宋体" w:cs="宋体" w:eastAsia="宋体" w:hint="default"/>
                <w:w w:val="100"/>
                <w:sz w:val="15"/>
                <w:szCs w:val="15"/>
              </w:rPr>
              <w:t> </w:t>
            </w:r>
            <w:r>
              <w:rPr>
                <w:rFonts w:ascii="宋体" w:hAnsi="宋体" w:cs="宋体" w:eastAsia="宋体" w:hint="default"/>
                <w:sz w:val="15"/>
                <w:szCs w:val="15"/>
              </w:rPr>
              <w:t>河无形资产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收购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96" w:right="41" w:hanging="152"/>
              <w:jc w:val="left"/>
              <w:rPr>
                <w:rFonts w:ascii="宋体" w:hAnsi="宋体" w:cs="宋体" w:eastAsia="宋体" w:hint="default"/>
                <w:sz w:val="15"/>
                <w:szCs w:val="15"/>
              </w:rPr>
            </w:pPr>
            <w:r>
              <w:rPr>
                <w:rFonts w:ascii="宋体" w:hAnsi="宋体" w:cs="宋体" w:eastAsia="宋体" w:hint="default"/>
                <w:sz w:val="15"/>
                <w:szCs w:val="15"/>
              </w:rPr>
              <w:t>网络安全与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信息化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仍在进行中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04</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left"/>
              <w:rPr>
                <w:rFonts w:ascii="Times New Roman" w:hAnsi="Times New Roman" w:cs="Times New Roman" w:eastAsia="Times New Roman" w:hint="default"/>
                <w:sz w:val="15"/>
                <w:szCs w:val="15"/>
              </w:rPr>
            </w:pPr>
            <w:r>
              <w:rPr>
                <w:rFonts w:ascii="Times New Roman"/>
                <w:sz w:val="15"/>
              </w:rPr>
              <w:t>2019-014</w:t>
            </w:r>
          </w:p>
          <w:p>
            <w:pPr>
              <w:pStyle w:val="TableParagraph"/>
              <w:spacing w:line="240" w:lineRule="auto" w:before="106"/>
              <w:ind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40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7" w:right="0"/>
              <w:jc w:val="lef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509,747,891.10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2,083,055,012.13</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5"/>
                <w:szCs w:val="15"/>
              </w:rPr>
            </w:pPr>
            <w:r>
              <w:rPr>
                <w:rFonts w:ascii="Times New Roman"/>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5"/>
                <w:szCs w:val="15"/>
              </w:rPr>
            </w:pPr>
            <w:r>
              <w:rPr>
                <w:rFonts w:ascii="Times New Roman"/>
                <w:sz w:val="15"/>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892" w:right="0" w:firstLine="0"/>
        <w:jc w:val="left"/>
        <w:rPr>
          <w:rFonts w:ascii="宋体" w:hAnsi="宋体" w:cs="宋体" w:eastAsia="宋体" w:hint="default"/>
          <w:sz w:val="18"/>
          <w:szCs w:val="18"/>
        </w:rPr>
      </w:pPr>
      <w:r>
        <w:rPr>
          <w:rFonts w:ascii="宋体" w:hAnsi="宋体" w:cs="宋体" w:eastAsia="宋体" w:hint="default"/>
          <w:b/>
          <w:bCs/>
          <w:sz w:val="18"/>
          <w:szCs w:val="18"/>
        </w:rPr>
        <w:t>重大非股权投资情况说明</w:t>
      </w:r>
      <w:r>
        <w:rPr>
          <w:rFonts w:ascii="宋体" w:hAnsi="宋体" w:cs="宋体" w:eastAsia="宋体" w:hint="default"/>
          <w:sz w:val="18"/>
          <w:szCs w:val="18"/>
        </w:rPr>
      </w:r>
    </w:p>
    <w:p>
      <w:pPr>
        <w:spacing w:before="131"/>
        <w:ind w:left="12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）中电长城大厦项目</w:t>
      </w:r>
    </w:p>
    <w:p>
      <w:pPr>
        <w:spacing w:line="340" w:lineRule="auto" w:before="135"/>
        <w:ind w:left="892" w:right="1128" w:firstLine="360"/>
        <w:jc w:val="both"/>
        <w:rPr>
          <w:rFonts w:ascii="宋体" w:hAnsi="宋体" w:cs="宋体" w:eastAsia="宋体" w:hint="default"/>
          <w:sz w:val="18"/>
          <w:szCs w:val="18"/>
        </w:rPr>
      </w:pPr>
      <w:r>
        <w:rPr>
          <w:rFonts w:ascii="宋体" w:hAnsi="宋体" w:cs="宋体" w:eastAsia="宋体" w:hint="default"/>
          <w:sz w:val="18"/>
          <w:szCs w:val="18"/>
        </w:rPr>
        <w:t>鉴于公司自身发展的需求，经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日公司第五届董事会、</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年度第二次临时股东 </w:t>
      </w:r>
      <w:r>
        <w:rPr>
          <w:rFonts w:ascii="宋体" w:hAnsi="宋体" w:cs="宋体" w:eastAsia="宋体" w:hint="default"/>
          <w:spacing w:val="-2"/>
          <w:sz w:val="18"/>
          <w:szCs w:val="18"/>
        </w:rPr>
        <w:t>大会审议，同意公司于深圳市南山科技园区中国长城工业园内投资建设中电长城大厦，原项目建设投资预算为不超过人民币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z w:val="18"/>
          <w:szCs w:val="18"/>
        </w:rPr>
        <w:t>19.33 </w:t>
      </w:r>
      <w:r>
        <w:rPr>
          <w:rFonts w:ascii="宋体" w:hAnsi="宋体" w:cs="宋体" w:eastAsia="宋体" w:hint="default"/>
          <w:spacing w:val="-1"/>
          <w:sz w:val="18"/>
          <w:szCs w:val="18"/>
        </w:rPr>
        <w:t>亿元（具体内容详见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2013-030</w:t>
      </w:r>
      <w:r>
        <w:rPr>
          <w:rFonts w:ascii="Times New Roman" w:hAnsi="Times New Roman" w:cs="Times New Roman" w:eastAsia="Times New Roman" w:hint="default"/>
          <w:spacing w:val="-26"/>
          <w:sz w:val="18"/>
          <w:szCs w:val="18"/>
        </w:rPr>
        <w:t> </w:t>
      </w:r>
      <w:r>
        <w:rPr>
          <w:rFonts w:ascii="宋体" w:hAnsi="宋体" w:cs="宋体" w:eastAsia="宋体" w:hint="default"/>
          <w:spacing w:val="-19"/>
          <w:sz w:val="18"/>
          <w:szCs w:val="18"/>
        </w:rPr>
        <w:t>号公告）。</w:t>
      </w:r>
    </w:p>
    <w:p>
      <w:pPr>
        <w:spacing w:before="51"/>
        <w:ind w:left="12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随着项目的开发推进，综合考虑项目设计调整优化、市场条件及已实施项目的实际情况等各种因素，经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p>
    <w:p>
      <w:pPr>
        <w:spacing w:before="94"/>
        <w:ind w:left="892" w:right="0" w:firstLine="0"/>
        <w:jc w:val="left"/>
        <w:rPr>
          <w:rFonts w:ascii="宋体" w:hAnsi="宋体" w:cs="宋体" w:eastAsia="宋体" w:hint="default"/>
          <w:sz w:val="18"/>
          <w:szCs w:val="18"/>
        </w:rPr>
      </w:pPr>
      <w:r>
        <w:rPr>
          <w:rFonts w:ascii="宋体" w:hAnsi="宋体" w:cs="宋体" w:eastAsia="宋体" w:hint="default"/>
          <w:sz w:val="18"/>
          <w:szCs w:val="18"/>
        </w:rPr>
        <w:t>日公司第六届董事会、</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年度第三次临时股东大会审议，同意对中电长城大厦项目追加投资，追</w:t>
      </w:r>
    </w:p>
    <w:p>
      <w:pPr>
        <w:spacing w:before="94"/>
        <w:ind w:left="892" w:right="0" w:firstLine="0"/>
        <w:jc w:val="left"/>
        <w:rPr>
          <w:rFonts w:ascii="宋体" w:hAnsi="宋体" w:cs="宋体" w:eastAsia="宋体" w:hint="default"/>
          <w:sz w:val="18"/>
          <w:szCs w:val="18"/>
        </w:rPr>
      </w:pPr>
      <w:r>
        <w:rPr>
          <w:rFonts w:ascii="宋体" w:hAnsi="宋体" w:cs="宋体" w:eastAsia="宋体" w:hint="default"/>
          <w:sz w:val="18"/>
          <w:szCs w:val="18"/>
        </w:rPr>
        <w:t>加后项目总投资不超过人民币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亿元，所需资金由公司</w:t>
      </w:r>
      <w:r>
        <w:rPr>
          <w:rFonts w:ascii="宋体" w:hAnsi="宋体" w:cs="宋体" w:eastAsia="宋体" w:hint="default"/>
          <w:spacing w:val="-3"/>
          <w:sz w:val="18"/>
          <w:szCs w:val="18"/>
        </w:rPr>
        <w:t>自</w:t>
      </w:r>
      <w:r>
        <w:rPr>
          <w:rFonts w:ascii="宋体" w:hAnsi="宋体" w:cs="宋体" w:eastAsia="宋体" w:hint="default"/>
          <w:sz w:val="18"/>
          <w:szCs w:val="18"/>
        </w:rPr>
        <w:t>筹解决（具体内容详见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r>
        <w:rPr>
          <w:rFonts w:ascii="宋体" w:hAnsi="宋体" w:cs="宋体" w:eastAsia="宋体" w:hint="default"/>
          <w:spacing w:val="-92"/>
          <w:sz w:val="18"/>
          <w:szCs w:val="18"/>
        </w:rPr>
        <w:t>）</w:t>
      </w:r>
      <w:r>
        <w:rPr>
          <w:rFonts w:ascii="宋体" w:hAnsi="宋体" w:cs="宋体" w:eastAsia="宋体" w:hint="default"/>
          <w:sz w:val="18"/>
          <w:szCs w:val="18"/>
        </w:rPr>
        <w:t>。</w:t>
      </w:r>
    </w:p>
    <w:p>
      <w:pPr>
        <w:spacing w:before="132"/>
        <w:ind w:left="1253" w:right="0" w:firstLine="0"/>
        <w:jc w:val="left"/>
        <w:rPr>
          <w:rFonts w:ascii="宋体" w:hAnsi="宋体" w:cs="宋体" w:eastAsia="宋体" w:hint="default"/>
          <w:sz w:val="18"/>
          <w:szCs w:val="18"/>
        </w:rPr>
      </w:pPr>
      <w:r>
        <w:rPr>
          <w:rFonts w:ascii="宋体" w:hAnsi="宋体" w:cs="宋体" w:eastAsia="宋体" w:hint="default"/>
          <w:sz w:val="18"/>
          <w:szCs w:val="18"/>
        </w:rPr>
        <w:t>中电长城大厦是在公司现有土地资源上新建的准甲级生态写字楼，总建筑面积约为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万平方米，以南北双塔加裙楼</w:t>
      </w:r>
    </w:p>
    <w:p>
      <w:pPr>
        <w:spacing w:before="94"/>
        <w:ind w:left="892" w:right="0" w:firstLine="0"/>
        <w:jc w:val="left"/>
        <w:rPr>
          <w:rFonts w:ascii="宋体" w:hAnsi="宋体" w:cs="宋体" w:eastAsia="宋体" w:hint="default"/>
          <w:sz w:val="18"/>
          <w:szCs w:val="18"/>
        </w:rPr>
      </w:pPr>
      <w:r>
        <w:rPr>
          <w:rFonts w:ascii="宋体" w:hAnsi="宋体" w:cs="宋体" w:eastAsia="宋体" w:hint="default"/>
          <w:sz w:val="18"/>
          <w:szCs w:val="18"/>
        </w:rPr>
        <w:t>连接设计</w:t>
      </w:r>
      <w:r>
        <w:rPr>
          <w:rFonts w:ascii="宋体" w:hAnsi="宋体" w:cs="宋体" w:eastAsia="宋体" w:hint="default"/>
          <w:spacing w:val="-8"/>
          <w:sz w:val="18"/>
          <w:szCs w:val="18"/>
        </w:rPr>
        <w:t>。</w:t>
      </w:r>
      <w:r>
        <w:rPr>
          <w:rFonts w:ascii="宋体" w:hAnsi="宋体" w:cs="宋体" w:eastAsia="宋体" w:hint="default"/>
          <w:sz w:val="18"/>
          <w:szCs w:val="18"/>
        </w:rPr>
        <w:t>中电长城大厦批准预售面积约为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w:t>
      </w:r>
      <w:r>
        <w:rPr>
          <w:rFonts w:ascii="宋体" w:hAnsi="宋体" w:cs="宋体" w:eastAsia="宋体" w:hint="default"/>
          <w:spacing w:val="-8"/>
          <w:sz w:val="18"/>
          <w:szCs w:val="18"/>
        </w:rPr>
        <w:t>米</w:t>
      </w:r>
      <w:r>
        <w:rPr>
          <w:rFonts w:ascii="宋体" w:hAnsi="宋体" w:cs="宋体" w:eastAsia="宋体" w:hint="default"/>
          <w:spacing w:val="-3"/>
          <w:sz w:val="18"/>
          <w:szCs w:val="18"/>
        </w:rPr>
        <w:t>（</w:t>
      </w:r>
      <w:r>
        <w:rPr>
          <w:rFonts w:ascii="宋体" w:hAnsi="宋体" w:cs="宋体" w:eastAsia="宋体" w:hint="default"/>
          <w:sz w:val="18"/>
          <w:szCs w:val="18"/>
        </w:rPr>
        <w:t>办公及办公配套用房</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预售许可证号为深房许</w:t>
      </w:r>
      <w:r>
        <w:rPr>
          <w:rFonts w:ascii="宋体" w:hAnsi="宋体" w:cs="宋体" w:eastAsia="宋体" w:hint="default"/>
          <w:spacing w:val="-8"/>
          <w:sz w:val="18"/>
          <w:szCs w:val="18"/>
        </w:rPr>
        <w:t>字</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19</w:t>
      </w:r>
      <w:r>
        <w:rPr>
          <w:rFonts w:ascii="宋体" w:hAnsi="宋体" w:cs="宋体" w:eastAsia="宋体" w:hint="default"/>
          <w:spacing w:val="-8"/>
          <w:sz w:val="18"/>
          <w:szCs w:val="18"/>
        </w:rPr>
        <w:t>）</w:t>
      </w:r>
      <w:r>
        <w:rPr>
          <w:rFonts w:ascii="宋体" w:hAnsi="宋体" w:cs="宋体" w:eastAsia="宋体" w:hint="default"/>
          <w:spacing w:val="-3"/>
          <w:sz w:val="18"/>
          <w:szCs w:val="18"/>
        </w:rPr>
        <w:t>南</w:t>
      </w:r>
      <w:r>
        <w:rPr>
          <w:rFonts w:ascii="宋体" w:hAnsi="宋体" w:cs="宋体" w:eastAsia="宋体" w:hint="default"/>
          <w:sz w:val="18"/>
          <w:szCs w:val="18"/>
        </w:rPr>
        <w:t>山</w:t>
      </w:r>
    </w:p>
    <w:p>
      <w:pPr>
        <w:spacing w:before="94"/>
        <w:ind w:left="8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号，批准机关为深圳市南山区住房和建设局，相关预售工作正在积极推进中。</w:t>
      </w:r>
    </w:p>
    <w:p>
      <w:pPr>
        <w:spacing w:before="135"/>
        <w:ind w:left="12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）石岩基地三期网络安全与信息化产业项目</w:t>
      </w:r>
    </w:p>
    <w:p>
      <w:pPr>
        <w:spacing w:before="135"/>
        <w:ind w:left="12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日，经公司第五届董事会审议，同意公司对石岩基地三期项目建设立项，建筑总面积约</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14.16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万平方米，</w:t>
      </w:r>
    </w:p>
    <w:p>
      <w:pPr>
        <w:spacing w:line="331" w:lineRule="auto" w:before="94"/>
        <w:ind w:left="892" w:right="1124" w:firstLine="0"/>
        <w:jc w:val="left"/>
        <w:rPr>
          <w:rFonts w:ascii="宋体" w:hAnsi="宋体" w:cs="宋体" w:eastAsia="宋体" w:hint="default"/>
          <w:sz w:val="18"/>
          <w:szCs w:val="18"/>
        </w:rPr>
      </w:pPr>
      <w:r>
        <w:rPr>
          <w:rFonts w:ascii="宋体" w:hAnsi="宋体" w:cs="宋体" w:eastAsia="宋体" w:hint="default"/>
          <w:sz w:val="18"/>
          <w:szCs w:val="18"/>
        </w:rPr>
        <w:t>预计项目建设总投资约人民币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亿元人民币（具体内容详见</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2012-004</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号公告）。后续公司进入重大资产重组筹划、推进阶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段，前述基建项目用地需结合重大资产重组项目统筹安排。</w:t>
      </w:r>
    </w:p>
    <w:p>
      <w:pPr>
        <w:spacing w:line="350" w:lineRule="auto" w:before="77"/>
        <w:ind w:left="892" w:right="1123" w:firstLine="360"/>
        <w:jc w:val="left"/>
        <w:rPr>
          <w:rFonts w:ascii="宋体" w:hAnsi="宋体" w:cs="宋体" w:eastAsia="宋体" w:hint="default"/>
          <w:sz w:val="18"/>
          <w:szCs w:val="18"/>
        </w:rPr>
      </w:pPr>
      <w:r>
        <w:rPr>
          <w:rFonts w:ascii="宋体" w:hAnsi="宋体" w:cs="宋体" w:eastAsia="宋体" w:hint="default"/>
          <w:spacing w:val="-2"/>
          <w:sz w:val="18"/>
          <w:szCs w:val="18"/>
        </w:rPr>
        <w:t>为配合重组后的公司业务发展定位与需要，最大发挥公司所持有的深圳地区稀缺土地资源优势，创造更大综合效益，提</w:t>
      </w:r>
      <w:r>
        <w:rPr>
          <w:rFonts w:ascii="宋体" w:hAnsi="宋体" w:cs="宋体" w:eastAsia="宋体" w:hint="default"/>
          <w:sz w:val="18"/>
          <w:szCs w:val="18"/>
        </w:rPr>
        <w:t> </w:t>
      </w:r>
      <w:r>
        <w:rPr>
          <w:rFonts w:ascii="宋体" w:hAnsi="宋体" w:cs="宋体" w:eastAsia="宋体" w:hint="default"/>
          <w:spacing w:val="-4"/>
          <w:sz w:val="18"/>
          <w:szCs w:val="18"/>
        </w:rPr>
        <w:t>升核心竞争力，经</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日公司第七届董事会第五次会议审议，公司将原基建项目更新升级为“石岩基地三期网络</w:t>
      </w:r>
    </w:p>
    <w:p>
      <w:pPr>
        <w:spacing w:before="3"/>
        <w:ind w:left="892" w:right="0" w:firstLine="0"/>
        <w:jc w:val="left"/>
        <w:rPr>
          <w:rFonts w:ascii="宋体" w:hAnsi="宋体" w:cs="宋体" w:eastAsia="宋体" w:hint="default"/>
          <w:sz w:val="18"/>
          <w:szCs w:val="18"/>
        </w:rPr>
      </w:pPr>
      <w:r>
        <w:rPr>
          <w:rFonts w:ascii="宋体" w:hAnsi="宋体" w:cs="宋体" w:eastAsia="宋体" w:hint="default"/>
          <w:sz w:val="18"/>
          <w:szCs w:val="18"/>
        </w:rPr>
        <w:t>安全与信息化产业项目</w:t>
      </w:r>
      <w:r>
        <w:rPr>
          <w:rFonts w:ascii="宋体" w:hAnsi="宋体" w:cs="宋体" w:eastAsia="宋体" w:hint="default"/>
          <w:spacing w:val="-92"/>
          <w:sz w:val="18"/>
          <w:szCs w:val="18"/>
        </w:rPr>
        <w:t>”</w:t>
      </w:r>
      <w:r>
        <w:rPr>
          <w:rFonts w:ascii="宋体" w:hAnsi="宋体" w:cs="宋体" w:eastAsia="宋体" w:hint="default"/>
          <w:sz w:val="18"/>
          <w:szCs w:val="18"/>
        </w:rPr>
        <w:t>，建</w:t>
      </w:r>
      <w:r>
        <w:rPr>
          <w:rFonts w:ascii="宋体" w:hAnsi="宋体" w:cs="宋体" w:eastAsia="宋体" w:hint="default"/>
          <w:spacing w:val="2"/>
          <w:sz w:val="18"/>
          <w:szCs w:val="18"/>
        </w:rPr>
        <w:t>设</w:t>
      </w:r>
      <w:r>
        <w:rPr>
          <w:rFonts w:ascii="宋体" w:hAnsi="宋体" w:cs="宋体" w:eastAsia="宋体" w:hint="default"/>
          <w:sz w:val="18"/>
          <w:szCs w:val="18"/>
        </w:rPr>
        <w:t>地址不变，建筑总面积约</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万平方米，预计项目建设</w:t>
      </w:r>
      <w:r>
        <w:rPr>
          <w:rFonts w:ascii="宋体" w:hAnsi="宋体" w:cs="宋体" w:eastAsia="宋体" w:hint="default"/>
          <w:spacing w:val="-3"/>
          <w:sz w:val="18"/>
          <w:szCs w:val="18"/>
        </w:rPr>
        <w:t>总</w:t>
      </w:r>
      <w:r>
        <w:rPr>
          <w:rFonts w:ascii="宋体" w:hAnsi="宋体" w:cs="宋体" w:eastAsia="宋体" w:hint="default"/>
          <w:sz w:val="18"/>
          <w:szCs w:val="18"/>
        </w:rPr>
        <w:t>投资约人民币</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亿元（具</w:t>
      </w:r>
      <w:r>
        <w:rPr>
          <w:rFonts w:ascii="宋体" w:hAnsi="宋体" w:cs="宋体" w:eastAsia="宋体" w:hint="default"/>
          <w:spacing w:val="-3"/>
          <w:sz w:val="18"/>
          <w:szCs w:val="18"/>
        </w:rPr>
        <w:t>体</w:t>
      </w:r>
      <w:r>
        <w:rPr>
          <w:rFonts w:ascii="宋体" w:hAnsi="宋体" w:cs="宋体" w:eastAsia="宋体" w:hint="default"/>
          <w:sz w:val="18"/>
          <w:szCs w:val="18"/>
        </w:rPr>
        <w:t>内</w:t>
      </w:r>
    </w:p>
    <w:p>
      <w:pPr>
        <w:spacing w:line="369" w:lineRule="auto" w:before="94"/>
        <w:ind w:left="1253" w:right="7873" w:hanging="361"/>
        <w:jc w:val="left"/>
        <w:rPr>
          <w:rFonts w:ascii="宋体" w:hAnsi="宋体" w:cs="宋体" w:eastAsia="宋体" w:hint="default"/>
          <w:sz w:val="18"/>
          <w:szCs w:val="18"/>
        </w:rPr>
      </w:pPr>
      <w:r>
        <w:rPr>
          <w:rFonts w:ascii="宋体" w:hAnsi="宋体" w:cs="宋体" w:eastAsia="宋体" w:hint="default"/>
          <w:sz w:val="18"/>
          <w:szCs w:val="18"/>
        </w:rPr>
        <w:t>容详见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2018-077</w:t>
      </w:r>
      <w:r>
        <w:rPr>
          <w:rFonts w:ascii="Times New Roman" w:hAnsi="Times New Roman" w:cs="Times New Roman" w:eastAsia="Times New Roman" w:hint="default"/>
          <w:spacing w:val="1"/>
          <w:sz w:val="18"/>
          <w:szCs w:val="18"/>
        </w:rPr>
        <w:t> </w:t>
      </w:r>
      <w:r>
        <w:rPr>
          <w:rFonts w:ascii="宋体" w:hAnsi="宋体" w:cs="宋体" w:eastAsia="宋体" w:hint="default"/>
          <w:spacing w:val="-19"/>
          <w:sz w:val="18"/>
          <w:szCs w:val="18"/>
        </w:rPr>
        <w:t>号公告）。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截至目前，该项目仍在进行中。</w:t>
      </w:r>
    </w:p>
    <w:p>
      <w:pPr>
        <w:spacing w:line="367" w:lineRule="auto" w:before="51"/>
        <w:ind w:left="12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）购买土地使用权及地上房屋建（构）筑物暨关联交易 </w:t>
      </w:r>
      <w:r>
        <w:rPr>
          <w:rFonts w:ascii="宋体" w:hAnsi="宋体" w:cs="宋体" w:eastAsia="宋体" w:hint="default"/>
          <w:spacing w:val="-2"/>
          <w:sz w:val="18"/>
          <w:szCs w:val="18"/>
        </w:rPr>
        <w:t>武汉中原长江科技发展有限公司（简称“长江科技”，为中原电子全资子公司）为保障生产经营场所的稳定，夯实资产</w:t>
      </w:r>
    </w:p>
    <w:p>
      <w:pPr>
        <w:spacing w:before="12"/>
        <w:ind w:left="892" w:right="0" w:firstLine="0"/>
        <w:jc w:val="left"/>
        <w:rPr>
          <w:rFonts w:ascii="宋体" w:hAnsi="宋体" w:cs="宋体" w:eastAsia="宋体" w:hint="default"/>
          <w:sz w:val="18"/>
          <w:szCs w:val="18"/>
        </w:rPr>
      </w:pPr>
      <w:r>
        <w:rPr>
          <w:rFonts w:ascii="宋体" w:hAnsi="宋体" w:cs="宋体" w:eastAsia="宋体" w:hint="default"/>
          <w:sz w:val="18"/>
          <w:szCs w:val="18"/>
        </w:rPr>
        <w:t>基础</w:t>
      </w:r>
      <w:r>
        <w:rPr>
          <w:rFonts w:ascii="宋体" w:hAnsi="宋体" w:cs="宋体" w:eastAsia="宋体" w:hint="default"/>
          <w:spacing w:val="-17"/>
          <w:sz w:val="18"/>
          <w:szCs w:val="18"/>
        </w:rPr>
        <w:t>，</w:t>
      </w:r>
      <w:r>
        <w:rPr>
          <w:rFonts w:ascii="宋体" w:hAnsi="宋体" w:cs="宋体" w:eastAsia="宋体" w:hint="default"/>
          <w:sz w:val="18"/>
          <w:szCs w:val="18"/>
        </w:rPr>
        <w:t>且关联方武汉长江电源有限公</w:t>
      </w:r>
      <w:r>
        <w:rPr>
          <w:rFonts w:ascii="宋体" w:hAnsi="宋体" w:cs="宋体" w:eastAsia="宋体" w:hint="default"/>
          <w:spacing w:val="-17"/>
          <w:sz w:val="18"/>
          <w:szCs w:val="18"/>
        </w:rPr>
        <w:t>司</w:t>
      </w:r>
      <w:r>
        <w:rPr>
          <w:rFonts w:ascii="宋体" w:hAnsi="宋体" w:cs="宋体" w:eastAsia="宋体" w:hint="default"/>
          <w:sz w:val="18"/>
          <w:szCs w:val="18"/>
        </w:rPr>
        <w:t>（简</w:t>
      </w:r>
      <w:r>
        <w:rPr>
          <w:rFonts w:ascii="宋体" w:hAnsi="宋体" w:cs="宋体" w:eastAsia="宋体" w:hint="default"/>
          <w:spacing w:val="-17"/>
          <w:sz w:val="18"/>
          <w:szCs w:val="18"/>
        </w:rPr>
        <w:t>称</w:t>
      </w:r>
      <w:r>
        <w:rPr>
          <w:rFonts w:ascii="宋体" w:hAnsi="宋体" w:cs="宋体" w:eastAsia="宋体" w:hint="default"/>
          <w:sz w:val="18"/>
          <w:szCs w:val="18"/>
        </w:rPr>
        <w:t>“长江电源</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也有意向出售</w:t>
      </w:r>
      <w:r>
        <w:rPr>
          <w:rFonts w:ascii="宋体" w:hAnsi="宋体" w:cs="宋体" w:eastAsia="宋体" w:hint="default"/>
          <w:spacing w:val="-17"/>
          <w:sz w:val="18"/>
          <w:szCs w:val="18"/>
        </w:rPr>
        <w:t>，</w:t>
      </w: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日公司第七届董事会第</w:t>
      </w:r>
      <w:r>
        <w:rPr>
          <w:rFonts w:ascii="宋体" w:hAnsi="宋体" w:cs="宋体" w:eastAsia="宋体" w:hint="default"/>
          <w:spacing w:val="-3"/>
          <w:sz w:val="18"/>
          <w:szCs w:val="18"/>
        </w:rPr>
        <w:t>十</w:t>
      </w:r>
      <w:r>
        <w:rPr>
          <w:rFonts w:ascii="宋体" w:hAnsi="宋体" w:cs="宋体" w:eastAsia="宋体" w:hint="default"/>
          <w:sz w:val="18"/>
          <w:szCs w:val="18"/>
        </w:rPr>
        <w:t>一</w:t>
      </w:r>
    </w:p>
    <w:p>
      <w:pPr>
        <w:spacing w:after="0"/>
        <w:jc w:val="left"/>
        <w:rPr>
          <w:rFonts w:ascii="宋体" w:hAnsi="宋体" w:cs="宋体" w:eastAsia="宋体" w:hint="default"/>
          <w:sz w:val="18"/>
          <w:szCs w:val="18"/>
        </w:rPr>
        <w:sectPr>
          <w:pgSz w:w="11910" w:h="16840"/>
          <w:pgMar w:header="789" w:footer="975" w:top="1100" w:bottom="1160" w:left="240" w:right="0"/>
        </w:sectPr>
      </w:pPr>
    </w:p>
    <w:p>
      <w:pPr>
        <w:spacing w:line="240" w:lineRule="auto" w:before="12"/>
        <w:rPr>
          <w:rFonts w:ascii="宋体" w:hAnsi="宋体" w:cs="宋体" w:eastAsia="宋体" w:hint="default"/>
          <w:sz w:val="23"/>
          <w:szCs w:val="23"/>
        </w:rPr>
      </w:pPr>
    </w:p>
    <w:p>
      <w:pPr>
        <w:spacing w:before="44"/>
        <w:ind w:left="972" w:right="0" w:firstLine="0"/>
        <w:jc w:val="left"/>
        <w:rPr>
          <w:rFonts w:ascii="宋体" w:hAnsi="宋体" w:cs="宋体" w:eastAsia="宋体" w:hint="default"/>
          <w:sz w:val="18"/>
          <w:szCs w:val="18"/>
        </w:rPr>
      </w:pPr>
      <w:r>
        <w:rPr>
          <w:rFonts w:ascii="宋体" w:hAnsi="宋体" w:cs="宋体" w:eastAsia="宋体" w:hint="default"/>
          <w:sz w:val="18"/>
          <w:szCs w:val="18"/>
        </w:rPr>
        <w:t>次会议审议</w:t>
      </w:r>
      <w:r>
        <w:rPr>
          <w:rFonts w:ascii="宋体" w:hAnsi="宋体" w:cs="宋体" w:eastAsia="宋体" w:hint="default"/>
          <w:spacing w:val="-82"/>
          <w:sz w:val="18"/>
          <w:szCs w:val="18"/>
        </w:rPr>
        <w:t>，</w:t>
      </w:r>
      <w:r>
        <w:rPr>
          <w:rFonts w:ascii="宋体" w:hAnsi="宋体" w:cs="宋体" w:eastAsia="宋体" w:hint="default"/>
          <w:sz w:val="18"/>
          <w:szCs w:val="18"/>
        </w:rPr>
        <w:t>同意长江科技就购买长江电源所拥有的位于湖北省武汉市汉</w:t>
      </w:r>
      <w:r>
        <w:rPr>
          <w:rFonts w:ascii="宋体" w:hAnsi="宋体" w:cs="宋体" w:eastAsia="宋体" w:hint="default"/>
          <w:spacing w:val="1"/>
          <w:sz w:val="18"/>
          <w:szCs w:val="18"/>
        </w:rPr>
        <w:t>南</w:t>
      </w:r>
      <w:r>
        <w:rPr>
          <w:rFonts w:ascii="宋体" w:hAnsi="宋体" w:cs="宋体" w:eastAsia="宋体" w:hint="default"/>
          <w:sz w:val="18"/>
          <w:szCs w:val="18"/>
        </w:rPr>
        <w:t>区兴三路</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土地使用权及该宗土地上房屋建</w:t>
      </w:r>
    </w:p>
    <w:p>
      <w:pPr>
        <w:spacing w:before="94"/>
        <w:ind w:left="972" w:right="0" w:firstLine="0"/>
        <w:jc w:val="left"/>
        <w:rPr>
          <w:rFonts w:ascii="宋体" w:hAnsi="宋体" w:cs="宋体" w:eastAsia="宋体" w:hint="default"/>
          <w:sz w:val="18"/>
          <w:szCs w:val="18"/>
        </w:rPr>
      </w:pPr>
      <w:r>
        <w:rPr>
          <w:rFonts w:ascii="宋体" w:hAnsi="宋体" w:cs="宋体" w:eastAsia="宋体" w:hint="default"/>
          <w:sz w:val="18"/>
          <w:szCs w:val="18"/>
        </w:rPr>
        <w:t>（构）筑物事宜与对方签署《不动产转让合同</w:t>
      </w:r>
      <w:r>
        <w:rPr>
          <w:rFonts w:ascii="宋体" w:hAnsi="宋体" w:cs="宋体" w:eastAsia="宋体" w:hint="default"/>
          <w:spacing w:val="-92"/>
          <w:sz w:val="18"/>
          <w:szCs w:val="18"/>
        </w:rPr>
        <w:t>》</w:t>
      </w:r>
      <w:r>
        <w:rPr>
          <w:rFonts w:ascii="宋体" w:hAnsi="宋体" w:cs="宋体" w:eastAsia="宋体" w:hint="default"/>
          <w:sz w:val="18"/>
          <w:szCs w:val="18"/>
        </w:rPr>
        <w:t>。交易价格</w:t>
      </w:r>
      <w:r>
        <w:rPr>
          <w:rFonts w:ascii="宋体" w:hAnsi="宋体" w:cs="宋体" w:eastAsia="宋体" w:hint="default"/>
          <w:spacing w:val="2"/>
          <w:sz w:val="18"/>
          <w:szCs w:val="18"/>
        </w:rPr>
        <w:t>以</w:t>
      </w:r>
      <w:r>
        <w:rPr>
          <w:rFonts w:ascii="宋体" w:hAnsi="宋体" w:cs="宋体" w:eastAsia="宋体" w:hint="default"/>
          <w:sz w:val="18"/>
          <w:szCs w:val="18"/>
        </w:rPr>
        <w:t>长江电源转让资产截至</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日的评估价值为基础，</w:t>
      </w:r>
    </w:p>
    <w:p>
      <w:pPr>
        <w:spacing w:line="369" w:lineRule="auto" w:before="94"/>
        <w:ind w:left="1333" w:right="4320" w:hanging="361"/>
        <w:jc w:val="left"/>
        <w:rPr>
          <w:rFonts w:ascii="宋体" w:hAnsi="宋体" w:cs="宋体" w:eastAsia="宋体" w:hint="default"/>
          <w:sz w:val="18"/>
          <w:szCs w:val="18"/>
        </w:rPr>
      </w:pPr>
      <w:r>
        <w:rPr>
          <w:rFonts w:ascii="宋体" w:hAnsi="宋体" w:cs="宋体" w:eastAsia="宋体" w:hint="default"/>
          <w:sz w:val="18"/>
          <w:szCs w:val="18"/>
        </w:rPr>
        <w:t>经双方协商一致，确定为人民币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4,277.20</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万元（具体内容详见</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2018-110</w:t>
      </w:r>
      <w:r>
        <w:rPr>
          <w:rFonts w:ascii="Times New Roman" w:hAnsi="Times New Roman" w:cs="Times New Roman" w:eastAsia="Times New Roman" w:hint="default"/>
          <w:spacing w:val="6"/>
          <w:sz w:val="18"/>
          <w:szCs w:val="18"/>
        </w:rPr>
        <w:t> </w:t>
      </w:r>
      <w:r>
        <w:rPr>
          <w:rFonts w:ascii="宋体" w:hAnsi="宋体" w:cs="宋体" w:eastAsia="宋体" w:hint="default"/>
          <w:spacing w:val="-19"/>
          <w:sz w:val="18"/>
          <w:szCs w:val="18"/>
        </w:rPr>
        <w:t>号公告）。</w:t>
      </w:r>
      <w:r>
        <w:rPr>
          <w:rFonts w:ascii="宋体" w:hAnsi="宋体" w:cs="宋体" w:eastAsia="宋体" w:hint="default"/>
          <w:sz w:val="18"/>
          <w:szCs w:val="18"/>
        </w:rPr>
        <w:t> 截至目前，该项目仍在进行中。</w:t>
      </w:r>
    </w:p>
    <w:p>
      <w:pPr>
        <w:spacing w:line="369" w:lineRule="auto" w:before="49"/>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）长城信安购买长城银河无形资产暨关联交易 </w:t>
      </w:r>
      <w:r>
        <w:rPr>
          <w:rFonts w:ascii="宋体" w:hAnsi="宋体" w:cs="宋体" w:eastAsia="宋体" w:hint="default"/>
          <w:spacing w:val="-2"/>
          <w:sz w:val="18"/>
          <w:szCs w:val="18"/>
        </w:rPr>
        <w:t>基于全资子公司深圳中电长城信息安全系统有限公司（简称“长城信安”）战略和业务发展需要，为持续提升自主可控</w:t>
      </w:r>
    </w:p>
    <w:p>
      <w:pPr>
        <w:spacing w:line="331" w:lineRule="auto" w:before="10"/>
        <w:ind w:left="972" w:right="1131" w:firstLine="0"/>
        <w:jc w:val="both"/>
        <w:rPr>
          <w:rFonts w:ascii="宋体" w:hAnsi="宋体" w:cs="宋体" w:eastAsia="宋体" w:hint="default"/>
          <w:sz w:val="18"/>
          <w:szCs w:val="18"/>
        </w:rPr>
      </w:pPr>
      <w:r>
        <w:rPr>
          <w:rFonts w:ascii="宋体" w:hAnsi="宋体" w:cs="宋体" w:eastAsia="宋体" w:hint="default"/>
          <w:sz w:val="18"/>
          <w:szCs w:val="18"/>
        </w:rPr>
        <w:t>产品技术先进性和核心竞争力，经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日公司第七届董事会第十六次会议审议，同意长城信安购买关联方湖南长 </w:t>
      </w:r>
      <w:r>
        <w:rPr>
          <w:rFonts w:ascii="宋体" w:hAnsi="宋体" w:cs="宋体" w:eastAsia="宋体" w:hint="default"/>
          <w:spacing w:val="-4"/>
          <w:sz w:val="18"/>
          <w:szCs w:val="18"/>
        </w:rPr>
        <w:t>城银河科技有限公司（简称“长城银河”，为公司持股</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的参股公司）“基于飞腾芯片的自主可控系列整机”专有技术所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有权及部分专利使用权资产（专利权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项和专有技术</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857</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项）。交易价格以长城银河转让无形资产截至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日的</w:t>
      </w:r>
      <w:r>
        <w:rPr>
          <w:rFonts w:ascii="宋体" w:hAnsi="宋体" w:cs="宋体" w:eastAsia="宋体" w:hint="default"/>
          <w:sz w:val="18"/>
          <w:szCs w:val="18"/>
        </w:rPr>
      </w:r>
    </w:p>
    <w:p>
      <w:pPr>
        <w:spacing w:line="352" w:lineRule="auto" w:before="18"/>
        <w:ind w:left="1333" w:right="2293" w:hanging="361"/>
        <w:jc w:val="left"/>
        <w:rPr>
          <w:rFonts w:ascii="宋体" w:hAnsi="宋体" w:cs="宋体" w:eastAsia="宋体" w:hint="default"/>
          <w:sz w:val="18"/>
          <w:szCs w:val="18"/>
        </w:rPr>
      </w:pPr>
      <w:r>
        <w:rPr>
          <w:rFonts w:ascii="宋体" w:hAnsi="宋体" w:cs="宋体" w:eastAsia="宋体" w:hint="default"/>
          <w:sz w:val="18"/>
          <w:szCs w:val="18"/>
        </w:rPr>
        <w:t>评估价值为基础，经双方协商一致，确定为人民币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4,155.00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万元（具体内容详见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2019-014 </w:t>
      </w:r>
      <w:r>
        <w:rPr>
          <w:rFonts w:ascii="宋体" w:hAnsi="宋体" w:cs="宋体" w:eastAsia="宋体" w:hint="default"/>
          <w:spacing w:val="-19"/>
          <w:sz w:val="18"/>
          <w:szCs w:val="18"/>
        </w:rPr>
        <w:t>号公告）。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其他非股权投资情况参见第五节“其他重大事项的说明”以及“公司子公司重大事项”中的相关介绍。</w:t>
      </w:r>
    </w:p>
    <w:p>
      <w:pPr>
        <w:spacing w:line="240" w:lineRule="auto" w:before="11"/>
        <w:rPr>
          <w:rFonts w:ascii="宋体" w:hAnsi="宋体" w:cs="宋体" w:eastAsia="宋体" w:hint="default"/>
          <w:sz w:val="15"/>
          <w:szCs w:val="15"/>
        </w:rPr>
      </w:pPr>
    </w:p>
    <w:p>
      <w:pPr>
        <w:pStyle w:val="Heading5"/>
        <w:spacing w:line="240" w:lineRule="auto" w:before="0"/>
        <w:ind w:left="972"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2"/>
        <w:rPr>
          <w:rFonts w:ascii="宋体" w:hAnsi="宋体" w:cs="宋体" w:eastAsia="宋体" w:hint="default"/>
          <w:b/>
          <w:bCs/>
          <w:sz w:val="20"/>
          <w:szCs w:val="20"/>
        </w:rPr>
      </w:pPr>
    </w:p>
    <w:p>
      <w:pPr>
        <w:pStyle w:val="Heading5"/>
        <w:spacing w:line="240" w:lineRule="auto" w:before="0"/>
        <w:ind w:left="972"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4"/>
        <w:rPr>
          <w:rFonts w:ascii="宋体" w:hAnsi="宋体" w:cs="宋体" w:eastAsia="宋体" w:hint="default"/>
          <w:b/>
          <w:bCs/>
          <w:sz w:val="18"/>
          <w:szCs w:val="18"/>
        </w:rPr>
      </w:pPr>
    </w:p>
    <w:p>
      <w:pPr>
        <w:spacing w:before="44"/>
        <w:ind w:left="97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482"/>
        <w:gridCol w:w="1023"/>
        <w:gridCol w:w="780"/>
        <w:gridCol w:w="1020"/>
        <w:gridCol w:w="589"/>
        <w:gridCol w:w="1008"/>
        <w:gridCol w:w="900"/>
        <w:gridCol w:w="1080"/>
        <w:gridCol w:w="475"/>
        <w:gridCol w:w="588"/>
        <w:gridCol w:w="1136"/>
        <w:gridCol w:w="1078"/>
        <w:gridCol w:w="655"/>
        <w:gridCol w:w="540"/>
      </w:tblGrid>
      <w:tr>
        <w:trPr>
          <w:trHeight w:val="634" w:hRule="exact"/>
        </w:trPr>
        <w:tc>
          <w:tcPr>
            <w:tcW w:w="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6"/>
              <w:ind w:left="86" w:right="83"/>
              <w:jc w:val="left"/>
              <w:rPr>
                <w:rFonts w:ascii="宋体" w:hAnsi="宋体" w:cs="宋体" w:eastAsia="宋体" w:hint="default"/>
                <w:sz w:val="15"/>
                <w:szCs w:val="15"/>
              </w:rPr>
            </w:pPr>
            <w:r>
              <w:rPr>
                <w:rFonts w:ascii="宋体" w:hAnsi="宋体" w:cs="宋体" w:eastAsia="宋体" w:hint="default"/>
                <w:sz w:val="15"/>
                <w:szCs w:val="15"/>
              </w:rPr>
              <w:t>证券</w:t>
            </w:r>
            <w:r>
              <w:rPr>
                <w:rFonts w:ascii="宋体" w:hAnsi="宋体" w:cs="宋体" w:eastAsia="宋体" w:hint="default"/>
                <w:spacing w:val="-73"/>
                <w:sz w:val="15"/>
                <w:szCs w:val="15"/>
              </w:rPr>
              <w:t> </w:t>
            </w:r>
            <w:r>
              <w:rPr>
                <w:rFonts w:ascii="宋体" w:hAnsi="宋体" w:cs="宋体" w:eastAsia="宋体" w:hint="default"/>
                <w:sz w:val="15"/>
                <w:szCs w:val="15"/>
              </w:rPr>
              <w:t>品种</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证券代码</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5"/>
                <w:szCs w:val="15"/>
              </w:rPr>
            </w:pPr>
            <w:r>
              <w:rPr>
                <w:rFonts w:ascii="宋体" w:hAnsi="宋体" w:cs="宋体" w:eastAsia="宋体" w:hint="default"/>
                <w:sz w:val="15"/>
                <w:szCs w:val="15"/>
              </w:rPr>
              <w:t>证券简称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6"/>
              <w:ind w:left="355" w:right="202" w:hanging="152"/>
              <w:jc w:val="left"/>
              <w:rPr>
                <w:rFonts w:ascii="宋体" w:hAnsi="宋体" w:cs="宋体" w:eastAsia="宋体" w:hint="default"/>
                <w:sz w:val="15"/>
                <w:szCs w:val="15"/>
              </w:rPr>
            </w:pPr>
            <w:r>
              <w:rPr>
                <w:rFonts w:ascii="宋体" w:hAnsi="宋体" w:cs="宋体" w:eastAsia="宋体" w:hint="default"/>
                <w:sz w:val="15"/>
                <w:szCs w:val="15"/>
              </w:rPr>
              <w:t>最初投资</w:t>
            </w:r>
            <w:r>
              <w:rPr>
                <w:rFonts w:ascii="宋体" w:hAnsi="宋体" w:cs="宋体" w:eastAsia="宋体" w:hint="default"/>
                <w:w w:val="100"/>
                <w:sz w:val="15"/>
                <w:szCs w:val="15"/>
              </w:rPr>
              <w:t> </w:t>
            </w:r>
            <w:r>
              <w:rPr>
                <w:rFonts w:ascii="宋体" w:hAnsi="宋体" w:cs="宋体" w:eastAsia="宋体" w:hint="default"/>
                <w:sz w:val="15"/>
                <w:szCs w:val="15"/>
              </w:rPr>
              <w:t>成本</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6"/>
              <w:ind w:left="64" w:right="58"/>
              <w:jc w:val="left"/>
              <w:rPr>
                <w:rFonts w:ascii="宋体" w:hAnsi="宋体" w:cs="宋体" w:eastAsia="宋体" w:hint="default"/>
                <w:sz w:val="15"/>
                <w:szCs w:val="15"/>
              </w:rPr>
            </w:pPr>
            <w:r>
              <w:rPr>
                <w:rFonts w:ascii="宋体" w:hAnsi="宋体" w:cs="宋体" w:eastAsia="宋体" w:hint="default"/>
                <w:sz w:val="15"/>
                <w:szCs w:val="15"/>
              </w:rPr>
              <w:t>会计计</w:t>
            </w:r>
            <w:r>
              <w:rPr>
                <w:rFonts w:ascii="宋体" w:hAnsi="宋体" w:cs="宋体" w:eastAsia="宋体" w:hint="default"/>
                <w:spacing w:val="-72"/>
                <w:sz w:val="15"/>
                <w:szCs w:val="15"/>
              </w:rPr>
              <w:t> </w:t>
            </w:r>
            <w:r>
              <w:rPr>
                <w:rFonts w:ascii="宋体" w:hAnsi="宋体" w:cs="宋体" w:eastAsia="宋体" w:hint="default"/>
                <w:sz w:val="15"/>
                <w:szCs w:val="15"/>
              </w:rPr>
              <w:t>量模式</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5"/>
                <w:szCs w:val="15"/>
              </w:rPr>
            </w:pPr>
            <w:r>
              <w:rPr>
                <w:rFonts w:ascii="宋体" w:hAnsi="宋体" w:cs="宋体" w:eastAsia="宋体" w:hint="default"/>
                <w:spacing w:val="-1"/>
                <w:sz w:val="15"/>
                <w:szCs w:val="15"/>
              </w:rPr>
              <w:t>期初账面价值</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6"/>
              <w:ind w:left="72" w:right="62"/>
              <w:jc w:val="left"/>
              <w:rPr>
                <w:rFonts w:ascii="宋体" w:hAnsi="宋体" w:cs="宋体" w:eastAsia="宋体" w:hint="default"/>
                <w:sz w:val="15"/>
                <w:szCs w:val="15"/>
              </w:rPr>
            </w:pPr>
            <w:r>
              <w:rPr>
                <w:rFonts w:ascii="宋体" w:hAnsi="宋体" w:cs="宋体" w:eastAsia="宋体" w:hint="default"/>
                <w:sz w:val="15"/>
                <w:szCs w:val="15"/>
              </w:rPr>
              <w:t>本期公允价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值变动损益</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6"/>
              <w:ind w:left="86" w:right="3" w:hanging="75"/>
              <w:jc w:val="left"/>
              <w:rPr>
                <w:rFonts w:ascii="宋体" w:hAnsi="宋体" w:cs="宋体" w:eastAsia="宋体" w:hint="default"/>
                <w:sz w:val="15"/>
                <w:szCs w:val="15"/>
              </w:rPr>
            </w:pPr>
            <w:r>
              <w:rPr>
                <w:rFonts w:ascii="宋体" w:hAnsi="宋体" w:cs="宋体" w:eastAsia="宋体" w:hint="default"/>
                <w:sz w:val="15"/>
                <w:szCs w:val="15"/>
              </w:rPr>
              <w:t>计入权益的累计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公允价值变动</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6"/>
              <w:ind w:left="7" w:right="2"/>
              <w:jc w:val="left"/>
              <w:rPr>
                <w:rFonts w:ascii="宋体" w:hAnsi="宋体" w:cs="宋体" w:eastAsia="宋体" w:hint="default"/>
                <w:sz w:val="15"/>
                <w:szCs w:val="15"/>
              </w:rPr>
            </w:pPr>
            <w:r>
              <w:rPr>
                <w:rFonts w:ascii="宋体" w:hAnsi="宋体" w:cs="宋体" w:eastAsia="宋体" w:hint="default"/>
                <w:sz w:val="15"/>
                <w:szCs w:val="15"/>
              </w:rPr>
              <w:t>本期购</w:t>
            </w:r>
            <w:r>
              <w:rPr>
                <w:rFonts w:ascii="宋体" w:hAnsi="宋体" w:cs="宋体" w:eastAsia="宋体" w:hint="default"/>
                <w:spacing w:val="-72"/>
                <w:sz w:val="15"/>
                <w:szCs w:val="15"/>
              </w:rPr>
              <w:t> </w:t>
            </w:r>
            <w:r>
              <w:rPr>
                <w:rFonts w:ascii="宋体" w:hAnsi="宋体" w:cs="宋体" w:eastAsia="宋体" w:hint="default"/>
                <w:sz w:val="15"/>
                <w:szCs w:val="15"/>
              </w:rPr>
              <w:t>买金额</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6"/>
              <w:ind w:left="62" w:right="60"/>
              <w:jc w:val="left"/>
              <w:rPr>
                <w:rFonts w:ascii="宋体" w:hAnsi="宋体" w:cs="宋体" w:eastAsia="宋体" w:hint="default"/>
                <w:sz w:val="15"/>
                <w:szCs w:val="15"/>
              </w:rPr>
            </w:pPr>
            <w:r>
              <w:rPr>
                <w:rFonts w:ascii="宋体" w:hAnsi="宋体" w:cs="宋体" w:eastAsia="宋体" w:hint="default"/>
                <w:sz w:val="15"/>
                <w:szCs w:val="15"/>
              </w:rPr>
              <w:t>本期出</w:t>
            </w:r>
            <w:r>
              <w:rPr>
                <w:rFonts w:ascii="宋体" w:hAnsi="宋体" w:cs="宋体" w:eastAsia="宋体" w:hint="default"/>
                <w:spacing w:val="-72"/>
                <w:sz w:val="15"/>
                <w:szCs w:val="15"/>
              </w:rPr>
              <w:t> </w:t>
            </w:r>
            <w:r>
              <w:rPr>
                <w:rFonts w:ascii="宋体" w:hAnsi="宋体" w:cs="宋体" w:eastAsia="宋体" w:hint="default"/>
                <w:sz w:val="15"/>
                <w:szCs w:val="15"/>
              </w:rPr>
              <w:t>售金额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报告期损益</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3" w:right="0"/>
              <w:jc w:val="left"/>
              <w:rPr>
                <w:rFonts w:ascii="宋体" w:hAnsi="宋体" w:cs="宋体" w:eastAsia="宋体" w:hint="default"/>
                <w:sz w:val="15"/>
                <w:szCs w:val="15"/>
              </w:rPr>
            </w:pPr>
            <w:r>
              <w:rPr>
                <w:rFonts w:ascii="宋体" w:hAnsi="宋体" w:cs="宋体" w:eastAsia="宋体" w:hint="default"/>
                <w:sz w:val="15"/>
                <w:szCs w:val="15"/>
              </w:rPr>
              <w:t>期末账面价值</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6"/>
              <w:ind w:left="172" w:right="19" w:hanging="152"/>
              <w:jc w:val="left"/>
              <w:rPr>
                <w:rFonts w:ascii="宋体" w:hAnsi="宋体" w:cs="宋体" w:eastAsia="宋体" w:hint="default"/>
                <w:sz w:val="15"/>
                <w:szCs w:val="15"/>
              </w:rPr>
            </w:pPr>
            <w:r>
              <w:rPr>
                <w:rFonts w:ascii="宋体" w:hAnsi="宋体" w:cs="宋体" w:eastAsia="宋体" w:hint="default"/>
                <w:sz w:val="15"/>
                <w:szCs w:val="15"/>
              </w:rPr>
              <w:t>会计核算</w:t>
            </w:r>
            <w:r>
              <w:rPr>
                <w:rFonts w:ascii="宋体" w:hAnsi="宋体" w:cs="宋体" w:eastAsia="宋体" w:hint="default"/>
                <w:w w:val="100"/>
                <w:sz w:val="15"/>
                <w:szCs w:val="15"/>
              </w:rPr>
              <w:t> </w:t>
            </w:r>
            <w:r>
              <w:rPr>
                <w:rFonts w:ascii="宋体" w:hAnsi="宋体" w:cs="宋体" w:eastAsia="宋体" w:hint="default"/>
                <w:sz w:val="15"/>
                <w:szCs w:val="15"/>
              </w:rPr>
              <w:t>科目</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6"/>
              <w:ind w:left="115" w:right="110"/>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r>
      <w:tr>
        <w:trPr>
          <w:trHeight w:val="715"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7"/>
              <w:jc w:val="right"/>
              <w:rPr>
                <w:rFonts w:ascii="宋体" w:hAnsi="宋体" w:cs="宋体" w:eastAsia="宋体" w:hint="default"/>
                <w:sz w:val="13"/>
                <w:szCs w:val="13"/>
              </w:rPr>
            </w:pPr>
            <w:r>
              <w:rPr>
                <w:rFonts w:ascii="宋体" w:hAnsi="宋体" w:cs="宋体" w:eastAsia="宋体" w:hint="default"/>
                <w:w w:val="95"/>
                <w:sz w:val="13"/>
                <w:szCs w:val="13"/>
              </w:rPr>
              <w:t>债券</w:t>
            </w:r>
            <w:r>
              <w:rPr>
                <w:rFonts w:ascii="宋体" w:hAnsi="宋体" w:cs="宋体" w:eastAsia="宋体" w:hint="default"/>
                <w:sz w:val="13"/>
                <w:szCs w:val="13"/>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left"/>
              <w:rPr>
                <w:rFonts w:ascii="Times New Roman" w:hAnsi="Times New Roman" w:cs="Times New Roman" w:eastAsia="Times New Roman" w:hint="default"/>
                <w:sz w:val="13"/>
                <w:szCs w:val="13"/>
              </w:rPr>
            </w:pPr>
            <w:r>
              <w:rPr>
                <w:rFonts w:ascii="Times New Roman"/>
                <w:sz w:val="13"/>
              </w:rPr>
              <w:t>USY1391CAJ00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 w:right="0"/>
              <w:jc w:val="left"/>
              <w:rPr>
                <w:rFonts w:ascii="Times New Roman" w:hAnsi="Times New Roman" w:cs="Times New Roman" w:eastAsia="Times New Roman" w:hint="default"/>
                <w:sz w:val="13"/>
                <w:szCs w:val="13"/>
              </w:rPr>
            </w:pPr>
            <w:r>
              <w:rPr>
                <w:rFonts w:ascii="Times New Roman"/>
                <w:sz w:val="13"/>
              </w:rPr>
              <w:t>BOC</w:t>
            </w:r>
            <w:r>
              <w:rPr>
                <w:rFonts w:ascii="Times New Roman"/>
                <w:spacing w:val="-3"/>
                <w:sz w:val="13"/>
              </w:rPr>
              <w:t> </w:t>
            </w:r>
            <w:r>
              <w:rPr>
                <w:rFonts w:ascii="Times New Roman"/>
                <w:sz w:val="13"/>
              </w:rPr>
              <w:t>BOND</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9,351,492.82</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3"/>
              <w:ind w:left="160" w:right="27" w:hanging="130"/>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9,792,605.92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3"/>
              <w:jc w:val="right"/>
              <w:rPr>
                <w:rFonts w:ascii="Times New Roman" w:hAnsi="Times New Roman" w:cs="Times New Roman" w:eastAsia="Times New Roman" w:hint="default"/>
                <w:sz w:val="13"/>
                <w:szCs w:val="13"/>
              </w:rPr>
            </w:pPr>
            <w:r>
              <w:rPr>
                <w:rFonts w:ascii="Times New Roman"/>
                <w:sz w:val="13"/>
              </w:rPr>
              <w:t>-198,705.79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3"/>
              <w:jc w:val="right"/>
              <w:rPr>
                <w:rFonts w:ascii="Times New Roman" w:hAnsi="Times New Roman" w:cs="Times New Roman" w:eastAsia="Times New Roman" w:hint="default"/>
                <w:sz w:val="13"/>
                <w:szCs w:val="13"/>
              </w:rPr>
            </w:pPr>
            <w:r>
              <w:rPr>
                <w:rFonts w:ascii="Times New Roman"/>
                <w:sz w:val="13"/>
              </w:rPr>
              <w:t>-591,190.48</w:t>
            </w:r>
          </w:p>
        </w:tc>
        <w:tc>
          <w:tcPr>
            <w:tcW w:w="47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535,887.64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9,765,396.86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3"/>
              <w:ind w:right="125"/>
              <w:jc w:val="left"/>
              <w:rPr>
                <w:rFonts w:ascii="宋体" w:hAnsi="宋体" w:cs="宋体" w:eastAsia="宋体" w:hint="default"/>
                <w:sz w:val="13"/>
                <w:szCs w:val="13"/>
              </w:rPr>
            </w:pPr>
            <w:r>
              <w:rPr>
                <w:rFonts w:ascii="宋体" w:hAnsi="宋体" w:cs="宋体" w:eastAsia="宋体" w:hint="default"/>
                <w:sz w:val="13"/>
                <w:szCs w:val="13"/>
              </w:rPr>
              <w:t>其他债权</w:t>
            </w:r>
            <w:r>
              <w:rPr>
                <w:rFonts w:ascii="宋体" w:hAnsi="宋体" w:cs="宋体" w:eastAsia="宋体" w:hint="default"/>
                <w:w w:val="99"/>
                <w:sz w:val="13"/>
                <w:szCs w:val="13"/>
              </w:rPr>
              <w:t> </w:t>
            </w:r>
            <w:r>
              <w:rPr>
                <w:rFonts w:ascii="宋体" w:hAnsi="宋体" w:cs="宋体" w:eastAsia="宋体" w:hint="default"/>
                <w:sz w:val="13"/>
                <w:szCs w:val="13"/>
              </w:rPr>
              <w:t>投资</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713"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7"/>
              <w:jc w:val="right"/>
              <w:rPr>
                <w:rFonts w:ascii="宋体" w:hAnsi="宋体" w:cs="宋体" w:eastAsia="宋体" w:hint="default"/>
                <w:sz w:val="13"/>
                <w:szCs w:val="13"/>
              </w:rPr>
            </w:pPr>
            <w:r>
              <w:rPr>
                <w:rFonts w:ascii="宋体" w:hAnsi="宋体" w:cs="宋体" w:eastAsia="宋体" w:hint="default"/>
                <w:w w:val="95"/>
                <w:sz w:val="13"/>
                <w:szCs w:val="13"/>
              </w:rPr>
              <w:t>债券</w:t>
            </w:r>
            <w:r>
              <w:rPr>
                <w:rFonts w:ascii="宋体" w:hAnsi="宋体" w:cs="宋体" w:eastAsia="宋体" w:hint="default"/>
                <w:sz w:val="13"/>
                <w:szCs w:val="13"/>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left"/>
              <w:rPr>
                <w:rFonts w:ascii="Times New Roman" w:hAnsi="Times New Roman" w:cs="Times New Roman" w:eastAsia="Times New Roman" w:hint="default"/>
                <w:sz w:val="13"/>
                <w:szCs w:val="13"/>
              </w:rPr>
            </w:pPr>
            <w:r>
              <w:rPr>
                <w:rFonts w:ascii="Times New Roman"/>
                <w:sz w:val="13"/>
              </w:rPr>
              <w:t>XS0521073428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 w:right="0"/>
              <w:jc w:val="left"/>
              <w:rPr>
                <w:rFonts w:ascii="Times New Roman" w:hAnsi="Times New Roman" w:cs="Times New Roman" w:eastAsia="Times New Roman" w:hint="default"/>
                <w:sz w:val="13"/>
                <w:szCs w:val="13"/>
              </w:rPr>
            </w:pPr>
            <w:r>
              <w:rPr>
                <w:rFonts w:ascii="Times New Roman"/>
                <w:sz w:val="13"/>
              </w:rPr>
              <w:t>BEA</w:t>
            </w:r>
            <w:r>
              <w:rPr>
                <w:rFonts w:ascii="Times New Roman"/>
                <w:spacing w:val="-9"/>
                <w:sz w:val="13"/>
              </w:rPr>
              <w:t> </w:t>
            </w:r>
            <w:r>
              <w:rPr>
                <w:rFonts w:ascii="Times New Roman"/>
                <w:sz w:val="13"/>
              </w:rPr>
              <w:t>BOND</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8,783,253.05</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436" w:lineRule="auto" w:before="93"/>
              <w:ind w:left="160" w:right="27" w:hanging="130"/>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9,219,919.48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3"/>
              <w:jc w:val="right"/>
              <w:rPr>
                <w:rFonts w:ascii="Times New Roman" w:hAnsi="Times New Roman" w:cs="Times New Roman" w:eastAsia="Times New Roman" w:hint="default"/>
                <w:sz w:val="13"/>
                <w:szCs w:val="13"/>
              </w:rPr>
            </w:pPr>
            <w:r>
              <w:rPr>
                <w:rFonts w:ascii="Times New Roman"/>
                <w:sz w:val="13"/>
              </w:rPr>
              <w:t>-178,810.54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3"/>
              <w:jc w:val="right"/>
              <w:rPr>
                <w:rFonts w:ascii="Times New Roman" w:hAnsi="Times New Roman" w:cs="Times New Roman" w:eastAsia="Times New Roman" w:hint="default"/>
                <w:sz w:val="13"/>
                <w:szCs w:val="13"/>
              </w:rPr>
            </w:pPr>
            <w:r>
              <w:rPr>
                <w:rFonts w:ascii="Times New Roman"/>
                <w:sz w:val="13"/>
              </w:rPr>
              <w:t>-584,294.78</w:t>
            </w:r>
          </w:p>
        </w:tc>
        <w:tc>
          <w:tcPr>
            <w:tcW w:w="47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549,164.10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9,202,724.56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436" w:lineRule="auto" w:before="93"/>
              <w:ind w:right="125"/>
              <w:jc w:val="left"/>
              <w:rPr>
                <w:rFonts w:ascii="宋体" w:hAnsi="宋体" w:cs="宋体" w:eastAsia="宋体" w:hint="default"/>
                <w:sz w:val="13"/>
                <w:szCs w:val="13"/>
              </w:rPr>
            </w:pPr>
            <w:r>
              <w:rPr>
                <w:rFonts w:ascii="宋体" w:hAnsi="宋体" w:cs="宋体" w:eastAsia="宋体" w:hint="default"/>
                <w:sz w:val="13"/>
                <w:szCs w:val="13"/>
              </w:rPr>
              <w:t>其他债权</w:t>
            </w:r>
            <w:r>
              <w:rPr>
                <w:rFonts w:ascii="宋体" w:hAnsi="宋体" w:cs="宋体" w:eastAsia="宋体" w:hint="default"/>
                <w:w w:val="99"/>
                <w:sz w:val="13"/>
                <w:szCs w:val="13"/>
              </w:rPr>
              <w:t> </w:t>
            </w:r>
            <w:r>
              <w:rPr>
                <w:rFonts w:ascii="宋体" w:hAnsi="宋体" w:cs="宋体" w:eastAsia="宋体" w:hint="default"/>
                <w:sz w:val="13"/>
                <w:szCs w:val="13"/>
              </w:rPr>
              <w:t>投资</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715"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7"/>
              <w:jc w:val="right"/>
              <w:rPr>
                <w:rFonts w:ascii="宋体" w:hAnsi="宋体" w:cs="宋体" w:eastAsia="宋体" w:hint="default"/>
                <w:sz w:val="13"/>
                <w:szCs w:val="13"/>
              </w:rPr>
            </w:pPr>
            <w:r>
              <w:rPr>
                <w:rFonts w:ascii="宋体" w:hAnsi="宋体" w:cs="宋体" w:eastAsia="宋体" w:hint="default"/>
                <w:w w:val="95"/>
                <w:sz w:val="13"/>
                <w:szCs w:val="13"/>
              </w:rPr>
              <w:t>债券</w:t>
            </w:r>
            <w:r>
              <w:rPr>
                <w:rFonts w:ascii="宋体" w:hAnsi="宋体" w:cs="宋体" w:eastAsia="宋体" w:hint="default"/>
                <w:sz w:val="13"/>
                <w:szCs w:val="13"/>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left"/>
              <w:rPr>
                <w:rFonts w:ascii="Times New Roman" w:hAnsi="Times New Roman" w:cs="Times New Roman" w:eastAsia="Times New Roman" w:hint="default"/>
                <w:sz w:val="13"/>
                <w:szCs w:val="13"/>
              </w:rPr>
            </w:pPr>
            <w:r>
              <w:rPr>
                <w:rFonts w:ascii="Times New Roman"/>
                <w:sz w:val="13"/>
              </w:rPr>
              <w:t>USG4639DWC57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 w:right="0"/>
              <w:jc w:val="left"/>
              <w:rPr>
                <w:rFonts w:ascii="Times New Roman" w:hAnsi="Times New Roman" w:cs="Times New Roman" w:eastAsia="Times New Roman" w:hint="default"/>
                <w:sz w:val="13"/>
                <w:szCs w:val="13"/>
              </w:rPr>
            </w:pPr>
            <w:r>
              <w:rPr>
                <w:rFonts w:ascii="Times New Roman"/>
                <w:sz w:val="13"/>
              </w:rPr>
              <w:t>HSBC</w:t>
            </w:r>
            <w:r>
              <w:rPr>
                <w:rFonts w:ascii="Times New Roman"/>
                <w:spacing w:val="-3"/>
                <w:sz w:val="13"/>
              </w:rPr>
              <w:t> </w:t>
            </w:r>
            <w:r>
              <w:rPr>
                <w:rFonts w:ascii="Times New Roman"/>
                <w:sz w:val="13"/>
              </w:rPr>
              <w:t>BOND</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8,898,749.46</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3"/>
              <w:ind w:left="160" w:right="27" w:hanging="130"/>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9,068,899.61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3"/>
              <w:jc w:val="right"/>
              <w:rPr>
                <w:rFonts w:ascii="Times New Roman" w:hAnsi="Times New Roman" w:cs="Times New Roman" w:eastAsia="Times New Roman" w:hint="default"/>
                <w:sz w:val="13"/>
                <w:szCs w:val="13"/>
              </w:rPr>
            </w:pPr>
            <w:r>
              <w:rPr>
                <w:rFonts w:ascii="Times New Roman"/>
                <w:sz w:val="13"/>
              </w:rPr>
              <w:t>20,491.49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3"/>
              <w:jc w:val="right"/>
              <w:rPr>
                <w:rFonts w:ascii="Times New Roman" w:hAnsi="Times New Roman" w:cs="Times New Roman" w:eastAsia="Times New Roman" w:hint="default"/>
                <w:sz w:val="13"/>
                <w:szCs w:val="13"/>
              </w:rPr>
            </w:pPr>
            <w:r>
              <w:rPr>
                <w:rFonts w:ascii="Times New Roman"/>
                <w:sz w:val="13"/>
              </w:rPr>
              <w:t>-360,272.33</w:t>
            </w:r>
          </w:p>
        </w:tc>
        <w:tc>
          <w:tcPr>
            <w:tcW w:w="47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425,882.34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9,251,878.55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3"/>
              <w:ind w:right="125"/>
              <w:jc w:val="left"/>
              <w:rPr>
                <w:rFonts w:ascii="宋体" w:hAnsi="宋体" w:cs="宋体" w:eastAsia="宋体" w:hint="default"/>
                <w:sz w:val="13"/>
                <w:szCs w:val="13"/>
              </w:rPr>
            </w:pPr>
            <w:r>
              <w:rPr>
                <w:rFonts w:ascii="宋体" w:hAnsi="宋体" w:cs="宋体" w:eastAsia="宋体" w:hint="default"/>
                <w:sz w:val="13"/>
                <w:szCs w:val="13"/>
              </w:rPr>
              <w:t>其他债权</w:t>
            </w:r>
            <w:r>
              <w:rPr>
                <w:rFonts w:ascii="宋体" w:hAnsi="宋体" w:cs="宋体" w:eastAsia="宋体" w:hint="default"/>
                <w:w w:val="99"/>
                <w:sz w:val="13"/>
                <w:szCs w:val="13"/>
              </w:rPr>
              <w:t> </w:t>
            </w:r>
            <w:r>
              <w:rPr>
                <w:rFonts w:ascii="宋体" w:hAnsi="宋体" w:cs="宋体" w:eastAsia="宋体" w:hint="default"/>
                <w:sz w:val="13"/>
                <w:szCs w:val="13"/>
              </w:rPr>
              <w:t>投资</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713"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436" w:lineRule="auto" w:before="93"/>
              <w:ind w:left="105" w:right="41" w:hanging="65"/>
              <w:jc w:val="left"/>
              <w:rPr>
                <w:rFonts w:ascii="宋体" w:hAnsi="宋体" w:cs="宋体" w:eastAsia="宋体" w:hint="default"/>
                <w:sz w:val="13"/>
                <w:szCs w:val="13"/>
              </w:rPr>
            </w:pPr>
            <w:r>
              <w:rPr>
                <w:rFonts w:ascii="宋体" w:hAnsi="宋体" w:cs="宋体" w:eastAsia="宋体" w:hint="default"/>
                <w:sz w:val="13"/>
                <w:szCs w:val="13"/>
              </w:rPr>
              <w:t>境内外</w:t>
            </w:r>
            <w:r>
              <w:rPr>
                <w:rFonts w:ascii="宋体" w:hAnsi="宋体" w:cs="宋体" w:eastAsia="宋体" w:hint="default"/>
                <w:w w:val="99"/>
                <w:sz w:val="13"/>
                <w:szCs w:val="13"/>
              </w:rPr>
              <w:t> </w:t>
            </w:r>
            <w:r>
              <w:rPr>
                <w:rFonts w:ascii="宋体" w:hAnsi="宋体" w:cs="宋体" w:eastAsia="宋体" w:hint="default"/>
                <w:sz w:val="13"/>
                <w:szCs w:val="13"/>
              </w:rPr>
              <w:t>股票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left"/>
              <w:rPr>
                <w:rFonts w:ascii="Times New Roman" w:hAnsi="Times New Roman" w:cs="Times New Roman" w:eastAsia="Times New Roman" w:hint="default"/>
                <w:sz w:val="13"/>
                <w:szCs w:val="13"/>
              </w:rPr>
            </w:pPr>
            <w:r>
              <w:rPr>
                <w:rFonts w:ascii="Times New Roman"/>
                <w:sz w:val="13"/>
              </w:rPr>
              <w:t>600958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2" w:right="0"/>
              <w:jc w:val="left"/>
              <w:rPr>
                <w:rFonts w:ascii="宋体" w:hAnsi="宋体" w:cs="宋体" w:eastAsia="宋体" w:hint="default"/>
                <w:sz w:val="13"/>
                <w:szCs w:val="13"/>
              </w:rPr>
            </w:pPr>
            <w:r>
              <w:rPr>
                <w:rFonts w:ascii="宋体" w:hAnsi="宋体" w:cs="宋体" w:eastAsia="宋体" w:hint="default"/>
                <w:sz w:val="13"/>
                <w:szCs w:val="13"/>
              </w:rPr>
              <w:t>东方证券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225,192,876.00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436" w:lineRule="auto" w:before="93"/>
              <w:ind w:left="160" w:right="27" w:hanging="130"/>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196,849,659.16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68,909,730.12</w:t>
            </w:r>
          </w:p>
        </w:tc>
        <w:tc>
          <w:tcPr>
            <w:tcW w:w="108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71,379,612.92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265,759,389.28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436" w:lineRule="auto" w:before="93"/>
              <w:ind w:right="125"/>
              <w:jc w:val="left"/>
              <w:rPr>
                <w:rFonts w:ascii="宋体" w:hAnsi="宋体" w:cs="宋体" w:eastAsia="宋体" w:hint="default"/>
                <w:sz w:val="13"/>
                <w:szCs w:val="13"/>
              </w:rPr>
            </w:pPr>
            <w:r>
              <w:rPr>
                <w:rFonts w:ascii="宋体" w:hAnsi="宋体" w:cs="宋体" w:eastAsia="宋体" w:hint="default"/>
                <w:sz w:val="13"/>
                <w:szCs w:val="13"/>
              </w:rPr>
              <w:t>交易性金</w:t>
            </w:r>
            <w:r>
              <w:rPr>
                <w:rFonts w:ascii="宋体" w:hAnsi="宋体" w:cs="宋体" w:eastAsia="宋体" w:hint="default"/>
                <w:w w:val="99"/>
                <w:sz w:val="13"/>
                <w:szCs w:val="13"/>
              </w:rPr>
              <w:t> </w:t>
            </w:r>
            <w:r>
              <w:rPr>
                <w:rFonts w:ascii="宋体" w:hAnsi="宋体" w:cs="宋体" w:eastAsia="宋体" w:hint="default"/>
                <w:sz w:val="13"/>
                <w:szCs w:val="13"/>
              </w:rPr>
              <w:t>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715"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3"/>
              <w:ind w:left="105" w:right="41" w:hanging="65"/>
              <w:jc w:val="left"/>
              <w:rPr>
                <w:rFonts w:ascii="宋体" w:hAnsi="宋体" w:cs="宋体" w:eastAsia="宋体" w:hint="default"/>
                <w:sz w:val="13"/>
                <w:szCs w:val="13"/>
              </w:rPr>
            </w:pPr>
            <w:r>
              <w:rPr>
                <w:rFonts w:ascii="宋体" w:hAnsi="宋体" w:cs="宋体" w:eastAsia="宋体" w:hint="default"/>
                <w:sz w:val="13"/>
                <w:szCs w:val="13"/>
              </w:rPr>
              <w:t>境内外</w:t>
            </w:r>
            <w:r>
              <w:rPr>
                <w:rFonts w:ascii="宋体" w:hAnsi="宋体" w:cs="宋体" w:eastAsia="宋体" w:hint="default"/>
                <w:w w:val="99"/>
                <w:sz w:val="13"/>
                <w:szCs w:val="13"/>
              </w:rPr>
              <w:t> </w:t>
            </w:r>
            <w:r>
              <w:rPr>
                <w:rFonts w:ascii="宋体" w:hAnsi="宋体" w:cs="宋体" w:eastAsia="宋体" w:hint="default"/>
                <w:sz w:val="13"/>
                <w:szCs w:val="13"/>
              </w:rPr>
              <w:t>股票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left"/>
              <w:rPr>
                <w:rFonts w:ascii="Times New Roman" w:hAnsi="Times New Roman" w:cs="Times New Roman" w:eastAsia="Times New Roman" w:hint="default"/>
                <w:sz w:val="13"/>
                <w:szCs w:val="13"/>
              </w:rPr>
            </w:pPr>
            <w:r>
              <w:rPr>
                <w:rFonts w:ascii="Times New Roman"/>
                <w:sz w:val="13"/>
              </w:rPr>
              <w:t>601328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2" w:right="0"/>
              <w:jc w:val="left"/>
              <w:rPr>
                <w:rFonts w:ascii="宋体" w:hAnsi="宋体" w:cs="宋体" w:eastAsia="宋体" w:hint="default"/>
                <w:sz w:val="13"/>
                <w:szCs w:val="13"/>
              </w:rPr>
            </w:pPr>
            <w:r>
              <w:rPr>
                <w:rFonts w:ascii="宋体" w:hAnsi="宋体" w:cs="宋体" w:eastAsia="宋体" w:hint="default"/>
                <w:sz w:val="13"/>
                <w:szCs w:val="13"/>
              </w:rPr>
              <w:t>交通银行</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100,000.00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3"/>
              <w:ind w:left="160" w:right="27" w:hanging="130"/>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3"/>
              <w:jc w:val="right"/>
              <w:rPr>
                <w:rFonts w:ascii="Times New Roman" w:hAnsi="Times New Roman" w:cs="Times New Roman" w:eastAsia="Times New Roman" w:hint="default"/>
                <w:sz w:val="13"/>
                <w:szCs w:val="13"/>
              </w:rPr>
            </w:pPr>
            <w:r>
              <w:rPr>
                <w:rFonts w:ascii="Times New Roman"/>
                <w:sz w:val="13"/>
              </w:rPr>
              <w:t>758,866.35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3"/>
              <w:jc w:val="right"/>
              <w:rPr>
                <w:rFonts w:ascii="Times New Roman" w:hAnsi="Times New Roman" w:cs="Times New Roman" w:eastAsia="Times New Roman" w:hint="default"/>
                <w:sz w:val="13"/>
                <w:szCs w:val="13"/>
              </w:rPr>
            </w:pPr>
            <w:r>
              <w:rPr>
                <w:rFonts w:ascii="Times New Roman"/>
                <w:sz w:val="13"/>
              </w:rPr>
              <w:t>-20,970.40</w:t>
            </w:r>
          </w:p>
        </w:tc>
        <w:tc>
          <w:tcPr>
            <w:tcW w:w="108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-20,970.40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737,895.95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3"/>
              <w:ind w:right="125"/>
              <w:jc w:val="left"/>
              <w:rPr>
                <w:rFonts w:ascii="宋体" w:hAnsi="宋体" w:cs="宋体" w:eastAsia="宋体" w:hint="default"/>
                <w:sz w:val="13"/>
                <w:szCs w:val="13"/>
              </w:rPr>
            </w:pPr>
            <w:r>
              <w:rPr>
                <w:rFonts w:ascii="宋体" w:hAnsi="宋体" w:cs="宋体" w:eastAsia="宋体" w:hint="default"/>
                <w:sz w:val="13"/>
                <w:szCs w:val="13"/>
              </w:rPr>
              <w:t>交易性金</w:t>
            </w:r>
            <w:r>
              <w:rPr>
                <w:rFonts w:ascii="宋体" w:hAnsi="宋体" w:cs="宋体" w:eastAsia="宋体" w:hint="default"/>
                <w:w w:val="99"/>
                <w:sz w:val="13"/>
                <w:szCs w:val="13"/>
              </w:rPr>
              <w:t> </w:t>
            </w:r>
            <w:r>
              <w:rPr>
                <w:rFonts w:ascii="宋体" w:hAnsi="宋体" w:cs="宋体" w:eastAsia="宋体" w:hint="default"/>
                <w:sz w:val="13"/>
                <w:szCs w:val="13"/>
              </w:rPr>
              <w:t>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713"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436" w:lineRule="auto" w:before="93"/>
              <w:ind w:left="105" w:right="41" w:hanging="65"/>
              <w:jc w:val="left"/>
              <w:rPr>
                <w:rFonts w:ascii="宋体" w:hAnsi="宋体" w:cs="宋体" w:eastAsia="宋体" w:hint="default"/>
                <w:sz w:val="13"/>
                <w:szCs w:val="13"/>
              </w:rPr>
            </w:pPr>
            <w:r>
              <w:rPr>
                <w:rFonts w:ascii="宋体" w:hAnsi="宋体" w:cs="宋体" w:eastAsia="宋体" w:hint="default"/>
                <w:sz w:val="13"/>
                <w:szCs w:val="13"/>
              </w:rPr>
              <w:t>境内外</w:t>
            </w:r>
            <w:r>
              <w:rPr>
                <w:rFonts w:ascii="宋体" w:hAnsi="宋体" w:cs="宋体" w:eastAsia="宋体" w:hint="default"/>
                <w:w w:val="99"/>
                <w:sz w:val="13"/>
                <w:szCs w:val="13"/>
              </w:rPr>
              <w:t> </w:t>
            </w:r>
            <w:r>
              <w:rPr>
                <w:rFonts w:ascii="宋体" w:hAnsi="宋体" w:cs="宋体" w:eastAsia="宋体" w:hint="default"/>
                <w:sz w:val="13"/>
                <w:szCs w:val="13"/>
              </w:rPr>
              <w:t>股票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left"/>
              <w:rPr>
                <w:rFonts w:ascii="Times New Roman" w:hAnsi="Times New Roman" w:cs="Times New Roman" w:eastAsia="Times New Roman" w:hint="default"/>
                <w:sz w:val="13"/>
                <w:szCs w:val="13"/>
              </w:rPr>
            </w:pPr>
            <w:r>
              <w:rPr>
                <w:rFonts w:ascii="Times New Roman"/>
                <w:sz w:val="13"/>
              </w:rPr>
              <w:t>600057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2" w:right="0"/>
              <w:jc w:val="left"/>
              <w:rPr>
                <w:rFonts w:ascii="宋体" w:hAnsi="宋体" w:cs="宋体" w:eastAsia="宋体" w:hint="default"/>
                <w:sz w:val="13"/>
                <w:szCs w:val="13"/>
              </w:rPr>
            </w:pPr>
            <w:r>
              <w:rPr>
                <w:rFonts w:ascii="宋体" w:hAnsi="宋体" w:cs="宋体" w:eastAsia="宋体" w:hint="default"/>
                <w:sz w:val="13"/>
                <w:szCs w:val="13"/>
              </w:rPr>
              <w:t>厦门象屿</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2,224,159.22</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436" w:lineRule="auto" w:before="93"/>
              <w:ind w:left="160" w:right="27" w:hanging="130"/>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3,379,759.90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3"/>
              <w:jc w:val="right"/>
              <w:rPr>
                <w:rFonts w:ascii="Times New Roman" w:hAnsi="Times New Roman" w:cs="Times New Roman" w:eastAsia="Times New Roman" w:hint="default"/>
                <w:sz w:val="13"/>
                <w:szCs w:val="13"/>
              </w:rPr>
            </w:pPr>
            <w:r>
              <w:rPr>
                <w:rFonts w:ascii="Times New Roman"/>
                <w:sz w:val="13"/>
              </w:rPr>
              <w:t>-24,256.65</w:t>
            </w:r>
          </w:p>
        </w:tc>
        <w:tc>
          <w:tcPr>
            <w:tcW w:w="108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-24,256.65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3,355,503.25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436" w:lineRule="auto" w:before="93"/>
              <w:ind w:right="125"/>
              <w:jc w:val="left"/>
              <w:rPr>
                <w:rFonts w:ascii="宋体" w:hAnsi="宋体" w:cs="宋体" w:eastAsia="宋体" w:hint="default"/>
                <w:sz w:val="13"/>
                <w:szCs w:val="13"/>
              </w:rPr>
            </w:pPr>
            <w:r>
              <w:rPr>
                <w:rFonts w:ascii="宋体" w:hAnsi="宋体" w:cs="宋体" w:eastAsia="宋体" w:hint="default"/>
                <w:sz w:val="13"/>
                <w:szCs w:val="13"/>
              </w:rPr>
              <w:t>交易性金</w:t>
            </w:r>
            <w:r>
              <w:rPr>
                <w:rFonts w:ascii="宋体" w:hAnsi="宋体" w:cs="宋体" w:eastAsia="宋体" w:hint="default"/>
                <w:w w:val="99"/>
                <w:sz w:val="13"/>
                <w:szCs w:val="13"/>
              </w:rPr>
              <w:t> </w:t>
            </w:r>
            <w:r>
              <w:rPr>
                <w:rFonts w:ascii="宋体" w:hAnsi="宋体" w:cs="宋体" w:eastAsia="宋体" w:hint="default"/>
                <w:sz w:val="13"/>
                <w:szCs w:val="13"/>
              </w:rPr>
              <w:t>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 w:right="11"/>
              <w:jc w:val="center"/>
              <w:rPr>
                <w:rFonts w:ascii="宋体" w:hAnsi="宋体" w:cs="宋体" w:eastAsia="宋体" w:hint="default"/>
                <w:sz w:val="13"/>
                <w:szCs w:val="13"/>
              </w:rPr>
            </w:pPr>
            <w:r>
              <w:rPr>
                <w:rFonts w:ascii="宋体" w:hAnsi="宋体" w:cs="宋体" w:eastAsia="宋体" w:hint="default"/>
                <w:sz w:val="13"/>
                <w:szCs w:val="13"/>
              </w:rPr>
              <w:t>自有资金</w:t>
            </w:r>
          </w:p>
        </w:tc>
      </w:tr>
      <w:tr>
        <w:trPr>
          <w:trHeight w:val="403" w:hRule="exact"/>
        </w:trPr>
        <w:tc>
          <w:tcPr>
            <w:tcW w:w="2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254,550,530.55</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1" w:right="0"/>
              <w:jc w:val="center"/>
              <w:rPr>
                <w:rFonts w:ascii="Times New Roman" w:hAnsi="Times New Roman" w:cs="Times New Roman" w:eastAsia="Times New Roman" w:hint="default"/>
                <w:sz w:val="15"/>
                <w:szCs w:val="15"/>
              </w:rPr>
            </w:pPr>
            <w:r>
              <w:rPr>
                <w:rFonts w:ascii="Times New Roman"/>
                <w:sz w:val="15"/>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229,069,710.42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68,507,478.23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-1,535,757.59</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37" w:right="0"/>
              <w:jc w:val="left"/>
              <w:rPr>
                <w:rFonts w:ascii="Times New Roman" w:hAnsi="Times New Roman" w:cs="Times New Roman" w:eastAsia="Times New Roman" w:hint="default"/>
                <w:sz w:val="13"/>
                <w:szCs w:val="13"/>
              </w:rPr>
            </w:pPr>
            <w:r>
              <w:rPr>
                <w:rFonts w:ascii="Times New Roman"/>
                <w:sz w:val="13"/>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350" w:right="0"/>
              <w:jc w:val="left"/>
              <w:rPr>
                <w:rFonts w:ascii="Times New Roman" w:hAnsi="Times New Roman" w:cs="Times New Roman" w:eastAsia="Times New Roman" w:hint="default"/>
                <w:sz w:val="13"/>
                <w:szCs w:val="13"/>
              </w:rPr>
            </w:pPr>
            <w:r>
              <w:rPr>
                <w:rFonts w:ascii="Times New Roman"/>
                <w:sz w:val="13"/>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
              <w:jc w:val="right"/>
              <w:rPr>
                <w:rFonts w:ascii="Times New Roman" w:hAnsi="Times New Roman" w:cs="Times New Roman" w:eastAsia="Times New Roman" w:hint="default"/>
                <w:sz w:val="13"/>
                <w:szCs w:val="13"/>
              </w:rPr>
            </w:pPr>
            <w:r>
              <w:rPr>
                <w:rFonts w:ascii="Times New Roman"/>
                <w:sz w:val="13"/>
              </w:rPr>
              <w:t>72,845,319.95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298,072,788.45</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r>
    </w:tbl>
    <w:p>
      <w:pPr>
        <w:spacing w:before="51"/>
        <w:ind w:left="972" w:right="0" w:firstLine="0"/>
        <w:jc w:val="left"/>
        <w:rPr>
          <w:rFonts w:ascii="宋体" w:hAnsi="宋体" w:cs="宋体" w:eastAsia="宋体" w:hint="default"/>
          <w:sz w:val="18"/>
          <w:szCs w:val="18"/>
        </w:rPr>
      </w:pPr>
      <w:r>
        <w:rPr>
          <w:rFonts w:ascii="宋体" w:hAnsi="宋体" w:cs="宋体" w:eastAsia="宋体" w:hint="default"/>
          <w:b/>
          <w:bCs/>
          <w:sz w:val="18"/>
          <w:szCs w:val="18"/>
        </w:rPr>
        <w:t>证券投资情况说明</w:t>
      </w:r>
      <w:r>
        <w:rPr>
          <w:rFonts w:ascii="宋体" w:hAnsi="宋体" w:cs="宋体" w:eastAsia="宋体" w:hint="default"/>
          <w:sz w:val="18"/>
          <w:szCs w:val="18"/>
        </w:rPr>
      </w:r>
    </w:p>
    <w:p>
      <w:pPr>
        <w:spacing w:before="115"/>
        <w:ind w:left="13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）上述债券均为公司控股子公司柏怡国际所持有，质押于香港汇丰银行，作为柏怡国际融资业务的担保。</w:t>
      </w:r>
    </w:p>
    <w:p>
      <w:pPr>
        <w:spacing w:line="300" w:lineRule="auto" w:before="103"/>
        <w:ind w:left="972"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）报告期末，公司持有东方证券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万股占该公司最新股权比例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0.35%</w:t>
      </w:r>
      <w:r>
        <w:rPr>
          <w:rFonts w:ascii="宋体" w:hAnsi="宋体" w:cs="宋体" w:eastAsia="宋体" w:hint="default"/>
          <w:sz w:val="18"/>
          <w:szCs w:val="18"/>
        </w:rPr>
        <w:t>；中原电子持有交通银行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131,065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股占该公司 最新股权比例</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0.00018%</w:t>
      </w:r>
      <w:r>
        <w:rPr>
          <w:rFonts w:ascii="宋体" w:hAnsi="宋体" w:cs="宋体" w:eastAsia="宋体" w:hint="default"/>
          <w:sz w:val="18"/>
          <w:szCs w:val="18"/>
        </w:rPr>
        <w:t>；武汉中元通信股份有限公司持有厦门象屿</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808,555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股占该公司最新股权比例</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0.04%</w:t>
      </w:r>
      <w:r>
        <w:rPr>
          <w:rFonts w:ascii="宋体" w:hAnsi="宋体" w:cs="宋体" w:eastAsia="宋体" w:hint="default"/>
          <w:spacing w:val="-3"/>
          <w:sz w:val="18"/>
          <w:szCs w:val="18"/>
        </w:rPr>
        <w:t>。前述公司所持</w:t>
      </w:r>
      <w:r>
        <w:rPr>
          <w:rFonts w:ascii="宋体" w:hAnsi="宋体" w:cs="宋体" w:eastAsia="宋体" w:hint="default"/>
          <w:sz w:val="18"/>
          <w:szCs w:val="18"/>
        </w:rPr>
        <w:t> 有的其他上市公司股权均为在重大资产重组整合完成前已经存在，不属于报告期内新增的情形。</w:t>
      </w:r>
    </w:p>
    <w:p>
      <w:pPr>
        <w:spacing w:line="300" w:lineRule="auto" w:before="70"/>
        <w:ind w:left="972" w:right="1128"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）报告期末，公司持有湘财证券股份有限公司（简称“湘财证券”）</w:t>
      </w:r>
      <w:r>
        <w:rPr>
          <w:rFonts w:ascii="Times New Roman" w:hAnsi="Times New Roman" w:cs="Times New Roman" w:eastAsia="Times New Roman" w:hint="default"/>
          <w:spacing w:val="-4"/>
          <w:sz w:val="18"/>
          <w:szCs w:val="18"/>
        </w:rPr>
        <w:t>331.26</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万股占该公司股权比例</w:t>
      </w:r>
      <w:r>
        <w:rPr>
          <w:rFonts w:ascii="宋体" w:hAnsi="宋体" w:cs="宋体" w:eastAsia="宋体" w:hint="default"/>
          <w:spacing w:val="-25"/>
          <w:sz w:val="18"/>
          <w:szCs w:val="18"/>
        </w:rPr>
        <w:t> </w:t>
      </w:r>
      <w:r>
        <w:rPr>
          <w:rFonts w:ascii="Times New Roman" w:hAnsi="Times New Roman" w:cs="Times New Roman" w:eastAsia="Times New Roman" w:hint="default"/>
          <w:spacing w:val="-1"/>
          <w:sz w:val="18"/>
          <w:szCs w:val="18"/>
        </w:rPr>
        <w:t>0.09%</w:t>
      </w:r>
      <w:r>
        <w:rPr>
          <w:rFonts w:ascii="宋体" w:hAnsi="宋体" w:cs="宋体" w:eastAsia="宋体" w:hint="default"/>
          <w:spacing w:val="-1"/>
          <w:sz w:val="18"/>
          <w:szCs w:val="18"/>
        </w:rPr>
        <w:t>，与湘财证券</w:t>
      </w:r>
      <w:r>
        <w:rPr>
          <w:rFonts w:ascii="宋体" w:hAnsi="宋体" w:cs="宋体" w:eastAsia="宋体" w:hint="default"/>
          <w:sz w:val="18"/>
          <w:szCs w:val="18"/>
        </w:rPr>
        <w:t> 同一实际控制人的上市公司哈尔滨高科技（集团）股份有限公司（股票代码</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600095</w:t>
      </w:r>
      <w:r>
        <w:rPr>
          <w:rFonts w:ascii="宋体" w:hAnsi="宋体" w:cs="宋体" w:eastAsia="宋体" w:hint="default"/>
          <w:sz w:val="18"/>
          <w:szCs w:val="18"/>
        </w:rPr>
        <w:t>）拟以发行股份方式向包括本公司在内 的湘财证券全体股东购买所持湘财证券股份。截至目前，该事项仍在进行中。</w:t>
      </w:r>
    </w:p>
    <w:p>
      <w:pPr>
        <w:spacing w:after="0" w:line="300" w:lineRule="auto"/>
        <w:jc w:val="both"/>
        <w:rPr>
          <w:rFonts w:ascii="宋体" w:hAnsi="宋体" w:cs="宋体" w:eastAsia="宋体" w:hint="default"/>
          <w:sz w:val="18"/>
          <w:szCs w:val="18"/>
        </w:rPr>
        <w:sectPr>
          <w:pgSz w:w="11910" w:h="16840"/>
          <w:pgMar w:header="789" w:footer="975" w:top="1100" w:bottom="1160" w:left="160" w:right="0"/>
        </w:sectPr>
      </w:pPr>
    </w:p>
    <w:p>
      <w:pPr>
        <w:spacing w:line="240" w:lineRule="auto" w:before="6"/>
        <w:rPr>
          <w:rFonts w:ascii="宋体" w:hAnsi="宋体" w:cs="宋体" w:eastAsia="宋体" w:hint="default"/>
          <w:sz w:val="21"/>
          <w:szCs w:val="21"/>
        </w:rPr>
      </w:pPr>
    </w:p>
    <w:p>
      <w:pPr>
        <w:pStyle w:val="Heading5"/>
        <w:spacing w:line="240" w:lineRule="auto"/>
        <w:ind w:left="892"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360" w:lineRule="auto" w:before="164"/>
        <w:ind w:left="1253" w:right="787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公司报告期不存在衍生品投资。</w:t>
      </w:r>
    </w:p>
    <w:p>
      <w:pPr>
        <w:pStyle w:val="Heading5"/>
        <w:spacing w:line="240" w:lineRule="auto" w:before="81"/>
        <w:ind w:left="892"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before="166"/>
        <w:ind w:left="89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Heading5"/>
        <w:spacing w:line="240" w:lineRule="auto" w:before="0"/>
        <w:ind w:left="892"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5"/>
        <w:rPr>
          <w:rFonts w:ascii="宋体" w:hAnsi="宋体" w:cs="宋体" w:eastAsia="宋体" w:hint="default"/>
          <w:b/>
          <w:bCs/>
          <w:sz w:val="9"/>
          <w:szCs w:val="9"/>
        </w:rPr>
      </w:pPr>
    </w:p>
    <w:p>
      <w:pPr>
        <w:spacing w:before="44"/>
        <w:ind w:left="89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44"/>
        <w:ind w:left="0" w:right="404" w:firstLine="0"/>
        <w:jc w:val="right"/>
        <w:rPr>
          <w:rFonts w:ascii="宋体" w:hAnsi="宋体" w:cs="宋体" w:eastAsia="宋体" w:hint="default"/>
          <w:sz w:val="18"/>
          <w:szCs w:val="18"/>
        </w:rPr>
      </w:pPr>
      <w:r>
        <w:rPr/>
        <w:pict>
          <v:shape style="position:absolute;margin-left:22.799999pt;margin-top:-171.038269pt;width:549.950pt;height:315.5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4"/>
                    <w:gridCol w:w="876"/>
                    <w:gridCol w:w="872"/>
                    <w:gridCol w:w="869"/>
                    <w:gridCol w:w="871"/>
                    <w:gridCol w:w="869"/>
                    <w:gridCol w:w="871"/>
                    <w:gridCol w:w="869"/>
                    <w:gridCol w:w="2079"/>
                    <w:gridCol w:w="1080"/>
                  </w:tblGrid>
                  <w:tr>
                    <w:trPr>
                      <w:trHeight w:val="98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募集年份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募集方式</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6"/>
                            <w:szCs w:val="16"/>
                          </w:rPr>
                        </w:pPr>
                      </w:p>
                      <w:p>
                        <w:pPr>
                          <w:pStyle w:val="TableParagraph"/>
                          <w:spacing w:line="379" w:lineRule="auto"/>
                          <w:ind w:left="357" w:right="53" w:hanging="300"/>
                          <w:jc w:val="left"/>
                          <w:rPr>
                            <w:rFonts w:ascii="宋体" w:hAnsi="宋体" w:cs="宋体" w:eastAsia="宋体" w:hint="default"/>
                            <w:sz w:val="15"/>
                            <w:szCs w:val="15"/>
                          </w:rPr>
                        </w:pPr>
                        <w:r>
                          <w:rPr>
                            <w:rFonts w:ascii="宋体" w:hAnsi="宋体" w:cs="宋体" w:eastAsia="宋体" w:hint="default"/>
                            <w:sz w:val="15"/>
                            <w:szCs w:val="15"/>
                          </w:rPr>
                          <w:t>募集资金总</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9" w:lineRule="auto" w:before="55"/>
                          <w:ind w:left="57" w:right="49"/>
                          <w:jc w:val="center"/>
                          <w:rPr>
                            <w:rFonts w:ascii="宋体" w:hAnsi="宋体" w:cs="宋体" w:eastAsia="宋体" w:hint="default"/>
                            <w:sz w:val="15"/>
                            <w:szCs w:val="15"/>
                          </w:rPr>
                        </w:pPr>
                        <w:r>
                          <w:rPr>
                            <w:rFonts w:ascii="宋体" w:hAnsi="宋体" w:cs="宋体" w:eastAsia="宋体" w:hint="default"/>
                            <w:sz w:val="15"/>
                            <w:szCs w:val="15"/>
                          </w:rPr>
                          <w:t>本期已使用</w:t>
                        </w:r>
                        <w:r>
                          <w:rPr>
                            <w:rFonts w:ascii="宋体" w:hAnsi="宋体" w:cs="宋体" w:eastAsia="宋体" w:hint="default"/>
                            <w:w w:val="100"/>
                            <w:sz w:val="15"/>
                            <w:szCs w:val="15"/>
                          </w:rPr>
                          <w:t> </w:t>
                        </w:r>
                        <w:r>
                          <w:rPr>
                            <w:rFonts w:ascii="宋体" w:hAnsi="宋体" w:cs="宋体" w:eastAsia="宋体" w:hint="default"/>
                            <w:sz w:val="15"/>
                            <w:szCs w:val="15"/>
                          </w:rPr>
                          <w:t>募集资金总</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9" w:lineRule="auto" w:before="55"/>
                          <w:ind w:left="55" w:right="48"/>
                          <w:jc w:val="center"/>
                          <w:rPr>
                            <w:rFonts w:ascii="宋体" w:hAnsi="宋体" w:cs="宋体" w:eastAsia="宋体" w:hint="default"/>
                            <w:sz w:val="15"/>
                            <w:szCs w:val="15"/>
                          </w:rPr>
                        </w:pPr>
                        <w:r>
                          <w:rPr>
                            <w:rFonts w:ascii="宋体" w:hAnsi="宋体" w:cs="宋体" w:eastAsia="宋体" w:hint="default"/>
                            <w:sz w:val="15"/>
                            <w:szCs w:val="15"/>
                          </w:rPr>
                          <w:t>已累计使用</w:t>
                        </w:r>
                        <w:r>
                          <w:rPr>
                            <w:rFonts w:ascii="宋体" w:hAnsi="宋体" w:cs="宋体" w:eastAsia="宋体" w:hint="default"/>
                            <w:w w:val="100"/>
                            <w:sz w:val="15"/>
                            <w:szCs w:val="15"/>
                          </w:rPr>
                          <w:t> </w:t>
                        </w:r>
                        <w:r>
                          <w:rPr>
                            <w:rFonts w:ascii="宋体" w:hAnsi="宋体" w:cs="宋体" w:eastAsia="宋体" w:hint="default"/>
                            <w:sz w:val="15"/>
                            <w:szCs w:val="15"/>
                          </w:rPr>
                          <w:t>募集资金总</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9" w:lineRule="auto" w:before="55"/>
                          <w:ind w:left="57" w:right="48"/>
                          <w:jc w:val="both"/>
                          <w:rPr>
                            <w:rFonts w:ascii="宋体" w:hAnsi="宋体" w:cs="宋体" w:eastAsia="宋体" w:hint="default"/>
                            <w:sz w:val="15"/>
                            <w:szCs w:val="15"/>
                          </w:rPr>
                        </w:pPr>
                        <w:r>
                          <w:rPr>
                            <w:rFonts w:ascii="宋体" w:hAnsi="宋体" w:cs="宋体" w:eastAsia="宋体" w:hint="default"/>
                            <w:sz w:val="15"/>
                            <w:szCs w:val="15"/>
                          </w:rPr>
                          <w:t>报告期内变</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更用途的募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集资金总额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9" w:lineRule="auto" w:before="55"/>
                          <w:ind w:left="55" w:right="48"/>
                          <w:jc w:val="center"/>
                          <w:rPr>
                            <w:rFonts w:ascii="宋体" w:hAnsi="宋体" w:cs="宋体" w:eastAsia="宋体" w:hint="default"/>
                            <w:sz w:val="15"/>
                            <w:szCs w:val="15"/>
                          </w:rPr>
                        </w:pPr>
                        <w:r>
                          <w:rPr>
                            <w:rFonts w:ascii="宋体" w:hAnsi="宋体" w:cs="宋体" w:eastAsia="宋体" w:hint="default"/>
                            <w:sz w:val="15"/>
                            <w:szCs w:val="15"/>
                          </w:rPr>
                          <w:t>累计变更用</w:t>
                        </w:r>
                        <w:r>
                          <w:rPr>
                            <w:rFonts w:ascii="宋体" w:hAnsi="宋体" w:cs="宋体" w:eastAsia="宋体" w:hint="default"/>
                            <w:w w:val="100"/>
                            <w:sz w:val="15"/>
                            <w:szCs w:val="15"/>
                          </w:rPr>
                          <w:t> </w:t>
                        </w:r>
                        <w:r>
                          <w:rPr>
                            <w:rFonts w:ascii="宋体" w:hAnsi="宋体" w:cs="宋体" w:eastAsia="宋体" w:hint="default"/>
                            <w:sz w:val="15"/>
                            <w:szCs w:val="15"/>
                          </w:rPr>
                          <w:t>途的募集资</w:t>
                        </w:r>
                        <w:r>
                          <w:rPr>
                            <w:rFonts w:ascii="宋体" w:hAnsi="宋体" w:cs="宋体" w:eastAsia="宋体" w:hint="default"/>
                            <w:w w:val="100"/>
                            <w:sz w:val="15"/>
                            <w:szCs w:val="15"/>
                          </w:rPr>
                          <w:t> </w:t>
                        </w:r>
                        <w:r>
                          <w:rPr>
                            <w:rFonts w:ascii="宋体" w:hAnsi="宋体" w:cs="宋体" w:eastAsia="宋体" w:hint="default"/>
                            <w:sz w:val="15"/>
                            <w:szCs w:val="15"/>
                          </w:rPr>
                          <w:t>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9" w:lineRule="auto" w:before="55"/>
                          <w:ind w:left="55" w:right="50"/>
                          <w:jc w:val="both"/>
                          <w:rPr>
                            <w:rFonts w:ascii="宋体" w:hAnsi="宋体" w:cs="宋体" w:eastAsia="宋体" w:hint="default"/>
                            <w:sz w:val="15"/>
                            <w:szCs w:val="15"/>
                          </w:rPr>
                        </w:pPr>
                        <w:r>
                          <w:rPr>
                            <w:rFonts w:ascii="宋体" w:hAnsi="宋体" w:cs="宋体" w:eastAsia="宋体" w:hint="default"/>
                            <w:sz w:val="15"/>
                            <w:szCs w:val="15"/>
                          </w:rPr>
                          <w:t>累计变更用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途的募集资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金总额比例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6"/>
                            <w:szCs w:val="16"/>
                          </w:rPr>
                        </w:pPr>
                      </w:p>
                      <w:p>
                        <w:pPr>
                          <w:pStyle w:val="TableParagraph"/>
                          <w:spacing w:line="379" w:lineRule="auto"/>
                          <w:ind w:left="55" w:right="48"/>
                          <w:jc w:val="left"/>
                          <w:rPr>
                            <w:rFonts w:ascii="宋体" w:hAnsi="宋体" w:cs="宋体" w:eastAsia="宋体" w:hint="default"/>
                            <w:sz w:val="15"/>
                            <w:szCs w:val="15"/>
                          </w:rPr>
                        </w:pPr>
                        <w:r>
                          <w:rPr>
                            <w:rFonts w:ascii="宋体" w:hAnsi="宋体" w:cs="宋体" w:eastAsia="宋体" w:hint="default"/>
                            <w:sz w:val="15"/>
                            <w:szCs w:val="15"/>
                          </w:rPr>
                          <w:t>尚未使用募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集资金总额</w:t>
                        </w:r>
                      </w:p>
                    </w:tc>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尚未使用募集资金用途及去向</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6"/>
                            <w:szCs w:val="16"/>
                          </w:rPr>
                        </w:pPr>
                      </w:p>
                      <w:p>
                        <w:pPr>
                          <w:pStyle w:val="TableParagraph"/>
                          <w:spacing w:line="379" w:lineRule="auto"/>
                          <w:ind w:left="86" w:right="79"/>
                          <w:jc w:val="left"/>
                          <w:rPr>
                            <w:rFonts w:ascii="宋体" w:hAnsi="宋体" w:cs="宋体" w:eastAsia="宋体" w:hint="default"/>
                            <w:sz w:val="15"/>
                            <w:szCs w:val="15"/>
                          </w:rPr>
                        </w:pPr>
                        <w:r>
                          <w:rPr>
                            <w:rFonts w:ascii="宋体" w:hAnsi="宋体" w:cs="宋体" w:eastAsia="宋体" w:hint="default"/>
                            <w:sz w:val="15"/>
                            <w:szCs w:val="15"/>
                          </w:rPr>
                          <w:t>闲置两年以上</w:t>
                        </w:r>
                        <w:r>
                          <w:rPr>
                            <w:rFonts w:ascii="宋体" w:hAnsi="宋体" w:cs="宋体" w:eastAsia="宋体" w:hint="default"/>
                            <w:w w:val="100"/>
                            <w:sz w:val="15"/>
                            <w:szCs w:val="15"/>
                          </w:rPr>
                          <w:t> </w:t>
                        </w:r>
                        <w:r>
                          <w:rPr>
                            <w:rFonts w:ascii="宋体" w:hAnsi="宋体" w:cs="宋体" w:eastAsia="宋体" w:hint="default"/>
                            <w:sz w:val="15"/>
                            <w:szCs w:val="15"/>
                          </w:rPr>
                          <w:t>募集资金金额</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6" w:right="72"/>
                          <w:jc w:val="left"/>
                          <w:rPr>
                            <w:rFonts w:ascii="宋体" w:hAnsi="宋体" w:cs="宋体" w:eastAsia="宋体" w:hint="default"/>
                            <w:sz w:val="15"/>
                            <w:szCs w:val="15"/>
                          </w:rPr>
                        </w:pPr>
                        <w:r>
                          <w:rPr>
                            <w:rFonts w:ascii="宋体" w:hAnsi="宋体" w:cs="宋体" w:eastAsia="宋体" w:hint="default"/>
                            <w:sz w:val="15"/>
                            <w:szCs w:val="15"/>
                          </w:rPr>
                          <w:t>非公开发行</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股票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97,960.00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26,397.61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96,460.55</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15,400.00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4,666.45</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3" w:right="89"/>
                          <w:jc w:val="left"/>
                          <w:rPr>
                            <w:rFonts w:ascii="宋体" w:hAnsi="宋体" w:cs="宋体" w:eastAsia="宋体" w:hint="default"/>
                            <w:sz w:val="15"/>
                            <w:szCs w:val="15"/>
                          </w:rPr>
                        </w:pPr>
                        <w:r>
                          <w:rPr>
                            <w:rFonts w:ascii="宋体" w:hAnsi="宋体" w:cs="宋体" w:eastAsia="宋体" w:hint="default"/>
                            <w:spacing w:val="-2"/>
                            <w:sz w:val="15"/>
                            <w:szCs w:val="15"/>
                          </w:rPr>
                          <w:t>尚未使用募集资金存放于公司</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募集资金专户管理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r>
                  <w:tr>
                    <w:trPr>
                      <w:trHeight w:val="3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4" w:right="0"/>
                          <w:jc w:val="center"/>
                          <w:rPr>
                            <w:rFonts w:ascii="Times New Roman" w:hAnsi="Times New Roman" w:cs="Times New Roman" w:eastAsia="Times New Roman" w:hint="default"/>
                            <w:sz w:val="15"/>
                            <w:szCs w:val="15"/>
                          </w:rPr>
                        </w:pPr>
                        <w:r>
                          <w:rPr>
                            <w:rFonts w:ascii="Times New Roman"/>
                            <w:sz w:val="15"/>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5"/>
                            <w:szCs w:val="15"/>
                          </w:rPr>
                        </w:pPr>
                        <w:r>
                          <w:rPr>
                            <w:rFonts w:ascii="Times New Roman"/>
                            <w:spacing w:val="-1"/>
                            <w:sz w:val="15"/>
                          </w:rPr>
                          <w:t>97,960.00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5"/>
                            <w:szCs w:val="15"/>
                          </w:rPr>
                        </w:pPr>
                        <w:r>
                          <w:rPr>
                            <w:rFonts w:ascii="Times New Roman"/>
                            <w:spacing w:val="-1"/>
                            <w:sz w:val="15"/>
                          </w:rPr>
                          <w:t>26,397.61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5"/>
                            <w:szCs w:val="15"/>
                          </w:rPr>
                        </w:pPr>
                        <w:r>
                          <w:rPr>
                            <w:rFonts w:ascii="Times New Roman"/>
                            <w:spacing w:val="-1"/>
                            <w:sz w:val="15"/>
                          </w:rPr>
                          <w:t>96,460.55</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5"/>
                            <w:szCs w:val="15"/>
                          </w:rPr>
                        </w:pPr>
                        <w:r>
                          <w:rPr>
                            <w:rFonts w:ascii="Times New Roman"/>
                            <w:spacing w:val="-1"/>
                            <w:sz w:val="15"/>
                          </w:rPr>
                          <w:t>15,400.00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5"/>
                            <w:szCs w:val="15"/>
                          </w:rPr>
                        </w:pPr>
                        <w:r>
                          <w:rPr>
                            <w:rFonts w:ascii="Times New Roman"/>
                            <w:spacing w:val="-1"/>
                            <w:sz w:val="15"/>
                          </w:rPr>
                          <w:t>15.72%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5"/>
                            <w:szCs w:val="15"/>
                          </w:rPr>
                        </w:pPr>
                        <w:r>
                          <w:rPr>
                            <w:rFonts w:ascii="Times New Roman"/>
                            <w:spacing w:val="-1"/>
                            <w:sz w:val="15"/>
                          </w:rPr>
                          <w:t>4,666.45</w:t>
                        </w:r>
                      </w:p>
                    </w:tc>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5"/>
                            <w:szCs w:val="15"/>
                          </w:rPr>
                        </w:pPr>
                        <w:r>
                          <w:rPr>
                            <w:rFonts w:ascii="Times New Roman"/>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5"/>
                            <w:szCs w:val="15"/>
                          </w:rPr>
                        </w:pPr>
                        <w:r>
                          <w:rPr>
                            <w:rFonts w:ascii="Times New Roman"/>
                            <w:sz w:val="15"/>
                          </w:rPr>
                          <w:t>--</w:t>
                        </w:r>
                      </w:p>
                    </w:tc>
                  </w:tr>
                  <w:tr>
                    <w:trPr>
                      <w:trHeight w:val="362" w:hRule="exact"/>
                    </w:trPr>
                    <w:tc>
                      <w:tcPr>
                        <w:tcW w:w="1098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956" w:hRule="exact"/>
                    </w:trPr>
                    <w:tc>
                      <w:tcPr>
                        <w:tcW w:w="1098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45" w:lineRule="auto" w:before="34"/>
                          <w:ind w:left="23" w:right="17" w:firstLine="36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月实施重大资产重组吸收合并了长城信息，因而承继及承接了长城信息于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月的非公开发行募集资金的存放 与使用。</w:t>
                        </w:r>
                      </w:p>
                      <w:p>
                        <w:pPr>
                          <w:pStyle w:val="TableParagraph"/>
                          <w:spacing w:line="345" w:lineRule="auto" w:before="45"/>
                          <w:ind w:left="23" w:right="3"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日长城信息召开的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年度第二次临时股东大会审议通过的《关于非公开发行股票发行方案（修订版）的议案》，</w:t>
                        </w:r>
                        <w:r>
                          <w:rPr>
                            <w:rFonts w:ascii="宋体" w:hAnsi="宋体" w:cs="宋体" w:eastAsia="宋体" w:hint="default"/>
                            <w:sz w:val="18"/>
                            <w:szCs w:val="18"/>
                          </w:rPr>
                          <w:t> </w:t>
                        </w:r>
                        <w:r>
                          <w:rPr>
                            <w:rFonts w:ascii="宋体" w:hAnsi="宋体" w:cs="宋体" w:eastAsia="宋体" w:hint="default"/>
                            <w:spacing w:val="-1"/>
                            <w:w w:val="100"/>
                            <w:sz w:val="18"/>
                            <w:szCs w:val="18"/>
                          </w:rPr>
                          <w:t>以及中国证券监督管理委员会</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证监许可</w:t>
                        </w:r>
                        <w:r>
                          <w:rPr>
                            <w:rFonts w:ascii="Times New Roman" w:hAnsi="Times New Roman" w:cs="Times New Roman" w:eastAsia="Times New Roman" w:hint="default"/>
                            <w:spacing w:val="-1"/>
                            <w:w w:val="100"/>
                            <w:sz w:val="18"/>
                            <w:szCs w:val="18"/>
                          </w:rPr>
                          <w:t>[2014]1313</w:t>
                        </w:r>
                        <w:r>
                          <w:rPr>
                            <w:rFonts w:ascii="Times New Roman" w:hAnsi="Times New Roman" w:cs="Times New Roman" w:eastAsia="Times New Roman" w:hint="default"/>
                            <w:w w:val="100"/>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文件核准，长城信息获准以非公开发行的方式发行在境内上市人民币普通股（</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pacing w:val="-46"/>
                            <w:sz w:val="18"/>
                            <w:szCs w:val="18"/>
                          </w:rPr>
                          <w:t>股）</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每股面值为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元，发行价格不低于人民币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19.34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股，发行股份总数不超过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5,171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万股。长城信息当年非公开实际发行人民币普通股（</w:t>
                        </w:r>
                        <w:r>
                          <w:rPr>
                            <w:rFonts w:ascii="Times New Roman" w:hAnsi="Times New Roman" w:cs="Times New Roman" w:eastAsia="Times New Roman" w:hint="default"/>
                            <w:sz w:val="18"/>
                            <w:szCs w:val="18"/>
                          </w:rPr>
                          <w:t>A</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31,847,133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股，每股面值人民币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元，每股发行价为人民币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31.40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元，募集资金总额为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万元；扣除承销费、保荐费等发行</w:t>
                        </w: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2,040.00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万元后，实际募集资金净额为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97,960.00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万元；募集资金到账时间为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日，募集资金到账情况已经天职国际会计</w:t>
                        </w: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师事务所（特殊普通合伙）审验，并于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日出具</w:t>
                        </w:r>
                        <w:r>
                          <w:rPr>
                            <w:rFonts w:ascii="Times New Roman" w:hAnsi="Times New Roman" w:cs="Times New Roman" w:eastAsia="Times New Roman" w:hint="default"/>
                            <w:sz w:val="18"/>
                            <w:szCs w:val="18"/>
                          </w:rPr>
                          <w:t>“</w:t>
                        </w: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[2014]12877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w:t>
                        </w:r>
                      </w:p>
                      <w:p>
                        <w:pPr>
                          <w:pStyle w:val="TableParagraph"/>
                          <w:spacing w:line="240" w:lineRule="auto" w:before="111"/>
                          <w:ind w:left="38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日，募集资金专户累计取得银行利息及支出银行手续费净额</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3,167.00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万元，募集资金合计</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101,127.00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万元；累计</w:t>
                        </w:r>
                      </w:p>
                      <w:p>
                        <w:pPr>
                          <w:pStyle w:val="TableParagraph"/>
                          <w:spacing w:line="240" w:lineRule="auto" w:before="10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96,460.55</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万元，其中累计投入募集资金项目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89,087.02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万元，项目结项永久补充流动资金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7,373.53</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万元（含利息净收入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3,132.89</w:t>
                        </w: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；公司募集资金专户</w:t>
                        </w:r>
                        <w:r>
                          <w:rPr>
                            <w:rFonts w:ascii="宋体" w:hAnsi="宋体" w:cs="宋体" w:eastAsia="宋体" w:hint="default"/>
                            <w:spacing w:val="2"/>
                            <w:sz w:val="18"/>
                            <w:szCs w:val="18"/>
                          </w:rPr>
                          <w:t>余</w:t>
                        </w:r>
                        <w:r>
                          <w:rPr>
                            <w:rFonts w:ascii="宋体" w:hAnsi="宋体" w:cs="宋体" w:eastAsia="宋体" w:hint="default"/>
                            <w:sz w:val="18"/>
                            <w:szCs w:val="18"/>
                          </w:rPr>
                          <w:t>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万元，其中活期</w:t>
                        </w:r>
                        <w:r>
                          <w:rPr>
                            <w:rFonts w:ascii="宋体" w:hAnsi="宋体" w:cs="宋体" w:eastAsia="宋体" w:hint="default"/>
                            <w:spacing w:val="-3"/>
                            <w:sz w:val="18"/>
                            <w:szCs w:val="18"/>
                          </w:rPr>
                          <w:t>存</w:t>
                        </w:r>
                        <w:r>
                          <w:rPr>
                            <w:rFonts w:ascii="宋体" w:hAnsi="宋体" w:cs="宋体" w:eastAsia="宋体" w:hint="default"/>
                            <w:sz w:val="18"/>
                            <w:szCs w:val="18"/>
                          </w:rPr>
                          <w:t>款账户余额为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5"/>
        <w:spacing w:line="240" w:lineRule="auto"/>
        <w:ind w:left="892"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9"/>
          <w:szCs w:val="9"/>
        </w:rPr>
      </w:pPr>
    </w:p>
    <w:p>
      <w:pPr>
        <w:spacing w:before="44"/>
        <w:ind w:left="89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9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223"/>
        <w:gridCol w:w="744"/>
        <w:gridCol w:w="865"/>
        <w:gridCol w:w="862"/>
        <w:gridCol w:w="862"/>
        <w:gridCol w:w="862"/>
        <w:gridCol w:w="746"/>
        <w:gridCol w:w="1476"/>
        <w:gridCol w:w="929"/>
        <w:gridCol w:w="725"/>
        <w:gridCol w:w="922"/>
      </w:tblGrid>
      <w:tr>
        <w:trPr>
          <w:trHeight w:val="1258"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15" w:right="24" w:hanging="990"/>
              <w:jc w:val="left"/>
              <w:rPr>
                <w:rFonts w:ascii="宋体" w:hAnsi="宋体" w:cs="宋体" w:eastAsia="宋体" w:hint="default"/>
                <w:sz w:val="18"/>
                <w:szCs w:val="18"/>
              </w:rPr>
            </w:pPr>
            <w:r>
              <w:rPr>
                <w:rFonts w:ascii="宋体" w:hAnsi="宋体" w:cs="宋体" w:eastAsia="宋体" w:hint="default"/>
                <w:sz w:val="18"/>
                <w:szCs w:val="18"/>
              </w:rPr>
              <w:t>承诺投资项目和超募资金投 向</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10"/>
              <w:ind w:left="7"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50" w:right="48"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64" w:right="6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4"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10"/>
              <w:ind w:left="9"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83" w:right="11"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98" w:right="8"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6"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7" w:right="2"/>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322" w:hRule="exact"/>
        </w:trPr>
        <w:tc>
          <w:tcPr>
            <w:tcW w:w="1121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2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left"/>
              <w:rPr>
                <w:rFonts w:ascii="宋体" w:hAnsi="宋体" w:cs="宋体" w:eastAsia="宋体" w:hint="default"/>
                <w:sz w:val="18"/>
                <w:szCs w:val="18"/>
              </w:rPr>
            </w:pPr>
            <w:r>
              <w:rPr>
                <w:rFonts w:ascii="宋体" w:hAnsi="宋体" w:cs="宋体" w:eastAsia="宋体" w:hint="default"/>
                <w:sz w:val="18"/>
                <w:szCs w:val="18"/>
              </w:rPr>
              <w:t>光纤水下探测系统产业</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76"/>
              <w:jc w:val="right"/>
              <w:rPr>
                <w:rFonts w:ascii="宋体" w:hAnsi="宋体" w:cs="宋体" w:eastAsia="宋体" w:hint="default"/>
                <w:sz w:val="18"/>
                <w:szCs w:val="18"/>
              </w:rPr>
            </w:pPr>
            <w:r>
              <w:rPr>
                <w:rFonts w:ascii="宋体" w:hAnsi="宋体" w:cs="宋体" w:eastAsia="宋体" w:hint="default"/>
                <w:sz w:val="18"/>
                <w:szCs w:val="18"/>
              </w:rPr>
              <w:t>否</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31,935.00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31,935.00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w w:val="95"/>
                <w:sz w:val="18"/>
              </w:rPr>
              <w:t>5,560.48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31" w:right="0"/>
              <w:jc w:val="center"/>
              <w:rPr>
                <w:rFonts w:ascii="Times New Roman" w:hAnsi="Times New Roman" w:cs="Times New Roman" w:eastAsia="Times New Roman" w:hint="default"/>
                <w:sz w:val="18"/>
                <w:szCs w:val="18"/>
              </w:rPr>
            </w:pPr>
            <w:r>
              <w:rPr>
                <w:rFonts w:ascii="Times New Roman"/>
                <w:sz w:val="18"/>
              </w:rPr>
              <w:t>32,775.24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102.63%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152.76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自主可控安全计算机产业化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6"/>
              <w:jc w:val="right"/>
              <w:rPr>
                <w:rFonts w:ascii="宋体" w:hAnsi="宋体" w:cs="宋体" w:eastAsia="宋体" w:hint="default"/>
                <w:sz w:val="18"/>
                <w:szCs w:val="18"/>
              </w:rPr>
            </w:pPr>
            <w:r>
              <w:rPr>
                <w:rFonts w:ascii="宋体" w:hAnsi="宋体" w:cs="宋体" w:eastAsia="宋体" w:hint="default"/>
                <w:sz w:val="18"/>
                <w:szCs w:val="18"/>
              </w:rPr>
              <w:t>否</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17,897.00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17,897.00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2,370.82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1" w:right="0"/>
              <w:jc w:val="center"/>
              <w:rPr>
                <w:rFonts w:ascii="Times New Roman" w:hAnsi="Times New Roman" w:cs="Times New Roman" w:eastAsia="Times New Roman" w:hint="default"/>
                <w:sz w:val="18"/>
                <w:szCs w:val="18"/>
              </w:rPr>
            </w:pPr>
            <w:r>
              <w:rPr>
                <w:rFonts w:ascii="Times New Roman"/>
                <w:sz w:val="18"/>
              </w:rPr>
              <w:t>15,392.26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86.00%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4,150.89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安全高端金融机具产业化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6"/>
              <w:jc w:val="right"/>
              <w:rPr>
                <w:rFonts w:ascii="宋体" w:hAnsi="宋体" w:cs="宋体" w:eastAsia="宋体" w:hint="default"/>
                <w:sz w:val="18"/>
                <w:szCs w:val="18"/>
              </w:rPr>
            </w:pPr>
            <w:r>
              <w:rPr>
                <w:rFonts w:ascii="宋体" w:hAnsi="宋体" w:cs="宋体" w:eastAsia="宋体" w:hint="default"/>
                <w:sz w:val="18"/>
                <w:szCs w:val="18"/>
              </w:rPr>
              <w:t>否</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20,270.00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20,270.00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32.04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1" w:right="0"/>
              <w:jc w:val="center"/>
              <w:rPr>
                <w:rFonts w:ascii="Times New Roman" w:hAnsi="Times New Roman" w:cs="Times New Roman" w:eastAsia="Times New Roman" w:hint="default"/>
                <w:sz w:val="18"/>
                <w:szCs w:val="18"/>
              </w:rPr>
            </w:pPr>
            <w:r>
              <w:rPr>
                <w:rFonts w:ascii="Times New Roman"/>
                <w:sz w:val="18"/>
              </w:rPr>
              <w:t>18,520.94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91.37%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6,769.45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51"/>
              <w:jc w:val="left"/>
              <w:rPr>
                <w:rFonts w:ascii="宋体" w:hAnsi="宋体" w:cs="宋体" w:eastAsia="宋体" w:hint="default"/>
                <w:sz w:val="18"/>
                <w:szCs w:val="18"/>
              </w:rPr>
            </w:pPr>
            <w:r>
              <w:rPr>
                <w:rFonts w:ascii="宋体" w:hAnsi="宋体" w:cs="宋体" w:eastAsia="宋体" w:hint="default"/>
                <w:sz w:val="18"/>
                <w:szCs w:val="18"/>
              </w:rPr>
              <w:t>基于居民健康卡的区域诊疗 一卡通平台</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76"/>
              <w:jc w:val="right"/>
              <w:rPr>
                <w:rFonts w:ascii="宋体" w:hAnsi="宋体" w:cs="宋体" w:eastAsia="宋体" w:hint="default"/>
                <w:sz w:val="18"/>
                <w:szCs w:val="18"/>
              </w:rPr>
            </w:pPr>
            <w:r>
              <w:rPr>
                <w:rFonts w:ascii="宋体" w:hAnsi="宋体" w:cs="宋体" w:eastAsia="宋体" w:hint="default"/>
                <w:sz w:val="18"/>
                <w:szCs w:val="18"/>
              </w:rPr>
              <w:t>是</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27,858.00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12,458.00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293.08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1"/>
              <w:jc w:val="center"/>
              <w:rPr>
                <w:rFonts w:ascii="Times New Roman" w:hAnsi="Times New Roman" w:cs="Times New Roman" w:eastAsia="Times New Roman" w:hint="default"/>
                <w:sz w:val="18"/>
                <w:szCs w:val="18"/>
              </w:rPr>
            </w:pPr>
            <w:r>
              <w:rPr>
                <w:rFonts w:ascii="Times New Roman"/>
                <w:spacing w:val="-1"/>
                <w:sz w:val="18"/>
              </w:rPr>
              <w:t>11,630.92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93.36%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1,336.03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89" w:footer="975" w:top="1100" w:bottom="1160" w:left="240" w:right="0"/>
        </w:sectPr>
      </w:pPr>
    </w:p>
    <w:p>
      <w:pPr>
        <w:spacing w:line="240" w:lineRule="auto" w:before="0"/>
        <w:rPr>
          <w:rFonts w:ascii="宋体" w:hAnsi="宋体" w:cs="宋体" w:eastAsia="宋体" w:hint="default"/>
          <w:sz w:val="20"/>
          <w:szCs w:val="20"/>
        </w:rPr>
      </w:pPr>
      <w:r>
        <w:rPr/>
        <w:pict>
          <v:shape style="position:absolute;margin-left:17.040001pt;margin-top:71.999985pt;width:561.5pt;height:686.9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3"/>
                    <w:gridCol w:w="744"/>
                    <w:gridCol w:w="865"/>
                    <w:gridCol w:w="862"/>
                    <w:gridCol w:w="862"/>
                    <w:gridCol w:w="863"/>
                    <w:gridCol w:w="746"/>
                    <w:gridCol w:w="1476"/>
                    <w:gridCol w:w="929"/>
                    <w:gridCol w:w="725"/>
                    <w:gridCol w:w="922"/>
                  </w:tblGrid>
                  <w:tr>
                    <w:trPr>
                      <w:trHeight w:val="408"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05"/>
                          <w:jc w:val="right"/>
                          <w:rPr>
                            <w:rFonts w:ascii="Times New Roman" w:hAnsi="Times New Roman" w:cs="Times New Roman" w:eastAsia="Times New Roman" w:hint="default"/>
                            <w:sz w:val="18"/>
                            <w:szCs w:val="18"/>
                          </w:rPr>
                        </w:pPr>
                        <w:r>
                          <w:rPr>
                            <w:rFonts w:ascii="Times New Roman"/>
                            <w:sz w:val="18"/>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97,960.00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82,560.00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w w:val="95"/>
                            <w:sz w:val="18"/>
                          </w:rPr>
                          <w:t>8,256.42</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center"/>
                          <w:rPr>
                            <w:rFonts w:ascii="Times New Roman" w:hAnsi="Times New Roman" w:cs="Times New Roman" w:eastAsia="Times New Roman" w:hint="default"/>
                            <w:sz w:val="18"/>
                            <w:szCs w:val="18"/>
                          </w:rPr>
                        </w:pPr>
                        <w:r>
                          <w:rPr>
                            <w:rFonts w:ascii="Times New Roman"/>
                            <w:sz w:val="18"/>
                          </w:rPr>
                          <w:t>78,319.36</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09" w:right="0"/>
                          <w:jc w:val="lef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12,409.13</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95" w:right="0"/>
                          <w:jc w:val="lef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121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44"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z w:val="18"/>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97,960.00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82,560.00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95"/>
                            <w:sz w:val="18"/>
                          </w:rPr>
                          <w:t>8,256.42</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1" w:right="0"/>
                          <w:jc w:val="center"/>
                          <w:rPr>
                            <w:rFonts w:ascii="Times New Roman" w:hAnsi="Times New Roman" w:cs="Times New Roman" w:eastAsia="Times New Roman" w:hint="default"/>
                            <w:sz w:val="18"/>
                            <w:szCs w:val="18"/>
                          </w:rPr>
                        </w:pPr>
                        <w:r>
                          <w:rPr>
                            <w:rFonts w:ascii="Times New Roman"/>
                            <w:sz w:val="18"/>
                          </w:rPr>
                          <w:t>78,319.36</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09" w:right="0"/>
                          <w:jc w:val="lef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12,409.13</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95" w:right="0"/>
                          <w:jc w:val="left"/>
                          <w:rPr>
                            <w:rFonts w:ascii="Times New Roman" w:hAnsi="Times New Roman" w:cs="Times New Roman" w:eastAsia="Times New Roman" w:hint="default"/>
                            <w:sz w:val="18"/>
                            <w:szCs w:val="18"/>
                          </w:rPr>
                        </w:pPr>
                        <w:r>
                          <w:rPr>
                            <w:rFonts w:ascii="Times New Roman"/>
                            <w:sz w:val="18"/>
                          </w:rPr>
                          <w:t>--</w:t>
                        </w:r>
                      </w:p>
                    </w:tc>
                  </w:tr>
                  <w:tr>
                    <w:trPr>
                      <w:trHeight w:val="3329"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 w:right="51"/>
                          <w:jc w:val="left"/>
                          <w:rPr>
                            <w:rFonts w:ascii="宋体" w:hAnsi="宋体" w:cs="宋体" w:eastAsia="宋体" w:hint="default"/>
                            <w:sz w:val="18"/>
                            <w:szCs w:val="18"/>
                          </w:rPr>
                        </w:pPr>
                        <w:r>
                          <w:rPr>
                            <w:rFonts w:ascii="宋体" w:hAnsi="宋体" w:cs="宋体" w:eastAsia="宋体" w:hint="default"/>
                            <w:sz w:val="18"/>
                            <w:szCs w:val="18"/>
                          </w:rPr>
                          <w:t>未达到计划进度或预计收益 </w:t>
                        </w:r>
                        <w:r>
                          <w:rPr>
                            <w:rFonts w:ascii="宋体" w:hAnsi="宋体" w:cs="宋体" w:eastAsia="宋体" w:hint="default"/>
                            <w:spacing w:val="-3"/>
                            <w:sz w:val="18"/>
                            <w:szCs w:val="18"/>
                          </w:rPr>
                          <w:t>的情况和原因（分具体项目</w:t>
                        </w:r>
                      </w:p>
                    </w:tc>
                    <w:tc>
                      <w:tcPr>
                        <w:tcW w:w="89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1" w:firstLine="360"/>
                          <w:jc w:val="both"/>
                          <w:rPr>
                            <w:rFonts w:ascii="宋体" w:hAnsi="宋体" w:cs="宋体" w:eastAsia="宋体" w:hint="default"/>
                            <w:sz w:val="18"/>
                            <w:szCs w:val="18"/>
                          </w:rPr>
                        </w:pPr>
                        <w:r>
                          <w:rPr>
                            <w:rFonts w:ascii="宋体" w:hAnsi="宋体" w:cs="宋体" w:eastAsia="宋体" w:hint="default"/>
                            <w:spacing w:val="-1"/>
                            <w:sz w:val="18"/>
                            <w:szCs w:val="18"/>
                          </w:rPr>
                          <w:t>光纤水下探测系统产业项目效益实现延后原因：受国家宏观政策影响，光纤水下探测系统产业项目实施和推进</w:t>
                        </w:r>
                        <w:r>
                          <w:rPr>
                            <w:rFonts w:ascii="宋体" w:hAnsi="宋体" w:cs="宋体" w:eastAsia="宋体" w:hint="default"/>
                            <w:sz w:val="18"/>
                            <w:szCs w:val="18"/>
                          </w:rPr>
                          <w:t> 上有所延缓和滞后，目前仍以科研论证和型号预研为主，导致经济效益的实现有所延后。</w:t>
                        </w:r>
                      </w:p>
                      <w:p>
                        <w:pPr>
                          <w:pStyle w:val="TableParagraph"/>
                          <w:spacing w:line="316" w:lineRule="auto" w:before="57"/>
                          <w:ind w:left="-1" w:right="3" w:firstLine="360"/>
                          <w:jc w:val="both"/>
                          <w:rPr>
                            <w:rFonts w:ascii="宋体" w:hAnsi="宋体" w:cs="宋体" w:eastAsia="宋体" w:hint="default"/>
                            <w:sz w:val="18"/>
                            <w:szCs w:val="18"/>
                          </w:rPr>
                        </w:pPr>
                        <w:r>
                          <w:rPr>
                            <w:rFonts w:ascii="宋体" w:hAnsi="宋体" w:cs="宋体" w:eastAsia="宋体" w:hint="default"/>
                            <w:spacing w:val="-1"/>
                            <w:sz w:val="18"/>
                            <w:szCs w:val="18"/>
                          </w:rPr>
                          <w:t>自主可控安全计算机产业化项目效益实现延后原因：受政府自主安全战略实施的进程、军改影响，装备类自主</w:t>
                        </w:r>
                        <w:r>
                          <w:rPr>
                            <w:rFonts w:ascii="宋体" w:hAnsi="宋体" w:cs="宋体" w:eastAsia="宋体" w:hint="default"/>
                            <w:sz w:val="18"/>
                            <w:szCs w:val="18"/>
                          </w:rPr>
                          <w:t> </w:t>
                        </w:r>
                        <w:r>
                          <w:rPr>
                            <w:rFonts w:ascii="宋体" w:hAnsi="宋体" w:cs="宋体" w:eastAsia="宋体" w:hint="default"/>
                            <w:spacing w:val="-1"/>
                            <w:sz w:val="18"/>
                            <w:szCs w:val="18"/>
                          </w:rPr>
                          <w:t>可控安全计算机产品批量化订单未能如预期释放；其次国产化元器件研发成本高，采购价格相应增加，导致产品成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本增加，导致经济效益实现未达预期。</w:t>
                        </w:r>
                      </w:p>
                      <w:p>
                        <w:pPr>
                          <w:pStyle w:val="TableParagraph"/>
                          <w:spacing w:line="316" w:lineRule="auto" w:before="59"/>
                          <w:ind w:left="-1" w:right="3" w:firstLine="360"/>
                          <w:jc w:val="both"/>
                          <w:rPr>
                            <w:rFonts w:ascii="宋体" w:hAnsi="宋体" w:cs="宋体" w:eastAsia="宋体" w:hint="default"/>
                            <w:sz w:val="18"/>
                            <w:szCs w:val="18"/>
                          </w:rPr>
                        </w:pPr>
                        <w:r>
                          <w:rPr>
                            <w:rFonts w:ascii="宋体" w:hAnsi="宋体" w:cs="宋体" w:eastAsia="宋体" w:hint="default"/>
                            <w:spacing w:val="-1"/>
                            <w:sz w:val="18"/>
                            <w:szCs w:val="18"/>
                          </w:rPr>
                          <w:t>安全高端金融机具产业化项目效益实现延后原因：公司在项目在达产年，为进一步抢占市场份额，扩宽销售渠</w:t>
                        </w:r>
                        <w:r>
                          <w:rPr>
                            <w:rFonts w:ascii="宋体" w:hAnsi="宋体" w:cs="宋体" w:eastAsia="宋体" w:hint="default"/>
                            <w:sz w:val="18"/>
                            <w:szCs w:val="18"/>
                          </w:rPr>
                          <w:t> 道，项目整体费用上升，造成项目净利润下降，导致经济效益实现未达预期。</w:t>
                        </w:r>
                      </w:p>
                      <w:p>
                        <w:pPr>
                          <w:pStyle w:val="TableParagraph"/>
                          <w:spacing w:line="319" w:lineRule="auto" w:before="59"/>
                          <w:ind w:left="-1" w:right="-20" w:firstLine="360"/>
                          <w:jc w:val="both"/>
                          <w:rPr>
                            <w:rFonts w:ascii="宋体" w:hAnsi="宋体" w:cs="宋体" w:eastAsia="宋体" w:hint="default"/>
                            <w:sz w:val="18"/>
                            <w:szCs w:val="18"/>
                          </w:rPr>
                        </w:pPr>
                        <w:r>
                          <w:rPr>
                            <w:rFonts w:ascii="宋体" w:hAnsi="宋体" w:cs="宋体" w:eastAsia="宋体" w:hint="default"/>
                            <w:sz w:val="18"/>
                            <w:szCs w:val="18"/>
                          </w:rPr>
                          <w:t>基于居民健康卡的区域诊疗一卡通平台项目效益实现延后原因：在项目推进过程中，市场情况出现较大变化。 受传统医疗观念影响，社区患者流量少；各医疗机构自身线上平台业务的快速发展；社区到大型医院的就医流程进 展较慢，受上述因素的影响，项目进展缓慢，导致经济效益实现未达预期。</w:t>
                        </w:r>
                      </w:p>
                    </w:tc>
                  </w:tr>
                  <w:tr>
                    <w:trPr>
                      <w:trHeight w:val="1027"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1" w:right="51"/>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89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 w:right="1" w:firstLine="360"/>
                          <w:jc w:val="both"/>
                          <w:rPr>
                            <w:rFonts w:ascii="宋体" w:hAnsi="宋体" w:cs="宋体" w:eastAsia="宋体" w:hint="default"/>
                            <w:sz w:val="18"/>
                            <w:szCs w:val="18"/>
                          </w:rPr>
                        </w:pPr>
                        <w:r>
                          <w:rPr>
                            <w:rFonts w:ascii="宋体" w:hAnsi="宋体" w:cs="宋体" w:eastAsia="宋体" w:hint="default"/>
                            <w:spacing w:val="-1"/>
                            <w:sz w:val="18"/>
                            <w:szCs w:val="18"/>
                          </w:rPr>
                          <w:t>原募投项目“基于居民健康卡的区域诊疗一卡通平台”受市场因素影响，项目开展进度缓慢。为提高募集资金</w:t>
                        </w:r>
                        <w:r>
                          <w:rPr>
                            <w:rFonts w:ascii="宋体" w:hAnsi="宋体" w:cs="宋体" w:eastAsia="宋体" w:hint="default"/>
                            <w:sz w:val="18"/>
                            <w:szCs w:val="18"/>
                          </w:rPr>
                          <w:t> </w:t>
                        </w:r>
                        <w:r>
                          <w:rPr>
                            <w:rFonts w:ascii="宋体" w:hAnsi="宋体" w:cs="宋体" w:eastAsia="宋体" w:hint="default"/>
                            <w:spacing w:val="-1"/>
                            <w:sz w:val="18"/>
                            <w:szCs w:val="18"/>
                          </w:rPr>
                          <w:t>使用效率，提高募投项目收益水平，保护全体股东利益，更好地满足公司未来发展的需要，公司将原募投项目剩余</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募集资金中的</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15,400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万元用于“智能单兵综合信息系统建设项目”，详见“募集资金变更项目情况”中的相关介绍</w:t>
                        </w:r>
                      </w:p>
                    </w:tc>
                  </w:tr>
                  <w:tr>
                    <w:trPr>
                      <w:trHeight w:val="713"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 w:right="51"/>
                          <w:jc w:val="left"/>
                          <w:rPr>
                            <w:rFonts w:ascii="宋体" w:hAnsi="宋体" w:cs="宋体" w:eastAsia="宋体" w:hint="default"/>
                            <w:sz w:val="18"/>
                            <w:szCs w:val="18"/>
                          </w:rPr>
                        </w:pPr>
                        <w:r>
                          <w:rPr>
                            <w:rFonts w:ascii="宋体" w:hAnsi="宋体" w:cs="宋体" w:eastAsia="宋体" w:hint="default"/>
                            <w:sz w:val="18"/>
                            <w:szCs w:val="18"/>
                          </w:rPr>
                          <w:t>超募资金的金额、用途及使 用进展情况</w:t>
                        </w:r>
                      </w:p>
                    </w:tc>
                    <w:tc>
                      <w:tcPr>
                        <w:tcW w:w="89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 w:right="51"/>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89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 w:right="51"/>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89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51" w:hRule="exact"/>
                    </w:trPr>
                    <w:tc>
                      <w:tcPr>
                        <w:tcW w:w="22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1" w:right="51"/>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89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9"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2223" w:type="dxa"/>
                        <w:vMerge/>
                        <w:tcBorders>
                          <w:left w:val="single" w:sz="4" w:space="0" w:color="000000"/>
                          <w:bottom w:val="single" w:sz="4" w:space="0" w:color="000000"/>
                          <w:right w:val="single" w:sz="4" w:space="0" w:color="000000"/>
                        </w:tcBorders>
                        <w:shd w:val="clear" w:color="auto" w:fill="D2D2D2"/>
                      </w:tcPr>
                      <w:p>
                        <w:pPr/>
                      </w:p>
                    </w:tc>
                    <w:tc>
                      <w:tcPr>
                        <w:tcW w:w="89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日，长城信息第六届董事会第二十一次会议审议通过了《关于使用募集资金置换预先投入募投</w:t>
                        </w:r>
                      </w:p>
                      <w:p>
                        <w:pPr>
                          <w:pStyle w:val="TableParagraph"/>
                          <w:spacing w:line="240" w:lineRule="auto" w:before="63"/>
                          <w:ind w:left="-1" w:right="-1"/>
                          <w:jc w:val="left"/>
                          <w:rPr>
                            <w:rFonts w:ascii="宋体" w:hAnsi="宋体" w:cs="宋体" w:eastAsia="宋体" w:hint="default"/>
                            <w:sz w:val="18"/>
                            <w:szCs w:val="18"/>
                          </w:rPr>
                        </w:pPr>
                        <w:r>
                          <w:rPr>
                            <w:rFonts w:ascii="宋体" w:hAnsi="宋体" w:cs="宋体" w:eastAsia="宋体" w:hint="default"/>
                            <w:sz w:val="18"/>
                            <w:szCs w:val="18"/>
                          </w:rPr>
                          <w:t>项目的自筹资金的议案</w:t>
                        </w:r>
                        <w:r>
                          <w:rPr>
                            <w:rFonts w:ascii="宋体" w:hAnsi="宋体" w:cs="宋体" w:eastAsia="宋体" w:hint="default"/>
                            <w:spacing w:val="-92"/>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长城信息以募集资金</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万元置换截至</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日已投入募集资金投资</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项目的自筹资金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7,292.81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3" w:hRule="exact"/>
                    </w:trPr>
                    <w:tc>
                      <w:tcPr>
                        <w:tcW w:w="22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4" w:lineRule="auto"/>
                          <w:ind w:left="-1" w:right="51"/>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89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6" w:hRule="exact"/>
                    </w:trPr>
                    <w:tc>
                      <w:tcPr>
                        <w:tcW w:w="2223" w:type="dxa"/>
                        <w:vMerge/>
                        <w:tcBorders>
                          <w:left w:val="single" w:sz="4" w:space="0" w:color="000000"/>
                          <w:bottom w:val="single" w:sz="4" w:space="0" w:color="000000"/>
                          <w:right w:val="single" w:sz="4" w:space="0" w:color="000000"/>
                        </w:tcBorders>
                        <w:shd w:val="clear" w:color="auto" w:fill="D2D2D2"/>
                      </w:tcPr>
                      <w:p>
                        <w:pPr/>
                      </w:p>
                    </w:tc>
                    <w:tc>
                      <w:tcPr>
                        <w:tcW w:w="89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日，公司第六届董事会临时会议审议通过了《关于使用部分闲置募集资金暂时补充流动资金的</w:t>
                        </w:r>
                      </w:p>
                      <w:p>
                        <w:pPr>
                          <w:pStyle w:val="TableParagraph"/>
                          <w:spacing w:line="240" w:lineRule="auto" w:before="63"/>
                          <w:ind w:left="-1" w:right="-1"/>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z w:val="18"/>
                            <w:szCs w:val="18"/>
                          </w:rPr>
                          <w:t>，在确保不影响募集资</w:t>
                        </w:r>
                        <w:r>
                          <w:rPr>
                            <w:rFonts w:ascii="宋体" w:hAnsi="宋体" w:cs="宋体" w:eastAsia="宋体" w:hint="default"/>
                            <w:spacing w:val="2"/>
                            <w:sz w:val="18"/>
                            <w:szCs w:val="18"/>
                          </w:rPr>
                          <w:t>金</w:t>
                        </w:r>
                        <w:r>
                          <w:rPr>
                            <w:rFonts w:ascii="宋体" w:hAnsi="宋体" w:cs="宋体" w:eastAsia="宋体" w:hint="default"/>
                            <w:sz w:val="18"/>
                            <w:szCs w:val="18"/>
                          </w:rPr>
                          <w:t>项目建设和募集资金使用计划的前提下，使用部分闲置募集资金人民币</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亿元暂时</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用于补充公司生产经营所需的流动资金，期限不超过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日，前述用于补充流动资金的人民</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亿元募集资金全部归还至募集资金专用账户。</w:t>
                        </w:r>
                      </w:p>
                      <w:p>
                        <w:pPr>
                          <w:pStyle w:val="TableParagraph"/>
                          <w:spacing w:line="240" w:lineRule="auto" w:before="101"/>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日，公司第七届董事会第十二次会议及第七届监事会第六次会议审议通过了《关于使用部分闲</w:t>
                        </w:r>
                      </w:p>
                      <w:p>
                        <w:pPr>
                          <w:pStyle w:val="TableParagraph"/>
                          <w:spacing w:line="240" w:lineRule="auto" w:before="63"/>
                          <w:ind w:left="-1" w:right="-1"/>
                          <w:jc w:val="left"/>
                          <w:rPr>
                            <w:rFonts w:ascii="宋体" w:hAnsi="宋体" w:cs="宋体" w:eastAsia="宋体" w:hint="default"/>
                            <w:sz w:val="18"/>
                            <w:szCs w:val="18"/>
                          </w:rPr>
                        </w:pPr>
                        <w:r>
                          <w:rPr>
                            <w:rFonts w:ascii="宋体" w:hAnsi="宋体" w:cs="宋体" w:eastAsia="宋体" w:hint="default"/>
                            <w:sz w:val="18"/>
                            <w:szCs w:val="18"/>
                          </w:rPr>
                          <w:t>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，同意公司使用部分</w:t>
                        </w:r>
                        <w:r>
                          <w:rPr>
                            <w:rFonts w:ascii="宋体" w:hAnsi="宋体" w:cs="宋体" w:eastAsia="宋体" w:hint="default"/>
                            <w:spacing w:val="2"/>
                            <w:sz w:val="18"/>
                            <w:szCs w:val="18"/>
                          </w:rPr>
                          <w:t>闲</w:t>
                        </w:r>
                        <w:r>
                          <w:rPr>
                            <w:rFonts w:ascii="宋体" w:hAnsi="宋体" w:cs="宋体" w:eastAsia="宋体" w:hint="default"/>
                            <w:sz w:val="18"/>
                            <w:szCs w:val="18"/>
                          </w:rPr>
                          <w:t>置募集资金人民币</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亿元暂时补充流动资金，期限不</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个月。截至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日，公司已将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万元募集资金归还至募集资金专用账户；</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公司已将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万元募集资金归还至募集资金专用账户。</w:t>
                        </w:r>
                      </w:p>
                    </w:tc>
                  </w:tr>
                  <w:tr>
                    <w:trPr>
                      <w:trHeight w:val="403" w:hRule="exact"/>
                    </w:trPr>
                    <w:tc>
                      <w:tcPr>
                        <w:tcW w:w="22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 w:right="51"/>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89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3" w:hRule="exact"/>
                    </w:trPr>
                    <w:tc>
                      <w:tcPr>
                        <w:tcW w:w="2223" w:type="dxa"/>
                        <w:vMerge/>
                        <w:tcBorders>
                          <w:left w:val="single" w:sz="4" w:space="0" w:color="000000"/>
                          <w:bottom w:val="single" w:sz="4" w:space="0" w:color="000000"/>
                          <w:right w:val="single" w:sz="4" w:space="0" w:color="000000"/>
                        </w:tcBorders>
                        <w:shd w:val="clear" w:color="auto" w:fill="D2D2D2"/>
                      </w:tcPr>
                      <w:p>
                        <w:pPr/>
                      </w:p>
                    </w:tc>
                    <w:tc>
                      <w:tcPr>
                        <w:tcW w:w="89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 w:right="2" w:firstLine="360"/>
                          <w:jc w:val="left"/>
                          <w:rPr>
                            <w:rFonts w:ascii="宋体" w:hAnsi="宋体" w:cs="宋体" w:eastAsia="宋体" w:hint="default"/>
                            <w:sz w:val="18"/>
                            <w:szCs w:val="18"/>
                          </w:rPr>
                        </w:pPr>
                        <w:r>
                          <w:rPr>
                            <w:rFonts w:ascii="宋体" w:hAnsi="宋体" w:cs="宋体" w:eastAsia="宋体" w:hint="default"/>
                            <w:sz w:val="18"/>
                            <w:szCs w:val="18"/>
                          </w:rPr>
                          <w:t>报告期内募集资金投资项</w:t>
                        </w:r>
                        <w:r>
                          <w:rPr>
                            <w:rFonts w:ascii="宋体" w:hAnsi="宋体" w:cs="宋体" w:eastAsia="宋体" w:hint="default"/>
                            <w:spacing w:val="-8"/>
                            <w:sz w:val="18"/>
                            <w:szCs w:val="18"/>
                          </w:rPr>
                          <w:t>目</w:t>
                        </w:r>
                        <w:r>
                          <w:rPr>
                            <w:rFonts w:ascii="宋体" w:hAnsi="宋体" w:cs="宋体" w:eastAsia="宋体" w:hint="default"/>
                            <w:sz w:val="18"/>
                            <w:szCs w:val="18"/>
                          </w:rPr>
                          <w:t>“光纤水下探测系统产业化</w:t>
                        </w:r>
                        <w:r>
                          <w:rPr>
                            <w:rFonts w:ascii="宋体" w:hAnsi="宋体" w:cs="宋体" w:eastAsia="宋体" w:hint="default"/>
                            <w:spacing w:val="-92"/>
                            <w:sz w:val="18"/>
                            <w:szCs w:val="18"/>
                          </w:rPr>
                          <w:t>”</w:t>
                        </w:r>
                        <w:r>
                          <w:rPr>
                            <w:rFonts w:ascii="宋体" w:hAnsi="宋体" w:cs="宋体" w:eastAsia="宋体" w:hint="default"/>
                            <w:spacing w:val="-9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自主可控安全计算机产业化</w:t>
                        </w:r>
                        <w:r>
                          <w:rPr>
                            <w:rFonts w:ascii="宋体" w:hAnsi="宋体" w:cs="宋体" w:eastAsia="宋体" w:hint="default"/>
                            <w:spacing w:val="-92"/>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“安全高端金融机具</w:t>
                        </w:r>
                        <w:r>
                          <w:rPr>
                            <w:rFonts w:ascii="宋体" w:hAnsi="宋体" w:cs="宋体" w:eastAsia="宋体" w:hint="default"/>
                            <w:sz w:val="18"/>
                            <w:szCs w:val="18"/>
                          </w:rPr>
                          <w:t> 产业化</w:t>
                        </w:r>
                        <w:r>
                          <w:rPr>
                            <w:rFonts w:ascii="宋体" w:hAnsi="宋体" w:cs="宋体" w:eastAsia="宋体" w:hint="default"/>
                            <w:spacing w:val="-92"/>
                            <w:sz w:val="18"/>
                            <w:szCs w:val="18"/>
                          </w:rPr>
                          <w:t>”、</w:t>
                        </w:r>
                        <w:r>
                          <w:rPr>
                            <w:rFonts w:ascii="宋体" w:hAnsi="宋体" w:cs="宋体" w:eastAsia="宋体" w:hint="default"/>
                            <w:sz w:val="18"/>
                            <w:szCs w:val="18"/>
                          </w:rPr>
                          <w:t>“基于居民健康卡</w:t>
                        </w:r>
                        <w:r>
                          <w:rPr>
                            <w:rFonts w:ascii="宋体" w:hAnsi="宋体" w:cs="宋体" w:eastAsia="宋体" w:hint="default"/>
                            <w:spacing w:val="2"/>
                            <w:sz w:val="18"/>
                            <w:szCs w:val="18"/>
                          </w:rPr>
                          <w:t>的</w:t>
                        </w:r>
                        <w:r>
                          <w:rPr>
                            <w:rFonts w:ascii="宋体" w:hAnsi="宋体" w:cs="宋体" w:eastAsia="宋体" w:hint="default"/>
                            <w:sz w:val="18"/>
                            <w:szCs w:val="18"/>
                          </w:rPr>
                          <w:t>区域诊疗一卡通平台”建设已完成，达到预定可使用状态。</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2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89" w:footer="975" w:top="1100" w:bottom="1160" w:left="240" w:right="0"/>
        </w:sectPr>
      </w:pPr>
    </w:p>
    <w:p>
      <w:pPr>
        <w:spacing w:line="240" w:lineRule="auto" w:before="2"/>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2223"/>
        <w:gridCol w:w="8992"/>
      </w:tblGrid>
      <w:tr>
        <w:trPr>
          <w:trHeight w:val="2626" w:hRule="exact"/>
        </w:trPr>
        <w:tc>
          <w:tcPr>
            <w:tcW w:w="22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 w:right="-20" w:firstLine="360"/>
              <w:jc w:val="left"/>
              <w:rPr>
                <w:rFonts w:ascii="宋体" w:hAnsi="宋体" w:cs="宋体" w:eastAsia="宋体" w:hint="default"/>
                <w:sz w:val="18"/>
                <w:szCs w:val="18"/>
              </w:rPr>
            </w:pPr>
            <w:r>
              <w:rPr>
                <w:rFonts w:ascii="宋体" w:hAnsi="宋体" w:cs="宋体" w:eastAsia="宋体" w:hint="default"/>
                <w:sz w:val="18"/>
                <w:szCs w:val="18"/>
              </w:rPr>
              <w:t>项目实施出现募集资金结余的原因：公司依照募集资金投资计划，本着节约、合理有效的原则使用募集资金， 严格控制各项支出，合理降低成本和费用；募集资金存放期间产生了利息收入和现金管理收益。</w:t>
            </w:r>
          </w:p>
          <w:p>
            <w:pPr>
              <w:pStyle w:val="TableParagraph"/>
              <w:spacing w:line="240" w:lineRule="auto" w:before="58"/>
              <w:ind w:left="359"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w:t>
            </w:r>
            <w:r>
              <w:rPr>
                <w:rFonts w:ascii="宋体" w:hAnsi="宋体" w:cs="宋体" w:eastAsia="宋体" w:hint="default"/>
                <w:spacing w:val="-99"/>
                <w:sz w:val="18"/>
                <w:szCs w:val="18"/>
              </w:rPr>
              <w:t>：</w:t>
            </w:r>
            <w:r>
              <w:rPr>
                <w:rFonts w:ascii="宋体" w:hAnsi="宋体" w:cs="宋体" w:eastAsia="宋体" w:hint="default"/>
                <w:sz w:val="18"/>
                <w:szCs w:val="18"/>
              </w:rPr>
              <w:t>“光纤水下探测系统产</w:t>
            </w:r>
            <w:r>
              <w:rPr>
                <w:rFonts w:ascii="宋体" w:hAnsi="宋体" w:cs="宋体" w:eastAsia="宋体" w:hint="default"/>
                <w:spacing w:val="2"/>
                <w:sz w:val="18"/>
                <w:szCs w:val="18"/>
              </w:rPr>
              <w:t>业</w:t>
            </w:r>
            <w:r>
              <w:rPr>
                <w:rFonts w:ascii="宋体" w:hAnsi="宋体" w:cs="宋体" w:eastAsia="宋体" w:hint="default"/>
                <w:sz w:val="18"/>
                <w:szCs w:val="18"/>
              </w:rPr>
              <w:t>化</w:t>
            </w:r>
            <w:r>
              <w:rPr>
                <w:rFonts w:ascii="宋体" w:hAnsi="宋体" w:cs="宋体" w:eastAsia="宋体" w:hint="default"/>
                <w:spacing w:val="-8"/>
                <w:sz w:val="18"/>
                <w:szCs w:val="18"/>
              </w:rPr>
              <w:t>”</w:t>
            </w:r>
            <w:r>
              <w:rPr>
                <w:rFonts w:ascii="宋体" w:hAnsi="宋体" w:cs="宋体" w:eastAsia="宋体" w:hint="default"/>
                <w:sz w:val="18"/>
                <w:szCs w:val="18"/>
              </w:rPr>
              <w:t>结余募集资金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9"/>
                <w:sz w:val="18"/>
                <w:szCs w:val="18"/>
              </w:rPr>
              <w:t>；</w:t>
            </w:r>
            <w:r>
              <w:rPr>
                <w:rFonts w:ascii="宋体" w:hAnsi="宋体" w:cs="宋体" w:eastAsia="宋体" w:hint="default"/>
                <w:sz w:val="18"/>
                <w:szCs w:val="18"/>
              </w:rPr>
              <w:t>“自主可控安全计算机</w:t>
            </w:r>
          </w:p>
          <w:p>
            <w:pPr>
              <w:pStyle w:val="TableParagraph"/>
              <w:spacing w:line="240" w:lineRule="auto" w:before="63"/>
              <w:ind w:left="-1" w:right="-1"/>
              <w:jc w:val="left"/>
              <w:rPr>
                <w:rFonts w:ascii="宋体" w:hAnsi="宋体" w:cs="宋体" w:eastAsia="宋体" w:hint="default"/>
                <w:sz w:val="18"/>
                <w:szCs w:val="18"/>
              </w:rPr>
            </w:pPr>
            <w:r>
              <w:rPr>
                <w:rFonts w:ascii="宋体" w:hAnsi="宋体" w:cs="宋体" w:eastAsia="宋体" w:hint="default"/>
                <w:sz w:val="18"/>
                <w:szCs w:val="18"/>
              </w:rPr>
              <w:t>产业化</w:t>
            </w:r>
            <w:r>
              <w:rPr>
                <w:rFonts w:ascii="宋体" w:hAnsi="宋体" w:cs="宋体" w:eastAsia="宋体" w:hint="default"/>
                <w:spacing w:val="-5"/>
                <w:sz w:val="18"/>
                <w:szCs w:val="18"/>
              </w:rPr>
              <w:t>”</w:t>
            </w:r>
            <w:r>
              <w:rPr>
                <w:rFonts w:ascii="宋体" w:hAnsi="宋体" w:cs="宋体" w:eastAsia="宋体" w:hint="default"/>
                <w:sz w:val="18"/>
                <w:szCs w:val="18"/>
              </w:rPr>
              <w:t>结余募集资金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6"/>
                <w:sz w:val="18"/>
                <w:szCs w:val="18"/>
              </w:rPr>
              <w:t>；</w:t>
            </w:r>
            <w:r>
              <w:rPr>
                <w:rFonts w:ascii="宋体" w:hAnsi="宋体" w:cs="宋体" w:eastAsia="宋体" w:hint="default"/>
                <w:sz w:val="18"/>
                <w:szCs w:val="18"/>
              </w:rPr>
              <w:t>“安全高端金融机具产业化</w:t>
            </w:r>
            <w:r>
              <w:rPr>
                <w:rFonts w:ascii="宋体" w:hAnsi="宋体" w:cs="宋体" w:eastAsia="宋体" w:hint="default"/>
                <w:spacing w:val="-5"/>
                <w:sz w:val="18"/>
                <w:szCs w:val="18"/>
              </w:rPr>
              <w:t>”</w:t>
            </w:r>
            <w:r>
              <w:rPr>
                <w:rFonts w:ascii="宋体" w:hAnsi="宋体" w:cs="宋体" w:eastAsia="宋体" w:hint="default"/>
                <w:sz w:val="18"/>
                <w:szCs w:val="18"/>
              </w:rPr>
              <w:t>结余募集资金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7 </w:t>
            </w:r>
            <w:r>
              <w:rPr>
                <w:rFonts w:ascii="宋体" w:hAnsi="宋体" w:cs="宋体" w:eastAsia="宋体" w:hint="default"/>
                <w:sz w:val="18"/>
                <w:szCs w:val="18"/>
              </w:rPr>
              <w:t>万元</w:t>
            </w:r>
            <w:r>
              <w:rPr>
                <w:rFonts w:ascii="宋体" w:hAnsi="宋体" w:cs="宋体" w:eastAsia="宋体" w:hint="default"/>
                <w:spacing w:val="-96"/>
                <w:sz w:val="18"/>
                <w:szCs w:val="18"/>
              </w:rPr>
              <w:t>；</w:t>
            </w:r>
            <w:r>
              <w:rPr>
                <w:rFonts w:ascii="宋体" w:hAnsi="宋体" w:cs="宋体" w:eastAsia="宋体" w:hint="default"/>
                <w:sz w:val="18"/>
                <w:szCs w:val="18"/>
              </w:rPr>
              <w:t>“基于居民健康卡</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的区域诊疗一卡通平台”结余募集资金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2,036.61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359"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经</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七</w:t>
            </w:r>
            <w:r>
              <w:rPr>
                <w:rFonts w:ascii="宋体" w:hAnsi="宋体" w:cs="宋体" w:eastAsia="宋体" w:hint="default"/>
                <w:sz w:val="18"/>
                <w:szCs w:val="18"/>
              </w:rPr>
              <w:t>届董事会第二十三次会议和第七届监事会第九次会议</w:t>
            </w:r>
            <w:r>
              <w:rPr>
                <w:rFonts w:ascii="宋体" w:hAnsi="宋体" w:cs="宋体" w:eastAsia="宋体" w:hint="default"/>
                <w:spacing w:val="-91"/>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w:t>
            </w:r>
            <w:r>
              <w:rPr>
                <w:rFonts w:ascii="宋体" w:hAnsi="宋体" w:cs="宋体" w:eastAsia="宋体" w:hint="default"/>
                <w:spacing w:val="-5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p>
          <w:p>
            <w:pPr>
              <w:pStyle w:val="TableParagraph"/>
              <w:spacing w:line="240" w:lineRule="auto" w:before="63"/>
              <w:ind w:left="-1" w:right="-3"/>
              <w:jc w:val="left"/>
              <w:rPr>
                <w:rFonts w:ascii="宋体" w:hAnsi="宋体" w:cs="宋体" w:eastAsia="宋体" w:hint="default"/>
                <w:sz w:val="18"/>
                <w:szCs w:val="18"/>
              </w:rPr>
            </w:pPr>
            <w:r>
              <w:rPr>
                <w:rFonts w:ascii="宋体" w:hAnsi="宋体" w:cs="宋体" w:eastAsia="宋体" w:hint="default"/>
                <w:sz w:val="18"/>
                <w:szCs w:val="18"/>
              </w:rPr>
              <w:t>年度第三次临时股东大会审议，同意前述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个募集资金投资项目结项并将结余募集资金合计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7,373.53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万元（含利息</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净收入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w:t>
            </w:r>
            <w:r>
              <w:rPr>
                <w:rFonts w:ascii="宋体" w:hAnsi="宋体" w:cs="宋体" w:eastAsia="宋体" w:hint="default"/>
                <w:spacing w:val="-3"/>
                <w:sz w:val="18"/>
                <w:szCs w:val="18"/>
              </w:rPr>
              <w:t>补</w:t>
            </w:r>
            <w:r>
              <w:rPr>
                <w:rFonts w:ascii="宋体" w:hAnsi="宋体" w:cs="宋体" w:eastAsia="宋体" w:hint="default"/>
                <w:sz w:val="18"/>
                <w:szCs w:val="18"/>
              </w:rPr>
              <w:t>充流动资金（具体内容详见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715"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 w:right="51"/>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8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6" w:firstLine="360"/>
              <w:jc w:val="left"/>
              <w:rPr>
                <w:rFonts w:ascii="宋体" w:hAnsi="宋体" w:cs="宋体" w:eastAsia="宋体" w:hint="default"/>
                <w:sz w:val="18"/>
                <w:szCs w:val="18"/>
              </w:rPr>
            </w:pPr>
            <w:r>
              <w:rPr>
                <w:rFonts w:ascii="宋体" w:hAnsi="宋体" w:cs="宋体" w:eastAsia="宋体" w:hint="default"/>
                <w:spacing w:val="-1"/>
                <w:sz w:val="18"/>
                <w:szCs w:val="18"/>
              </w:rPr>
              <w:t>尚未完成的募集资金投资项目为“智能单兵综合信息系统建设项目”，尚未使用的募集资金存放于公司募集资</w:t>
            </w:r>
            <w:r>
              <w:rPr>
                <w:rFonts w:ascii="宋体" w:hAnsi="宋体" w:cs="宋体" w:eastAsia="宋体" w:hint="default"/>
                <w:sz w:val="18"/>
                <w:szCs w:val="18"/>
              </w:rPr>
              <w:t> 金专户管理。</w:t>
            </w:r>
          </w:p>
        </w:tc>
      </w:tr>
      <w:tr>
        <w:trPr>
          <w:trHeight w:val="713"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 w:right="51"/>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8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14"/>
          <w:szCs w:val="14"/>
        </w:rPr>
      </w:pPr>
    </w:p>
    <w:p>
      <w:pPr>
        <w:pStyle w:val="Heading5"/>
        <w:spacing w:line="240" w:lineRule="auto"/>
        <w:ind w:left="912" w:right="80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1"/>
          <w:szCs w:val="21"/>
        </w:rPr>
      </w:pPr>
    </w:p>
    <w:p>
      <w:pPr>
        <w:spacing w:before="0"/>
        <w:ind w:left="912" w:right="805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3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44"/>
        <w:ind w:left="0" w:right="283" w:firstLine="0"/>
        <w:jc w:val="right"/>
        <w:rPr>
          <w:rFonts w:ascii="宋体" w:hAnsi="宋体" w:cs="宋体" w:eastAsia="宋体" w:hint="default"/>
          <w:sz w:val="18"/>
          <w:szCs w:val="18"/>
        </w:rPr>
      </w:pPr>
      <w:r>
        <w:rPr/>
        <w:pict>
          <v:shape style="position:absolute;margin-left:16.98pt;margin-top:-116.548294pt;width:561.550pt;height:281.8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7"/>
                    <w:gridCol w:w="1702"/>
                    <w:gridCol w:w="994"/>
                    <w:gridCol w:w="991"/>
                    <w:gridCol w:w="994"/>
                    <w:gridCol w:w="850"/>
                    <w:gridCol w:w="1133"/>
                    <w:gridCol w:w="853"/>
                    <w:gridCol w:w="991"/>
                    <w:gridCol w:w="1212"/>
                  </w:tblGrid>
                  <w:tr>
                    <w:trPr>
                      <w:trHeight w:val="986" w:hRule="exact"/>
                    </w:trPr>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对应的原承诺项目</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2"/>
                          <w:ind w:left="26" w:right="24"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w:t>
                        </w:r>
                        <w:r>
                          <w:rPr>
                            <w:rFonts w:ascii="Times New Roman" w:hAnsi="Times New Roman" w:cs="Times New Roman" w:eastAsia="Times New Roman" w:hint="default"/>
                            <w:sz w:val="18"/>
                            <w:szCs w:val="18"/>
                          </w:rPr>
                          <w:t>(1)</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2"/>
                          <w:ind w:left="40"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32"/>
                          <w:ind w:left="28" w:right="2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2"/>
                          <w:ind w:left="112" w:right="10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2"/>
                          <w:ind w:left="59" w:right="6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2"/>
                          <w:ind w:left="62" w:right="59"/>
                          <w:jc w:val="both"/>
                          <w:rPr>
                            <w:rFonts w:ascii="宋体" w:hAnsi="宋体" w:cs="宋体" w:eastAsia="宋体" w:hint="default"/>
                            <w:sz w:val="18"/>
                            <w:szCs w:val="18"/>
                          </w:rPr>
                        </w:pPr>
                        <w:r>
                          <w:rPr>
                            <w:rFonts w:ascii="宋体" w:hAnsi="宋体" w:cs="宋体" w:eastAsia="宋体" w:hint="default"/>
                            <w:sz w:val="18"/>
                            <w:szCs w:val="18"/>
                          </w:rPr>
                          <w:t>变更后的项目 可行性是否发 生重大变化</w:t>
                        </w:r>
                      </w:p>
                    </w:tc>
                  </w:tr>
                  <w:tr>
                    <w:trPr>
                      <w:trHeight w:val="674"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2"/>
                          <w:ind w:left="22" w:right="22"/>
                          <w:jc w:val="left"/>
                          <w:rPr>
                            <w:rFonts w:ascii="宋体" w:hAnsi="宋体" w:cs="宋体" w:eastAsia="宋体" w:hint="default"/>
                            <w:sz w:val="18"/>
                            <w:szCs w:val="18"/>
                          </w:rPr>
                        </w:pPr>
                        <w:r>
                          <w:rPr>
                            <w:rFonts w:ascii="宋体" w:hAnsi="宋体" w:cs="宋体" w:eastAsia="宋体" w:hint="default"/>
                            <w:sz w:val="18"/>
                            <w:szCs w:val="18"/>
                          </w:rPr>
                          <w:t>智能单兵综合信息 系统建设项目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2"/>
                          <w:ind w:left="26" w:right="43"/>
                          <w:jc w:val="left"/>
                          <w:rPr>
                            <w:rFonts w:ascii="宋体" w:hAnsi="宋体" w:cs="宋体" w:eastAsia="宋体" w:hint="default"/>
                            <w:sz w:val="18"/>
                            <w:szCs w:val="18"/>
                          </w:rPr>
                        </w:pPr>
                        <w:r>
                          <w:rPr>
                            <w:rFonts w:ascii="宋体" w:hAnsi="宋体" w:cs="宋体" w:eastAsia="宋体" w:hint="default"/>
                            <w:sz w:val="18"/>
                            <w:szCs w:val="18"/>
                          </w:rPr>
                          <w:t>基于居民健康卡的区 域诊疗一卡通平台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10,767.66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10,767.66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69.92%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15,400.00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10,767.66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10,767.66</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2254" w:hRule="exact"/>
                    </w:trPr>
                    <w:tc>
                      <w:tcPr>
                        <w:tcW w:w="31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4" w:lineRule="auto"/>
                          <w:ind w:left="22"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变更原因、决策程序及信息披露情况说 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8018" w:type="dxa"/>
                        <w:gridSpan w:val="8"/>
                        <w:tcBorders>
                          <w:top w:val="single" w:sz="4" w:space="0" w:color="000000"/>
                          <w:left w:val="single" w:sz="4" w:space="0" w:color="000000"/>
                          <w:bottom w:val="single" w:sz="4" w:space="0" w:color="000000"/>
                          <w:right w:val="single" w:sz="4" w:space="0" w:color="000000"/>
                        </w:tcBorders>
                      </w:tcPr>
                      <w:p>
                        <w:pPr>
                          <w:pStyle w:val="TableParagraph"/>
                          <w:spacing w:line="307" w:lineRule="auto" w:before="32"/>
                          <w:ind w:left="24" w:right="81" w:firstLine="360"/>
                          <w:jc w:val="both"/>
                          <w:rPr>
                            <w:rFonts w:ascii="宋体" w:hAnsi="宋体" w:cs="宋体" w:eastAsia="宋体" w:hint="default"/>
                            <w:sz w:val="18"/>
                            <w:szCs w:val="18"/>
                          </w:rPr>
                        </w:pPr>
                        <w:r>
                          <w:rPr>
                            <w:rFonts w:ascii="宋体" w:hAnsi="宋体" w:cs="宋体" w:eastAsia="宋体" w:hint="default"/>
                            <w:sz w:val="18"/>
                            <w:szCs w:val="18"/>
                          </w:rPr>
                          <w:t>原募投项目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基于居民健康卡的区域诊疗一卡通平台</w:t>
                        </w:r>
                        <w:r>
                          <w:rPr>
                            <w:rFonts w:ascii="Times New Roman" w:hAnsi="Times New Roman" w:cs="Times New Roman" w:eastAsia="Times New Roman" w:hint="default"/>
                            <w:sz w:val="18"/>
                            <w:szCs w:val="18"/>
                          </w:rPr>
                          <w:t>”</w:t>
                        </w:r>
                        <w:r>
                          <w:rPr>
                            <w:rFonts w:ascii="宋体" w:hAnsi="宋体" w:cs="宋体" w:eastAsia="宋体" w:hint="default"/>
                            <w:sz w:val="18"/>
                            <w:szCs w:val="18"/>
                          </w:rPr>
                          <w:t>受市场因素影响，项目开展进度缓慢。为提 </w:t>
                        </w:r>
                        <w:r>
                          <w:rPr>
                            <w:rFonts w:ascii="宋体" w:hAnsi="宋体" w:cs="宋体" w:eastAsia="宋体" w:hint="default"/>
                            <w:spacing w:val="-2"/>
                            <w:sz w:val="18"/>
                            <w:szCs w:val="18"/>
                          </w:rPr>
                          <w:t>高募集资金使用效率，提高募投项目收益水平，保护全体股东利益，更好地满足公司未来发展的需要</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日公司第七届董事会第七次会议、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年度第六次临时股</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东大会审议</w:t>
                        </w:r>
                        <w:r>
                          <w:rPr>
                            <w:rFonts w:ascii="宋体" w:hAnsi="宋体" w:cs="宋体" w:eastAsia="宋体" w:hint="default"/>
                            <w:spacing w:val="-77"/>
                            <w:sz w:val="18"/>
                            <w:szCs w:val="18"/>
                          </w:rPr>
                          <w:t>，</w:t>
                        </w:r>
                        <w:r>
                          <w:rPr>
                            <w:rFonts w:ascii="宋体" w:hAnsi="宋体" w:cs="宋体" w:eastAsia="宋体" w:hint="default"/>
                            <w:sz w:val="18"/>
                            <w:szCs w:val="18"/>
                          </w:rPr>
                          <w:t>同意公司将原募投项目剩余募集资金中的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万元用于</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智能单兵综合信息系统建设项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（具体内容详见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号公告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84"/>
                          <w:ind w:left="24"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月，中原电子开设募集资金专项账户并与相关各方签署《募集资金四方监管协议》，实现</w:t>
                        </w:r>
                        <w:r>
                          <w:rPr>
                            <w:rFonts w:ascii="宋体" w:hAnsi="宋体" w:cs="宋体" w:eastAsia="宋体" w:hint="default"/>
                            <w:sz w:val="18"/>
                            <w:szCs w:val="18"/>
                          </w:rPr>
                          <w:t> 募集资金专款专用。</w:t>
                        </w:r>
                      </w:p>
                    </w:tc>
                  </w:tr>
                  <w:tr>
                    <w:trPr>
                      <w:trHeight w:val="674" w:hRule="exact"/>
                    </w:trPr>
                    <w:tc>
                      <w:tcPr>
                        <w:tcW w:w="31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2"/>
                          <w:ind w:left="22"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 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801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74" w:hRule="exact"/>
                    </w:trPr>
                    <w:tc>
                      <w:tcPr>
                        <w:tcW w:w="31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2"/>
                          <w:ind w:left="22" w:right="105"/>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 况说明</w:t>
                        </w:r>
                      </w:p>
                    </w:tc>
                    <w:tc>
                      <w:tcPr>
                        <w:tcW w:w="801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before="26"/>
        <w:ind w:left="912" w:right="8053"/>
        <w:jc w:val="left"/>
        <w:rPr>
          <w:b w:val="0"/>
          <w:bCs w:val="0"/>
        </w:rPr>
      </w:pPr>
      <w:r>
        <w:rPr/>
        <w:t>六、重大资产和股权出售</w:t>
      </w:r>
      <w:r>
        <w:rPr>
          <w:b w:val="0"/>
          <w:bCs w:val="0"/>
        </w:rPr>
      </w:r>
    </w:p>
    <w:p>
      <w:pPr>
        <w:spacing w:line="240" w:lineRule="auto" w:before="4"/>
        <w:rPr>
          <w:rFonts w:ascii="宋体" w:hAnsi="宋体" w:cs="宋体" w:eastAsia="宋体" w:hint="default"/>
          <w:b/>
          <w:bCs/>
          <w:sz w:val="29"/>
          <w:szCs w:val="29"/>
        </w:rPr>
      </w:pPr>
    </w:p>
    <w:p>
      <w:pPr>
        <w:pStyle w:val="Heading5"/>
        <w:spacing w:line="240" w:lineRule="auto" w:before="0"/>
        <w:ind w:left="912" w:right="805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2"/>
        <w:rPr>
          <w:rFonts w:ascii="宋体" w:hAnsi="宋体" w:cs="宋体" w:eastAsia="宋体" w:hint="default"/>
          <w:b/>
          <w:bCs/>
          <w:sz w:val="30"/>
          <w:szCs w:val="30"/>
        </w:rPr>
      </w:pPr>
    </w:p>
    <w:p>
      <w:pPr>
        <w:spacing w:line="357" w:lineRule="auto" w:before="0"/>
        <w:ind w:left="1273" w:right="8053" w:hanging="36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适用 </w:t>
      </w:r>
      <w:r>
        <w:rPr>
          <w:rFonts w:ascii="宋体" w:hAnsi="宋体" w:cs="宋体" w:eastAsia="宋体" w:hint="default"/>
          <w:sz w:val="18"/>
          <w:szCs w:val="18"/>
        </w:rPr>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z w:val="18"/>
          <w:szCs w:val="18"/>
        </w:rPr>
        <w:t>公司报告期未出售重大资产。</w:t>
      </w:r>
    </w:p>
    <w:p>
      <w:pPr>
        <w:spacing w:after="0" w:line="357" w:lineRule="auto"/>
        <w:jc w:val="left"/>
        <w:rPr>
          <w:rFonts w:ascii="宋体" w:hAnsi="宋体" w:cs="宋体" w:eastAsia="宋体" w:hint="default"/>
          <w:sz w:val="18"/>
          <w:szCs w:val="18"/>
        </w:rPr>
        <w:sectPr>
          <w:pgSz w:w="11910" w:h="16840"/>
          <w:pgMar w:header="789" w:footer="975" w:top="1100" w:bottom="1160" w:left="220" w:right="0"/>
        </w:sectPr>
      </w:pPr>
    </w:p>
    <w:p>
      <w:pPr>
        <w:spacing w:line="240" w:lineRule="auto" w:before="6"/>
        <w:rPr>
          <w:rFonts w:ascii="宋体" w:hAnsi="宋体" w:cs="宋体" w:eastAsia="宋体" w:hint="default"/>
          <w:sz w:val="21"/>
          <w:szCs w:val="21"/>
        </w:rPr>
      </w:pPr>
    </w:p>
    <w:p>
      <w:pPr>
        <w:pStyle w:val="Heading5"/>
        <w:spacing w:line="240" w:lineRule="auto"/>
        <w:ind w:left="932" w:right="679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0"/>
        <w:rPr>
          <w:rFonts w:ascii="宋体" w:hAnsi="宋体" w:cs="宋体" w:eastAsia="宋体" w:hint="default"/>
          <w:b/>
          <w:bCs/>
          <w:sz w:val="21"/>
          <w:szCs w:val="21"/>
        </w:rPr>
      </w:pPr>
    </w:p>
    <w:p>
      <w:pPr>
        <w:spacing w:before="0"/>
        <w:ind w:left="932" w:right="6794" w:firstLine="0"/>
        <w:jc w:val="left"/>
        <w:rPr>
          <w:rFonts w:ascii="宋体" w:hAnsi="宋体" w:cs="宋体" w:eastAsia="宋体" w:hint="default"/>
          <w:sz w:val="18"/>
          <w:szCs w:val="18"/>
        </w:rPr>
      </w:pPr>
      <w:r>
        <w:rPr/>
        <w:pict>
          <v:shape style="position:absolute;margin-left:193.698074pt;margin-top:17.591728pt;width:67.850pt;height:82pt;mso-position-horizontal-relative:page;mso-position-vertical-relative:paragraph;z-index:-1630192" type="#_x0000_t202" filled="false" stroked="false">
            <v:textbox inset="0,0,0,0">
              <w:txbxContent>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
                    <w:rPr>
                      <w:rFonts w:ascii="宋体" w:hAnsi="宋体" w:cs="宋体" w:eastAsia="宋体" w:hint="default"/>
                      <w:sz w:val="17"/>
                      <w:szCs w:val="17"/>
                    </w:rPr>
                  </w:pPr>
                </w:p>
                <w:p>
                  <w:pPr>
                    <w:spacing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2"/>
        <w:gridCol w:w="862"/>
        <w:gridCol w:w="679"/>
        <w:gridCol w:w="710"/>
        <w:gridCol w:w="850"/>
        <w:gridCol w:w="1265"/>
        <w:gridCol w:w="994"/>
        <w:gridCol w:w="718"/>
        <w:gridCol w:w="569"/>
        <w:gridCol w:w="566"/>
        <w:gridCol w:w="794"/>
        <w:gridCol w:w="1304"/>
        <w:gridCol w:w="648"/>
        <w:gridCol w:w="766"/>
      </w:tblGrid>
      <w:tr>
        <w:trPr>
          <w:trHeight w:val="1649" w:hRule="exact"/>
        </w:trPr>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434" w:lineRule="auto"/>
              <w:ind w:left="120" w:right="119"/>
              <w:jc w:val="left"/>
              <w:rPr>
                <w:rFonts w:ascii="宋体" w:hAnsi="宋体" w:cs="宋体" w:eastAsia="宋体" w:hint="default"/>
                <w:sz w:val="15"/>
                <w:szCs w:val="15"/>
              </w:rPr>
            </w:pPr>
            <w:r>
              <w:rPr>
                <w:rFonts w:ascii="宋体" w:hAnsi="宋体" w:cs="宋体" w:eastAsia="宋体" w:hint="default"/>
                <w:sz w:val="15"/>
                <w:szCs w:val="15"/>
              </w:rPr>
              <w:t>交易</w:t>
            </w:r>
            <w:r>
              <w:rPr>
                <w:rFonts w:ascii="宋体" w:hAnsi="宋体" w:cs="宋体" w:eastAsia="宋体" w:hint="default"/>
                <w:spacing w:val="-73"/>
                <w:sz w:val="15"/>
                <w:szCs w:val="15"/>
              </w:rPr>
              <w:t> </w:t>
            </w:r>
            <w:r>
              <w:rPr>
                <w:rFonts w:ascii="宋体" w:hAnsi="宋体" w:cs="宋体" w:eastAsia="宋体" w:hint="default"/>
                <w:sz w:val="15"/>
                <w:szCs w:val="15"/>
              </w:rPr>
              <w:t>对方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52" w:right="0"/>
              <w:jc w:val="left"/>
              <w:rPr>
                <w:rFonts w:ascii="宋体" w:hAnsi="宋体" w:cs="宋体" w:eastAsia="宋体" w:hint="default"/>
                <w:sz w:val="15"/>
                <w:szCs w:val="15"/>
              </w:rPr>
            </w:pPr>
            <w:r>
              <w:rPr>
                <w:rFonts w:ascii="宋体" w:hAnsi="宋体" w:cs="宋体" w:eastAsia="宋体" w:hint="default"/>
                <w:sz w:val="15"/>
                <w:szCs w:val="15"/>
              </w:rPr>
              <w:t>被出售股权</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出售日</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15"/>
                <w:szCs w:val="15"/>
              </w:rPr>
            </w:pPr>
            <w:r>
              <w:rPr>
                <w:rFonts w:ascii="宋体" w:hAnsi="宋体" w:cs="宋体" w:eastAsia="宋体" w:hint="default"/>
                <w:sz w:val="15"/>
                <w:szCs w:val="15"/>
              </w:rPr>
              <w:t>交易价格</w:t>
            </w:r>
          </w:p>
          <w:p>
            <w:pPr>
              <w:pStyle w:val="TableParagraph"/>
              <w:spacing w:line="240" w:lineRule="auto" w:before="113"/>
              <w:ind w:left="50"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7"/>
              <w:ind w:right="41" w:firstLine="43"/>
              <w:jc w:val="both"/>
              <w:rPr>
                <w:rFonts w:ascii="宋体" w:hAnsi="宋体" w:cs="宋体" w:eastAsia="宋体" w:hint="default"/>
                <w:sz w:val="15"/>
                <w:szCs w:val="15"/>
              </w:rPr>
            </w:pPr>
            <w:r>
              <w:rPr>
                <w:rFonts w:ascii="宋体" w:hAnsi="宋体" w:cs="宋体" w:eastAsia="宋体" w:hint="default"/>
                <w:sz w:val="15"/>
                <w:szCs w:val="15"/>
              </w:rPr>
              <w:t>本期初起至</w:t>
            </w:r>
            <w:r>
              <w:rPr>
                <w:rFonts w:ascii="宋体" w:hAnsi="宋体" w:cs="宋体" w:eastAsia="宋体" w:hint="default"/>
                <w:w w:val="100"/>
                <w:sz w:val="15"/>
                <w:szCs w:val="15"/>
              </w:rPr>
              <w:t> </w:t>
            </w:r>
            <w:r>
              <w:rPr>
                <w:rFonts w:ascii="宋体" w:hAnsi="宋体" w:cs="宋体" w:eastAsia="宋体" w:hint="default"/>
                <w:sz w:val="15"/>
                <w:szCs w:val="15"/>
              </w:rPr>
              <w:t>出售日该股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权为上市公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司贡献的净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利润（万元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出售对公司的影响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43" w:right="36"/>
              <w:jc w:val="both"/>
              <w:rPr>
                <w:rFonts w:ascii="宋体" w:hAnsi="宋体" w:cs="宋体" w:eastAsia="宋体" w:hint="default"/>
                <w:sz w:val="15"/>
                <w:szCs w:val="15"/>
              </w:rPr>
            </w:pPr>
            <w:r>
              <w:rPr>
                <w:rFonts w:ascii="宋体" w:hAnsi="宋体" w:cs="宋体" w:eastAsia="宋体" w:hint="default"/>
                <w:sz w:val="15"/>
                <w:szCs w:val="15"/>
              </w:rPr>
              <w:t>股权出售为上</w:t>
            </w:r>
            <w:r>
              <w:rPr>
                <w:rFonts w:ascii="宋体" w:hAnsi="宋体" w:cs="宋体" w:eastAsia="宋体" w:hint="default"/>
                <w:w w:val="100"/>
                <w:sz w:val="15"/>
                <w:szCs w:val="15"/>
              </w:rPr>
              <w:t> </w:t>
            </w:r>
            <w:r>
              <w:rPr>
                <w:rFonts w:ascii="宋体" w:hAnsi="宋体" w:cs="宋体" w:eastAsia="宋体" w:hint="default"/>
                <w:sz w:val="15"/>
                <w:szCs w:val="15"/>
              </w:rPr>
              <w:t>市公司贡献的</w:t>
            </w:r>
            <w:r>
              <w:rPr>
                <w:rFonts w:ascii="宋体" w:hAnsi="宋体" w:cs="宋体" w:eastAsia="宋体" w:hint="default"/>
                <w:w w:val="100"/>
                <w:sz w:val="15"/>
                <w:szCs w:val="15"/>
              </w:rPr>
              <w:t> </w:t>
            </w:r>
            <w:r>
              <w:rPr>
                <w:rFonts w:ascii="宋体" w:hAnsi="宋体" w:cs="宋体" w:eastAsia="宋体" w:hint="default"/>
                <w:sz w:val="15"/>
                <w:szCs w:val="15"/>
              </w:rPr>
              <w:t>净利润占净利</w:t>
            </w:r>
            <w:r>
              <w:rPr>
                <w:rFonts w:ascii="宋体" w:hAnsi="宋体" w:cs="宋体" w:eastAsia="宋体" w:hint="default"/>
                <w:w w:val="100"/>
                <w:sz w:val="15"/>
                <w:szCs w:val="15"/>
              </w:rPr>
              <w:t> </w:t>
            </w:r>
            <w:r>
              <w:rPr>
                <w:rFonts w:ascii="宋体" w:hAnsi="宋体" w:cs="宋体" w:eastAsia="宋体" w:hint="default"/>
                <w:sz w:val="15"/>
                <w:szCs w:val="15"/>
              </w:rPr>
              <w:t>润总额的比例</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79" w:lineRule="auto"/>
              <w:ind w:left="52" w:right="51"/>
              <w:jc w:val="left"/>
              <w:rPr>
                <w:rFonts w:ascii="宋体" w:hAnsi="宋体" w:cs="宋体" w:eastAsia="宋体" w:hint="default"/>
                <w:sz w:val="15"/>
                <w:szCs w:val="15"/>
              </w:rPr>
            </w:pPr>
            <w:r>
              <w:rPr>
                <w:rFonts w:ascii="宋体" w:hAnsi="宋体" w:cs="宋体" w:eastAsia="宋体" w:hint="default"/>
                <w:sz w:val="15"/>
                <w:szCs w:val="15"/>
              </w:rPr>
              <w:t>股权出售</w:t>
            </w:r>
            <w:r>
              <w:rPr>
                <w:rFonts w:ascii="宋体" w:hAnsi="宋体" w:cs="宋体" w:eastAsia="宋体" w:hint="default"/>
                <w:w w:val="100"/>
                <w:sz w:val="15"/>
                <w:szCs w:val="15"/>
              </w:rPr>
              <w:t> </w:t>
            </w:r>
            <w:r>
              <w:rPr>
                <w:rFonts w:ascii="宋体" w:hAnsi="宋体" w:cs="宋体" w:eastAsia="宋体" w:hint="default"/>
                <w:sz w:val="15"/>
                <w:szCs w:val="15"/>
              </w:rPr>
              <w:t>定价原则</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79" w:lineRule="auto"/>
              <w:ind w:left="55" w:right="48"/>
              <w:jc w:val="center"/>
              <w:rPr>
                <w:rFonts w:ascii="宋体" w:hAnsi="宋体" w:cs="宋体" w:eastAsia="宋体" w:hint="default"/>
                <w:sz w:val="15"/>
                <w:szCs w:val="15"/>
              </w:rPr>
            </w:pPr>
            <w:r>
              <w:rPr>
                <w:rFonts w:ascii="宋体" w:hAnsi="宋体" w:cs="宋体" w:eastAsia="宋体" w:hint="default"/>
                <w:sz w:val="15"/>
                <w:szCs w:val="15"/>
              </w:rPr>
              <w:t>是否为</w:t>
            </w:r>
            <w:r>
              <w:rPr>
                <w:rFonts w:ascii="宋体" w:hAnsi="宋体" w:cs="宋体" w:eastAsia="宋体" w:hint="default"/>
                <w:w w:val="100"/>
                <w:sz w:val="15"/>
                <w:szCs w:val="15"/>
              </w:rPr>
              <w:t> </w:t>
            </w:r>
            <w:r>
              <w:rPr>
                <w:rFonts w:ascii="宋体" w:hAnsi="宋体" w:cs="宋体" w:eastAsia="宋体" w:hint="default"/>
                <w:sz w:val="15"/>
                <w:szCs w:val="15"/>
              </w:rPr>
              <w:t>关联交</w:t>
            </w:r>
            <w:r>
              <w:rPr>
                <w:rFonts w:ascii="宋体" w:hAnsi="宋体" w:cs="宋体" w:eastAsia="宋体" w:hint="default"/>
                <w:w w:val="100"/>
                <w:sz w:val="15"/>
                <w:szCs w:val="15"/>
              </w:rPr>
              <w:t> </w:t>
            </w:r>
            <w:r>
              <w:rPr>
                <w:rFonts w:ascii="宋体" w:hAnsi="宋体" w:cs="宋体" w:eastAsia="宋体" w:hint="default"/>
                <w:sz w:val="15"/>
                <w:szCs w:val="15"/>
              </w:rPr>
              <w:t>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52" w:right="48"/>
              <w:jc w:val="center"/>
              <w:rPr>
                <w:rFonts w:ascii="宋体" w:hAnsi="宋体" w:cs="宋体" w:eastAsia="宋体" w:hint="default"/>
                <w:sz w:val="15"/>
                <w:szCs w:val="15"/>
              </w:rPr>
            </w:pPr>
            <w:r>
              <w:rPr>
                <w:rFonts w:ascii="宋体" w:hAnsi="宋体" w:cs="宋体" w:eastAsia="宋体" w:hint="default"/>
                <w:sz w:val="15"/>
                <w:szCs w:val="15"/>
              </w:rPr>
              <w:t>与交易</w:t>
            </w:r>
            <w:r>
              <w:rPr>
                <w:rFonts w:ascii="宋体" w:hAnsi="宋体" w:cs="宋体" w:eastAsia="宋体" w:hint="default"/>
                <w:w w:val="100"/>
                <w:sz w:val="15"/>
                <w:szCs w:val="15"/>
              </w:rPr>
              <w:t> </w:t>
            </w:r>
            <w:r>
              <w:rPr>
                <w:rFonts w:ascii="宋体" w:hAnsi="宋体" w:cs="宋体" w:eastAsia="宋体" w:hint="default"/>
                <w:sz w:val="15"/>
                <w:szCs w:val="15"/>
              </w:rPr>
              <w:t>对方的</w:t>
            </w:r>
            <w:r>
              <w:rPr>
                <w:rFonts w:ascii="宋体" w:hAnsi="宋体" w:cs="宋体" w:eastAsia="宋体" w:hint="default"/>
                <w:w w:val="100"/>
                <w:sz w:val="15"/>
                <w:szCs w:val="15"/>
              </w:rPr>
              <w:t> </w:t>
            </w:r>
            <w:r>
              <w:rPr>
                <w:rFonts w:ascii="宋体" w:hAnsi="宋体" w:cs="宋体" w:eastAsia="宋体" w:hint="default"/>
                <w:sz w:val="15"/>
                <w:szCs w:val="15"/>
              </w:rPr>
              <w:t>关联关</w:t>
            </w:r>
            <w:r>
              <w:rPr>
                <w:rFonts w:ascii="宋体" w:hAnsi="宋体" w:cs="宋体" w:eastAsia="宋体" w:hint="default"/>
                <w:w w:val="100"/>
                <w:sz w:val="15"/>
                <w:szCs w:val="15"/>
              </w:rPr>
              <w:t> </w:t>
            </w:r>
            <w:r>
              <w:rPr>
                <w:rFonts w:ascii="宋体" w:hAnsi="宋体" w:cs="宋体" w:eastAsia="宋体" w:hint="default"/>
                <w:sz w:val="15"/>
                <w:szCs w:val="15"/>
              </w:rPr>
              <w:t>系</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79" w:lineRule="auto"/>
              <w:ind w:left="16" w:right="12"/>
              <w:jc w:val="center"/>
              <w:rPr>
                <w:rFonts w:ascii="宋体" w:hAnsi="宋体" w:cs="宋体" w:eastAsia="宋体" w:hint="default"/>
                <w:sz w:val="15"/>
                <w:szCs w:val="15"/>
              </w:rPr>
            </w:pPr>
            <w:r>
              <w:rPr>
                <w:rFonts w:ascii="宋体" w:hAnsi="宋体" w:cs="宋体" w:eastAsia="宋体" w:hint="default"/>
                <w:sz w:val="15"/>
                <w:szCs w:val="15"/>
              </w:rPr>
              <w:t>所涉及的股</w:t>
            </w:r>
            <w:r>
              <w:rPr>
                <w:rFonts w:ascii="宋体" w:hAnsi="宋体" w:cs="宋体" w:eastAsia="宋体" w:hint="default"/>
                <w:w w:val="100"/>
                <w:sz w:val="15"/>
                <w:szCs w:val="15"/>
              </w:rPr>
              <w:t> </w:t>
            </w:r>
            <w:r>
              <w:rPr>
                <w:rFonts w:ascii="宋体" w:hAnsi="宋体" w:cs="宋体" w:eastAsia="宋体" w:hint="default"/>
                <w:sz w:val="15"/>
                <w:szCs w:val="15"/>
              </w:rPr>
              <w:t>权是否已全</w:t>
            </w:r>
            <w:r>
              <w:rPr>
                <w:rFonts w:ascii="宋体" w:hAnsi="宋体" w:cs="宋体" w:eastAsia="宋体" w:hint="default"/>
                <w:w w:val="100"/>
                <w:sz w:val="15"/>
                <w:szCs w:val="15"/>
              </w:rPr>
              <w:t> </w:t>
            </w:r>
            <w:r>
              <w:rPr>
                <w:rFonts w:ascii="宋体" w:hAnsi="宋体" w:cs="宋体" w:eastAsia="宋体" w:hint="default"/>
                <w:sz w:val="15"/>
                <w:szCs w:val="15"/>
              </w:rPr>
              <w:t>部过户</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right="-2" w:firstLine="45"/>
              <w:jc w:val="both"/>
              <w:rPr>
                <w:rFonts w:ascii="宋体" w:hAnsi="宋体" w:cs="宋体" w:eastAsia="宋体" w:hint="default"/>
                <w:sz w:val="15"/>
                <w:szCs w:val="15"/>
              </w:rPr>
            </w:pPr>
            <w:r>
              <w:rPr>
                <w:rFonts w:ascii="宋体" w:hAnsi="宋体" w:cs="宋体" w:eastAsia="宋体" w:hint="default"/>
                <w:sz w:val="15"/>
                <w:szCs w:val="15"/>
              </w:rPr>
              <w:t>是否按计划如期实</w:t>
            </w:r>
            <w:r>
              <w:rPr>
                <w:rFonts w:ascii="宋体" w:hAnsi="宋体" w:cs="宋体" w:eastAsia="宋体" w:hint="default"/>
                <w:w w:val="100"/>
                <w:sz w:val="15"/>
                <w:szCs w:val="15"/>
              </w:rPr>
              <w:t> </w:t>
            </w:r>
            <w:r>
              <w:rPr>
                <w:rFonts w:ascii="宋体" w:hAnsi="宋体" w:cs="宋体" w:eastAsia="宋体" w:hint="default"/>
                <w:sz w:val="15"/>
                <w:szCs w:val="15"/>
              </w:rPr>
              <w:t>施，如未按计划实</w:t>
            </w:r>
            <w:r>
              <w:rPr>
                <w:rFonts w:ascii="宋体" w:hAnsi="宋体" w:cs="宋体" w:eastAsia="宋体" w:hint="default"/>
                <w:w w:val="100"/>
                <w:sz w:val="15"/>
                <w:szCs w:val="15"/>
              </w:rPr>
              <w:t> </w:t>
            </w:r>
            <w:r>
              <w:rPr>
                <w:rFonts w:ascii="宋体" w:hAnsi="宋体" w:cs="宋体" w:eastAsia="宋体" w:hint="default"/>
                <w:spacing w:val="-8"/>
                <w:sz w:val="15"/>
                <w:szCs w:val="15"/>
              </w:rPr>
              <w:t>施，应当说明原因及</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公司已采取的措施</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9" w:right="0"/>
              <w:jc w:val="left"/>
              <w:rPr>
                <w:rFonts w:ascii="宋体" w:hAnsi="宋体" w:cs="宋体" w:eastAsia="宋体" w:hint="default"/>
                <w:sz w:val="15"/>
                <w:szCs w:val="15"/>
              </w:rPr>
            </w:pPr>
            <w:r>
              <w:rPr>
                <w:rFonts w:ascii="宋体" w:hAnsi="宋体" w:cs="宋体" w:eastAsia="宋体" w:hint="default"/>
                <w:sz w:val="15"/>
                <w:szCs w:val="15"/>
              </w:rPr>
              <w:t>披露日期</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sz w:val="15"/>
                <w:szCs w:val="15"/>
              </w:rPr>
              <w:t>披露索引</w:t>
            </w:r>
          </w:p>
        </w:tc>
      </w:tr>
      <w:tr>
        <w:trPr>
          <w:trHeight w:val="1339"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439" w:lineRule="auto" w:before="92"/>
              <w:ind w:left="9" w:right="12"/>
              <w:jc w:val="both"/>
              <w:rPr>
                <w:rFonts w:ascii="宋体" w:hAnsi="宋体" w:cs="宋体" w:eastAsia="宋体" w:hint="default"/>
                <w:sz w:val="13"/>
                <w:szCs w:val="13"/>
              </w:rPr>
            </w:pPr>
            <w:r>
              <w:rPr>
                <w:rFonts w:ascii="宋体" w:hAnsi="宋体" w:cs="宋体" w:eastAsia="宋体" w:hint="default"/>
                <w:sz w:val="13"/>
                <w:szCs w:val="13"/>
              </w:rPr>
              <w:t>中电工业</w:t>
            </w:r>
            <w:r>
              <w:rPr>
                <w:rFonts w:ascii="宋体" w:hAnsi="宋体" w:cs="宋体" w:eastAsia="宋体" w:hint="default"/>
                <w:w w:val="99"/>
                <w:sz w:val="13"/>
                <w:szCs w:val="13"/>
              </w:rPr>
              <w:t> </w:t>
            </w:r>
            <w:r>
              <w:rPr>
                <w:rFonts w:ascii="宋体" w:hAnsi="宋体" w:cs="宋体" w:eastAsia="宋体" w:hint="default"/>
                <w:sz w:val="13"/>
                <w:szCs w:val="13"/>
              </w:rPr>
              <w:t>互联网有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439" w:lineRule="auto"/>
              <w:ind w:left="38" w:right="34"/>
              <w:jc w:val="center"/>
              <w:rPr>
                <w:rFonts w:ascii="宋体" w:hAnsi="宋体" w:cs="宋体" w:eastAsia="宋体" w:hint="default"/>
                <w:sz w:val="13"/>
                <w:szCs w:val="13"/>
              </w:rPr>
            </w:pPr>
            <w:r>
              <w:rPr>
                <w:rFonts w:ascii="宋体" w:hAnsi="宋体" w:cs="宋体" w:eastAsia="宋体" w:hint="default"/>
                <w:sz w:val="13"/>
                <w:szCs w:val="13"/>
              </w:rPr>
              <w:t>湖南凯杰科技</w:t>
            </w:r>
            <w:r>
              <w:rPr>
                <w:rFonts w:ascii="宋体" w:hAnsi="宋体" w:cs="宋体" w:eastAsia="宋体" w:hint="default"/>
                <w:w w:val="99"/>
                <w:sz w:val="13"/>
                <w:szCs w:val="13"/>
              </w:rPr>
              <w:t> </w:t>
            </w:r>
            <w:r>
              <w:rPr>
                <w:rFonts w:ascii="宋体" w:hAnsi="宋体" w:cs="宋体" w:eastAsia="宋体" w:hint="default"/>
                <w:sz w:val="13"/>
                <w:szCs w:val="13"/>
              </w:rPr>
              <w:t>有限责任公司</w:t>
            </w:r>
            <w:r>
              <w:rPr>
                <w:rFonts w:ascii="宋体" w:hAnsi="宋体" w:cs="宋体" w:eastAsia="宋体" w:hint="default"/>
                <w:w w:val="99"/>
                <w:sz w:val="13"/>
                <w:szCs w:val="13"/>
              </w:rPr>
              <w:t> </w:t>
            </w:r>
            <w:r>
              <w:rPr>
                <w:rFonts w:ascii="Times New Roman" w:hAnsi="Times New Roman" w:cs="Times New Roman" w:eastAsia="Times New Roman" w:hint="default"/>
                <w:sz w:val="13"/>
                <w:szCs w:val="13"/>
              </w:rPr>
              <w:t>100%</w:t>
            </w:r>
            <w:r>
              <w:rPr>
                <w:rFonts w:ascii="宋体" w:hAnsi="宋体" w:cs="宋体" w:eastAsia="宋体" w:hint="default"/>
                <w:sz w:val="13"/>
                <w:szCs w:val="13"/>
              </w:rPr>
              <w:t>股权</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5"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41"/>
                <w:sz w:val="13"/>
                <w:szCs w:val="13"/>
              </w:rPr>
              <w:t> </w:t>
            </w:r>
            <w:r>
              <w:rPr>
                <w:rFonts w:ascii="Times New Roman" w:hAnsi="Times New Roman" w:cs="Times New Roman" w:eastAsia="Times New Roman" w:hint="default"/>
                <w:sz w:val="13"/>
                <w:szCs w:val="13"/>
              </w:rPr>
              <w:t>03</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10"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15</w:t>
            </w:r>
            <w:r>
              <w:rPr>
                <w:rFonts w:ascii="Times New Roman" w:hAnsi="Times New Roman" w:cs="Times New Roman" w:eastAsia="Times New Roman" w:hint="default"/>
                <w:spacing w:val="-8"/>
                <w:sz w:val="13"/>
                <w:szCs w:val="13"/>
              </w:rPr>
              <w:t> </w:t>
            </w:r>
            <w:r>
              <w:rPr>
                <w:rFonts w:ascii="宋体" w:hAnsi="宋体" w:cs="宋体" w:eastAsia="宋体" w:hint="default"/>
                <w:sz w:val="13"/>
                <w:szCs w:val="13"/>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left="244" w:right="0"/>
              <w:jc w:val="left"/>
              <w:rPr>
                <w:rFonts w:ascii="Times New Roman" w:hAnsi="Times New Roman" w:cs="Times New Roman" w:eastAsia="Times New Roman" w:hint="default"/>
                <w:sz w:val="13"/>
                <w:szCs w:val="13"/>
              </w:rPr>
            </w:pPr>
            <w:r>
              <w:rPr>
                <w:rFonts w:ascii="Times New Roman"/>
                <w:sz w:val="13"/>
              </w:rPr>
              <w:t>3,161.00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left="504" w:right="0"/>
              <w:jc w:val="left"/>
              <w:rPr>
                <w:rFonts w:ascii="Times New Roman" w:hAnsi="Times New Roman" w:cs="Times New Roman" w:eastAsia="Times New Roman" w:hint="default"/>
                <w:sz w:val="13"/>
                <w:szCs w:val="13"/>
              </w:rPr>
            </w:pPr>
            <w:r>
              <w:rPr>
                <w:rFonts w:ascii="Times New Roman"/>
                <w:sz w:val="13"/>
              </w:rPr>
              <w:t>-16.69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424" w:lineRule="auto" w:before="93"/>
              <w:ind w:right="0"/>
              <w:jc w:val="left"/>
              <w:rPr>
                <w:rFonts w:ascii="宋体" w:hAnsi="宋体" w:cs="宋体" w:eastAsia="宋体" w:hint="default"/>
                <w:sz w:val="13"/>
                <w:szCs w:val="13"/>
              </w:rPr>
            </w:pPr>
            <w:r>
              <w:rPr>
                <w:rFonts w:ascii="宋体" w:hAnsi="宋体" w:cs="宋体" w:eastAsia="宋体" w:hint="default"/>
                <w:sz w:val="13"/>
                <w:szCs w:val="13"/>
              </w:rPr>
              <w:t>对公司</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2019</w:t>
            </w:r>
            <w:r>
              <w:rPr>
                <w:rFonts w:ascii="Times New Roman" w:hAnsi="Times New Roman" w:cs="Times New Roman" w:eastAsia="Times New Roman" w:hint="default"/>
                <w:spacing w:val="-8"/>
                <w:sz w:val="13"/>
                <w:szCs w:val="13"/>
              </w:rPr>
              <w:t> </w:t>
            </w:r>
            <w:r>
              <w:rPr>
                <w:rFonts w:ascii="宋体" w:hAnsi="宋体" w:cs="宋体" w:eastAsia="宋体" w:hint="default"/>
                <w:sz w:val="13"/>
                <w:szCs w:val="13"/>
              </w:rPr>
              <w:t>年度财务</w:t>
            </w:r>
            <w:r>
              <w:rPr>
                <w:rFonts w:ascii="宋体" w:hAnsi="宋体" w:cs="宋体" w:eastAsia="宋体" w:hint="default"/>
                <w:w w:val="99"/>
                <w:sz w:val="13"/>
                <w:szCs w:val="13"/>
              </w:rPr>
              <w:t> </w:t>
            </w:r>
            <w:r>
              <w:rPr>
                <w:rFonts w:ascii="宋体" w:hAnsi="宋体" w:cs="宋体" w:eastAsia="宋体" w:hint="default"/>
                <w:sz w:val="13"/>
                <w:szCs w:val="13"/>
              </w:rPr>
              <w:t>状况及经营成果的影</w:t>
            </w:r>
            <w:r>
              <w:rPr>
                <w:rFonts w:ascii="宋体" w:hAnsi="宋体" w:cs="宋体" w:eastAsia="宋体" w:hint="default"/>
                <w:w w:val="99"/>
                <w:sz w:val="13"/>
                <w:szCs w:val="13"/>
              </w:rPr>
              <w:t> </w:t>
            </w:r>
            <w:r>
              <w:rPr>
                <w:rFonts w:ascii="宋体" w:hAnsi="宋体" w:cs="宋体" w:eastAsia="宋体" w:hint="default"/>
                <w:sz w:val="13"/>
                <w:szCs w:val="13"/>
              </w:rPr>
              <w:t>响约为人民币</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80.40</w:t>
            </w:r>
            <w:r>
              <w:rPr>
                <w:rFonts w:ascii="Times New Roman" w:hAnsi="Times New Roman" w:cs="Times New Roman" w:eastAsia="Times New Roman" w:hint="default"/>
                <w:spacing w:val="-10"/>
                <w:sz w:val="13"/>
                <w:szCs w:val="13"/>
              </w:rPr>
              <w:t> </w:t>
            </w:r>
            <w:r>
              <w:rPr>
                <w:rFonts w:ascii="宋体" w:hAnsi="宋体" w:cs="宋体" w:eastAsia="宋体" w:hint="default"/>
                <w:sz w:val="13"/>
                <w:szCs w:val="13"/>
              </w:rPr>
              <w:t>万</w:t>
            </w:r>
            <w:r>
              <w:rPr>
                <w:rFonts w:ascii="宋体" w:hAnsi="宋体" w:cs="宋体" w:eastAsia="宋体" w:hint="default"/>
                <w:w w:val="99"/>
                <w:sz w:val="13"/>
                <w:szCs w:val="13"/>
              </w:rPr>
              <w:t> </w:t>
            </w:r>
            <w:r>
              <w:rPr>
                <w:rFonts w:ascii="宋体" w:hAnsi="宋体" w:cs="宋体" w:eastAsia="宋体" w:hint="default"/>
                <w:sz w:val="13"/>
                <w:szCs w:val="13"/>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left="323" w:right="0"/>
              <w:jc w:val="left"/>
              <w:rPr>
                <w:rFonts w:ascii="Times New Roman" w:hAnsi="Times New Roman" w:cs="Times New Roman" w:eastAsia="Times New Roman" w:hint="default"/>
                <w:sz w:val="13"/>
                <w:szCs w:val="13"/>
              </w:rPr>
            </w:pPr>
            <w:r>
              <w:rPr>
                <w:rFonts w:ascii="Times New Roman"/>
                <w:sz w:val="13"/>
              </w:rPr>
              <w:t>0.06%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39" w:lineRule="auto" w:before="91"/>
              <w:ind w:right="58"/>
              <w:jc w:val="left"/>
              <w:rPr>
                <w:rFonts w:ascii="宋体" w:hAnsi="宋体" w:cs="宋体" w:eastAsia="宋体" w:hint="default"/>
                <w:sz w:val="13"/>
                <w:szCs w:val="13"/>
              </w:rPr>
            </w:pPr>
            <w:r>
              <w:rPr>
                <w:rFonts w:ascii="宋体" w:hAnsi="宋体" w:cs="宋体" w:eastAsia="宋体" w:hint="default"/>
                <w:sz w:val="13"/>
                <w:szCs w:val="13"/>
              </w:rPr>
              <w:t>资产评估，</w:t>
            </w:r>
            <w:r>
              <w:rPr>
                <w:rFonts w:ascii="宋体" w:hAnsi="宋体" w:cs="宋体" w:eastAsia="宋体" w:hint="default"/>
                <w:w w:val="99"/>
                <w:sz w:val="13"/>
                <w:szCs w:val="13"/>
              </w:rPr>
              <w:t> </w:t>
            </w:r>
            <w:r>
              <w:rPr>
                <w:rFonts w:ascii="宋体" w:hAnsi="宋体" w:cs="宋体" w:eastAsia="宋体" w:hint="default"/>
                <w:sz w:val="13"/>
                <w:szCs w:val="13"/>
              </w:rPr>
              <w:t>协商确定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left="2" w:right="0"/>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439" w:lineRule="auto" w:before="92"/>
              <w:ind w:left="16" w:right="19"/>
              <w:jc w:val="both"/>
              <w:rPr>
                <w:rFonts w:ascii="宋体" w:hAnsi="宋体" w:cs="宋体" w:eastAsia="宋体" w:hint="default"/>
                <w:sz w:val="13"/>
                <w:szCs w:val="13"/>
              </w:rPr>
            </w:pPr>
            <w:r>
              <w:rPr>
                <w:rFonts w:ascii="宋体" w:hAnsi="宋体" w:cs="宋体" w:eastAsia="宋体" w:hint="default"/>
                <w:sz w:val="13"/>
                <w:szCs w:val="13"/>
              </w:rPr>
              <w:t>与公司为</w:t>
            </w:r>
            <w:r>
              <w:rPr>
                <w:rFonts w:ascii="宋体" w:hAnsi="宋体" w:cs="宋体" w:eastAsia="宋体" w:hint="default"/>
                <w:w w:val="99"/>
                <w:sz w:val="13"/>
                <w:szCs w:val="13"/>
              </w:rPr>
              <w:t> </w:t>
            </w:r>
            <w:r>
              <w:rPr>
                <w:rFonts w:ascii="宋体" w:hAnsi="宋体" w:cs="宋体" w:eastAsia="宋体" w:hint="default"/>
                <w:sz w:val="13"/>
                <w:szCs w:val="13"/>
              </w:rPr>
              <w:t>同一实际</w:t>
            </w:r>
            <w:r>
              <w:rPr>
                <w:rFonts w:ascii="宋体" w:hAnsi="宋体" w:cs="宋体" w:eastAsia="宋体" w:hint="default"/>
                <w:w w:val="99"/>
                <w:sz w:val="13"/>
                <w:szCs w:val="13"/>
              </w:rPr>
              <w:t> </w:t>
            </w:r>
            <w:r>
              <w:rPr>
                <w:rFonts w:ascii="宋体" w:hAnsi="宋体" w:cs="宋体" w:eastAsia="宋体" w:hint="default"/>
                <w:sz w:val="13"/>
                <w:szCs w:val="13"/>
              </w:rPr>
              <w:t>控制人</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0"/>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41"/>
                <w:sz w:val="13"/>
                <w:szCs w:val="13"/>
              </w:rPr>
              <w:t> </w:t>
            </w:r>
            <w:r>
              <w:rPr>
                <w:rFonts w:ascii="Times New Roman" w:hAnsi="Times New Roman" w:cs="Times New Roman" w:eastAsia="Times New Roman" w:hint="default"/>
                <w:sz w:val="13"/>
                <w:szCs w:val="13"/>
              </w:rPr>
              <w:t>02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20</w:t>
            </w:r>
            <w:r>
              <w:rPr>
                <w:rFonts w:ascii="Times New Roman" w:hAnsi="Times New Roman" w:cs="Times New Roman" w:eastAsia="Times New Roman" w:hint="default"/>
                <w:spacing w:val="-8"/>
                <w:sz w:val="13"/>
                <w:szCs w:val="13"/>
              </w:rPr>
              <w:t> </w:t>
            </w:r>
            <w:r>
              <w:rPr>
                <w:rFonts w:ascii="宋体" w:hAnsi="宋体" w:cs="宋体" w:eastAsia="宋体" w:hint="default"/>
                <w:sz w:val="13"/>
                <w:szCs w:val="13"/>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2019-006</w:t>
            </w:r>
            <w:r>
              <w:rPr>
                <w:rFonts w:ascii="Times New Roman" w:hAnsi="Times New Roman" w:cs="Times New Roman" w:eastAsia="Times New Roman" w:hint="default"/>
                <w:spacing w:val="-9"/>
                <w:sz w:val="13"/>
                <w:szCs w:val="13"/>
              </w:rPr>
              <w:t> </w:t>
            </w:r>
            <w:r>
              <w:rPr>
                <w:rFonts w:ascii="宋体" w:hAnsi="宋体" w:cs="宋体" w:eastAsia="宋体" w:hint="default"/>
                <w:sz w:val="13"/>
                <w:szCs w:val="13"/>
              </w:rPr>
              <w:t>号</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 w:right="0"/>
              <w:jc w:val="left"/>
              <w:rPr>
                <w:rFonts w:ascii="宋体" w:hAnsi="宋体" w:cs="宋体" w:eastAsia="宋体" w:hint="default"/>
                <w:sz w:val="13"/>
                <w:szCs w:val="13"/>
              </w:rPr>
            </w:pPr>
            <w:r>
              <w:rPr>
                <w:rFonts w:ascii="宋体" w:hAnsi="宋体" w:cs="宋体" w:eastAsia="宋体" w:hint="default"/>
                <w:sz w:val="13"/>
                <w:szCs w:val="13"/>
              </w:rPr>
              <w:t>公告</w:t>
            </w:r>
          </w:p>
        </w:tc>
      </w:tr>
    </w:tbl>
    <w:p>
      <w:pPr>
        <w:spacing w:line="338" w:lineRule="auto" w:before="51"/>
        <w:ind w:left="1293" w:right="1115" w:hanging="36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出售凯杰科技</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100%</w:t>
      </w:r>
      <w:r>
        <w:rPr>
          <w:rFonts w:ascii="宋体" w:hAnsi="宋体" w:cs="宋体" w:eastAsia="宋体" w:hint="default"/>
          <w:b/>
          <w:bCs/>
          <w:sz w:val="18"/>
          <w:szCs w:val="18"/>
        </w:rPr>
        <w:t>股权暨关联交易</w:t>
      </w:r>
      <w:r>
        <w:rPr>
          <w:rFonts w:ascii="宋体" w:hAnsi="宋体" w:cs="宋体" w:eastAsia="宋体" w:hint="default"/>
          <w:b/>
          <w:bCs/>
          <w:w w:val="99"/>
          <w:sz w:val="18"/>
          <w:szCs w:val="18"/>
        </w:rPr>
        <w:t> </w:t>
      </w:r>
      <w:r>
        <w:rPr>
          <w:rFonts w:ascii="宋体" w:hAnsi="宋体" w:cs="宋体" w:eastAsia="宋体" w:hint="default"/>
          <w:sz w:val="18"/>
          <w:szCs w:val="18"/>
        </w:rPr>
        <w:t>为加快聚焦主业，推进低效无效资产的清理整合，优化资源配置，提升公司发展质量及管理效益，经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19</w:t>
      </w:r>
    </w:p>
    <w:p>
      <w:pPr>
        <w:spacing w:line="230" w:lineRule="exact" w:before="0"/>
        <w:ind w:left="932" w:right="0" w:firstLine="0"/>
        <w:jc w:val="left"/>
        <w:rPr>
          <w:rFonts w:ascii="宋体" w:hAnsi="宋体" w:cs="宋体" w:eastAsia="宋体" w:hint="default"/>
          <w:sz w:val="18"/>
          <w:szCs w:val="18"/>
        </w:rPr>
      </w:pPr>
      <w:r>
        <w:rPr>
          <w:rFonts w:ascii="宋体" w:hAnsi="宋体" w:cs="宋体" w:eastAsia="宋体" w:hint="default"/>
          <w:sz w:val="18"/>
          <w:szCs w:val="18"/>
        </w:rPr>
        <w:t>日公司第七届董事会第十三次会议审议</w:t>
      </w:r>
      <w:r>
        <w:rPr>
          <w:rFonts w:ascii="宋体" w:hAnsi="宋体" w:cs="宋体" w:eastAsia="宋体" w:hint="default"/>
          <w:spacing w:val="-22"/>
          <w:sz w:val="18"/>
          <w:szCs w:val="18"/>
        </w:rPr>
        <w:t>，</w:t>
      </w:r>
      <w:r>
        <w:rPr>
          <w:rFonts w:ascii="宋体" w:hAnsi="宋体" w:cs="宋体" w:eastAsia="宋体" w:hint="default"/>
          <w:sz w:val="18"/>
          <w:szCs w:val="18"/>
        </w:rPr>
        <w:t>同意公司以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日湖南凯杰科技有</w:t>
      </w:r>
      <w:r>
        <w:rPr>
          <w:rFonts w:ascii="宋体" w:hAnsi="宋体" w:cs="宋体" w:eastAsia="宋体" w:hint="default"/>
          <w:spacing w:val="-3"/>
          <w:sz w:val="18"/>
          <w:szCs w:val="18"/>
        </w:rPr>
        <w:t>限</w:t>
      </w:r>
      <w:r>
        <w:rPr>
          <w:rFonts w:ascii="宋体" w:hAnsi="宋体" w:cs="宋体" w:eastAsia="宋体" w:hint="default"/>
          <w:sz w:val="18"/>
          <w:szCs w:val="18"/>
        </w:rPr>
        <w:t>责任公</w:t>
      </w:r>
      <w:r>
        <w:rPr>
          <w:rFonts w:ascii="宋体" w:hAnsi="宋体" w:cs="宋体" w:eastAsia="宋体" w:hint="default"/>
          <w:spacing w:val="-22"/>
          <w:sz w:val="18"/>
          <w:szCs w:val="18"/>
        </w:rPr>
        <w:t>司</w:t>
      </w:r>
      <w:r>
        <w:rPr>
          <w:rFonts w:ascii="宋体" w:hAnsi="宋体" w:cs="宋体" w:eastAsia="宋体" w:hint="default"/>
          <w:sz w:val="18"/>
          <w:szCs w:val="18"/>
        </w:rPr>
        <w:t>（简</w:t>
      </w:r>
      <w:r>
        <w:rPr>
          <w:rFonts w:ascii="宋体" w:hAnsi="宋体" w:cs="宋体" w:eastAsia="宋体" w:hint="default"/>
          <w:spacing w:val="-22"/>
          <w:sz w:val="18"/>
          <w:szCs w:val="18"/>
        </w:rPr>
        <w:t>称</w:t>
      </w:r>
      <w:r>
        <w:rPr>
          <w:rFonts w:ascii="宋体" w:hAnsi="宋体" w:cs="宋体" w:eastAsia="宋体" w:hint="default"/>
          <w:sz w:val="18"/>
          <w:szCs w:val="18"/>
        </w:rPr>
        <w:t>“凯杰科技</w:t>
      </w:r>
      <w:r>
        <w:rPr>
          <w:rFonts w:ascii="宋体" w:hAnsi="宋体" w:cs="宋体" w:eastAsia="宋体" w:hint="default"/>
          <w:spacing w:val="-89"/>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净</w:t>
      </w:r>
    </w:p>
    <w:p>
      <w:pPr>
        <w:spacing w:line="300" w:lineRule="auto" w:before="63"/>
        <w:ind w:left="932" w:right="1119" w:firstLine="0"/>
        <w:jc w:val="left"/>
        <w:rPr>
          <w:rFonts w:ascii="宋体" w:hAnsi="宋体" w:cs="宋体" w:eastAsia="宋体" w:hint="default"/>
          <w:sz w:val="18"/>
          <w:szCs w:val="18"/>
        </w:rPr>
      </w:pPr>
      <w:r>
        <w:rPr>
          <w:rFonts w:ascii="宋体" w:hAnsi="宋体" w:cs="宋体" w:eastAsia="宋体" w:hint="default"/>
          <w:sz w:val="18"/>
          <w:szCs w:val="18"/>
        </w:rPr>
        <w:t>资产评估价值为基础，向关联方中电工业互联网有限公司转让凯杰科技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股权，转让价格为人民币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3,211.40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万元加减过 渡期运营发生的损益。报告期内交易完成，公司不再持有凯杰科技的股权（具体内容详见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2019-006</w:t>
      </w:r>
      <w:r>
        <w:rPr>
          <w:rFonts w:ascii="Times New Roman" w:hAnsi="Times New Roman" w:cs="Times New Roman" w:eastAsia="Times New Roman" w:hint="default"/>
          <w:spacing w:val="5"/>
          <w:sz w:val="18"/>
          <w:szCs w:val="18"/>
        </w:rPr>
        <w:t> </w:t>
      </w:r>
      <w:r>
        <w:rPr>
          <w:rFonts w:ascii="宋体" w:hAnsi="宋体" w:cs="宋体" w:eastAsia="宋体" w:hint="default"/>
          <w:spacing w:val="-19"/>
          <w:sz w:val="18"/>
          <w:szCs w:val="18"/>
        </w:rPr>
        <w:t>号公告）。</w:t>
      </w:r>
    </w:p>
    <w:p>
      <w:pPr>
        <w:spacing w:line="240" w:lineRule="auto" w:before="8"/>
        <w:rPr>
          <w:rFonts w:ascii="宋体" w:hAnsi="宋体" w:cs="宋体" w:eastAsia="宋体" w:hint="default"/>
          <w:sz w:val="15"/>
          <w:szCs w:val="15"/>
        </w:rPr>
      </w:pPr>
    </w:p>
    <w:p>
      <w:pPr>
        <w:pStyle w:val="Heading4"/>
        <w:spacing w:line="240" w:lineRule="auto"/>
        <w:ind w:left="932" w:right="6794"/>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89" w:footer="975" w:top="1100" w:bottom="1160" w:left="200" w:right="0"/>
        </w:sectPr>
      </w:pPr>
    </w:p>
    <w:p>
      <w:pPr>
        <w:spacing w:before="44"/>
        <w:ind w:left="932" w:right="-1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93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914"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100" w:bottom="700" w:left="200" w:right="0"/>
          <w:cols w:num="2" w:equalWidth="0">
            <w:col w:w="5631" w:space="3289"/>
            <w:col w:w="2790"/>
          </w:cols>
        </w:sectPr>
      </w:pPr>
    </w:p>
    <w:p>
      <w:pPr>
        <w:spacing w:line="240" w:lineRule="auto" w:before="2"/>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1292"/>
        <w:gridCol w:w="710"/>
        <w:gridCol w:w="2410"/>
        <w:gridCol w:w="850"/>
        <w:gridCol w:w="1181"/>
        <w:gridCol w:w="1181"/>
        <w:gridCol w:w="1184"/>
        <w:gridCol w:w="998"/>
        <w:gridCol w:w="1001"/>
      </w:tblGrid>
      <w:tr>
        <w:trPr>
          <w:trHeight w:val="634" w:hRule="exact"/>
        </w:trPr>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70" w:right="168"/>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63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77"/>
              <w:jc w:val="left"/>
              <w:rPr>
                <w:rFonts w:ascii="宋体" w:hAnsi="宋体" w:cs="宋体" w:eastAsia="宋体" w:hint="default"/>
                <w:sz w:val="15"/>
                <w:szCs w:val="15"/>
              </w:rPr>
            </w:pPr>
            <w:r>
              <w:rPr>
                <w:rFonts w:ascii="宋体" w:hAnsi="宋体" w:cs="宋体" w:eastAsia="宋体" w:hint="default"/>
                <w:sz w:val="15"/>
                <w:szCs w:val="15"/>
              </w:rPr>
              <w:t>湖南长城科技信息</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2"/>
              <w:jc w:val="left"/>
              <w:rPr>
                <w:rFonts w:ascii="宋体" w:hAnsi="宋体" w:cs="宋体" w:eastAsia="宋体" w:hint="default"/>
                <w:sz w:val="15"/>
                <w:szCs w:val="15"/>
              </w:rPr>
            </w:pPr>
            <w:r>
              <w:rPr>
                <w:rFonts w:ascii="宋体" w:hAnsi="宋体" w:cs="宋体" w:eastAsia="宋体" w:hint="default"/>
                <w:spacing w:val="-2"/>
                <w:sz w:val="15"/>
                <w:szCs w:val="15"/>
              </w:rPr>
              <w:t>主要业务为信息系统集成、计算机制</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2"/>
                <w:sz w:val="15"/>
                <w:szCs w:val="15"/>
              </w:rPr>
              <w:t>造、通信系统设备制造、软件开发。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35,000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2"/>
                <w:sz w:val="15"/>
              </w:rPr>
              <w:t>8,727,116,790.45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4,502,024,049.41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5,418,703,874.79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512,158,281.12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471,260,872.88</w:t>
            </w:r>
          </w:p>
        </w:tc>
      </w:tr>
      <w:tr>
        <w:trPr>
          <w:trHeight w:val="63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8"/>
              <w:ind w:right="77"/>
              <w:jc w:val="left"/>
              <w:rPr>
                <w:rFonts w:ascii="宋体" w:hAnsi="宋体" w:cs="宋体" w:eastAsia="宋体" w:hint="default"/>
                <w:sz w:val="15"/>
                <w:szCs w:val="15"/>
              </w:rPr>
            </w:pPr>
            <w:r>
              <w:rPr>
                <w:rFonts w:ascii="宋体" w:hAnsi="宋体" w:cs="宋体" w:eastAsia="宋体" w:hint="default"/>
                <w:sz w:val="15"/>
                <w:szCs w:val="15"/>
              </w:rPr>
              <w:t>武汉中原电子集团</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8"/>
              <w:ind w:left="-1" w:right="-2"/>
              <w:jc w:val="left"/>
              <w:rPr>
                <w:rFonts w:ascii="宋体" w:hAnsi="宋体" w:cs="宋体" w:eastAsia="宋体" w:hint="default"/>
                <w:sz w:val="15"/>
                <w:szCs w:val="15"/>
              </w:rPr>
            </w:pPr>
            <w:r>
              <w:rPr>
                <w:rFonts w:ascii="宋体" w:hAnsi="宋体" w:cs="宋体" w:eastAsia="宋体" w:hint="default"/>
                <w:spacing w:val="-2"/>
                <w:sz w:val="15"/>
                <w:szCs w:val="15"/>
              </w:rPr>
              <w:t>主要从事军事电子领域的研发、制造</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与服务。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63,789.10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元人民币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6,165,458,832.71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2,946,948,749.55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3,584,497,588.37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265,555,296.90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250,523,255.64</w:t>
            </w:r>
          </w:p>
        </w:tc>
      </w:tr>
      <w:tr>
        <w:trPr>
          <w:trHeight w:val="94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77"/>
              <w:jc w:val="both"/>
              <w:rPr>
                <w:rFonts w:ascii="宋体" w:hAnsi="宋体" w:cs="宋体" w:eastAsia="宋体" w:hint="default"/>
                <w:sz w:val="15"/>
                <w:szCs w:val="15"/>
              </w:rPr>
            </w:pPr>
            <w:r>
              <w:rPr>
                <w:rFonts w:ascii="宋体" w:hAnsi="宋体" w:cs="宋体" w:eastAsia="宋体" w:hint="default"/>
                <w:sz w:val="15"/>
                <w:szCs w:val="15"/>
              </w:rPr>
              <w:t>北京圣非凡电子系</w:t>
            </w:r>
            <w:r>
              <w:rPr>
                <w:rFonts w:ascii="宋体" w:hAnsi="宋体" w:cs="宋体" w:eastAsia="宋体" w:hint="default"/>
                <w:w w:val="100"/>
                <w:sz w:val="15"/>
                <w:szCs w:val="15"/>
              </w:rPr>
              <w:t> </w:t>
            </w:r>
            <w:r>
              <w:rPr>
                <w:rFonts w:ascii="宋体" w:hAnsi="宋体" w:cs="宋体" w:eastAsia="宋体" w:hint="default"/>
                <w:sz w:val="15"/>
                <w:szCs w:val="15"/>
              </w:rPr>
              <w:t>统技术开发有限公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2"/>
              <w:jc w:val="left"/>
              <w:rPr>
                <w:rFonts w:ascii="宋体" w:hAnsi="宋体" w:cs="宋体" w:eastAsia="宋体" w:hint="default"/>
                <w:sz w:val="15"/>
                <w:szCs w:val="15"/>
              </w:rPr>
            </w:pPr>
            <w:r>
              <w:rPr>
                <w:rFonts w:ascii="宋体" w:hAnsi="宋体" w:cs="宋体" w:eastAsia="宋体" w:hint="default"/>
                <w:spacing w:val="-2"/>
                <w:sz w:val="15"/>
                <w:szCs w:val="15"/>
              </w:rPr>
              <w:t>主要从事水下与远程通信、危爆品拆</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6"/>
                <w:w w:val="100"/>
                <w:sz w:val="15"/>
                <w:szCs w:val="15"/>
              </w:rPr>
              <w:t>解领域相关系统和设备的设计、开发</w:t>
            </w:r>
            <w:r>
              <w:rPr>
                <w:rFonts w:ascii="宋体" w:hAnsi="宋体" w:cs="宋体" w:eastAsia="宋体" w:hint="default"/>
                <w:w w:val="100"/>
                <w:sz w:val="15"/>
                <w:szCs w:val="15"/>
              </w:rPr>
              <w:t> </w:t>
            </w:r>
            <w:r>
              <w:rPr>
                <w:rFonts w:ascii="宋体" w:hAnsi="宋体" w:cs="宋体" w:eastAsia="宋体" w:hint="default"/>
                <w:sz w:val="15"/>
                <w:szCs w:val="15"/>
              </w:rPr>
              <w:t>生产和服务。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18,100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976,192,538.49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556,102,233.42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2"/>
                <w:sz w:val="15"/>
              </w:rPr>
              <w:t>529,812,115.99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142,922,790.94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2"/>
                <w:sz w:val="15"/>
              </w:rPr>
              <w:t>118,786,793.32</w:t>
            </w:r>
          </w:p>
        </w:tc>
      </w:tr>
      <w:tr>
        <w:trPr>
          <w:trHeight w:val="94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right="77"/>
              <w:jc w:val="left"/>
              <w:rPr>
                <w:rFonts w:ascii="宋体" w:hAnsi="宋体" w:cs="宋体" w:eastAsia="宋体" w:hint="default"/>
                <w:sz w:val="15"/>
                <w:szCs w:val="15"/>
              </w:rPr>
            </w:pPr>
            <w:r>
              <w:rPr>
                <w:rFonts w:ascii="宋体" w:hAnsi="宋体" w:cs="宋体" w:eastAsia="宋体" w:hint="default"/>
                <w:sz w:val="15"/>
                <w:szCs w:val="15"/>
              </w:rPr>
              <w:t>湖南长城计算机系</w:t>
            </w:r>
            <w:r>
              <w:rPr>
                <w:rFonts w:ascii="宋体" w:hAnsi="宋体" w:cs="宋体" w:eastAsia="宋体" w:hint="default"/>
                <w:w w:val="100"/>
                <w:sz w:val="15"/>
                <w:szCs w:val="15"/>
              </w:rPr>
              <w:t> </w:t>
            </w:r>
            <w:r>
              <w:rPr>
                <w:rFonts w:ascii="宋体" w:hAnsi="宋体" w:cs="宋体" w:eastAsia="宋体" w:hint="default"/>
                <w:sz w:val="15"/>
                <w:szCs w:val="15"/>
              </w:rPr>
              <w:t>统有限公司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2"/>
              <w:jc w:val="both"/>
              <w:rPr>
                <w:rFonts w:ascii="宋体" w:hAnsi="宋体" w:cs="宋体" w:eastAsia="宋体" w:hint="default"/>
                <w:sz w:val="15"/>
                <w:szCs w:val="15"/>
              </w:rPr>
            </w:pPr>
            <w:r>
              <w:rPr>
                <w:rFonts w:ascii="宋体" w:hAnsi="宋体" w:cs="宋体" w:eastAsia="宋体" w:hint="default"/>
                <w:spacing w:val="-2"/>
                <w:sz w:val="15"/>
                <w:szCs w:val="15"/>
              </w:rPr>
              <w:t>主要业务为电子计算机软件、硬件系</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2"/>
                <w:sz w:val="15"/>
                <w:szCs w:val="15"/>
              </w:rPr>
              <w:t>统及网络系统的技术开发、生产及销</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1,781,243,279.39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148,131,166.77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1,180,722,081.65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38,584,491.12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34,353,610.72</w:t>
            </w:r>
          </w:p>
        </w:tc>
      </w:tr>
      <w:tr>
        <w:trPr>
          <w:trHeight w:val="63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5"/>
              <w:jc w:val="left"/>
              <w:rPr>
                <w:rFonts w:ascii="宋体" w:hAnsi="宋体" w:cs="宋体" w:eastAsia="宋体" w:hint="default"/>
                <w:sz w:val="15"/>
                <w:szCs w:val="15"/>
              </w:rPr>
            </w:pPr>
            <w:r>
              <w:rPr>
                <w:rFonts w:ascii="宋体" w:hAnsi="宋体" w:cs="宋体" w:eastAsia="宋体" w:hint="default"/>
                <w:spacing w:val="-9"/>
                <w:w w:val="100"/>
                <w:sz w:val="15"/>
                <w:szCs w:val="15"/>
              </w:rPr>
              <w:t>中国长城计算机（香</w:t>
            </w:r>
            <w:r>
              <w:rPr>
                <w:rFonts w:ascii="宋体" w:hAnsi="宋体" w:cs="宋体" w:eastAsia="宋体" w:hint="default"/>
                <w:spacing w:val="-71"/>
                <w:w w:val="100"/>
                <w:sz w:val="15"/>
                <w:szCs w:val="15"/>
              </w:rPr>
              <w:t> </w:t>
            </w:r>
            <w:r>
              <w:rPr>
                <w:rFonts w:ascii="宋体" w:hAnsi="宋体" w:cs="宋体" w:eastAsia="宋体" w:hint="default"/>
                <w:spacing w:val="-71"/>
                <w:w w:val="100"/>
                <w:sz w:val="15"/>
                <w:szCs w:val="15"/>
              </w:rPr>
            </w:r>
            <w:r>
              <w:rPr>
                <w:rFonts w:ascii="宋体" w:hAnsi="宋体" w:cs="宋体" w:eastAsia="宋体" w:hint="default"/>
                <w:sz w:val="15"/>
                <w:szCs w:val="15"/>
              </w:rPr>
              <w:t>港）控股有限公司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1"/>
              <w:jc w:val="left"/>
              <w:rPr>
                <w:rFonts w:ascii="宋体" w:hAnsi="宋体" w:cs="宋体" w:eastAsia="宋体" w:hint="default"/>
                <w:sz w:val="15"/>
                <w:szCs w:val="15"/>
              </w:rPr>
            </w:pPr>
            <w:r>
              <w:rPr>
                <w:rFonts w:ascii="宋体" w:hAnsi="宋体" w:cs="宋体" w:eastAsia="宋体" w:hint="default"/>
                <w:spacing w:val="-2"/>
                <w:sz w:val="15"/>
                <w:szCs w:val="15"/>
              </w:rPr>
              <w:t>主要业务为计算机产品的开发、销售</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及元件、重要设备采购等。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2,566.65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港币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382,323,961.02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109,617,031.46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726,714,820.93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8,203,256.30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8,203,256.30</w:t>
            </w:r>
          </w:p>
        </w:tc>
      </w:tr>
      <w:tr>
        <w:trPr>
          <w:trHeight w:val="63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77"/>
              <w:jc w:val="left"/>
              <w:rPr>
                <w:rFonts w:ascii="宋体" w:hAnsi="宋体" w:cs="宋体" w:eastAsia="宋体" w:hint="default"/>
                <w:sz w:val="15"/>
                <w:szCs w:val="15"/>
              </w:rPr>
            </w:pPr>
            <w:r>
              <w:rPr>
                <w:rFonts w:ascii="宋体" w:hAnsi="宋体" w:cs="宋体" w:eastAsia="宋体" w:hint="default"/>
                <w:sz w:val="15"/>
                <w:szCs w:val="15"/>
              </w:rPr>
              <w:t>深圳中电长城能源</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2"/>
              <w:jc w:val="left"/>
              <w:rPr>
                <w:rFonts w:ascii="宋体" w:hAnsi="宋体" w:cs="宋体" w:eastAsia="宋体" w:hint="default"/>
                <w:sz w:val="15"/>
                <w:szCs w:val="15"/>
              </w:rPr>
            </w:pPr>
            <w:r>
              <w:rPr>
                <w:rFonts w:ascii="宋体" w:hAnsi="宋体" w:cs="宋体" w:eastAsia="宋体" w:hint="default"/>
                <w:spacing w:val="-2"/>
                <w:sz w:val="15"/>
                <w:szCs w:val="15"/>
              </w:rPr>
              <w:t>主要业务为电源逆变器和太阳能电池</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的制造、生产及销售等。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45,252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203,018,687.14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141,993,449.04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16,014,426.92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-21,072,345.97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-21,127,005.04</w:t>
            </w:r>
          </w:p>
        </w:tc>
      </w:tr>
      <w:tr>
        <w:trPr>
          <w:trHeight w:val="63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77"/>
              <w:jc w:val="left"/>
              <w:rPr>
                <w:rFonts w:ascii="宋体" w:hAnsi="宋体" w:cs="宋体" w:eastAsia="宋体" w:hint="default"/>
                <w:sz w:val="15"/>
                <w:szCs w:val="15"/>
              </w:rPr>
            </w:pPr>
            <w:r>
              <w:rPr>
                <w:rFonts w:ascii="宋体" w:hAnsi="宋体" w:cs="宋体" w:eastAsia="宋体" w:hint="default"/>
                <w:sz w:val="15"/>
                <w:szCs w:val="15"/>
              </w:rPr>
              <w:t>深圳中电长城信息</w:t>
            </w:r>
            <w:r>
              <w:rPr>
                <w:rFonts w:ascii="宋体" w:hAnsi="宋体" w:cs="宋体" w:eastAsia="宋体" w:hint="default"/>
                <w:w w:val="100"/>
                <w:sz w:val="15"/>
                <w:szCs w:val="15"/>
              </w:rPr>
              <w:t> </w:t>
            </w:r>
            <w:r>
              <w:rPr>
                <w:rFonts w:ascii="宋体" w:hAnsi="宋体" w:cs="宋体" w:eastAsia="宋体" w:hint="default"/>
                <w:sz w:val="15"/>
                <w:szCs w:val="15"/>
              </w:rPr>
              <w:t>安全系统有限公司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2"/>
              <w:jc w:val="left"/>
              <w:rPr>
                <w:rFonts w:ascii="宋体" w:hAnsi="宋体" w:cs="宋体" w:eastAsia="宋体" w:hint="default"/>
                <w:sz w:val="15"/>
                <w:szCs w:val="15"/>
              </w:rPr>
            </w:pPr>
            <w:r>
              <w:rPr>
                <w:rFonts w:ascii="宋体" w:hAnsi="宋体" w:cs="宋体" w:eastAsia="宋体" w:hint="default"/>
                <w:spacing w:val="-2"/>
                <w:sz w:val="15"/>
                <w:szCs w:val="15"/>
              </w:rPr>
              <w:t>主要业务为计算机及网络相关软硬件</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产品的研发、销售及服务等。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27,000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2"/>
                <w:sz w:val="15"/>
              </w:rPr>
              <w:t>614,153,118.33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105,241,883.47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784,341,204.91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39,610,676.15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39,612,676.15</w:t>
            </w:r>
          </w:p>
        </w:tc>
      </w:tr>
      <w:tr>
        <w:trPr>
          <w:trHeight w:val="63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8"/>
              <w:ind w:right="77"/>
              <w:jc w:val="left"/>
              <w:rPr>
                <w:rFonts w:ascii="宋体" w:hAnsi="宋体" w:cs="宋体" w:eastAsia="宋体" w:hint="default"/>
                <w:sz w:val="15"/>
                <w:szCs w:val="15"/>
              </w:rPr>
            </w:pPr>
            <w:r>
              <w:rPr>
                <w:rFonts w:ascii="宋体" w:hAnsi="宋体" w:cs="宋体" w:eastAsia="宋体" w:hint="default"/>
                <w:sz w:val="15"/>
                <w:szCs w:val="15"/>
              </w:rPr>
              <w:t>柏怡国际控股有限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8"/>
              <w:ind w:left="-1" w:right="-2"/>
              <w:jc w:val="left"/>
              <w:rPr>
                <w:rFonts w:ascii="宋体" w:hAnsi="宋体" w:cs="宋体" w:eastAsia="宋体" w:hint="default"/>
                <w:sz w:val="15"/>
                <w:szCs w:val="15"/>
              </w:rPr>
            </w:pPr>
            <w:r>
              <w:rPr>
                <w:rFonts w:ascii="宋体" w:hAnsi="宋体" w:cs="宋体" w:eastAsia="宋体" w:hint="default"/>
                <w:spacing w:val="-2"/>
                <w:sz w:val="15"/>
                <w:szCs w:val="15"/>
              </w:rPr>
              <w:t>主要业务为开关电源设计、制造、销</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 </w:t>
            </w:r>
            <w:r>
              <w:rPr>
                <w:rFonts w:ascii="宋体" w:hAnsi="宋体" w:cs="宋体" w:eastAsia="宋体" w:hint="default"/>
                <w:sz w:val="15"/>
                <w:szCs w:val="15"/>
              </w:rPr>
              <w:t>万美元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883,317,910.47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451,469,451.77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1,462,384,936.91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74,825,100.03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65,860,872.34</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100" w:bottom="700" w:left="200" w:right="0"/>
        </w:sectPr>
      </w:pPr>
    </w:p>
    <w:p>
      <w:pPr>
        <w:spacing w:line="240" w:lineRule="auto" w:before="2"/>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1292"/>
        <w:gridCol w:w="710"/>
        <w:gridCol w:w="2410"/>
        <w:gridCol w:w="850"/>
        <w:gridCol w:w="1181"/>
        <w:gridCol w:w="1181"/>
        <w:gridCol w:w="1184"/>
        <w:gridCol w:w="998"/>
        <w:gridCol w:w="1001"/>
      </w:tblGrid>
      <w:tr>
        <w:trPr>
          <w:trHeight w:val="63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77"/>
              <w:jc w:val="left"/>
              <w:rPr>
                <w:rFonts w:ascii="宋体" w:hAnsi="宋体" w:cs="宋体" w:eastAsia="宋体" w:hint="default"/>
                <w:sz w:val="15"/>
                <w:szCs w:val="15"/>
              </w:rPr>
            </w:pPr>
            <w:r>
              <w:rPr>
                <w:rFonts w:ascii="宋体" w:hAnsi="宋体" w:cs="宋体" w:eastAsia="宋体" w:hint="default"/>
                <w:sz w:val="15"/>
                <w:szCs w:val="15"/>
              </w:rPr>
              <w:t>湖南长城信息金融</w:t>
            </w:r>
            <w:r>
              <w:rPr>
                <w:rFonts w:ascii="宋体" w:hAnsi="宋体" w:cs="宋体" w:eastAsia="宋体" w:hint="default"/>
                <w:w w:val="100"/>
                <w:sz w:val="15"/>
                <w:szCs w:val="15"/>
              </w:rPr>
              <w:t> </w:t>
            </w:r>
            <w:r>
              <w:rPr>
                <w:rFonts w:ascii="宋体" w:hAnsi="宋体" w:cs="宋体" w:eastAsia="宋体" w:hint="default"/>
                <w:sz w:val="15"/>
                <w:szCs w:val="15"/>
              </w:rPr>
              <w:t>设备有限责任公司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主要业务为金融设备生产和销售。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35,000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1,196,479,244.78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652,455,938.57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1,247,291,823.15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82,673,327.89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80,937,649.12</w:t>
            </w:r>
          </w:p>
        </w:tc>
      </w:tr>
      <w:tr>
        <w:trPr>
          <w:trHeight w:val="63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77"/>
              <w:jc w:val="left"/>
              <w:rPr>
                <w:rFonts w:ascii="宋体" w:hAnsi="宋体" w:cs="宋体" w:eastAsia="宋体" w:hint="default"/>
                <w:sz w:val="15"/>
                <w:szCs w:val="15"/>
              </w:rPr>
            </w:pPr>
            <w:r>
              <w:rPr>
                <w:rFonts w:ascii="宋体" w:hAnsi="宋体" w:cs="宋体" w:eastAsia="宋体" w:hint="default"/>
                <w:sz w:val="15"/>
                <w:szCs w:val="15"/>
              </w:rPr>
              <w:t>长沙湘计海盾科技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主要业务为高新产品生产和销售。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left"/>
              <w:rPr>
                <w:rFonts w:ascii="Times New Roman" w:hAnsi="Times New Roman" w:cs="Times New Roman" w:eastAsia="Times New Roman" w:hint="default"/>
                <w:sz w:val="15"/>
                <w:szCs w:val="15"/>
              </w:rPr>
            </w:pPr>
            <w:r>
              <w:rPr>
                <w:rFonts w:ascii="Times New Roman"/>
                <w:sz w:val="15"/>
              </w:rPr>
              <w:t>11,541.0988</w:t>
            </w:r>
          </w:p>
          <w:p>
            <w:pPr>
              <w:pStyle w:val="TableParagraph"/>
              <w:spacing w:line="240" w:lineRule="auto" w:before="106"/>
              <w:ind w:left="2" w:right="0"/>
              <w:jc w:val="left"/>
              <w:rPr>
                <w:rFonts w:ascii="宋体" w:hAnsi="宋体" w:cs="宋体" w:eastAsia="宋体" w:hint="default"/>
                <w:sz w:val="15"/>
                <w:szCs w:val="15"/>
              </w:rPr>
            </w:pPr>
            <w:r>
              <w:rPr>
                <w:rFonts w:ascii="宋体" w:hAnsi="宋体" w:cs="宋体" w:eastAsia="宋体" w:hint="default"/>
                <w:sz w:val="15"/>
                <w:szCs w:val="15"/>
              </w:rPr>
              <w:t>万元人民币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1,191,567,369.01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926,366,608.54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359,144,385.79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74,733,069.10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65,323,979.25</w:t>
            </w:r>
          </w:p>
        </w:tc>
      </w:tr>
      <w:tr>
        <w:trPr>
          <w:trHeight w:val="94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right="77"/>
              <w:jc w:val="left"/>
              <w:rPr>
                <w:rFonts w:ascii="宋体" w:hAnsi="宋体" w:cs="宋体" w:eastAsia="宋体" w:hint="default"/>
                <w:sz w:val="15"/>
                <w:szCs w:val="15"/>
              </w:rPr>
            </w:pPr>
            <w:r>
              <w:rPr>
                <w:rFonts w:ascii="宋体" w:hAnsi="宋体" w:cs="宋体" w:eastAsia="宋体" w:hint="default"/>
                <w:sz w:val="15"/>
                <w:szCs w:val="15"/>
              </w:rPr>
              <w:t>湖南长城医疗科技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主要业务为医疗设备生产和销售。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left"/>
              <w:rPr>
                <w:rFonts w:ascii="Times New Roman" w:hAnsi="Times New Roman" w:cs="Times New Roman" w:eastAsia="Times New Roman" w:hint="default"/>
                <w:sz w:val="15"/>
                <w:szCs w:val="15"/>
              </w:rPr>
            </w:pPr>
            <w:r>
              <w:rPr>
                <w:rFonts w:ascii="Times New Roman"/>
                <w:sz w:val="15"/>
              </w:rPr>
              <w:t>10,847.02825</w:t>
            </w:r>
          </w:p>
          <w:p>
            <w:pPr>
              <w:pStyle w:val="TableParagraph"/>
              <w:spacing w:line="360" w:lineRule="auto" w:before="106"/>
              <w:ind w:left="2" w:right="120"/>
              <w:jc w:val="left"/>
              <w:rPr>
                <w:rFonts w:ascii="宋体" w:hAnsi="宋体" w:cs="宋体" w:eastAsia="宋体" w:hint="default"/>
                <w:sz w:val="15"/>
                <w:szCs w:val="15"/>
              </w:rPr>
            </w:pPr>
            <w:r>
              <w:rPr>
                <w:rFonts w:ascii="Times New Roman" w:hAnsi="Times New Roman" w:cs="Times New Roman" w:eastAsia="Times New Roman" w:hint="default"/>
                <w:sz w:val="15"/>
                <w:szCs w:val="15"/>
              </w:rPr>
              <w:t>6 </w:t>
            </w:r>
            <w:r>
              <w:rPr>
                <w:rFonts w:ascii="宋体" w:hAnsi="宋体" w:cs="宋体" w:eastAsia="宋体" w:hint="default"/>
                <w:sz w:val="15"/>
                <w:szCs w:val="15"/>
              </w:rPr>
              <w:t>万元人民</w:t>
            </w:r>
            <w:r>
              <w:rPr>
                <w:rFonts w:ascii="宋体" w:hAnsi="宋体" w:cs="宋体" w:eastAsia="宋体" w:hint="default"/>
                <w:w w:val="100"/>
                <w:sz w:val="15"/>
                <w:szCs w:val="15"/>
              </w:rPr>
              <w:t> </w:t>
            </w:r>
            <w:r>
              <w:rPr>
                <w:rFonts w:ascii="宋体" w:hAnsi="宋体" w:cs="宋体" w:eastAsia="宋体" w:hint="default"/>
                <w:sz w:val="15"/>
                <w:szCs w:val="15"/>
              </w:rPr>
              <w:t>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2"/>
                <w:sz w:val="15"/>
              </w:rPr>
              <w:t>313,513,011.69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195,208,510.15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185,581,957.20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15,979,844.33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13,360,300.14</w:t>
            </w:r>
          </w:p>
        </w:tc>
      </w:tr>
      <w:tr>
        <w:trPr>
          <w:trHeight w:val="63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8"/>
              <w:ind w:right="77"/>
              <w:jc w:val="left"/>
              <w:rPr>
                <w:rFonts w:ascii="宋体" w:hAnsi="宋体" w:cs="宋体" w:eastAsia="宋体" w:hint="default"/>
                <w:sz w:val="15"/>
                <w:szCs w:val="15"/>
              </w:rPr>
            </w:pPr>
            <w:r>
              <w:rPr>
                <w:rFonts w:ascii="宋体" w:hAnsi="宋体" w:cs="宋体" w:eastAsia="宋体" w:hint="default"/>
                <w:sz w:val="15"/>
                <w:szCs w:val="15"/>
              </w:rPr>
              <w:t>长沙中电软件园有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主要业务为园区开发与服务。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15,000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791,581,071.09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462,130,313.39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2"/>
                <w:sz w:val="15"/>
              </w:rPr>
              <w:t>118,964,530.67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84,963,821.80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63,941,085.82</w:t>
            </w:r>
          </w:p>
        </w:tc>
      </w:tr>
      <w:tr>
        <w:trPr>
          <w:trHeight w:val="63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77"/>
              <w:jc w:val="left"/>
              <w:rPr>
                <w:rFonts w:ascii="宋体" w:hAnsi="宋体" w:cs="宋体" w:eastAsia="宋体" w:hint="default"/>
                <w:sz w:val="15"/>
                <w:szCs w:val="15"/>
              </w:rPr>
            </w:pPr>
            <w:r>
              <w:rPr>
                <w:rFonts w:ascii="宋体" w:hAnsi="宋体" w:cs="宋体" w:eastAsia="宋体" w:hint="default"/>
                <w:sz w:val="15"/>
                <w:szCs w:val="15"/>
              </w:rPr>
              <w:t>天津飞腾信息技术</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2"/>
              <w:jc w:val="left"/>
              <w:rPr>
                <w:rFonts w:ascii="宋体" w:hAnsi="宋体" w:cs="宋体" w:eastAsia="宋体" w:hint="default"/>
                <w:sz w:val="15"/>
                <w:szCs w:val="15"/>
              </w:rPr>
            </w:pPr>
            <w:r>
              <w:rPr>
                <w:rFonts w:ascii="宋体" w:hAnsi="宋体" w:cs="宋体" w:eastAsia="宋体" w:hint="default"/>
                <w:spacing w:val="-2"/>
                <w:sz w:val="15"/>
                <w:szCs w:val="15"/>
              </w:rPr>
              <w:t>主要业务为国产高性能、低功耗集成</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电路芯片的设计与服务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66,666.67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元人民币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1,727,622,102.29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629,428,272.83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207,214,768.66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2"/>
                <w:sz w:val="15"/>
              </w:rPr>
              <w:t>4,590,675.11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4,467,859.40</w:t>
            </w:r>
          </w:p>
        </w:tc>
      </w:tr>
      <w:tr>
        <w:trPr>
          <w:trHeight w:val="63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5"/>
              <w:jc w:val="left"/>
              <w:rPr>
                <w:rFonts w:ascii="宋体" w:hAnsi="宋体" w:cs="宋体" w:eastAsia="宋体" w:hint="default"/>
                <w:sz w:val="15"/>
                <w:szCs w:val="15"/>
              </w:rPr>
            </w:pPr>
            <w:r>
              <w:rPr>
                <w:rFonts w:ascii="宋体" w:hAnsi="宋体" w:cs="宋体" w:eastAsia="宋体" w:hint="default"/>
                <w:spacing w:val="-9"/>
                <w:sz w:val="15"/>
                <w:szCs w:val="15"/>
              </w:rPr>
              <w:t>长城超云（北京）科</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70"/>
              <w:jc w:val="left"/>
              <w:rPr>
                <w:rFonts w:ascii="宋体" w:hAnsi="宋体" w:cs="宋体" w:eastAsia="宋体" w:hint="default"/>
                <w:sz w:val="15"/>
                <w:szCs w:val="15"/>
              </w:rPr>
            </w:pPr>
            <w:r>
              <w:rPr>
                <w:rFonts w:ascii="宋体" w:hAnsi="宋体" w:cs="宋体" w:eastAsia="宋体" w:hint="default"/>
                <w:spacing w:val="-6"/>
                <w:w w:val="100"/>
                <w:sz w:val="15"/>
                <w:szCs w:val="15"/>
              </w:rPr>
              <w:t>主要业务为云计算服务器研发、生产</w:t>
            </w:r>
            <w:r>
              <w:rPr>
                <w:rFonts w:ascii="宋体" w:hAnsi="宋体" w:cs="宋体" w:eastAsia="宋体" w:hint="default"/>
                <w:w w:val="100"/>
                <w:sz w:val="15"/>
                <w:szCs w:val="15"/>
              </w:rPr>
              <w:t> </w:t>
            </w:r>
            <w:r>
              <w:rPr>
                <w:rFonts w:ascii="宋体" w:hAnsi="宋体" w:cs="宋体" w:eastAsia="宋体" w:hint="default"/>
                <w:sz w:val="15"/>
                <w:szCs w:val="15"/>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left"/>
              <w:rPr>
                <w:rFonts w:ascii="Times New Roman" w:hAnsi="Times New Roman" w:cs="Times New Roman" w:eastAsia="Times New Roman" w:hint="default"/>
                <w:sz w:val="15"/>
                <w:szCs w:val="15"/>
              </w:rPr>
            </w:pPr>
            <w:r>
              <w:rPr>
                <w:rFonts w:ascii="Times New Roman"/>
                <w:sz w:val="15"/>
              </w:rPr>
              <w:t>33,085.7143</w:t>
            </w:r>
          </w:p>
          <w:p>
            <w:pPr>
              <w:pStyle w:val="TableParagraph"/>
              <w:spacing w:line="240" w:lineRule="auto" w:before="106"/>
              <w:ind w:left="2" w:right="0"/>
              <w:jc w:val="left"/>
              <w:rPr>
                <w:rFonts w:ascii="宋体" w:hAnsi="宋体" w:cs="宋体" w:eastAsia="宋体" w:hint="default"/>
                <w:sz w:val="15"/>
                <w:szCs w:val="15"/>
              </w:rPr>
            </w:pPr>
            <w:r>
              <w:rPr>
                <w:rFonts w:ascii="宋体" w:hAnsi="宋体" w:cs="宋体" w:eastAsia="宋体" w:hint="default"/>
                <w:sz w:val="15"/>
                <w:szCs w:val="15"/>
              </w:rPr>
              <w:t>万元人民币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535,050,774.34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261,864,521.71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388,050,766.01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31,251,297.18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31,550,303.93</w:t>
            </w:r>
          </w:p>
        </w:tc>
      </w:tr>
    </w:tbl>
    <w:p>
      <w:pPr>
        <w:spacing w:before="52"/>
        <w:ind w:left="692" w:right="1025"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692" w:right="102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673" w:type="dxa"/>
        <w:tblLayout w:type="fixed"/>
        <w:tblCellMar>
          <w:top w:w="0" w:type="dxa"/>
          <w:left w:w="0" w:type="dxa"/>
          <w:bottom w:w="0" w:type="dxa"/>
          <w:right w:w="0" w:type="dxa"/>
        </w:tblCellMar>
        <w:tblLook w:val="01E0"/>
      </w:tblPr>
      <w:tblGrid>
        <w:gridCol w:w="2888"/>
        <w:gridCol w:w="2693"/>
        <w:gridCol w:w="4085"/>
      </w:tblGrid>
      <w:tr>
        <w:trPr>
          <w:trHeight w:val="362" w:hRule="exact"/>
        </w:trPr>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8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868"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62"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湖南凯杰科技有限责任公司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参见本节“出售重大股权情况”中的相关介绍</w:t>
            </w:r>
          </w:p>
        </w:tc>
      </w:tr>
      <w:tr>
        <w:trPr>
          <w:trHeight w:val="362"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河南长城计算机系统有限公司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7,427.39 </w:t>
            </w:r>
            <w:r>
              <w:rPr>
                <w:rFonts w:ascii="宋体" w:hAnsi="宋体" w:cs="宋体" w:eastAsia="宋体" w:hint="default"/>
                <w:spacing w:val="-3"/>
                <w:sz w:val="18"/>
                <w:szCs w:val="18"/>
              </w:rPr>
              <w:t>万元</w:t>
            </w:r>
            <w:r>
              <w:rPr>
                <w:rFonts w:ascii="宋体" w:hAnsi="宋体" w:cs="宋体" w:eastAsia="宋体" w:hint="default"/>
                <w:sz w:val="18"/>
                <w:szCs w:val="18"/>
              </w:rPr>
            </w:r>
          </w:p>
        </w:tc>
      </w:tr>
      <w:tr>
        <w:trPr>
          <w:trHeight w:val="360"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山西长城计算机系统有限公司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年实现净利润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11,199.89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362"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安徽长城计算机系统有限公司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362"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浙江长城计算机系统有限公司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年实现净利润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11,249.79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362"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新疆长城计算机系统有限公司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before="51"/>
        <w:ind w:left="692" w:right="1025" w:firstLine="0"/>
        <w:jc w:val="left"/>
        <w:rPr>
          <w:rFonts w:ascii="宋体" w:hAnsi="宋体" w:cs="宋体" w:eastAsia="宋体" w:hint="default"/>
          <w:sz w:val="18"/>
          <w:szCs w:val="18"/>
        </w:rPr>
      </w:pPr>
      <w:r>
        <w:rPr>
          <w:rFonts w:ascii="宋体" w:hAnsi="宋体" w:cs="宋体" w:eastAsia="宋体" w:hint="default"/>
          <w:b/>
          <w:bCs/>
          <w:sz w:val="18"/>
          <w:szCs w:val="18"/>
        </w:rPr>
        <w:t>主要控股参股公司情况说明</w:t>
      </w:r>
      <w:r>
        <w:rPr>
          <w:rFonts w:ascii="宋体" w:hAnsi="宋体" w:cs="宋体" w:eastAsia="宋体" w:hint="default"/>
          <w:sz w:val="18"/>
          <w:szCs w:val="18"/>
        </w:rPr>
      </w:r>
    </w:p>
    <w:p>
      <w:pPr>
        <w:spacing w:line="300" w:lineRule="auto" w:before="115"/>
        <w:ind w:left="692" w:right="112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月，公司向关联方中电工业互联网有限公司转让湖南凯杰科技有限责任公司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股权交易完成，具体内 容详见本节“出售重大股权情况说明”中的相关介绍。</w:t>
      </w:r>
    </w:p>
    <w:p>
      <w:pPr>
        <w:spacing w:line="300" w:lineRule="auto" w:before="72"/>
        <w:ind w:left="692"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月，公司完成天津飞腾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股权收购事项，其后天津飞腾实施股权激励方案，通过增发引入员工持股平 台，注册资本增加至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66,666.67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万元，公司持股比例下降至</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31.50%</w:t>
      </w:r>
      <w:r>
        <w:rPr>
          <w:rFonts w:ascii="宋体" w:hAnsi="宋体" w:cs="宋体" w:eastAsia="宋体" w:hint="default"/>
          <w:sz w:val="18"/>
          <w:szCs w:val="18"/>
        </w:rPr>
        <w:t>，具体内容详见本节“重大股权投资情况说明”中的相关 介绍。</w:t>
      </w:r>
    </w:p>
    <w:p>
      <w:pPr>
        <w:spacing w:line="307" w:lineRule="auto" w:before="72"/>
        <w:ind w:left="692" w:right="102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、报告期内，公司分别于河南省郑州市、山西省太原市、安徽省合肥市、浙江省温州市、新疆维吾尔自治区乌鲁木齐 市投资建设自主创新产业化基地并设立项目配套全资子公司河南长城计算机系统有限公司、山西长城计算机系统有限公司、 安徽长城计算机系统有限公司、浙江长城计算机系统有限公司、新疆长城计算机系统有限公司，注册资本均为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 具体内容详见本节“重大股权投资情况说明”中的相关介绍。</w:t>
      </w:r>
    </w:p>
    <w:p>
      <w:pPr>
        <w:spacing w:line="309" w:lineRule="auto" w:before="64"/>
        <w:ind w:left="692" w:right="1128" w:firstLine="36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日公司第七届董事会第二十三次会议和第七届监事会第九次会议、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5"/>
          <w:sz w:val="18"/>
          <w:szCs w:val="18"/>
        </w:rPr>
        <w:t>度第三次临时股东大会审议，同意原长城信息非公开发行募集资金投资项目中的“光纤水下探测系统产业化”、“自主可控安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0"/>
          <w:sz w:val="18"/>
          <w:szCs w:val="18"/>
        </w:rPr>
        <w:t>全计算机产业化”、“安全高端金融机具产业化”、“基于居民健康卡的区域诊疗一卡通平台”</w:t>
      </w:r>
      <w:r>
        <w:rPr>
          <w:rFonts w:ascii="Times New Roman" w:hAnsi="Times New Roman" w:cs="Times New Roman" w:eastAsia="Times New Roman" w:hint="default"/>
          <w:spacing w:val="-10"/>
          <w:sz w:val="18"/>
          <w:szCs w:val="18"/>
        </w:rPr>
        <w:t>4</w:t>
      </w:r>
      <w:r>
        <w:rPr>
          <w:rFonts w:ascii="Times New Roman" w:hAnsi="Times New Roman" w:cs="Times New Roman" w:eastAsia="Times New Roman" w:hint="default"/>
          <w:spacing w:val="31"/>
          <w:sz w:val="18"/>
          <w:szCs w:val="18"/>
        </w:rPr>
        <w:t> </w:t>
      </w:r>
      <w:r>
        <w:rPr>
          <w:rFonts w:ascii="宋体" w:hAnsi="宋体" w:cs="宋体" w:eastAsia="宋体" w:hint="default"/>
          <w:spacing w:val="-1"/>
          <w:sz w:val="18"/>
          <w:szCs w:val="18"/>
        </w:rPr>
        <w:t>个募投项目结项并将结余募集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资金永久补充流动资金，公司通过对承接募投项目的下属公司进行相应增资以完成募集资金使用的确权，具体内容详见本节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“募集资金使用情况”中的相关介绍。鉴于此，公司向湖南长城信息金融设备有限责任公司增资人民币</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亿元（募投项目确</w:t>
      </w:r>
    </w:p>
    <w:p>
      <w:pPr>
        <w:spacing w:before="5"/>
        <w:ind w:left="692" w:right="1025" w:firstLine="0"/>
        <w:jc w:val="left"/>
        <w:rPr>
          <w:rFonts w:ascii="宋体" w:hAnsi="宋体" w:cs="宋体" w:eastAsia="宋体" w:hint="default"/>
          <w:sz w:val="18"/>
          <w:szCs w:val="18"/>
        </w:rPr>
      </w:pPr>
      <w:r>
        <w:rPr>
          <w:rFonts w:ascii="宋体" w:hAnsi="宋体" w:cs="宋体" w:eastAsia="宋体" w:hint="default"/>
          <w:sz w:val="18"/>
          <w:szCs w:val="18"/>
        </w:rPr>
        <w:t>权增资</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万元，未分</w:t>
      </w:r>
      <w:r>
        <w:rPr>
          <w:rFonts w:ascii="宋体" w:hAnsi="宋体" w:cs="宋体" w:eastAsia="宋体" w:hint="default"/>
          <w:spacing w:val="-3"/>
          <w:sz w:val="18"/>
          <w:szCs w:val="18"/>
        </w:rPr>
        <w:t>配</w:t>
      </w:r>
      <w:r>
        <w:rPr>
          <w:rFonts w:ascii="宋体" w:hAnsi="宋体" w:cs="宋体" w:eastAsia="宋体" w:hint="default"/>
          <w:sz w:val="18"/>
          <w:szCs w:val="18"/>
        </w:rPr>
        <w:t>利润转增注册资本</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，注册资本增加至</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万元；公司向湖南长城医疗科技</w:t>
      </w:r>
    </w:p>
    <w:p>
      <w:pPr>
        <w:spacing w:before="63"/>
        <w:ind w:left="692" w:right="1025" w:firstLine="0"/>
        <w:jc w:val="left"/>
        <w:rPr>
          <w:rFonts w:ascii="宋体" w:hAnsi="宋体" w:cs="宋体" w:eastAsia="宋体" w:hint="default"/>
          <w:sz w:val="18"/>
          <w:szCs w:val="18"/>
        </w:rPr>
      </w:pPr>
      <w:r>
        <w:rPr>
          <w:rFonts w:ascii="宋体" w:hAnsi="宋体" w:cs="宋体" w:eastAsia="宋体" w:hint="default"/>
          <w:sz w:val="18"/>
          <w:szCs w:val="18"/>
        </w:rPr>
        <w:t>有限公司募投项目确权增资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5,847.0283 </w:t>
      </w:r>
      <w:r>
        <w:rPr>
          <w:rFonts w:ascii="宋体" w:hAnsi="宋体" w:cs="宋体" w:eastAsia="宋体" w:hint="default"/>
          <w:sz w:val="18"/>
          <w:szCs w:val="18"/>
        </w:rPr>
        <w:t>万元，注册资本增加至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10,847.0283 </w:t>
      </w:r>
      <w:r>
        <w:rPr>
          <w:rFonts w:ascii="宋体" w:hAnsi="宋体" w:cs="宋体" w:eastAsia="宋体" w:hint="default"/>
          <w:sz w:val="18"/>
          <w:szCs w:val="18"/>
        </w:rPr>
        <w:t>万元；公司向湖南长城海盾光纤科技有限公司募</w:t>
      </w:r>
    </w:p>
    <w:p>
      <w:pPr>
        <w:spacing w:before="63"/>
        <w:ind w:left="692" w:right="1025" w:firstLine="0"/>
        <w:jc w:val="left"/>
        <w:rPr>
          <w:rFonts w:ascii="宋体" w:hAnsi="宋体" w:cs="宋体" w:eastAsia="宋体" w:hint="default"/>
          <w:sz w:val="18"/>
          <w:szCs w:val="18"/>
        </w:rPr>
      </w:pPr>
      <w:r>
        <w:rPr>
          <w:rFonts w:ascii="宋体" w:hAnsi="宋体" w:cs="宋体" w:eastAsia="宋体" w:hint="default"/>
          <w:sz w:val="18"/>
          <w:szCs w:val="18"/>
        </w:rPr>
        <w:t>投项目确权增资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24,116.8124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万元，注册资本增加至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24,416.8124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300" w:lineRule="auto" w:before="103"/>
        <w:ind w:left="692" w:right="1136"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、公司从战略发展角度及管理需要出发，将持有的湖南长城信息金融设备有限责任公司</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股权转让给湖南长城科 技，具体内容详见第五节“公司子公司重大事项”中的相关介绍。</w:t>
      </w:r>
    </w:p>
    <w:p>
      <w:pPr>
        <w:spacing w:after="0" w:line="300" w:lineRule="auto"/>
        <w:jc w:val="both"/>
        <w:rPr>
          <w:rFonts w:ascii="宋体" w:hAnsi="宋体" w:cs="宋体" w:eastAsia="宋体" w:hint="default"/>
          <w:sz w:val="18"/>
          <w:szCs w:val="18"/>
        </w:rPr>
        <w:sectPr>
          <w:pgSz w:w="11910" w:h="16840"/>
          <w:pgMar w:header="789" w:footer="975" w:top="1100" w:bottom="1160" w:left="440" w:right="0"/>
        </w:sectPr>
      </w:pPr>
    </w:p>
    <w:p>
      <w:pPr>
        <w:spacing w:line="240" w:lineRule="auto" w:before="8"/>
        <w:rPr>
          <w:rFonts w:ascii="宋体" w:hAnsi="宋体" w:cs="宋体" w:eastAsia="宋体" w:hint="default"/>
          <w:sz w:val="22"/>
          <w:szCs w:val="22"/>
        </w:rPr>
      </w:pPr>
    </w:p>
    <w:p>
      <w:pPr>
        <w:spacing w:line="300" w:lineRule="auto" w:before="44"/>
        <w:ind w:left="152" w:right="112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、广州鼎甲计算机科技有限公司通过股权融资方式引入财务投资者，其注册资本增加至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3,145.1377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万元，公司持股比 例因放弃参与增资稀释至</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18.1369%</w:t>
      </w:r>
      <w:r>
        <w:rPr>
          <w:rFonts w:ascii="宋体" w:hAnsi="宋体" w:cs="宋体" w:eastAsia="宋体" w:hint="default"/>
          <w:sz w:val="18"/>
          <w:szCs w:val="18"/>
        </w:rPr>
        <w:t>；其后，广州鼎甲计算机科技有限公司实施资本公积金转增注册资本，注册资本增加至 </w:t>
      </w:r>
      <w:r>
        <w:rPr>
          <w:rFonts w:ascii="Times New Roman" w:hAnsi="Times New Roman" w:cs="Times New Roman" w:eastAsia="Times New Roman" w:hint="default"/>
          <w:sz w:val="18"/>
          <w:szCs w:val="18"/>
        </w:rPr>
        <w:t>5,245.1377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Heading4"/>
        <w:spacing w:line="240" w:lineRule="auto" w:before="144"/>
        <w:ind w:right="0"/>
        <w:jc w:val="both"/>
        <w:rPr>
          <w:b w:val="0"/>
          <w:bCs w:val="0"/>
        </w:rPr>
      </w:pPr>
      <w:r>
        <w:rPr/>
        <w:t>八、公司控制的结构化主体情况</w:t>
      </w:r>
      <w:r>
        <w:rPr>
          <w:b w:val="0"/>
          <w:bCs w:val="0"/>
        </w:rPr>
      </w:r>
    </w:p>
    <w:p>
      <w:pPr>
        <w:spacing w:line="240" w:lineRule="auto" w:before="4"/>
        <w:rPr>
          <w:rFonts w:ascii="宋体" w:hAnsi="宋体" w:cs="宋体" w:eastAsia="宋体" w:hint="default"/>
          <w:b/>
          <w:bCs/>
          <w:sz w:val="17"/>
          <w:szCs w:val="1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5"/>
          <w:szCs w:val="15"/>
        </w:rPr>
      </w:pPr>
    </w:p>
    <w:p>
      <w:pPr>
        <w:pStyle w:val="Heading4"/>
        <w:spacing w:line="240" w:lineRule="auto"/>
        <w:ind w:right="0"/>
        <w:jc w:val="both"/>
        <w:rPr>
          <w:b w:val="0"/>
          <w:bCs w:val="0"/>
        </w:rPr>
      </w:pPr>
      <w:r>
        <w:rPr/>
        <w:t>九、公司未来发展的展望</w:t>
      </w:r>
      <w:r>
        <w:rPr>
          <w:b w:val="0"/>
          <w:bCs w:val="0"/>
        </w:rPr>
      </w:r>
    </w:p>
    <w:p>
      <w:pPr>
        <w:spacing w:line="240" w:lineRule="auto" w:before="6"/>
        <w:rPr>
          <w:rFonts w:ascii="宋体" w:hAnsi="宋体" w:cs="宋体" w:eastAsia="宋体" w:hint="default"/>
          <w:b/>
          <w:bCs/>
          <w:sz w:val="18"/>
          <w:szCs w:val="18"/>
        </w:rPr>
      </w:pPr>
    </w:p>
    <w:p>
      <w:pPr>
        <w:pStyle w:val="BodyText"/>
        <w:spacing w:line="321" w:lineRule="auto" w:before="0"/>
        <w:ind w:left="573" w:right="1133"/>
        <w:jc w:val="left"/>
      </w:pPr>
      <w:r>
        <w:rPr>
          <w:rFonts w:ascii="Times New Roman" w:hAnsi="Times New Roman" w:cs="Times New Roman" w:eastAsia="Times New Roman" w:hint="default"/>
        </w:rPr>
        <w:t>1</w:t>
      </w:r>
      <w:r>
        <w:rPr/>
        <w:t>、中国长城所处行业格局和趋势</w:t>
      </w:r>
      <w:r>
        <w:rPr>
          <w:w w:val="100"/>
        </w:rPr>
        <w:t> </w:t>
      </w:r>
      <w:r>
        <w:rPr>
          <w:spacing w:val="-2"/>
        </w:rPr>
        <w:t>我国发展面临多年少有的国内外复杂严峻形势，受疫情影响，经济全球化遭遇重创，多边主义受到冲</w:t>
      </w:r>
    </w:p>
    <w:p>
      <w:pPr>
        <w:pStyle w:val="BodyText"/>
        <w:spacing w:line="340" w:lineRule="auto" w:before="45"/>
        <w:ind w:left="152" w:right="1126"/>
        <w:jc w:val="both"/>
      </w:pPr>
      <w:r>
        <w:rPr>
          <w:spacing w:val="-2"/>
        </w:rPr>
        <w:t>击，中美博弈纵深发展，由贸易向科技、军事领域不断延伸，我国信息技术和电子信息产业的作用地位更</w:t>
      </w:r>
      <w:r>
        <w:rPr>
          <w:spacing w:val="-47"/>
        </w:rPr>
        <w:t> </w:t>
      </w:r>
      <w:r>
        <w:rPr>
          <w:spacing w:val="-47"/>
        </w:rPr>
      </w:r>
      <w:r>
        <w:rPr>
          <w:spacing w:val="-7"/>
          <w:w w:val="100"/>
        </w:rPr>
        <w:t>加突出。近期，国家决策层强调“新基建”，与传统基建不同，“新基建”立足高科技。以“新基建”为抓</w:t>
      </w:r>
      <w:r>
        <w:rPr>
          <w:spacing w:val="-77"/>
          <w:w w:val="100"/>
        </w:rPr>
        <w:t> </w:t>
      </w:r>
      <w:r>
        <w:rPr>
          <w:spacing w:val="-77"/>
          <w:w w:val="100"/>
        </w:rPr>
      </w:r>
      <w:r>
        <w:rPr>
          <w:spacing w:val="-2"/>
        </w:rPr>
        <w:t>手，强化关键核心技术与产品的自研能力，夯实经济社会高质量发展的安全底座，对于我国抢抓新一轮产</w:t>
      </w:r>
      <w:r>
        <w:rPr>
          <w:spacing w:val="-44"/>
        </w:rPr>
        <w:t> </w:t>
      </w:r>
      <w:r>
        <w:rPr>
          <w:spacing w:val="-44"/>
        </w:rPr>
      </w:r>
      <w:r>
        <w:rPr/>
        <w:t>业变革机遇意义重大。</w:t>
      </w:r>
    </w:p>
    <w:p>
      <w:pPr>
        <w:pStyle w:val="BodyText"/>
        <w:spacing w:line="331" w:lineRule="auto" w:before="28"/>
        <w:ind w:left="152" w:right="0" w:firstLine="420"/>
        <w:jc w:val="left"/>
      </w:pPr>
      <w:r>
        <w:rPr>
          <w:rFonts w:ascii="Times New Roman" w:hAnsi="Times New Roman" w:cs="Times New Roman" w:eastAsia="Times New Roman" w:hint="default"/>
        </w:rPr>
        <w:t>2020 </w:t>
      </w:r>
      <w:r>
        <w:rPr>
          <w:spacing w:val="-6"/>
        </w:rPr>
        <w:t>年，公司将切实加强全方位超常规创新，积极做好顶层谋划、筑牢基础，集中网络安全与信息化、</w:t>
      </w:r>
      <w:r>
        <w:rPr>
          <w:w w:val="100"/>
        </w:rPr>
        <w:t> </w:t>
      </w:r>
      <w:r>
        <w:rPr>
          <w:spacing w:val="-2"/>
          <w:w w:val="100"/>
        </w:rPr>
        <w:t>高新电子两大主业，在六个业务方向，若干业务单元的基础上，对标“新基建”，扭转相关领域核心技术</w:t>
      </w:r>
      <w:r>
        <w:rPr>
          <w:spacing w:val="-94"/>
          <w:w w:val="100"/>
        </w:rPr>
        <w:t> </w:t>
      </w:r>
      <w:r>
        <w:rPr>
          <w:spacing w:val="-94"/>
          <w:w w:val="100"/>
        </w:rPr>
      </w:r>
      <w:r>
        <w:rPr/>
        <w:t>受制于人的局面，加速本公司科技型企业转型目标的实现，力争将中国长城打造成为网信产业的引领者。</w:t>
      </w:r>
    </w:p>
    <w:p>
      <w:pPr>
        <w:pStyle w:val="BodyText"/>
        <w:spacing w:line="240" w:lineRule="auto" w:before="34"/>
        <w:ind w:left="573" w:right="1133"/>
        <w:jc w:val="left"/>
      </w:pPr>
      <w:r>
        <w:rPr>
          <w:rFonts w:ascii="Times New Roman" w:hAnsi="Times New Roman" w:cs="Times New Roman" w:eastAsia="Times New Roman" w:hint="default"/>
        </w:rPr>
        <w:t>2</w:t>
      </w:r>
      <w:r>
        <w:rPr/>
        <w:t>、中国长城发展战略</w:t>
      </w:r>
    </w:p>
    <w:p>
      <w:pPr>
        <w:pStyle w:val="BodyText"/>
        <w:spacing w:line="240" w:lineRule="auto" w:before="100"/>
        <w:ind w:left="573" w:right="1133"/>
        <w:jc w:val="left"/>
      </w:pPr>
      <w:r>
        <w:rPr/>
        <w:t>（</w:t>
      </w:r>
      <w:r>
        <w:rPr>
          <w:rFonts w:ascii="Times New Roman" w:hAnsi="Times New Roman" w:cs="Times New Roman" w:eastAsia="Times New Roman" w:hint="default"/>
        </w:rPr>
        <w:t>1</w:t>
      </w:r>
      <w:r>
        <w:rPr/>
        <w:t>）指导思想</w:t>
      </w:r>
    </w:p>
    <w:p>
      <w:pPr>
        <w:pStyle w:val="BodyText"/>
        <w:spacing w:line="324" w:lineRule="auto" w:before="98"/>
        <w:ind w:left="152" w:right="1133" w:firstLine="420"/>
        <w:jc w:val="left"/>
      </w:pPr>
      <w:r>
        <w:rPr>
          <w:rFonts w:ascii="Times New Roman" w:hAnsi="Times New Roman" w:cs="Times New Roman" w:eastAsia="Times New Roman" w:hint="default"/>
        </w:rPr>
        <w:t>2020 </w:t>
      </w:r>
      <w:r>
        <w:rPr>
          <w:spacing w:val="-4"/>
        </w:rPr>
        <w:t>年，中国长城以“自主可信、安全可靠、外引内联、集智攻关”为总体指导思想，坚持总体国家</w:t>
      </w:r>
      <w:r>
        <w:rPr>
          <w:w w:val="100"/>
        </w:rPr>
        <w:t> </w:t>
      </w:r>
      <w:r>
        <w:rPr>
          <w:spacing w:val="-2"/>
        </w:rPr>
        <w:t>安全观、贯彻新发展理念、深入实施超常规创新驱动发展战略，做全、做强具有自主知识产权的“芯</w:t>
      </w:r>
      <w:r>
        <w:rPr>
          <w:rFonts w:ascii="Times New Roman" w:hAnsi="Times New Roman" w:cs="Times New Roman" w:eastAsia="Times New Roman" w:hint="default"/>
          <w:spacing w:val="-2"/>
        </w:rPr>
        <w:t>—</w:t>
      </w:r>
      <w:r>
        <w:rPr>
          <w:spacing w:val="-2"/>
        </w:rPr>
        <w:t>端</w:t>
      </w:r>
    </w:p>
    <w:p>
      <w:pPr>
        <w:pStyle w:val="BodyText"/>
        <w:spacing w:line="321" w:lineRule="auto" w:before="16"/>
        <w:ind w:left="152" w:right="1126"/>
        <w:jc w:val="both"/>
      </w:pPr>
      <w:r>
        <w:rPr>
          <w:rFonts w:ascii="Times New Roman" w:hAnsi="Times New Roman" w:cs="Times New Roman" w:eastAsia="Times New Roman" w:hint="default"/>
          <w:spacing w:val="-2"/>
        </w:rPr>
        <w:t>—</w:t>
      </w:r>
      <w:r>
        <w:rPr>
          <w:spacing w:val="-2"/>
        </w:rPr>
        <w:t>云”完整生态链条，引领新一代信息技术产业集聚发展态势。同时抢抓“新基建”的历史机遇，融合大</w:t>
      </w:r>
      <w:r>
        <w:rPr>
          <w:spacing w:val="-42"/>
        </w:rPr>
        <w:t> </w:t>
      </w:r>
      <w:r>
        <w:rPr>
          <w:spacing w:val="-42"/>
        </w:rPr>
      </w:r>
      <w:r>
        <w:rPr/>
        <w:t>数据中心、工业互联网、人工智能等前沿信息技术，率先在政府、公共安全等领域实现基于</w:t>
      </w:r>
      <w:r>
        <w:rPr>
          <w:spacing w:val="-45"/>
        </w:rPr>
        <w:t> </w:t>
      </w:r>
      <w:r>
        <w:rPr>
          <w:rFonts w:ascii="Times New Roman" w:hAnsi="Times New Roman" w:cs="Times New Roman" w:eastAsia="Times New Roman" w:hint="default"/>
        </w:rPr>
        <w:t>PK</w:t>
      </w:r>
      <w:r>
        <w:rPr>
          <w:rFonts w:ascii="Times New Roman" w:hAnsi="Times New Roman" w:cs="Times New Roman" w:eastAsia="Times New Roman" w:hint="default"/>
          <w:spacing w:val="10"/>
        </w:rPr>
        <w:t> </w:t>
      </w:r>
      <w:r>
        <w:rPr/>
        <w:t>体系的全</w:t>
      </w:r>
      <w:r>
        <w:rPr>
          <w:w w:val="100"/>
        </w:rPr>
        <w:t> </w:t>
      </w:r>
      <w:r>
        <w:rPr/>
        <w:t>面安全自主，积极服务国家战略。</w:t>
      </w:r>
    </w:p>
    <w:p>
      <w:pPr>
        <w:pStyle w:val="BodyText"/>
        <w:spacing w:line="321" w:lineRule="auto" w:before="45"/>
        <w:ind w:left="573" w:right="1133"/>
        <w:jc w:val="left"/>
      </w:pPr>
      <w:r>
        <w:rPr/>
        <w:t>（</w:t>
      </w:r>
      <w:r>
        <w:rPr>
          <w:rFonts w:ascii="Times New Roman" w:hAnsi="Times New Roman" w:cs="Times New Roman" w:eastAsia="Times New Roman" w:hint="default"/>
        </w:rPr>
        <w:t>2</w:t>
      </w:r>
      <w:r>
        <w:rPr/>
        <w:t>）聚焦打造两大核心业务集群</w:t>
      </w:r>
      <w:r>
        <w:rPr>
          <w:w w:val="100"/>
        </w:rPr>
        <w:t> </w:t>
      </w:r>
      <w:r>
        <w:rPr>
          <w:spacing w:val="-2"/>
        </w:rPr>
        <w:t>优化现有业务，以“网络安全与信息化”为发展主线，致力于打造网络安全与信息化、高新电子两大</w:t>
      </w:r>
    </w:p>
    <w:p>
      <w:pPr>
        <w:pStyle w:val="BodyText"/>
        <w:spacing w:line="340" w:lineRule="auto" w:before="45"/>
        <w:ind w:left="152" w:right="1127"/>
        <w:jc w:val="both"/>
      </w:pPr>
      <w:r>
        <w:rPr>
          <w:spacing w:val="-2"/>
        </w:rPr>
        <w:t>业务集群，聚焦党政军、金融等关键行业和领域，提供涵盖产品、集成、运营和行业解决方案等关键要素</w:t>
      </w:r>
      <w:r>
        <w:rPr>
          <w:spacing w:val="-43"/>
        </w:rPr>
        <w:t> </w:t>
      </w:r>
      <w:r>
        <w:rPr>
          <w:spacing w:val="-43"/>
        </w:rPr>
      </w:r>
      <w:r>
        <w:rPr>
          <w:spacing w:val="-2"/>
        </w:rPr>
        <w:t>的一体化服务。公司将不断加大技术研发投入，加强合作，持续推动体制机制创新和市场化改革，实施创</w:t>
      </w:r>
      <w:r>
        <w:rPr>
          <w:spacing w:val="-50"/>
        </w:rPr>
        <w:t> </w:t>
      </w:r>
      <w:r>
        <w:rPr>
          <w:spacing w:val="-50"/>
        </w:rPr>
      </w:r>
      <w:r>
        <w:rPr/>
        <w:t>新和市场双轮驱动，实现高质量发展，成为网络安全与信息化领域旗舰企业。</w:t>
      </w:r>
    </w:p>
    <w:p>
      <w:pPr>
        <w:pStyle w:val="BodyText"/>
        <w:spacing w:line="240" w:lineRule="auto" w:before="25"/>
        <w:ind w:left="573" w:right="1133"/>
        <w:jc w:val="left"/>
      </w:pPr>
      <w:r>
        <w:rPr>
          <w:rFonts w:ascii="Times New Roman" w:hAnsi="Times New Roman" w:cs="Times New Roman" w:eastAsia="Times New Roman" w:hint="default"/>
        </w:rPr>
        <w:t>3</w:t>
      </w:r>
      <w:r>
        <w:rPr/>
        <w:t>、中国长城经营计划</w:t>
      </w:r>
    </w:p>
    <w:p>
      <w:pPr>
        <w:pStyle w:val="BodyText"/>
        <w:spacing w:line="240" w:lineRule="auto" w:before="100"/>
        <w:ind w:left="573" w:right="0"/>
        <w:jc w:val="left"/>
      </w:pPr>
      <w:r>
        <w:rPr>
          <w:rFonts w:ascii="Times New Roman" w:hAnsi="Times New Roman" w:cs="Times New Roman" w:eastAsia="Times New Roman" w:hint="default"/>
          <w:w w:val="100"/>
        </w:rPr>
        <w:t>2020</w:t>
      </w:r>
      <w:r>
        <w:rPr>
          <w:rFonts w:ascii="Times New Roman" w:hAnsi="Times New Roman" w:cs="Times New Roman" w:eastAsia="Times New Roman" w:hint="default"/>
          <w:spacing w:val="-3"/>
        </w:rPr>
        <w:t> </w:t>
      </w:r>
      <w:r>
        <w:rPr>
          <w:w w:val="100"/>
        </w:rPr>
        <w:t>年</w:t>
      </w:r>
      <w:r>
        <w:rPr>
          <w:spacing w:val="-3"/>
          <w:w w:val="100"/>
        </w:rPr>
        <w:t>是</w:t>
      </w:r>
      <w:r>
        <w:rPr>
          <w:w w:val="100"/>
        </w:rPr>
        <w:t>集</w:t>
      </w:r>
      <w:r>
        <w:rPr>
          <w:spacing w:val="-3"/>
          <w:w w:val="100"/>
        </w:rPr>
        <w:t>团</w:t>
      </w:r>
      <w:r>
        <w:rPr>
          <w:w w:val="100"/>
        </w:rPr>
        <w:t>重</w:t>
      </w:r>
      <w:r>
        <w:rPr>
          <w:spacing w:val="-3"/>
          <w:w w:val="100"/>
        </w:rPr>
        <w:t>要</w:t>
      </w:r>
      <w:r>
        <w:rPr>
          <w:spacing w:val="-20"/>
          <w:w w:val="100"/>
        </w:rPr>
        <w:t>的</w:t>
      </w:r>
      <w:r>
        <w:rPr>
          <w:w w:val="100"/>
        </w:rPr>
        <w:t>“</w:t>
      </w:r>
      <w:r>
        <w:rPr>
          <w:spacing w:val="-3"/>
          <w:w w:val="100"/>
        </w:rPr>
        <w:t>创</w:t>
      </w:r>
      <w:r>
        <w:rPr>
          <w:w w:val="100"/>
        </w:rPr>
        <w:t>新年</w:t>
      </w:r>
      <w:r>
        <w:rPr>
          <w:spacing w:val="-106"/>
          <w:w w:val="100"/>
        </w:rPr>
        <w:t>”</w:t>
      </w:r>
      <w:r>
        <w:rPr>
          <w:spacing w:val="-22"/>
          <w:w w:val="100"/>
        </w:rPr>
        <w:t>，</w:t>
      </w:r>
      <w:r>
        <w:rPr>
          <w:w w:val="100"/>
        </w:rPr>
        <w:t>也</w:t>
      </w:r>
      <w:r>
        <w:rPr>
          <w:spacing w:val="-3"/>
          <w:w w:val="100"/>
        </w:rPr>
        <w:t>是</w:t>
      </w:r>
      <w:r>
        <w:rPr>
          <w:w w:val="100"/>
        </w:rPr>
        <w:t>中</w:t>
      </w:r>
      <w:r>
        <w:rPr>
          <w:spacing w:val="-3"/>
          <w:w w:val="100"/>
        </w:rPr>
        <w:t>国</w:t>
      </w:r>
      <w:r>
        <w:rPr>
          <w:w w:val="100"/>
        </w:rPr>
        <w:t>长</w:t>
      </w:r>
      <w:r>
        <w:rPr>
          <w:spacing w:val="-3"/>
          <w:w w:val="100"/>
        </w:rPr>
        <w:t>城</w:t>
      </w:r>
      <w:r>
        <w:rPr>
          <w:w w:val="100"/>
        </w:rPr>
        <w:t>实</w:t>
      </w:r>
      <w:r>
        <w:rPr>
          <w:spacing w:val="-3"/>
          <w:w w:val="100"/>
        </w:rPr>
        <w:t>现</w:t>
      </w:r>
      <w:r>
        <w:rPr>
          <w:w w:val="100"/>
        </w:rPr>
        <w:t>王者</w:t>
      </w:r>
      <w:r>
        <w:rPr>
          <w:spacing w:val="-3"/>
          <w:w w:val="100"/>
        </w:rPr>
        <w:t>归</w:t>
      </w:r>
      <w:r>
        <w:rPr>
          <w:w w:val="100"/>
        </w:rPr>
        <w:t>来</w:t>
      </w:r>
      <w:r>
        <w:rPr>
          <w:spacing w:val="-22"/>
          <w:w w:val="100"/>
        </w:rPr>
        <w:t>的</w:t>
      </w:r>
      <w:r>
        <w:rPr>
          <w:w w:val="100"/>
        </w:rPr>
        <w:t>“</w:t>
      </w:r>
      <w:r>
        <w:rPr>
          <w:spacing w:val="-3"/>
          <w:w w:val="100"/>
        </w:rPr>
        <w:t>突</w:t>
      </w:r>
      <w:r>
        <w:rPr>
          <w:w w:val="100"/>
        </w:rPr>
        <w:t>破年</w:t>
      </w:r>
      <w:r>
        <w:rPr>
          <w:spacing w:val="-108"/>
          <w:w w:val="100"/>
        </w:rPr>
        <w:t>”</w:t>
      </w:r>
      <w:r>
        <w:rPr>
          <w:spacing w:val="-20"/>
          <w:w w:val="100"/>
        </w:rPr>
        <w:t>。</w:t>
      </w:r>
      <w:r>
        <w:rPr>
          <w:spacing w:val="-3"/>
          <w:w w:val="100"/>
        </w:rPr>
        <w:t>公</w:t>
      </w:r>
      <w:r>
        <w:rPr>
          <w:w w:val="100"/>
        </w:rPr>
        <w:t>司将</w:t>
      </w:r>
      <w:r>
        <w:rPr>
          <w:spacing w:val="-3"/>
          <w:w w:val="100"/>
        </w:rPr>
        <w:t>坚</w:t>
      </w:r>
      <w:r>
        <w:rPr>
          <w:w w:val="100"/>
        </w:rPr>
        <w:t>持</w:t>
      </w:r>
      <w:r>
        <w:rPr>
          <w:spacing w:val="-3"/>
          <w:w w:val="100"/>
        </w:rPr>
        <w:t>以</w:t>
      </w:r>
      <w:r>
        <w:rPr>
          <w:w w:val="100"/>
        </w:rPr>
        <w:t>习</w:t>
      </w:r>
      <w:r>
        <w:rPr>
          <w:spacing w:val="-3"/>
          <w:w w:val="100"/>
        </w:rPr>
        <w:t>近</w:t>
      </w:r>
      <w:r>
        <w:rPr>
          <w:w w:val="100"/>
        </w:rPr>
        <w:t>平</w:t>
      </w:r>
      <w:r>
        <w:rPr>
          <w:spacing w:val="-3"/>
          <w:w w:val="100"/>
        </w:rPr>
        <w:t>新</w:t>
      </w:r>
      <w:r>
        <w:rPr>
          <w:w w:val="100"/>
        </w:rPr>
        <w:t>时</w:t>
      </w:r>
    </w:p>
    <w:p>
      <w:pPr>
        <w:pStyle w:val="BodyText"/>
        <w:spacing w:line="333" w:lineRule="auto" w:before="98"/>
        <w:ind w:left="152" w:right="0"/>
        <w:jc w:val="left"/>
      </w:pPr>
      <w:r>
        <w:rPr/>
        <w:t>代中国特色社会主义思想为指导，坚决贯彻落实集团公司 </w:t>
      </w:r>
      <w:r>
        <w:rPr>
          <w:rFonts w:ascii="Times New Roman" w:hAnsi="Times New Roman" w:cs="Times New Roman" w:eastAsia="Times New Roman" w:hint="default"/>
        </w:rPr>
        <w:t>2020</w:t>
      </w:r>
      <w:r>
        <w:rPr>
          <w:rFonts w:ascii="Times New Roman" w:hAnsi="Times New Roman" w:cs="Times New Roman" w:eastAsia="Times New Roman" w:hint="default"/>
          <w:spacing w:val="24"/>
        </w:rPr>
        <w:t> </w:t>
      </w:r>
      <w:r>
        <w:rPr/>
        <w:t>年工作会议精神和工作部署，坚持新发展</w:t>
      </w:r>
      <w:r>
        <w:rPr>
          <w:w w:val="100"/>
        </w:rPr>
        <w:t> </w:t>
      </w:r>
      <w:r>
        <w:rPr>
          <w:spacing w:val="-5"/>
        </w:rPr>
        <w:t>理念，以打造战略核心竞争力为引领，以深化市场化结构性改革为主线，以推进全方位超常规创新为主题， </w:t>
      </w:r>
      <w:r>
        <w:rPr>
          <w:spacing w:val="-5"/>
        </w:rPr>
        <w:t>把改革创新作为思想和行动的出发点、落脚点，强化管理，紧盯抓实重点任务，着力打造网信产业国家队。</w:t>
      </w:r>
      <w:r>
        <w:rPr>
          <w:spacing w:val="-7"/>
        </w:rPr>
        <w:t> </w:t>
      </w:r>
      <w:r>
        <w:rPr>
          <w:spacing w:val="-7"/>
        </w:rPr>
      </w:r>
      <w:r>
        <w:rPr/>
        <w:t>重点做好以下工作：</w:t>
      </w:r>
    </w:p>
    <w:p>
      <w:pPr>
        <w:pStyle w:val="BodyText"/>
        <w:spacing w:line="324" w:lineRule="auto" w:before="32"/>
        <w:ind w:left="573" w:right="1133"/>
        <w:jc w:val="left"/>
      </w:pPr>
      <w:r>
        <w:rPr/>
        <w:t>（</w:t>
      </w:r>
      <w:r>
        <w:rPr>
          <w:rFonts w:ascii="Times New Roman" w:hAnsi="Times New Roman" w:cs="Times New Roman" w:eastAsia="Times New Roman" w:hint="default"/>
        </w:rPr>
        <w:t>1</w:t>
      </w:r>
      <w:r>
        <w:rPr/>
        <w:t>）重构创新体系，聚焦技术突破</w:t>
      </w:r>
      <w:r>
        <w:rPr>
          <w:w w:val="100"/>
        </w:rPr>
        <w:t> </w:t>
      </w:r>
      <w:r>
        <w:rPr>
          <w:spacing w:val="-2"/>
        </w:rPr>
        <w:t>实现创新迭代新突破，从生产型企业向科技型企业跨越，聚焦技术引领性突破。</w:t>
      </w:r>
    </w:p>
    <w:p>
      <w:pPr>
        <w:spacing w:after="0" w:line="324" w:lineRule="auto"/>
        <w:jc w:val="left"/>
        <w:sectPr>
          <w:pgSz w:w="11910" w:h="16840"/>
          <w:pgMar w:header="789" w:footer="975" w:top="1100" w:bottom="1160" w:left="980" w:right="0"/>
        </w:sectPr>
      </w:pPr>
    </w:p>
    <w:p>
      <w:pPr>
        <w:spacing w:line="240" w:lineRule="auto" w:before="5"/>
        <w:rPr>
          <w:rFonts w:ascii="宋体" w:hAnsi="宋体" w:cs="宋体" w:eastAsia="宋体" w:hint="default"/>
          <w:sz w:val="24"/>
          <w:szCs w:val="24"/>
        </w:rPr>
      </w:pPr>
    </w:p>
    <w:p>
      <w:pPr>
        <w:pStyle w:val="BodyText"/>
        <w:spacing w:line="333" w:lineRule="auto"/>
        <w:ind w:left="152" w:right="1126" w:firstLine="420"/>
        <w:jc w:val="both"/>
      </w:pPr>
      <w:r>
        <w:rPr>
          <w:spacing w:val="-2"/>
        </w:rPr>
        <w:t>把科技创新作为核心竞争力，打造技术创新大平台，围绕着顶层设计制定科技创新研发规划路径和短</w:t>
      </w:r>
      <w:r>
        <w:rPr>
          <w:w w:val="100"/>
        </w:rPr>
        <w:t> </w:t>
      </w:r>
      <w:r>
        <w:rPr>
          <w:spacing w:val="-3"/>
        </w:rPr>
        <w:t>中长期战略目标、载体，围绕 </w:t>
      </w:r>
      <w:r>
        <w:rPr>
          <w:rFonts w:ascii="Times New Roman" w:hAnsi="Times New Roman" w:cs="Times New Roman" w:eastAsia="Times New Roman" w:hint="default"/>
          <w:spacing w:val="-3"/>
        </w:rPr>
        <w:t>CPU</w:t>
      </w:r>
      <w:r>
        <w:rPr>
          <w:spacing w:val="-3"/>
        </w:rPr>
        <w:t>、关键芯片、芯</w:t>
      </w:r>
      <w:r>
        <w:rPr>
          <w:rFonts w:ascii="Times New Roman" w:hAnsi="Times New Roman" w:cs="Times New Roman" w:eastAsia="Times New Roman" w:hint="default"/>
          <w:spacing w:val="-3"/>
        </w:rPr>
        <w:t>—</w:t>
      </w:r>
      <w:r>
        <w:rPr>
          <w:spacing w:val="-3"/>
        </w:rPr>
        <w:t>端</w:t>
      </w:r>
      <w:r>
        <w:rPr>
          <w:rFonts w:ascii="Times New Roman" w:hAnsi="Times New Roman" w:cs="Times New Roman" w:eastAsia="Times New Roman" w:hint="default"/>
          <w:spacing w:val="-3"/>
        </w:rPr>
        <w:t>—</w:t>
      </w:r>
      <w:r>
        <w:rPr>
          <w:spacing w:val="-3"/>
        </w:rPr>
        <w:t>云产业链条补齐短板、优化主业，实现高新电子</w:t>
      </w:r>
      <w:r>
        <w:rPr>
          <w:spacing w:val="-87"/>
        </w:rPr>
        <w:t> </w:t>
      </w:r>
      <w:r>
        <w:rPr>
          <w:spacing w:val="-87"/>
        </w:rPr>
      </w:r>
      <w:r>
        <w:rPr>
          <w:spacing w:val="-2"/>
        </w:rPr>
        <w:t>核心技术能力的迭代升级和储备。其一，重构科技创新主体</w:t>
      </w:r>
      <w:r>
        <w:rPr>
          <w:rFonts w:ascii="Times New Roman" w:hAnsi="Times New Roman" w:cs="Times New Roman" w:eastAsia="Times New Roman" w:hint="default"/>
          <w:spacing w:val="-2"/>
        </w:rPr>
        <w:t>——</w:t>
      </w:r>
      <w:r>
        <w:rPr>
          <w:spacing w:val="-2"/>
        </w:rPr>
        <w:t>加快建设科技创新基础设施，下设各类研</w:t>
      </w:r>
      <w:r>
        <w:rPr>
          <w:spacing w:val="-44"/>
        </w:rPr>
        <w:t> </w:t>
      </w:r>
      <w:r>
        <w:rPr>
          <w:spacing w:val="-44"/>
        </w:rPr>
      </w:r>
      <w:r>
        <w:rPr>
          <w:spacing w:val="-2"/>
        </w:rPr>
        <w:t>究所、创新事业部，打造一批技术创新基地、专业化科技创新中心。从根本上重构中国长城的科技创新体</w:t>
      </w:r>
      <w:r>
        <w:rPr>
          <w:spacing w:val="-47"/>
        </w:rPr>
        <w:t> </w:t>
      </w:r>
      <w:r>
        <w:rPr>
          <w:spacing w:val="-47"/>
        </w:rPr>
      </w:r>
      <w:r>
        <w:rPr>
          <w:spacing w:val="-2"/>
        </w:rPr>
        <w:t>系，进而实现组织架构调整</w:t>
      </w:r>
      <w:r>
        <w:rPr>
          <w:rFonts w:ascii="Times New Roman" w:hAnsi="Times New Roman" w:cs="Times New Roman" w:eastAsia="Times New Roman" w:hint="default"/>
          <w:spacing w:val="-2"/>
        </w:rPr>
        <w:t>——</w:t>
      </w:r>
      <w:r>
        <w:rPr>
          <w:spacing w:val="-2"/>
        </w:rPr>
        <w:t>设立中国长城研究院，形成科技创新平台、技术产品孵化平台、高端研发</w:t>
      </w:r>
      <w:r>
        <w:rPr>
          <w:spacing w:val="-46"/>
        </w:rPr>
        <w:t> </w:t>
      </w:r>
      <w:r>
        <w:rPr>
          <w:spacing w:val="-46"/>
        </w:rPr>
      </w:r>
      <w:r>
        <w:rPr>
          <w:spacing w:val="-2"/>
        </w:rPr>
        <w:t>团队引入创业平台。其二，打造三层管理的科技创新团队。科技创新核心层，在科技创新中构建核心架构</w:t>
      </w:r>
      <w:r>
        <w:rPr>
          <w:spacing w:val="-50"/>
        </w:rPr>
        <w:t> </w:t>
      </w:r>
      <w:r>
        <w:rPr>
          <w:spacing w:val="-50"/>
        </w:rPr>
      </w:r>
      <w:r>
        <w:rPr>
          <w:spacing w:val="-2"/>
        </w:rPr>
        <w:t>发挥主导作用。战略合作层，与科技创新合作伙伴建立创新合作联盟、联合实验室、联合攻关小组，进行</w:t>
      </w:r>
      <w:r>
        <w:rPr>
          <w:spacing w:val="-43"/>
        </w:rPr>
        <w:t> </w:t>
      </w:r>
      <w:r>
        <w:rPr>
          <w:spacing w:val="-43"/>
        </w:rPr>
      </w:r>
      <w:r>
        <w:rPr>
          <w:spacing w:val="-2"/>
        </w:rPr>
        <w:t>专项科技创新攻关，并形成专项科技创新孵化基地。外围合作层，与生态伙伴、高等院校、科研院所资源</w:t>
      </w:r>
      <w:r>
        <w:rPr>
          <w:spacing w:val="-43"/>
        </w:rPr>
        <w:t> </w:t>
      </w:r>
      <w:r>
        <w:rPr>
          <w:spacing w:val="-43"/>
        </w:rPr>
      </w:r>
      <w:r>
        <w:rPr>
          <w:spacing w:val="-2"/>
        </w:rPr>
        <w:t>共享，长期合作，实施短平快的技术成果产品孵化。其三，构建高效给力的科技创新保障机制。科技创新</w:t>
      </w:r>
      <w:r>
        <w:rPr>
          <w:spacing w:val="-43"/>
        </w:rPr>
        <w:t> </w:t>
      </w:r>
      <w:r>
        <w:rPr>
          <w:spacing w:val="-43"/>
        </w:rPr>
      </w:r>
      <w:r>
        <w:rPr/>
        <w:t>资金投入、场地设备保障、部门协同配合、后勤服务对接等，皆形成完善的机制体系，运行高效给力。</w:t>
      </w:r>
    </w:p>
    <w:p>
      <w:pPr>
        <w:pStyle w:val="BodyText"/>
        <w:spacing w:line="321" w:lineRule="auto" w:before="34"/>
        <w:ind w:left="573" w:right="1133"/>
        <w:jc w:val="left"/>
      </w:pPr>
      <w:r>
        <w:rPr/>
        <w:t>（</w:t>
      </w:r>
      <w:r>
        <w:rPr>
          <w:rFonts w:ascii="Times New Roman" w:hAnsi="Times New Roman" w:cs="Times New Roman" w:eastAsia="Times New Roman" w:hint="default"/>
        </w:rPr>
        <w:t>2</w:t>
      </w:r>
      <w:r>
        <w:rPr/>
        <w:t>）加大研发投入，全面提升市场竞争力</w:t>
      </w:r>
      <w:r>
        <w:rPr>
          <w:w w:val="100"/>
        </w:rPr>
        <w:t> </w:t>
      </w:r>
      <w:r>
        <w:rPr>
          <w:spacing w:val="-2"/>
        </w:rPr>
        <w:t>中国长城将按照年利润的一定资金比例设立长城技术研发资金，各地政府产业奖补资金也将投入到科</w:t>
      </w:r>
    </w:p>
    <w:p>
      <w:pPr>
        <w:pStyle w:val="BodyText"/>
        <w:spacing w:line="321" w:lineRule="auto" w:before="45"/>
        <w:ind w:left="152" w:right="1034"/>
        <w:jc w:val="left"/>
      </w:pPr>
      <w:r>
        <w:rPr/>
        <w:t>技创新中，支撑科技创新不断迭代发展。具体来讲，做好新技术与新产品研发。协同推进</w:t>
      </w:r>
      <w:r>
        <w:rPr>
          <w:spacing w:val="-57"/>
        </w:rPr>
        <w:t> </w:t>
      </w:r>
      <w:r>
        <w:rPr>
          <w:rFonts w:ascii="Times New Roman" w:hAnsi="Times New Roman" w:cs="Times New Roman" w:eastAsia="Times New Roman" w:hint="default"/>
        </w:rPr>
        <w:t>PKS</w:t>
      </w:r>
      <w:r>
        <w:rPr>
          <w:rFonts w:ascii="Times New Roman" w:hAnsi="Times New Roman" w:cs="Times New Roman" w:eastAsia="Times New Roman" w:hint="default"/>
          <w:spacing w:val="-5"/>
        </w:rPr>
        <w:t> </w:t>
      </w:r>
      <w:r>
        <w:rPr/>
        <w:t>系统建设，</w:t>
      </w:r>
      <w:r>
        <w:rPr>
          <w:w w:val="100"/>
        </w:rPr>
        <w:t> </w:t>
      </w:r>
      <w:r>
        <w:rPr/>
        <w:t>紧抓</w:t>
      </w:r>
      <w:r>
        <w:rPr>
          <w:spacing w:val="-47"/>
        </w:rPr>
        <w:t> </w:t>
      </w:r>
      <w:r>
        <w:rPr>
          <w:rFonts w:ascii="Times New Roman" w:hAnsi="Times New Roman" w:cs="Times New Roman" w:eastAsia="Times New Roman" w:hint="default"/>
        </w:rPr>
        <w:t>PKS</w:t>
      </w:r>
      <w:r>
        <w:rPr>
          <w:rFonts w:ascii="Times New Roman" w:hAnsi="Times New Roman" w:cs="Times New Roman" w:eastAsia="Times New Roman" w:hint="default"/>
          <w:spacing w:val="5"/>
        </w:rPr>
        <w:t> </w:t>
      </w:r>
      <w:r>
        <w:rPr/>
        <w:t>系统下整机产品研制和安全</w:t>
      </w:r>
      <w:r>
        <w:rPr>
          <w:spacing w:val="-48"/>
        </w:rPr>
        <w:t> </w:t>
      </w:r>
      <w:r>
        <w:rPr>
          <w:rFonts w:ascii="Times New Roman" w:hAnsi="Times New Roman" w:cs="Times New Roman" w:eastAsia="Times New Roman" w:hint="default"/>
        </w:rPr>
        <w:t>BIOS</w:t>
      </w:r>
      <w:r>
        <w:rPr>
          <w:rFonts w:ascii="Times New Roman" w:hAnsi="Times New Roman" w:cs="Times New Roman" w:eastAsia="Times New Roman" w:hint="default"/>
          <w:spacing w:val="3"/>
        </w:rPr>
        <w:t> </w:t>
      </w:r>
      <w:r>
        <w:rPr>
          <w:spacing w:val="-3"/>
        </w:rPr>
        <w:t>固件研发，完成</w:t>
      </w:r>
      <w:r>
        <w:rPr>
          <w:spacing w:val="-48"/>
        </w:rPr>
        <w:t> </w:t>
      </w:r>
      <w:r>
        <w:rPr>
          <w:rFonts w:ascii="Times New Roman" w:hAnsi="Times New Roman" w:cs="Times New Roman" w:eastAsia="Times New Roman" w:hint="default"/>
          <w:spacing w:val="-4"/>
        </w:rPr>
        <w:t>FT-2000+</w:t>
      </w:r>
      <w:r>
        <w:rPr>
          <w:spacing w:val="-4"/>
        </w:rPr>
        <w:t>服务器、</w:t>
      </w:r>
      <w:r>
        <w:rPr>
          <w:rFonts w:ascii="Times New Roman" w:hAnsi="Times New Roman" w:cs="Times New Roman" w:eastAsia="Times New Roman" w:hint="default"/>
          <w:spacing w:val="-4"/>
        </w:rPr>
        <w:t>FT-2500</w:t>
      </w:r>
      <w:r>
        <w:rPr>
          <w:rFonts w:ascii="Times New Roman" w:hAnsi="Times New Roman" w:cs="Times New Roman" w:eastAsia="Times New Roman" w:hint="default"/>
          <w:spacing w:val="3"/>
        </w:rPr>
        <w:t> </w:t>
      </w:r>
      <w:r>
        <w:rPr>
          <w:spacing w:val="-3"/>
        </w:rPr>
        <w:t>双路服务器、特种</w:t>
      </w:r>
      <w:r>
        <w:rPr>
          <w:spacing w:val="-92"/>
        </w:rPr>
        <w:t> </w:t>
      </w:r>
      <w:r>
        <w:rPr>
          <w:spacing w:val="-92"/>
        </w:rPr>
      </w:r>
      <w:r>
        <w:rPr/>
        <w:t>产品研制并实现小批量试产；实现飞腾新四核</w:t>
      </w:r>
      <w:r>
        <w:rPr>
          <w:spacing w:val="-43"/>
        </w:rPr>
        <w:t> </w:t>
      </w:r>
      <w:r>
        <w:rPr>
          <w:rFonts w:ascii="Times New Roman" w:hAnsi="Times New Roman" w:cs="Times New Roman" w:eastAsia="Times New Roman" w:hint="default"/>
        </w:rPr>
        <w:t>23.8</w:t>
      </w:r>
      <w:r>
        <w:rPr>
          <w:rFonts w:ascii="Times New Roman" w:hAnsi="Times New Roman" w:cs="Times New Roman" w:eastAsia="Times New Roman" w:hint="default"/>
          <w:spacing w:val="9"/>
        </w:rPr>
        <w:t> </w:t>
      </w:r>
      <w:r>
        <w:rPr/>
        <w:t>寸一体机、</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寸</w:t>
      </w:r>
      <w:r>
        <w:rPr>
          <w:spacing w:val="-43"/>
        </w:rPr>
        <w:t> </w:t>
      </w:r>
      <w:r>
        <w:rPr>
          <w:rFonts w:ascii="Times New Roman" w:hAnsi="Times New Roman" w:cs="Times New Roman" w:eastAsia="Times New Roman" w:hint="default"/>
          <w:spacing w:val="-4"/>
        </w:rPr>
        <w:t>FT-2000</w:t>
      </w:r>
      <w:r>
        <w:rPr>
          <w:rFonts w:ascii="Times New Roman" w:hAnsi="Times New Roman" w:cs="Times New Roman" w:eastAsia="Times New Roman" w:hint="default"/>
          <w:spacing w:val="7"/>
        </w:rPr>
        <w:t> </w:t>
      </w:r>
      <w:r>
        <w:rPr/>
        <w:t>笔记本、</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寸</w:t>
      </w:r>
      <w:r>
        <w:rPr>
          <w:spacing w:val="-43"/>
        </w:rPr>
        <w:t> </w:t>
      </w:r>
      <w:r>
        <w:rPr>
          <w:rFonts w:ascii="Times New Roman" w:hAnsi="Times New Roman" w:cs="Times New Roman" w:eastAsia="Times New Roman" w:hint="default"/>
          <w:spacing w:val="-4"/>
        </w:rPr>
        <w:t>FT-2000</w:t>
      </w:r>
      <w:r>
        <w:rPr>
          <w:rFonts w:ascii="Times New Roman" w:hAnsi="Times New Roman" w:cs="Times New Roman" w:eastAsia="Times New Roman" w:hint="default"/>
          <w:spacing w:val="9"/>
        </w:rPr>
        <w:t> </w:t>
      </w:r>
      <w:r>
        <w:rPr>
          <w:spacing w:val="-3"/>
        </w:rPr>
        <w:t>新四</w:t>
      </w:r>
      <w:r>
        <w:rPr>
          <w:spacing w:val="-101"/>
        </w:rPr>
        <w:t> </w:t>
      </w:r>
      <w:r>
        <w:rPr>
          <w:spacing w:val="-4"/>
        </w:rPr>
        <w:t>核旗舰一体机、</w:t>
      </w:r>
      <w:r>
        <w:rPr>
          <w:rFonts w:ascii="Times New Roman" w:hAnsi="Times New Roman" w:cs="Times New Roman" w:eastAsia="Times New Roman" w:hint="default"/>
          <w:spacing w:val="-4"/>
        </w:rPr>
        <w:t>FT-2000+</w:t>
      </w:r>
      <w:r>
        <w:rPr>
          <w:spacing w:val="-4"/>
        </w:rPr>
        <w:t>互联网服务器批量供货；完成新四核笔记本样机研制。深化基于</w:t>
      </w:r>
      <w:r>
        <w:rPr>
          <w:spacing w:val="-39"/>
        </w:rPr>
        <w:t> </w:t>
      </w:r>
      <w:r>
        <w:rPr>
          <w:rFonts w:ascii="Times New Roman" w:hAnsi="Times New Roman" w:cs="Times New Roman" w:eastAsia="Times New Roman" w:hint="default"/>
        </w:rPr>
        <w:t>PKS</w:t>
      </w:r>
      <w:r>
        <w:rPr>
          <w:rFonts w:ascii="Times New Roman" w:hAnsi="Times New Roman" w:cs="Times New Roman" w:eastAsia="Times New Roman" w:hint="default"/>
          <w:spacing w:val="13"/>
        </w:rPr>
        <w:t> </w:t>
      </w:r>
      <w:r>
        <w:rPr/>
        <w:t>体系的高新</w:t>
      </w:r>
      <w:r>
        <w:rPr>
          <w:spacing w:val="-76"/>
        </w:rPr>
        <w:t> </w:t>
      </w:r>
      <w:r>
        <w:rPr>
          <w:spacing w:val="-76"/>
        </w:rPr>
      </w:r>
      <w:r>
        <w:rPr/>
        <w:t>电子项目研发，推动</w:t>
      </w:r>
      <w:r>
        <w:rPr>
          <w:spacing w:val="-55"/>
        </w:rPr>
        <w:t> </w:t>
      </w:r>
      <w:r>
        <w:rPr>
          <w:rFonts w:ascii="Times New Roman" w:hAnsi="Times New Roman" w:cs="Times New Roman" w:eastAsia="Times New Roman" w:hint="default"/>
        </w:rPr>
        <w:t>PKS</w:t>
      </w:r>
      <w:r>
        <w:rPr>
          <w:rFonts w:ascii="Times New Roman" w:hAnsi="Times New Roman" w:cs="Times New Roman" w:eastAsia="Times New Roman" w:hint="default"/>
          <w:spacing w:val="-4"/>
        </w:rPr>
        <w:t> </w:t>
      </w:r>
      <w:r>
        <w:rPr/>
        <w:t>体系在特种装备领域升级。</w:t>
      </w:r>
    </w:p>
    <w:p>
      <w:pPr>
        <w:pStyle w:val="BodyText"/>
        <w:spacing w:line="324" w:lineRule="auto" w:before="19"/>
        <w:ind w:left="573" w:right="1133"/>
        <w:jc w:val="left"/>
      </w:pPr>
      <w:r>
        <w:rPr/>
        <w:t>（</w:t>
      </w:r>
      <w:r>
        <w:rPr>
          <w:rFonts w:ascii="Times New Roman" w:hAnsi="Times New Roman" w:cs="Times New Roman" w:eastAsia="Times New Roman" w:hint="default"/>
        </w:rPr>
        <w:t>3</w:t>
      </w:r>
      <w:r>
        <w:rPr/>
        <w:t>）打通芯端云，输出完整生态链</w:t>
      </w:r>
      <w:r>
        <w:rPr>
          <w:w w:val="100"/>
        </w:rPr>
        <w:t> </w:t>
      </w:r>
      <w:r>
        <w:rPr>
          <w:spacing w:val="-2"/>
        </w:rPr>
        <w:t>公司致力于突破核心技术，做全、做强具有自主知识产权的“芯</w:t>
      </w:r>
      <w:r>
        <w:rPr>
          <w:rFonts w:ascii="Times New Roman" w:hAnsi="Times New Roman" w:cs="Times New Roman" w:eastAsia="Times New Roman" w:hint="default"/>
          <w:spacing w:val="-2"/>
        </w:rPr>
        <w:t>—</w:t>
      </w:r>
      <w:r>
        <w:rPr>
          <w:spacing w:val="-2"/>
        </w:rPr>
        <w:t>端</w:t>
      </w:r>
      <w:r>
        <w:rPr>
          <w:rFonts w:ascii="Times New Roman" w:hAnsi="Times New Roman" w:cs="Times New Roman" w:eastAsia="Times New Roman" w:hint="default"/>
          <w:spacing w:val="-2"/>
        </w:rPr>
        <w:t>—</w:t>
      </w:r>
      <w:r>
        <w:rPr>
          <w:spacing w:val="-2"/>
        </w:rPr>
        <w:t>云”完整生态链条，构建全新</w:t>
      </w:r>
    </w:p>
    <w:p>
      <w:pPr>
        <w:pStyle w:val="BodyText"/>
        <w:spacing w:line="343" w:lineRule="auto" w:before="16"/>
        <w:ind w:left="573" w:right="1133" w:hanging="421"/>
        <w:jc w:val="left"/>
      </w:pPr>
      <w:r>
        <w:rPr/>
        <w:t>的国产化生态体系，形成筑牢网信领域安全底座的核心竞争力。</w:t>
      </w:r>
      <w:r>
        <w:rPr>
          <w:w w:val="100"/>
        </w:rPr>
        <w:t> </w:t>
      </w:r>
      <w:r>
        <w:rPr>
          <w:spacing w:val="-2"/>
        </w:rPr>
        <w:t>开展技术攻关，实现创新迭代新突破，按照使用一代、成熟一代、预研一代的整体策略，开展相关芯</w:t>
      </w:r>
    </w:p>
    <w:p>
      <w:pPr>
        <w:pStyle w:val="BodyText"/>
        <w:spacing w:line="328" w:lineRule="auto" w:before="23"/>
        <w:ind w:left="152" w:right="660"/>
        <w:jc w:val="left"/>
      </w:pPr>
      <w:r>
        <w:rPr>
          <w:spacing w:val="-6"/>
        </w:rPr>
        <w:t>片上下游技术协同攻关，进一步完善国产飞腾系列微处理器的产品线。在高性能计算机</w:t>
      </w:r>
      <w:r>
        <w:rPr>
          <w:spacing w:val="-15"/>
        </w:rPr>
        <w:t> </w:t>
      </w:r>
      <w:r>
        <w:rPr>
          <w:rFonts w:ascii="Times New Roman" w:hAnsi="Times New Roman" w:cs="Times New Roman" w:eastAsia="Times New Roman" w:hint="default"/>
          <w:spacing w:val="-12"/>
        </w:rPr>
        <w:t>CPU</w:t>
      </w:r>
      <w:r>
        <w:rPr>
          <w:spacing w:val="-12"/>
        </w:rPr>
        <w:t>、服务器</w:t>
      </w:r>
      <w:r>
        <w:rPr>
          <w:spacing w:val="-16"/>
        </w:rPr>
        <w:t> </w:t>
      </w:r>
      <w:r>
        <w:rPr>
          <w:rFonts w:ascii="Times New Roman" w:hAnsi="Times New Roman" w:cs="Times New Roman" w:eastAsia="Times New Roman" w:hint="default"/>
        </w:rPr>
        <w:t>CPU</w:t>
      </w:r>
      <w:r>
        <w:rPr/>
        <w:t>、</w:t>
      </w:r>
      <w:r>
        <w:rPr>
          <w:spacing w:val="-88"/>
        </w:rPr>
        <w:t> </w:t>
      </w:r>
      <w:r>
        <w:rPr/>
        <w:t>桌面</w:t>
      </w:r>
      <w:r>
        <w:rPr>
          <w:spacing w:val="-39"/>
        </w:rPr>
        <w:t> </w:t>
      </w:r>
      <w:r>
        <w:rPr>
          <w:rFonts w:ascii="Times New Roman" w:hAnsi="Times New Roman" w:cs="Times New Roman" w:eastAsia="Times New Roman" w:hint="default"/>
          <w:spacing w:val="-5"/>
        </w:rPr>
        <w:t>CPU</w:t>
      </w:r>
      <w:r>
        <w:rPr>
          <w:spacing w:val="-5"/>
        </w:rPr>
        <w:t>、嵌入式</w:t>
      </w:r>
      <w:r>
        <w:rPr>
          <w:spacing w:val="-36"/>
        </w:rPr>
        <w:t> </w:t>
      </w:r>
      <w:r>
        <w:rPr>
          <w:rFonts w:ascii="Times New Roman" w:hAnsi="Times New Roman" w:cs="Times New Roman" w:eastAsia="Times New Roman" w:hint="default"/>
          <w:spacing w:val="-4"/>
        </w:rPr>
        <w:t>CPU</w:t>
      </w:r>
      <w:r>
        <w:rPr>
          <w:spacing w:val="-4"/>
        </w:rPr>
        <w:t>、配套外围芯片等应用领域推出升级换代产品，为我国构建安全、自主、可信的国</w:t>
      </w:r>
      <w:r>
        <w:rPr>
          <w:spacing w:val="-62"/>
        </w:rPr>
        <w:t> </w:t>
      </w:r>
      <w:r>
        <w:rPr>
          <w:spacing w:val="-62"/>
        </w:rPr>
      </w:r>
      <w:r>
        <w:rPr>
          <w:spacing w:val="-5"/>
        </w:rPr>
        <w:t>产化计算平台奠定基础；推出自主安全台式机、一体机、笔记本、云终端、机架式服务器、高密度服务器、</w:t>
      </w:r>
      <w:r>
        <w:rPr>
          <w:spacing w:val="-6"/>
        </w:rPr>
        <w:t> </w:t>
      </w:r>
      <w:r>
        <w:rPr>
          <w:spacing w:val="-6"/>
        </w:rPr>
      </w:r>
      <w:r>
        <w:rPr/>
        <w:t>多节点服务器、云存储服务器、加固服务器、模块化数据中心等全系列产品，构建从基础软硬件到整机</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spacing w:val="-2"/>
        </w:rPr>
        <w:t>终端，再到安全应用及服务的完整产业链条；同时以“安全为核，应用牵引”的理念，融合商用密码、可</w:t>
      </w:r>
      <w:r>
        <w:rPr>
          <w:spacing w:val="-49"/>
        </w:rPr>
        <w:t> </w:t>
      </w:r>
      <w:r>
        <w:rPr>
          <w:spacing w:val="-49"/>
        </w:rPr>
      </w:r>
      <w:r>
        <w:rPr>
          <w:spacing w:val="-4"/>
        </w:rPr>
        <w:t>信计算、安全防护等技术体系，构建“</w:t>
      </w:r>
      <w:r>
        <w:rPr>
          <w:rFonts w:ascii="Times New Roman" w:hAnsi="Times New Roman" w:cs="Times New Roman" w:eastAsia="Times New Roman" w:hint="default"/>
          <w:spacing w:val="-4"/>
        </w:rPr>
        <w:t>PK+S</w:t>
      </w:r>
      <w:r>
        <w:rPr>
          <w:spacing w:val="-4"/>
        </w:rPr>
        <w:t>”体系，形成“芯端云</w:t>
      </w:r>
      <w:r>
        <w:rPr>
          <w:rFonts w:ascii="Times New Roman" w:hAnsi="Times New Roman" w:cs="Times New Roman" w:eastAsia="Times New Roman" w:hint="default"/>
          <w:spacing w:val="-4"/>
        </w:rPr>
        <w:t>+</w:t>
      </w:r>
      <w:r>
        <w:rPr>
          <w:spacing w:val="-4"/>
        </w:rPr>
        <w:t>服务”完整产品解决方案和服务能力，</w:t>
      </w:r>
      <w:r>
        <w:rPr>
          <w:spacing w:val="-41"/>
        </w:rPr>
        <w:t> </w:t>
      </w:r>
      <w:r>
        <w:rPr>
          <w:spacing w:val="-41"/>
        </w:rPr>
      </w:r>
      <w:r>
        <w:rPr/>
        <w:t>满足企业云、行业应用、大规模</w:t>
      </w:r>
      <w:r>
        <w:rPr>
          <w:spacing w:val="-53"/>
        </w:rPr>
        <w:t> </w:t>
      </w:r>
      <w:r>
        <w:rPr>
          <w:rFonts w:ascii="Times New Roman" w:hAnsi="Times New Roman" w:cs="Times New Roman" w:eastAsia="Times New Roman" w:hint="default"/>
        </w:rPr>
        <w:t>IDC</w:t>
      </w:r>
      <w:r>
        <w:rPr>
          <w:rFonts w:ascii="Times New Roman" w:hAnsi="Times New Roman" w:cs="Times New Roman" w:eastAsia="Times New Roman" w:hint="default"/>
          <w:spacing w:val="-3"/>
        </w:rPr>
        <w:t> </w:t>
      </w:r>
      <w:r>
        <w:rPr/>
        <w:t>等多个场景。</w:t>
      </w:r>
    </w:p>
    <w:p>
      <w:pPr>
        <w:pStyle w:val="BodyText"/>
        <w:spacing w:line="321" w:lineRule="auto" w:before="14"/>
        <w:ind w:left="573" w:right="1133"/>
        <w:jc w:val="left"/>
      </w:pPr>
      <w:r>
        <w:rPr/>
        <w:t>（</w:t>
      </w:r>
      <w:r>
        <w:rPr>
          <w:rFonts w:ascii="Times New Roman" w:hAnsi="Times New Roman" w:cs="Times New Roman" w:eastAsia="Times New Roman" w:hint="default"/>
        </w:rPr>
        <w:t>4</w:t>
      </w:r>
      <w:r>
        <w:rPr/>
        <w:t>）布局新基建，保障“新基建”底层安全</w:t>
      </w:r>
      <w:r>
        <w:rPr>
          <w:w w:val="100"/>
        </w:rPr>
        <w:t> </w:t>
      </w:r>
      <w:r>
        <w:rPr>
          <w:spacing w:val="-2"/>
        </w:rPr>
        <w:t>“新基建”发力于科技端，立足打造集约高效、经济适用、智能绿色、安全可靠的现代化基础设施体</w:t>
      </w:r>
    </w:p>
    <w:p>
      <w:pPr>
        <w:pStyle w:val="BodyText"/>
        <w:spacing w:line="340" w:lineRule="auto" w:before="45"/>
        <w:ind w:left="152" w:right="1105"/>
        <w:jc w:val="both"/>
      </w:pPr>
      <w:r>
        <w:rPr>
          <w:spacing w:val="-2"/>
        </w:rPr>
        <w:t>系，有利于加快科技创新技术设施建设，为公司带来新的发展机遇，推动公司由传统的“设备供应商”向</w:t>
      </w:r>
      <w:r>
        <w:rPr>
          <w:spacing w:val="-43"/>
        </w:rPr>
        <w:t> </w:t>
      </w:r>
      <w:r>
        <w:rPr>
          <w:spacing w:val="-43"/>
        </w:rPr>
      </w:r>
      <w:r>
        <w:rPr>
          <w:spacing w:val="-2"/>
        </w:rPr>
        <w:t>“综合信息系统服务供应商”的跨越发展。公司将充分利用“新基建”释放的潜能，充分发挥公司优势，</w:t>
      </w:r>
      <w:r>
        <w:rPr>
          <w:spacing w:val="-21"/>
        </w:rPr>
        <w:t> </w:t>
      </w:r>
      <w:r>
        <w:rPr>
          <w:spacing w:val="-21"/>
        </w:rPr>
      </w:r>
      <w:r>
        <w:rPr>
          <w:spacing w:val="-2"/>
        </w:rPr>
        <w:t>在大数据中心、轨道交通、人工智能、工业互联网、新能源汽车充电桩业务领域发力。数据中心方面：启</w:t>
      </w:r>
      <w:r>
        <w:rPr>
          <w:spacing w:val="-45"/>
        </w:rPr>
        <w:t> </w:t>
      </w:r>
      <w:r>
        <w:rPr>
          <w:spacing w:val="-45"/>
        </w:rPr>
      </w:r>
      <w:r>
        <w:rPr>
          <w:spacing w:val="-2"/>
        </w:rPr>
        <w:t>动深圳、广州、长沙、武汉、郑州、太原、重庆、海南等地的数据中心建设，为政府、企业提供转型升级</w:t>
      </w:r>
      <w:r>
        <w:rPr>
          <w:spacing w:val="-46"/>
        </w:rPr>
        <w:t> </w:t>
      </w:r>
      <w:r>
        <w:rPr>
          <w:spacing w:val="-46"/>
        </w:rPr>
      </w:r>
      <w:r>
        <w:rPr/>
        <w:t>服务，推动关键行业的应用系统向国产化数据中心的迁移、开发、测试、部署和运营，提供 </w:t>
      </w:r>
      <w:r>
        <w:rPr>
          <w:rFonts w:ascii="Times New Roman" w:hAnsi="Times New Roman" w:cs="Times New Roman" w:eastAsia="Times New Roman" w:hint="default"/>
        </w:rPr>
        <w:t>IT</w:t>
      </w:r>
      <w:r>
        <w:rPr>
          <w:rFonts w:ascii="Times New Roman" w:hAnsi="Times New Roman" w:cs="Times New Roman" w:eastAsia="Times New Roman" w:hint="default"/>
          <w:spacing w:val="34"/>
        </w:rPr>
        <w:t> </w:t>
      </w:r>
      <w:r>
        <w:rPr/>
        <w:t>基础设施</w:t>
      </w:r>
    </w:p>
    <w:p>
      <w:pPr>
        <w:spacing w:after="0" w:line="340" w:lineRule="auto"/>
        <w:jc w:val="both"/>
        <w:sectPr>
          <w:pgSz w:w="11910" w:h="16840"/>
          <w:pgMar w:header="789" w:footer="975" w:top="1100" w:bottom="1160" w:left="980" w:right="0"/>
        </w:sectPr>
      </w:pPr>
    </w:p>
    <w:p>
      <w:pPr>
        <w:spacing w:line="240" w:lineRule="auto" w:before="5"/>
        <w:rPr>
          <w:rFonts w:ascii="宋体" w:hAnsi="宋体" w:cs="宋体" w:eastAsia="宋体" w:hint="default"/>
          <w:sz w:val="24"/>
          <w:szCs w:val="24"/>
        </w:rPr>
      </w:pPr>
    </w:p>
    <w:p>
      <w:pPr>
        <w:pStyle w:val="BodyText"/>
        <w:spacing w:line="333" w:lineRule="auto"/>
        <w:ind w:left="152" w:right="0"/>
        <w:jc w:val="left"/>
      </w:pPr>
      <w:r>
        <w:rPr>
          <w:spacing w:val="-2"/>
        </w:rPr>
        <w:t>服务，为政务、医疗、交通等行业提供全国产化的数据中心服务；工业互联领域：高质量建设智能制造生</w:t>
      </w:r>
      <w:r>
        <w:rPr>
          <w:spacing w:val="-43"/>
        </w:rPr>
        <w:t> </w:t>
      </w:r>
      <w:r>
        <w:rPr>
          <w:spacing w:val="-43"/>
        </w:rPr>
      </w:r>
      <w:r>
        <w:rPr/>
        <w:t>产线及配套的</w:t>
      </w:r>
      <w:r>
        <w:rPr>
          <w:spacing w:val="-47"/>
        </w:rPr>
        <w:t> </w:t>
      </w:r>
      <w:r>
        <w:rPr>
          <w:rFonts w:ascii="Times New Roman" w:hAnsi="Times New Roman" w:cs="Times New Roman" w:eastAsia="Times New Roman" w:hint="default"/>
        </w:rPr>
        <w:t>ERP</w:t>
      </w:r>
      <w:r>
        <w:rPr/>
        <w:t>、</w:t>
      </w:r>
      <w:r>
        <w:rPr>
          <w:rFonts w:ascii="Times New Roman" w:hAnsi="Times New Roman" w:cs="Times New Roman" w:eastAsia="Times New Roman" w:hint="default"/>
        </w:rPr>
        <w:t>MES</w:t>
      </w:r>
      <w:r>
        <w:rPr>
          <w:rFonts w:ascii="Times New Roman" w:hAnsi="Times New Roman" w:cs="Times New Roman" w:eastAsia="Times New Roman" w:hint="default"/>
          <w:spacing w:val="5"/>
        </w:rPr>
        <w:t> </w:t>
      </w:r>
      <w:r>
        <w:rPr/>
        <w:t>等信息化系统，打造中国长城云工厂。同时，布局工控领域业务，纳入</w:t>
      </w:r>
      <w:r>
        <w:rPr>
          <w:spacing w:val="-45"/>
        </w:rPr>
        <w:t> </w:t>
      </w:r>
      <w:r>
        <w:rPr>
          <w:rFonts w:ascii="Times New Roman" w:hAnsi="Times New Roman" w:cs="Times New Roman" w:eastAsia="Times New Roman" w:hint="default"/>
        </w:rPr>
        <w:t>PLC</w:t>
      </w:r>
      <w:r>
        <w:rPr>
          <w:rFonts w:ascii="Times New Roman" w:hAnsi="Times New Roman" w:cs="Times New Roman" w:eastAsia="Times New Roman" w:hint="default"/>
          <w:spacing w:val="6"/>
        </w:rPr>
        <w:t> </w:t>
      </w:r>
      <w:r>
        <w:rPr/>
        <w:t>等</w:t>
      </w:r>
      <w:r>
        <w:rPr>
          <w:w w:val="100"/>
        </w:rPr>
        <w:t> </w:t>
      </w:r>
      <w:r>
        <w:rPr>
          <w:spacing w:val="-4"/>
        </w:rPr>
        <w:t>工业控制关键产品，打造军事装备控制一体化解决方案，增强核心竞争力；轨道交通领域：依托公司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年收购的郑州轨道交通信息技术研究院，大力发展轨道交通综合管理、自主安全工业控制器、大数据与信</w:t>
      </w:r>
      <w:r>
        <w:rPr>
          <w:spacing w:val="-44"/>
        </w:rPr>
        <w:t> </w:t>
      </w:r>
      <w:r>
        <w:rPr>
          <w:spacing w:val="-44"/>
        </w:rPr>
      </w:r>
      <w:r>
        <w:rPr>
          <w:spacing w:val="-2"/>
        </w:rPr>
        <w:t>息安全、智能装备与机器人以及集成电路设计等核心技术形成核心系统和产品；人工智能领域：联合科研</w:t>
      </w:r>
      <w:r>
        <w:rPr>
          <w:spacing w:val="-43"/>
        </w:rPr>
        <w:t> </w:t>
      </w:r>
      <w:r>
        <w:rPr>
          <w:spacing w:val="-43"/>
        </w:rPr>
      </w:r>
      <w:r>
        <w:rPr/>
        <w:t>院所展开基于 </w:t>
      </w:r>
      <w:r>
        <w:rPr>
          <w:rFonts w:ascii="Times New Roman" w:hAnsi="Times New Roman" w:cs="Times New Roman" w:eastAsia="Times New Roman" w:hint="default"/>
        </w:rPr>
        <w:t>PKS </w:t>
      </w:r>
      <w:r>
        <w:rPr>
          <w:spacing w:val="-7"/>
        </w:rPr>
        <w:t>底座开展人工智能科研工作；新能源充电桩领域：围绕未来汽车产业“电动化、网联化、</w:t>
      </w:r>
      <w:r>
        <w:rPr>
          <w:spacing w:val="-90"/>
        </w:rPr>
        <w:t> </w:t>
      </w:r>
      <w:r>
        <w:rPr>
          <w:spacing w:val="-90"/>
        </w:rPr>
      </w:r>
      <w:r>
        <w:rPr>
          <w:spacing w:val="-2"/>
        </w:rPr>
        <w:t>智能化、共享化”的行业发展新趋势，力争成为国内技术领先的动力控制和智能网联的整体解决方案供应</w:t>
      </w:r>
      <w:r>
        <w:rPr>
          <w:spacing w:val="-42"/>
        </w:rPr>
        <w:t> </w:t>
      </w:r>
      <w:r>
        <w:rPr>
          <w:spacing w:val="-42"/>
        </w:rPr>
      </w:r>
      <w:r>
        <w:rPr/>
        <w:t>商。发展“新基建”切实担负起了中国长城科技创新主体责任，发挥了科技创新大平台的作用。</w:t>
      </w:r>
    </w:p>
    <w:p>
      <w:pPr>
        <w:pStyle w:val="BodyText"/>
        <w:spacing w:line="321" w:lineRule="auto" w:before="34"/>
        <w:ind w:left="573" w:right="1133"/>
        <w:jc w:val="left"/>
      </w:pPr>
      <w:r>
        <w:rPr/>
        <w:t>（</w:t>
      </w:r>
      <w:r>
        <w:rPr>
          <w:rFonts w:ascii="Times New Roman" w:hAnsi="Times New Roman" w:cs="Times New Roman" w:eastAsia="Times New Roman" w:hint="default"/>
        </w:rPr>
        <w:t>5</w:t>
      </w:r>
      <w:r>
        <w:rPr/>
        <w:t>）创新市场业务模式，扩大信创朋友圈</w:t>
      </w:r>
      <w:r>
        <w:rPr>
          <w:w w:val="100"/>
        </w:rPr>
        <w:t> </w:t>
      </w:r>
      <w:r>
        <w:rPr>
          <w:spacing w:val="-2"/>
        </w:rPr>
        <w:t>持续推进创新合作模式，加速在全国重点区域建立信创产品研发和制造基地、信创产业生态链、区域</w:t>
      </w:r>
    </w:p>
    <w:p>
      <w:pPr>
        <w:pStyle w:val="BodyText"/>
        <w:spacing w:line="340" w:lineRule="auto" w:before="45"/>
        <w:ind w:left="573" w:right="1133" w:hanging="421"/>
        <w:jc w:val="left"/>
      </w:pPr>
      <w:r>
        <w:rPr/>
        <w:t>性的信创产业联盟，做好市场战略布局。</w:t>
      </w:r>
      <w:r>
        <w:rPr>
          <w:w w:val="100"/>
        </w:rPr>
        <w:t> </w:t>
      </w:r>
      <w:r>
        <w:rPr>
          <w:spacing w:val="-2"/>
        </w:rPr>
        <w:t>加快已落地自主创新产业基地的建设投产，继续向东北、向西南推进，继续沿用当地自主、联合建设</w:t>
      </w:r>
    </w:p>
    <w:p>
      <w:pPr>
        <w:pStyle w:val="BodyText"/>
        <w:spacing w:line="331" w:lineRule="auto" w:before="28"/>
        <w:ind w:left="152" w:right="1126"/>
        <w:jc w:val="both"/>
      </w:pPr>
      <w:r>
        <w:rPr/>
        <w:t>产线、适配中心、</w:t>
      </w:r>
      <w:r>
        <w:rPr>
          <w:rFonts w:ascii="Times New Roman" w:hAnsi="Times New Roman" w:cs="Times New Roman" w:eastAsia="Times New Roman" w:hint="default"/>
        </w:rPr>
        <w:t>PK</w:t>
      </w:r>
      <w:r>
        <w:rPr>
          <w:rFonts w:ascii="Times New Roman" w:hAnsi="Times New Roman" w:cs="Times New Roman" w:eastAsia="Times New Roman" w:hint="default"/>
          <w:spacing w:val="16"/>
        </w:rPr>
        <w:t> </w:t>
      </w:r>
      <w:r>
        <w:rPr/>
        <w:t>数据中心的战略，加速国产化整机建设基地的落地生根，形成覆盖全国、辐射“一</w:t>
      </w:r>
      <w:r>
        <w:rPr>
          <w:spacing w:val="-103"/>
        </w:rPr>
        <w:t> </w:t>
      </w:r>
      <w:r>
        <w:rPr>
          <w:spacing w:val="-103"/>
        </w:rPr>
      </w:r>
      <w:r>
        <w:rPr/>
        <w:t>带一路”市场的产业布局。围绕</w:t>
      </w:r>
      <w:r>
        <w:rPr>
          <w:spacing w:val="-45"/>
        </w:rPr>
        <w:t> </w:t>
      </w:r>
      <w:r>
        <w:rPr>
          <w:rFonts w:ascii="Times New Roman" w:hAnsi="Times New Roman" w:cs="Times New Roman" w:eastAsia="Times New Roman" w:hint="default"/>
        </w:rPr>
        <w:t>PK</w:t>
      </w:r>
      <w:r>
        <w:rPr>
          <w:rFonts w:ascii="Times New Roman" w:hAnsi="Times New Roman" w:cs="Times New Roman" w:eastAsia="Times New Roman" w:hint="default"/>
          <w:spacing w:val="10"/>
        </w:rPr>
        <w:t> </w:t>
      </w:r>
      <w:r>
        <w:rPr/>
        <w:t>生态圈建设，推动自主安全硬件平台与通用软件、重点行业和关键领</w:t>
      </w:r>
      <w:r>
        <w:rPr>
          <w:w w:val="100"/>
        </w:rPr>
        <w:t> </w:t>
      </w:r>
      <w:r>
        <w:rPr>
          <w:spacing w:val="-2"/>
        </w:rPr>
        <w:t>域的应用软件适配，大力筹建自主安全的软硬件平台、配套工具和开放开发环境，鼓励各方积极参与自主</w:t>
      </w:r>
      <w:r>
        <w:rPr>
          <w:spacing w:val="-43"/>
        </w:rPr>
        <w:t> </w:t>
      </w:r>
      <w:r>
        <w:rPr>
          <w:spacing w:val="-43"/>
        </w:rPr>
      </w:r>
      <w:r>
        <w:rPr>
          <w:spacing w:val="-2"/>
        </w:rPr>
        <w:t>研发的信息安全产品和解决方案的研发、适配和集成，从而形成产学研一体化的自主安全的系统性综合解</w:t>
      </w:r>
      <w:r>
        <w:rPr>
          <w:spacing w:val="-43"/>
        </w:rPr>
        <w:t> </w:t>
      </w:r>
      <w:r>
        <w:rPr>
          <w:spacing w:val="-43"/>
        </w:rPr>
      </w:r>
      <w:r>
        <w:rPr/>
        <w:t>决方案和产业生态集群。</w:t>
      </w:r>
    </w:p>
    <w:p>
      <w:pPr>
        <w:pStyle w:val="BodyText"/>
        <w:spacing w:line="331" w:lineRule="auto" w:before="34"/>
        <w:ind w:left="152" w:right="0" w:firstLine="420"/>
        <w:jc w:val="left"/>
      </w:pPr>
      <w:r>
        <w:rPr/>
        <w:t>依托 </w:t>
      </w:r>
      <w:r>
        <w:rPr>
          <w:rFonts w:ascii="Times New Roman" w:hAnsi="Times New Roman" w:cs="Times New Roman" w:eastAsia="Times New Roman" w:hint="default"/>
        </w:rPr>
        <w:t>PK</w:t>
      </w:r>
      <w:r>
        <w:rPr>
          <w:rFonts w:ascii="Times New Roman" w:hAnsi="Times New Roman" w:cs="Times New Roman" w:eastAsia="Times New Roman" w:hint="default"/>
          <w:spacing w:val="8"/>
        </w:rPr>
        <w:t> </w:t>
      </w:r>
      <w:r>
        <w:rPr>
          <w:spacing w:val="-4"/>
        </w:rPr>
        <w:t>生态创新，持续推动政务、金融、电力、交通等国家关键信息基础设施所属行业的市场推广，</w:t>
      </w:r>
      <w:r>
        <w:rPr>
          <w:w w:val="100"/>
        </w:rPr>
        <w:t> </w:t>
      </w:r>
      <w:r>
        <w:rPr>
          <w:spacing w:val="-2"/>
        </w:rPr>
        <w:t>在核心业务领域实现更新升级；积极推动安全可靠产业“由点到线，由线到面”稳步发展，逐步实现自主</w:t>
      </w:r>
      <w:r>
        <w:rPr>
          <w:spacing w:val="-43"/>
        </w:rPr>
        <w:t> </w:t>
      </w:r>
      <w:r>
        <w:rPr>
          <w:spacing w:val="-43"/>
        </w:rPr>
      </w:r>
      <w:r>
        <w:rPr/>
        <w:t>研发国产化系统的更大规模化应用，形成以</w:t>
      </w:r>
      <w:r>
        <w:rPr>
          <w:spacing w:val="-55"/>
        </w:rPr>
        <w:t> </w:t>
      </w:r>
      <w:r>
        <w:rPr>
          <w:rFonts w:ascii="Times New Roman" w:hAnsi="Times New Roman" w:cs="Times New Roman" w:eastAsia="Times New Roman" w:hint="default"/>
        </w:rPr>
        <w:t>PK</w:t>
      </w:r>
      <w:r>
        <w:rPr>
          <w:rFonts w:ascii="Times New Roman" w:hAnsi="Times New Roman" w:cs="Times New Roman" w:eastAsia="Times New Roman" w:hint="default"/>
          <w:spacing w:val="-4"/>
        </w:rPr>
        <w:t> </w:t>
      </w:r>
      <w:r>
        <w:rPr/>
        <w:t>技术体系为底座的行业应用新生态。</w:t>
      </w:r>
    </w:p>
    <w:p>
      <w:pPr>
        <w:spacing w:line="240" w:lineRule="auto" w:before="9"/>
        <w:rPr>
          <w:rFonts w:ascii="宋体" w:hAnsi="宋体" w:cs="宋体" w:eastAsia="宋体" w:hint="default"/>
          <w:sz w:val="30"/>
          <w:szCs w:val="30"/>
        </w:rPr>
      </w:pPr>
    </w:p>
    <w:p>
      <w:pPr>
        <w:pStyle w:val="BodyText"/>
        <w:spacing w:line="340" w:lineRule="auto" w:before="0"/>
        <w:ind w:left="152" w:right="1133" w:firstLine="420"/>
        <w:jc w:val="left"/>
      </w:pPr>
      <w:r>
        <w:rPr>
          <w:spacing w:val="-2"/>
        </w:rPr>
        <w:t>通过以上举措，公司将进一步坚持改革创新，聚焦战略，真抓实干，提升产业整体竞争力，开创新型</w:t>
      </w:r>
      <w:r>
        <w:rPr>
          <w:w w:val="100"/>
        </w:rPr>
        <w:t> </w:t>
      </w:r>
      <w:r>
        <w:rPr/>
        <w:t>基础建设新局面，奋力打造高质量发展的网络安全与信息化专业子集团。</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4"/>
        <w:spacing w:line="240" w:lineRule="auto"/>
        <w:ind w:right="1133"/>
        <w:jc w:val="left"/>
        <w:rPr>
          <w:b w:val="0"/>
          <w:bCs w:val="0"/>
        </w:rPr>
      </w:pPr>
      <w:r>
        <w:rPr/>
        <w:t>十、接待调研、沟通、采访等活动情况</w:t>
      </w:r>
      <w:r>
        <w:rPr>
          <w:b w:val="0"/>
          <w:bCs w:val="0"/>
        </w:rPr>
      </w:r>
    </w:p>
    <w:p>
      <w:pPr>
        <w:spacing w:line="240" w:lineRule="auto" w:before="2"/>
        <w:rPr>
          <w:rFonts w:ascii="宋体" w:hAnsi="宋体" w:cs="宋体" w:eastAsia="宋体" w:hint="default"/>
          <w:b/>
          <w:bCs/>
          <w:sz w:val="20"/>
          <w:szCs w:val="20"/>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0"/>
        <w:rPr>
          <w:rFonts w:ascii="宋体" w:hAnsi="宋体" w:cs="宋体" w:eastAsia="宋体" w:hint="default"/>
          <w:b/>
          <w:bCs/>
          <w:sz w:val="21"/>
          <w:szCs w:val="21"/>
        </w:rPr>
      </w:pPr>
    </w:p>
    <w:p>
      <w:pPr>
        <w:spacing w:line="360" w:lineRule="auto" w:before="0"/>
        <w:ind w:left="152" w:right="66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公司报告期内未发生接待调研、沟通、采访等活动。</w:t>
      </w:r>
    </w:p>
    <w:tbl>
      <w:tblPr>
        <w:tblW w:w="0" w:type="auto"/>
        <w:jc w:val="left"/>
        <w:tblInd w:w="181" w:type="dxa"/>
        <w:tblLayout w:type="fixed"/>
        <w:tblCellMar>
          <w:top w:w="0" w:type="dxa"/>
          <w:left w:w="0" w:type="dxa"/>
          <w:bottom w:w="0" w:type="dxa"/>
          <w:right w:w="0" w:type="dxa"/>
        </w:tblCellMar>
        <w:tblLook w:val="01E0"/>
      </w:tblPr>
      <w:tblGrid>
        <w:gridCol w:w="1596"/>
        <w:gridCol w:w="1594"/>
        <w:gridCol w:w="1454"/>
        <w:gridCol w:w="4926"/>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书面问询</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深圳辖区上市公司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年度投资者网上集体接待日主题活动</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书面问询</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个问题</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根据已公告的信息，就公司基本信息进行交流介绍，不涉及未 公开重大信息</w:t>
            </w:r>
          </w:p>
        </w:tc>
      </w:tr>
    </w:tbl>
    <w:p>
      <w:pPr>
        <w:spacing w:after="0" w:line="316" w:lineRule="auto"/>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1"/>
        <w:spacing w:line="240" w:lineRule="auto"/>
        <w:ind w:left="4311" w:right="472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8"/>
        <w:rPr>
          <w:rFonts w:ascii="宋体" w:hAnsi="宋体" w:cs="宋体" w:eastAsia="宋体" w:hint="default"/>
          <w:b/>
          <w:bCs/>
          <w:sz w:val="36"/>
          <w:szCs w:val="36"/>
        </w:rPr>
      </w:pPr>
    </w:p>
    <w:p>
      <w:pPr>
        <w:pStyle w:val="Heading4"/>
        <w:spacing w:line="240" w:lineRule="auto"/>
        <w:ind w:left="712" w:right="0"/>
        <w:jc w:val="left"/>
        <w:rPr>
          <w:b w:val="0"/>
          <w:bCs w:val="0"/>
        </w:rPr>
      </w:pPr>
      <w:r>
        <w:rPr/>
        <w:t>一、公司普通股利润分配及资本公积金转增股本情况</w:t>
      </w:r>
      <w:r>
        <w:rPr>
          <w:b w:val="0"/>
          <w:bCs w:val="0"/>
        </w:rPr>
      </w:r>
    </w:p>
    <w:p>
      <w:pPr>
        <w:spacing w:line="240" w:lineRule="auto" w:before="12"/>
        <w:rPr>
          <w:rFonts w:ascii="宋体" w:hAnsi="宋体" w:cs="宋体" w:eastAsia="宋体" w:hint="default"/>
          <w:b/>
          <w:bCs/>
          <w:sz w:val="21"/>
          <w:szCs w:val="21"/>
        </w:rPr>
      </w:pPr>
    </w:p>
    <w:p>
      <w:pPr>
        <w:spacing w:before="0"/>
        <w:ind w:left="71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71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10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、结合公司实际情况和监管机构要求，经公司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日第六届董事会第二次会议、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3"/>
        <w:ind w:left="71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度股东大会审议通过，公司制定了《股东回报规划</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pacing w:val="1"/>
          <w:sz w:val="18"/>
          <w:szCs w:val="18"/>
        </w:rPr>
        <w:t>17</w:t>
      </w:r>
      <w:r>
        <w:rPr>
          <w:rFonts w:ascii="宋体" w:hAnsi="宋体" w:cs="宋体" w:eastAsia="宋体" w:hint="default"/>
          <w:spacing w:val="-92"/>
          <w:sz w:val="18"/>
          <w:szCs w:val="18"/>
        </w:rPr>
        <w:t>）》</w:t>
      </w:r>
      <w:r>
        <w:rPr>
          <w:rFonts w:ascii="宋体" w:hAnsi="宋体" w:cs="宋体" w:eastAsia="宋体" w:hint="default"/>
          <w:sz w:val="18"/>
          <w:szCs w:val="18"/>
        </w:rPr>
        <w:t>；经公司</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日第六届董事会、</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p>
      <w:pPr>
        <w:spacing w:before="63"/>
        <w:ind w:left="712" w:right="0" w:firstLine="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年度第四次临时股东</w:t>
      </w:r>
      <w:r>
        <w:rPr>
          <w:rFonts w:ascii="宋体" w:hAnsi="宋体" w:cs="宋体" w:eastAsia="宋体" w:hint="default"/>
          <w:spacing w:val="-3"/>
          <w:sz w:val="18"/>
          <w:szCs w:val="18"/>
        </w:rPr>
        <w:t>大</w:t>
      </w:r>
      <w:r>
        <w:rPr>
          <w:rFonts w:ascii="宋体" w:hAnsi="宋体" w:cs="宋体" w:eastAsia="宋体" w:hint="default"/>
          <w:sz w:val="18"/>
          <w:szCs w:val="18"/>
        </w:rPr>
        <w:t>会审议通过，公司更新《股东回报规划（</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宋体" w:hAnsi="宋体" w:cs="宋体" w:eastAsia="宋体" w:hint="default"/>
          <w:spacing w:val="-92"/>
          <w:sz w:val="18"/>
          <w:szCs w:val="18"/>
        </w:rPr>
        <w:t>）》。</w:t>
      </w:r>
      <w:r>
        <w:rPr>
          <w:rFonts w:ascii="宋体" w:hAnsi="宋体" w:cs="宋体" w:eastAsia="宋体" w:hint="default"/>
          <w:sz w:val="18"/>
          <w:szCs w:val="18"/>
        </w:rPr>
      </w:r>
    </w:p>
    <w:p>
      <w:pPr>
        <w:spacing w:before="101"/>
        <w:ind w:left="10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0.50 </w:t>
      </w:r>
      <w:r>
        <w:rPr>
          <w:rFonts w:ascii="宋体" w:hAnsi="宋体" w:cs="宋体" w:eastAsia="宋体" w:hint="default"/>
          <w:sz w:val="18"/>
          <w:szCs w:val="18"/>
        </w:rPr>
        <w:t>元（含税）的利润分配方案，共计向全体</w:t>
      </w:r>
    </w:p>
    <w:p>
      <w:pPr>
        <w:spacing w:before="63"/>
        <w:ind w:left="712" w:right="0" w:firstLine="0"/>
        <w:jc w:val="left"/>
        <w:rPr>
          <w:rFonts w:ascii="宋体" w:hAnsi="宋体" w:cs="宋体" w:eastAsia="宋体" w:hint="default"/>
          <w:sz w:val="18"/>
          <w:szCs w:val="18"/>
        </w:rPr>
      </w:pPr>
      <w:r>
        <w:rPr>
          <w:rFonts w:ascii="宋体" w:hAnsi="宋体" w:cs="宋体" w:eastAsia="宋体" w:hint="default"/>
          <w:sz w:val="18"/>
          <w:szCs w:val="18"/>
        </w:rPr>
        <w:t>股东分配现金股利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146,808,278.00 </w:t>
      </w:r>
      <w:r>
        <w:rPr>
          <w:rFonts w:ascii="宋体" w:hAnsi="宋体" w:cs="宋体" w:eastAsia="宋体" w:hint="default"/>
          <w:sz w:val="18"/>
          <w:szCs w:val="18"/>
        </w:rPr>
        <w:t>元。</w:t>
      </w:r>
    </w:p>
    <w:p>
      <w:pPr>
        <w:spacing w:line="240" w:lineRule="auto" w:before="2"/>
        <w:rPr>
          <w:rFonts w:ascii="宋体" w:hAnsi="宋体" w:cs="宋体" w:eastAsia="宋体" w:hint="default"/>
          <w:sz w:val="7"/>
          <w:szCs w:val="7"/>
        </w:rPr>
      </w:pPr>
    </w:p>
    <w:tbl>
      <w:tblPr>
        <w:tblW w:w="0" w:type="auto"/>
        <w:jc w:val="left"/>
        <w:tblInd w:w="744" w:type="dxa"/>
        <w:tblLayout w:type="fixed"/>
        <w:tblCellMar>
          <w:top w:w="0" w:type="dxa"/>
          <w:left w:w="0" w:type="dxa"/>
          <w:bottom w:w="0" w:type="dxa"/>
          <w:right w:w="0" w:type="dxa"/>
        </w:tblCellMar>
        <w:tblLook w:val="01E0"/>
      </w:tblPr>
      <w:tblGrid>
        <w:gridCol w:w="4928"/>
        <w:gridCol w:w="4640"/>
      </w:tblGrid>
      <w:tr>
        <w:trPr>
          <w:trHeight w:val="399"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32"/>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 得到了充分保护：</w:t>
            </w:r>
          </w:p>
        </w:tc>
        <w:tc>
          <w:tcPr>
            <w:tcW w:w="46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928"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现金分红政策进行调整或变更的，条件及程序是否合规、透明</w:t>
            </w:r>
          </w:p>
        </w:tc>
        <w:tc>
          <w:tcPr>
            <w:tcW w:w="4640" w:type="dxa"/>
            <w:tcBorders>
              <w:top w:val="single" w:sz="4" w:space="0" w:color="000000"/>
              <w:left w:val="single" w:sz="10" w:space="0" w:color="FFFFFF"/>
              <w:bottom w:val="single" w:sz="4" w:space="0" w:color="000000"/>
              <w:right w:val="single" w:sz="10" w:space="0" w:color="FFFFF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712" w:right="0" w:firstLine="0"/>
        <w:jc w:val="left"/>
        <w:rPr>
          <w:rFonts w:ascii="宋体" w:hAnsi="宋体" w:cs="宋体" w:eastAsia="宋体" w:hint="default"/>
          <w:sz w:val="18"/>
          <w:szCs w:val="18"/>
        </w:rPr>
      </w:pPr>
      <w:r>
        <w:rPr/>
        <w:pict>
          <v:shape style="position:absolute;margin-left:298.929016pt;margin-top:-20.178286pt;width:237.85pt;height:19.7pt;mso-position-horizontal-relative:page;mso-position-vertical-relative:paragraph;z-index:-163016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before="101"/>
        <w:ind w:left="108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w:t>
      </w:r>
      <w:r>
        <w:rPr>
          <w:rFonts w:ascii="宋体" w:hAnsi="宋体" w:cs="宋体" w:eastAsia="宋体" w:hint="default"/>
          <w:sz w:val="18"/>
          <w:szCs w:val="18"/>
        </w:rPr>
        <w:t>以</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3"/>
          <w:sz w:val="18"/>
          <w:szCs w:val="18"/>
        </w:rPr>
        <w:t>向</w:t>
      </w:r>
      <w:r>
        <w:rPr>
          <w:rFonts w:ascii="宋体" w:hAnsi="宋体" w:cs="宋体" w:eastAsia="宋体" w:hint="default"/>
          <w:sz w:val="18"/>
          <w:szCs w:val="18"/>
        </w:rPr>
        <w:t>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w:t>
      </w:r>
      <w:r>
        <w:rPr>
          <w:rFonts w:ascii="宋体" w:hAnsi="宋体" w:cs="宋体" w:eastAsia="宋体" w:hint="default"/>
          <w:spacing w:val="-3"/>
          <w:sz w:val="18"/>
          <w:szCs w:val="18"/>
        </w:rPr>
        <w:t>利</w:t>
      </w: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w:t>
      </w:r>
    </w:p>
    <w:p>
      <w:pPr>
        <w:spacing w:before="63"/>
        <w:ind w:left="712" w:right="0" w:firstLine="0"/>
        <w:jc w:val="left"/>
        <w:rPr>
          <w:rFonts w:ascii="宋体" w:hAnsi="宋体" w:cs="宋体" w:eastAsia="宋体" w:hint="default"/>
          <w:sz w:val="18"/>
          <w:szCs w:val="18"/>
        </w:rPr>
      </w:pPr>
      <w:r>
        <w:rPr>
          <w:rFonts w:ascii="宋体" w:hAnsi="宋体" w:cs="宋体" w:eastAsia="宋体" w:hint="default"/>
          <w:sz w:val="18"/>
          <w:szCs w:val="18"/>
        </w:rPr>
        <w:t>计派发现金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176,644,167.54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before="103"/>
        <w:ind w:left="108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年度，以</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3"/>
          <w:sz w:val="18"/>
          <w:szCs w:val="18"/>
        </w:rPr>
        <w:t>向</w:t>
      </w:r>
      <w:r>
        <w:rPr>
          <w:rFonts w:ascii="宋体" w:hAnsi="宋体" w:cs="宋体" w:eastAsia="宋体" w:hint="default"/>
          <w:sz w:val="18"/>
          <w:szCs w:val="18"/>
        </w:rPr>
        <w:t>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w:t>
      </w:r>
      <w:r>
        <w:rPr>
          <w:rFonts w:ascii="宋体" w:hAnsi="宋体" w:cs="宋体" w:eastAsia="宋体" w:hint="default"/>
          <w:spacing w:val="-3"/>
          <w:sz w:val="18"/>
          <w:szCs w:val="18"/>
        </w:rPr>
        <w:t>利</w:t>
      </w: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w:t>
      </w:r>
    </w:p>
    <w:p>
      <w:pPr>
        <w:spacing w:before="63"/>
        <w:ind w:left="712" w:right="0" w:firstLine="0"/>
        <w:jc w:val="left"/>
        <w:rPr>
          <w:rFonts w:ascii="宋体" w:hAnsi="宋体" w:cs="宋体" w:eastAsia="宋体" w:hint="default"/>
          <w:sz w:val="18"/>
          <w:szCs w:val="18"/>
        </w:rPr>
      </w:pPr>
      <w:r>
        <w:rPr>
          <w:rFonts w:ascii="宋体" w:hAnsi="宋体" w:cs="宋体" w:eastAsia="宋体" w:hint="default"/>
          <w:sz w:val="18"/>
          <w:szCs w:val="18"/>
        </w:rPr>
        <w:t>计派发现金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146,808,278.00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before="101"/>
        <w:ind w:left="108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年度，拟以</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r>
        <w:rPr>
          <w:rFonts w:ascii="宋体" w:hAnsi="宋体" w:cs="宋体" w:eastAsia="宋体" w:hint="default"/>
          <w:spacing w:val="-3"/>
          <w:sz w:val="18"/>
          <w:szCs w:val="18"/>
        </w:rPr>
        <w:t>总</w:t>
      </w:r>
      <w:r>
        <w:rPr>
          <w:rFonts w:ascii="宋体" w:hAnsi="宋体" w:cs="宋体" w:eastAsia="宋体" w:hint="default"/>
          <w:sz w:val="18"/>
          <w:szCs w:val="18"/>
        </w:rPr>
        <w:t>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3"/>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340" w:lineRule="auto" w:before="63"/>
        <w:ind w:left="712" w:right="6614" w:firstLine="0"/>
        <w:jc w:val="left"/>
        <w:rPr>
          <w:rFonts w:ascii="宋体" w:hAnsi="宋体" w:cs="宋体" w:eastAsia="宋体" w:hint="default"/>
          <w:sz w:val="18"/>
          <w:szCs w:val="18"/>
        </w:rPr>
      </w:pPr>
      <w:r>
        <w:rPr>
          <w:rFonts w:ascii="宋体" w:hAnsi="宋体" w:cs="宋体" w:eastAsia="宋体" w:hint="default"/>
          <w:sz w:val="18"/>
          <w:szCs w:val="18"/>
        </w:rPr>
        <w:t>共计派发现金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254,751,838.61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公司近三年（包括本报告期）普通股现金分红情况表</w:t>
      </w:r>
    </w:p>
    <w:p>
      <w:pPr>
        <w:spacing w:before="41"/>
        <w:ind w:left="0" w:right="1131" w:firstLine="0"/>
        <w:jc w:val="right"/>
        <w:rPr>
          <w:rFonts w:ascii="宋体" w:hAnsi="宋体" w:cs="宋体" w:eastAsia="宋体" w:hint="default"/>
          <w:sz w:val="18"/>
          <w:szCs w:val="18"/>
        </w:rPr>
      </w:pPr>
      <w:r>
        <w:rPr/>
        <w:pict>
          <v:shape style="position:absolute;margin-left:323.089996pt;margin-top:19.647717pt;width:89.8pt;height:68.2pt;mso-position-horizontal-relative:page;mso-position-vertical-relative:paragraph;z-index:-1630144" type="#_x0000_t202" filled="false" stroked="false">
            <v:textbox inset="0,0,0,0">
              <w:txbxContent>
                <w:p>
                  <w:pPr>
                    <w:spacing w:line="240" w:lineRule="auto" w:before="0"/>
                    <w:rPr>
                      <w:rFonts w:ascii="宋体" w:hAnsi="宋体" w:cs="宋体" w:eastAsia="宋体" w:hint="default"/>
                      <w:sz w:val="18"/>
                      <w:szCs w:val="18"/>
                    </w:rPr>
                  </w:pPr>
                </w:p>
                <w:p>
                  <w:pPr>
                    <w:spacing w:before="144"/>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795"/>
        <w:gridCol w:w="1277"/>
        <w:gridCol w:w="1333"/>
        <w:gridCol w:w="1529"/>
        <w:gridCol w:w="1092"/>
        <w:gridCol w:w="1702"/>
        <w:gridCol w:w="1306"/>
        <w:gridCol w:w="1807"/>
      </w:tblGrid>
      <w:tr>
        <w:trPr>
          <w:trHeight w:val="1336"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93"/>
              <w:jc w:val="center"/>
              <w:rPr>
                <w:rFonts w:ascii="宋体" w:hAnsi="宋体" w:cs="宋体" w:eastAsia="宋体" w:hint="default"/>
                <w:sz w:val="18"/>
                <w:szCs w:val="18"/>
              </w:rPr>
            </w:pPr>
            <w:r>
              <w:rPr>
                <w:rFonts w:ascii="宋体" w:hAnsi="宋体" w:cs="宋体" w:eastAsia="宋体" w:hint="default"/>
                <w:sz w:val="18"/>
                <w:szCs w:val="18"/>
              </w:rPr>
              <w:t>（含税）</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 w:right="29"/>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36"/>
              <w:jc w:val="both"/>
              <w:rPr>
                <w:rFonts w:ascii="宋体" w:hAnsi="宋体" w:cs="宋体" w:eastAsia="宋体" w:hint="default"/>
                <w:sz w:val="18"/>
                <w:szCs w:val="18"/>
              </w:rPr>
            </w:pPr>
            <w:r>
              <w:rPr>
                <w:rFonts w:ascii="宋体" w:hAnsi="宋体" w:cs="宋体" w:eastAsia="宋体" w:hint="default"/>
                <w:sz w:val="18"/>
                <w:szCs w:val="18"/>
              </w:rPr>
              <w:t>现金分红金额占合 并报表中归属于上 市公司普通股股东 的净利润的比率</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 w:right="0" w:firstLine="2"/>
              <w:jc w:val="center"/>
              <w:rPr>
                <w:rFonts w:ascii="宋体" w:hAnsi="宋体" w:cs="宋体" w:eastAsia="宋体" w:hint="default"/>
                <w:sz w:val="18"/>
                <w:szCs w:val="18"/>
              </w:rPr>
            </w:pPr>
            <w:r>
              <w:rPr>
                <w:rFonts w:ascii="宋体" w:hAnsi="宋体" w:cs="宋体" w:eastAsia="宋体" w:hint="default"/>
                <w:sz w:val="18"/>
                <w:szCs w:val="18"/>
              </w:rPr>
              <w:t>以其他方式 如回购股份 现金分红的金 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1"/>
              <w:jc w:val="both"/>
              <w:rPr>
                <w:rFonts w:ascii="宋体" w:hAnsi="宋体" w:cs="宋体" w:eastAsia="宋体" w:hint="default"/>
                <w:sz w:val="18"/>
                <w:szCs w:val="18"/>
              </w:rPr>
            </w:pPr>
            <w:r>
              <w:rPr>
                <w:rFonts w:ascii="宋体" w:hAnsi="宋体" w:cs="宋体" w:eastAsia="宋体" w:hint="default"/>
                <w:sz w:val="18"/>
                <w:szCs w:val="18"/>
              </w:rPr>
              <w:t>以其他方式现金分红 金额占合并报表中归 属于上市公司普通股 股东的净利润的比例</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4"/>
              <w:ind w:left="-29" w:right="63"/>
              <w:jc w:val="center"/>
              <w:rPr>
                <w:rFonts w:ascii="宋体" w:hAnsi="宋体" w:cs="宋体" w:eastAsia="宋体" w:hint="default"/>
                <w:sz w:val="18"/>
                <w:szCs w:val="18"/>
              </w:rPr>
            </w:pPr>
            <w:r>
              <w:rPr>
                <w:rFonts w:ascii="宋体" w:hAnsi="宋体" w:cs="宋体" w:eastAsia="宋体" w:hint="default"/>
                <w:sz w:val="18"/>
                <w:szCs w:val="18"/>
              </w:rPr>
              <w:t>（含其他方式）</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现金分红总额（含其他 方式）占合并报表中归 属于上市公司普通股 股东的净利润的比率</w:t>
            </w:r>
          </w:p>
        </w:tc>
      </w:tr>
      <w:tr>
        <w:trPr>
          <w:trHeight w:val="382"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1"/>
              <w:jc w:val="center"/>
              <w:rPr>
                <w:rFonts w:ascii="Times New Roman" w:hAnsi="Times New Roman" w:cs="Times New Roman" w:eastAsia="Times New Roman" w:hint="default"/>
                <w:sz w:val="18"/>
                <w:szCs w:val="18"/>
              </w:rPr>
            </w:pPr>
            <w:r>
              <w:rPr>
                <w:rFonts w:ascii="Times New Roman"/>
                <w:sz w:val="18"/>
              </w:rPr>
              <w:t>254,751,838.61</w:t>
            </w:r>
          </w:p>
        </w:tc>
        <w:tc>
          <w:tcPr>
            <w:tcW w:w="1333"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1,114,993,660.75</w:t>
            </w:r>
          </w:p>
        </w:tc>
        <w:tc>
          <w:tcPr>
            <w:tcW w:w="1529"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22.85%</w:t>
            </w:r>
          </w:p>
        </w:tc>
        <w:tc>
          <w:tcPr>
            <w:tcW w:w="1092"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79"/>
              <w:ind w:right="-3"/>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79"/>
              <w:ind w:right="609"/>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254,751,838.61</w:t>
            </w:r>
          </w:p>
        </w:tc>
        <w:tc>
          <w:tcPr>
            <w:tcW w:w="1807"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79"/>
              <w:ind w:left="621" w:right="0"/>
              <w:jc w:val="left"/>
              <w:rPr>
                <w:rFonts w:ascii="Times New Roman" w:hAnsi="Times New Roman" w:cs="Times New Roman" w:eastAsia="Times New Roman" w:hint="default"/>
                <w:sz w:val="18"/>
                <w:szCs w:val="18"/>
              </w:rPr>
            </w:pPr>
            <w:r>
              <w:rPr>
                <w:rFonts w:ascii="Times New Roman"/>
                <w:sz w:val="18"/>
              </w:rPr>
              <w:t>22.85%</w:t>
            </w:r>
          </w:p>
        </w:tc>
      </w:tr>
      <w:tr>
        <w:trPr>
          <w:trHeight w:val="362"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1" w:right="-1"/>
              <w:jc w:val="center"/>
              <w:rPr>
                <w:rFonts w:ascii="Times New Roman" w:hAnsi="Times New Roman" w:cs="Times New Roman" w:eastAsia="Times New Roman" w:hint="default"/>
                <w:sz w:val="18"/>
                <w:szCs w:val="18"/>
              </w:rPr>
            </w:pPr>
            <w:r>
              <w:rPr>
                <w:rFonts w:ascii="Times New Roman"/>
                <w:sz w:val="18"/>
              </w:rPr>
              <w:t>146,808,278.00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987,100,274.54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14.87%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09"/>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spacing w:val="-1"/>
                <w:sz w:val="18"/>
              </w:rPr>
              <w:t>146,808,278.00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21" w:right="0"/>
              <w:jc w:val="left"/>
              <w:rPr>
                <w:rFonts w:ascii="Times New Roman" w:hAnsi="Times New Roman" w:cs="Times New Roman" w:eastAsia="Times New Roman" w:hint="default"/>
                <w:sz w:val="18"/>
                <w:szCs w:val="18"/>
              </w:rPr>
            </w:pPr>
            <w:r>
              <w:rPr>
                <w:rFonts w:ascii="Times New Roman"/>
                <w:sz w:val="18"/>
              </w:rPr>
              <w:t>14.87%</w:t>
            </w:r>
          </w:p>
        </w:tc>
      </w:tr>
      <w:tr>
        <w:trPr>
          <w:trHeight w:val="362"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1" w:right="-1"/>
              <w:jc w:val="center"/>
              <w:rPr>
                <w:rFonts w:ascii="Times New Roman" w:hAnsi="Times New Roman" w:cs="Times New Roman" w:eastAsia="Times New Roman" w:hint="default"/>
                <w:sz w:val="18"/>
                <w:szCs w:val="18"/>
              </w:rPr>
            </w:pPr>
            <w:r>
              <w:rPr>
                <w:rFonts w:ascii="Times New Roman"/>
                <w:sz w:val="18"/>
              </w:rPr>
              <w:t>176,644,167.54</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581,043,323.65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30.40%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09"/>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spacing w:val="-1"/>
                <w:sz w:val="18"/>
              </w:rPr>
              <w:t>176,644,167.54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21" w:right="0"/>
              <w:jc w:val="left"/>
              <w:rPr>
                <w:rFonts w:ascii="Times New Roman" w:hAnsi="Times New Roman" w:cs="Times New Roman" w:eastAsia="Times New Roman" w:hint="default"/>
                <w:sz w:val="18"/>
                <w:szCs w:val="18"/>
              </w:rPr>
            </w:pPr>
            <w:r>
              <w:rPr>
                <w:rFonts w:ascii="Times New Roman"/>
                <w:sz w:val="18"/>
              </w:rPr>
              <w:t>30.40%</w:t>
            </w:r>
          </w:p>
        </w:tc>
      </w:tr>
    </w:tbl>
    <w:p>
      <w:pPr>
        <w:spacing w:before="51"/>
        <w:ind w:left="71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4"/>
        <w:ind w:left="71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89" w:footer="975" w:top="1100" w:bottom="1160" w:left="420" w:right="0"/>
        </w:sectPr>
      </w:pPr>
    </w:p>
    <w:p>
      <w:pPr>
        <w:spacing w:line="240" w:lineRule="auto" w:before="4"/>
        <w:rPr>
          <w:rFonts w:ascii="宋体" w:hAnsi="宋体" w:cs="宋体" w:eastAsia="宋体" w:hint="default"/>
          <w:sz w:val="20"/>
          <w:szCs w:val="20"/>
        </w:rPr>
      </w:pPr>
    </w:p>
    <w:p>
      <w:pPr>
        <w:pStyle w:val="Heading4"/>
        <w:spacing w:line="240" w:lineRule="auto" w:before="26"/>
        <w:ind w:left="1092" w:right="0"/>
        <w:jc w:val="left"/>
        <w:rPr>
          <w:b w:val="0"/>
          <w:bCs w:val="0"/>
        </w:rPr>
      </w:pPr>
      <w:r>
        <w:rPr/>
        <w:t>二、本报告期利润分配及资本公积金转增股本情况</w:t>
      </w:r>
      <w:r>
        <w:rPr>
          <w:b w:val="0"/>
          <w:bCs w:val="0"/>
        </w:rPr>
      </w:r>
    </w:p>
    <w:p>
      <w:pPr>
        <w:spacing w:line="240" w:lineRule="auto" w:before="12"/>
        <w:rPr>
          <w:rFonts w:ascii="宋体" w:hAnsi="宋体" w:cs="宋体" w:eastAsia="宋体" w:hint="default"/>
          <w:b/>
          <w:bCs/>
          <w:sz w:val="21"/>
          <w:szCs w:val="21"/>
        </w:rPr>
      </w:pPr>
    </w:p>
    <w:p>
      <w:pPr>
        <w:spacing w:before="0"/>
        <w:ind w:left="109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44"/>
        <w:ind w:left="0" w:right="843" w:firstLine="0"/>
        <w:jc w:val="right"/>
        <w:rPr>
          <w:rFonts w:ascii="宋体" w:hAnsi="宋体" w:cs="宋体" w:eastAsia="宋体" w:hint="default"/>
          <w:sz w:val="18"/>
          <w:szCs w:val="18"/>
        </w:rPr>
      </w:pPr>
      <w:r>
        <w:rPr/>
        <w:pict>
          <v:shape style="position:absolute;margin-left:45.240002pt;margin-top:-183.878281pt;width:505.1pt;height:364.6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92"/>
                    <w:gridCol w:w="4395"/>
                  </w:tblGrid>
                  <w:tr>
                    <w:trPr>
                      <w:trHeight w:val="361" w:hRule="exact"/>
                    </w:trPr>
                    <w:tc>
                      <w:tcPr>
                        <w:tcW w:w="5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0</w:t>
                        </w:r>
                      </w:p>
                    </w:tc>
                  </w:tr>
                  <w:tr>
                    <w:trPr>
                      <w:trHeight w:val="361" w:hRule="exact"/>
                    </w:trPr>
                    <w:tc>
                      <w:tcPr>
                        <w:tcW w:w="5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0.87</w:t>
                        </w:r>
                      </w:p>
                    </w:tc>
                  </w:tr>
                  <w:tr>
                    <w:trPr>
                      <w:trHeight w:val="362" w:hRule="exact"/>
                    </w:trPr>
                    <w:tc>
                      <w:tcPr>
                        <w:tcW w:w="5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股转增数（股）</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0</w:t>
                        </w:r>
                      </w:p>
                    </w:tc>
                  </w:tr>
                  <w:tr>
                    <w:trPr>
                      <w:trHeight w:val="362" w:hRule="exact"/>
                    </w:trPr>
                    <w:tc>
                      <w:tcPr>
                        <w:tcW w:w="5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2,928,182,053</w:t>
                        </w:r>
                      </w:p>
                    </w:tc>
                  </w:tr>
                  <w:tr>
                    <w:trPr>
                      <w:trHeight w:val="362" w:hRule="exact"/>
                    </w:trPr>
                    <w:tc>
                      <w:tcPr>
                        <w:tcW w:w="5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254,751,838.61</w:t>
                        </w:r>
                      </w:p>
                    </w:tc>
                  </w:tr>
                  <w:tr>
                    <w:trPr>
                      <w:trHeight w:val="362" w:hRule="exact"/>
                    </w:trPr>
                    <w:tc>
                      <w:tcPr>
                        <w:tcW w:w="5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0.00</w:t>
                        </w:r>
                      </w:p>
                    </w:tc>
                  </w:tr>
                  <w:tr>
                    <w:trPr>
                      <w:trHeight w:val="361" w:hRule="exact"/>
                    </w:trPr>
                    <w:tc>
                      <w:tcPr>
                        <w:tcW w:w="5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254,751,838.61</w:t>
                        </w:r>
                      </w:p>
                    </w:tc>
                  </w:tr>
                  <w:tr>
                    <w:trPr>
                      <w:trHeight w:val="361" w:hRule="exact"/>
                    </w:trPr>
                    <w:tc>
                      <w:tcPr>
                        <w:tcW w:w="5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r>
                          <w:rPr>
                            <w:rFonts w:ascii="宋体" w:hAnsi="宋体" w:cs="宋体" w:eastAsia="宋体" w:hint="default"/>
                            <w:sz w:val="18"/>
                            <w:szCs w:val="18"/>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1,578,137,949.21</w:t>
                        </w:r>
                      </w:p>
                    </w:tc>
                  </w:tr>
                  <w:tr>
                    <w:trPr>
                      <w:trHeight w:val="367" w:hRule="exact"/>
                    </w:trPr>
                    <w:tc>
                      <w:tcPr>
                        <w:tcW w:w="5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r>
                          <w:rPr>
                            <w:rFonts w:ascii="宋体" w:hAnsi="宋体" w:cs="宋体" w:eastAsia="宋体" w:hint="default"/>
                            <w:sz w:val="18"/>
                            <w:szCs w:val="18"/>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99" w:hRule="exact"/>
                    </w:trPr>
                    <w:tc>
                      <w:tcPr>
                        <w:tcW w:w="10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10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3" w:hRule="exact"/>
                    </w:trPr>
                    <w:tc>
                      <w:tcPr>
                        <w:tcW w:w="10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4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818" w:hRule="exact"/>
                    </w:trPr>
                    <w:tc>
                      <w:tcPr>
                        <w:tcW w:w="10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4" w:right="3" w:firstLine="360"/>
                          <w:jc w:val="both"/>
                          <w:rPr>
                            <w:rFonts w:ascii="宋体" w:hAnsi="宋体" w:cs="宋体" w:eastAsia="宋体" w:hint="default"/>
                            <w:sz w:val="18"/>
                            <w:szCs w:val="18"/>
                          </w:rPr>
                        </w:pPr>
                        <w:r>
                          <w:rPr>
                            <w:rFonts w:ascii="宋体" w:hAnsi="宋体" w:cs="宋体" w:eastAsia="宋体" w:hint="default"/>
                            <w:sz w:val="18"/>
                            <w:szCs w:val="18"/>
                          </w:rPr>
                          <w:t>经立信会计师事务所（特殊普通合伙）审计，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年度公司每股收益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元，母公司净利润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325,859,582.90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元，提取</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1"/>
                            <w:sz w:val="18"/>
                            <w:szCs w:val="18"/>
                          </w:rPr>
                          <w:t>法定盈余公积金，加上年初未分配利润（因同一控制下企业合并、投资性房地产会计政策变更以及执行新金融工具系列准则追溯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和调整后）</w:t>
                        </w:r>
                        <w:r>
                          <w:rPr>
                            <w:rFonts w:ascii="Times New Roman" w:hAnsi="Times New Roman" w:cs="Times New Roman" w:eastAsia="Times New Roman" w:hint="default"/>
                            <w:spacing w:val="3"/>
                            <w:sz w:val="18"/>
                            <w:szCs w:val="18"/>
                          </w:rPr>
                          <w:t>1,431,672,602.60  </w:t>
                        </w:r>
                        <w:r>
                          <w:rPr>
                            <w:rFonts w:ascii="宋体" w:hAnsi="宋体" w:cs="宋体" w:eastAsia="宋体" w:hint="default"/>
                            <w:spacing w:val="12"/>
                            <w:sz w:val="18"/>
                            <w:szCs w:val="18"/>
                          </w:rPr>
                          <w:t>元，扣除年内实施的 </w:t>
                        </w:r>
                        <w:r>
                          <w:rPr>
                            <w:rFonts w:ascii="Times New Roman" w:hAnsi="Times New Roman" w:cs="Times New Roman" w:eastAsia="Times New Roman" w:hint="default"/>
                            <w:sz w:val="18"/>
                            <w:szCs w:val="18"/>
                          </w:rPr>
                          <w:t>2018  </w:t>
                        </w:r>
                        <w:r>
                          <w:rPr>
                            <w:rFonts w:ascii="宋体" w:hAnsi="宋体" w:cs="宋体" w:eastAsia="宋体" w:hint="default"/>
                            <w:spacing w:val="12"/>
                            <w:sz w:val="18"/>
                            <w:szCs w:val="18"/>
                          </w:rPr>
                          <w:t>年度利润分配现金分红 </w:t>
                        </w:r>
                        <w:r>
                          <w:rPr>
                            <w:rFonts w:ascii="Times New Roman" w:hAnsi="Times New Roman" w:cs="Times New Roman" w:eastAsia="Times New Roman" w:hint="default"/>
                            <w:sz w:val="18"/>
                            <w:szCs w:val="18"/>
                          </w:rPr>
                          <w:t>146,808,278.00  </w:t>
                        </w:r>
                        <w:r>
                          <w:rPr>
                            <w:rFonts w:ascii="Times New Roman" w:hAnsi="Times New Roman" w:cs="Times New Roman" w:eastAsia="Times New Roman" w:hint="default"/>
                            <w:spacing w:val="17"/>
                            <w:sz w:val="18"/>
                            <w:szCs w:val="18"/>
                          </w:rPr>
                          <w:t> </w:t>
                        </w:r>
                        <w:r>
                          <w:rPr>
                            <w:rFonts w:ascii="宋体" w:hAnsi="宋体" w:cs="宋体" w:eastAsia="宋体" w:hint="default"/>
                            <w:spacing w:val="13"/>
                            <w:sz w:val="18"/>
                            <w:szCs w:val="18"/>
                          </w:rPr>
                          <w:t>元，本次可供分配的利润</w:t>
                        </w:r>
                        <w:r>
                          <w:rPr>
                            <w:rFonts w:ascii="宋体" w:hAnsi="宋体" w:cs="宋体" w:eastAsia="宋体" w:hint="default"/>
                            <w:sz w:val="18"/>
                            <w:szCs w:val="18"/>
                          </w:rPr>
                        </w:r>
                      </w:p>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1,578,137,949.21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384" w:right="0"/>
                          <w:jc w:val="left"/>
                          <w:rPr>
                            <w:rFonts w:ascii="宋体" w:hAnsi="宋体" w:cs="宋体" w:eastAsia="宋体" w:hint="default"/>
                            <w:sz w:val="18"/>
                            <w:szCs w:val="18"/>
                          </w:rPr>
                        </w:pPr>
                        <w:r>
                          <w:rPr>
                            <w:rFonts w:ascii="宋体" w:hAnsi="宋体" w:cs="宋体" w:eastAsia="宋体" w:hint="default"/>
                            <w:sz w:val="18"/>
                            <w:szCs w:val="18"/>
                          </w:rPr>
                          <w:t>根据《公司法</w:t>
                        </w:r>
                        <w:r>
                          <w:rPr>
                            <w:rFonts w:ascii="宋体" w:hAnsi="宋体" w:cs="宋体" w:eastAsia="宋体" w:hint="default"/>
                            <w:spacing w:val="-92"/>
                            <w:sz w:val="18"/>
                            <w:szCs w:val="18"/>
                          </w:rPr>
                          <w:t>》、</w:t>
                        </w:r>
                        <w:r>
                          <w:rPr>
                            <w:rFonts w:ascii="宋体" w:hAnsi="宋体" w:cs="宋体" w:eastAsia="宋体" w:hint="default"/>
                            <w:sz w:val="18"/>
                            <w:szCs w:val="18"/>
                          </w:rPr>
                          <w:t>《公司章</w:t>
                        </w:r>
                        <w:r>
                          <w:rPr>
                            <w:rFonts w:ascii="宋体" w:hAnsi="宋体" w:cs="宋体" w:eastAsia="宋体" w:hint="default"/>
                            <w:spacing w:val="2"/>
                            <w:sz w:val="18"/>
                            <w:szCs w:val="18"/>
                          </w:rPr>
                          <w:t>程</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《公司股东回报规划（</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pacing w:val="1"/>
                            <w:sz w:val="18"/>
                            <w:szCs w:val="18"/>
                          </w:rPr>
                          <w:t>20</w:t>
                        </w:r>
                        <w:r>
                          <w:rPr>
                            <w:rFonts w:ascii="宋体" w:hAnsi="宋体" w:cs="宋体" w:eastAsia="宋体" w:hint="default"/>
                            <w:spacing w:val="-92"/>
                            <w:sz w:val="18"/>
                            <w:szCs w:val="18"/>
                          </w:rPr>
                          <w:t>）</w:t>
                        </w:r>
                        <w:r>
                          <w:rPr>
                            <w:rFonts w:ascii="宋体" w:hAnsi="宋体" w:cs="宋体" w:eastAsia="宋体" w:hint="default"/>
                            <w:sz w:val="18"/>
                            <w:szCs w:val="18"/>
                          </w:rPr>
                          <w:t>》之有关规定及公司</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年度的经营情况，在符合利润分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配政策、保证公司正常经营和长远发展的前提下，拟订公司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年度利润分配预案为：拟以</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年末总股本</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2,928,182,053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为基数，向全体股东每</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股派发现金股利人民币</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0.87</w:t>
                        </w:r>
                        <w:r>
                          <w:rPr>
                            <w:rFonts w:ascii="Times New Roman" w:hAnsi="Times New Roman" w:cs="Times New Roman" w:eastAsia="Times New Roman" w:hint="default"/>
                            <w:spacing w:val="10"/>
                            <w:sz w:val="18"/>
                            <w:szCs w:val="18"/>
                          </w:rPr>
                          <w:t> </w:t>
                        </w:r>
                        <w:r>
                          <w:rPr>
                            <w:rFonts w:ascii="宋体" w:hAnsi="宋体" w:cs="宋体" w:eastAsia="宋体" w:hint="default"/>
                            <w:spacing w:val="-8"/>
                            <w:sz w:val="18"/>
                            <w:szCs w:val="18"/>
                          </w:rPr>
                          <w:t>元（含税），共计派发现金</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254,751,838.61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元，占</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年度归属于母公司</w:t>
                        </w:r>
                        <w:r>
                          <w:rPr>
                            <w:rFonts w:ascii="宋体" w:hAnsi="宋体" w:cs="宋体" w:eastAsia="宋体" w:hint="default"/>
                            <w:sz w:val="18"/>
                            <w:szCs w:val="18"/>
                          </w:rPr>
                          <w:t> 所有者的净利润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1,114,993,660.75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22.85%</w:t>
                        </w:r>
                        <w:r>
                          <w:rPr>
                            <w:rFonts w:ascii="宋体" w:hAnsi="宋体" w:cs="宋体" w:eastAsia="宋体" w:hint="default"/>
                            <w:sz w:val="18"/>
                            <w:szCs w:val="18"/>
                          </w:rPr>
                          <w:t>。</w:t>
                        </w:r>
                      </w:p>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预案需提交公司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年度股东大会审议。</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4"/>
        <w:spacing w:line="240" w:lineRule="auto" w:before="26"/>
        <w:ind w:left="1092" w:right="0"/>
        <w:jc w:val="left"/>
        <w:rPr>
          <w:b w:val="0"/>
          <w:bCs w:val="0"/>
        </w:rPr>
      </w:pPr>
      <w:r>
        <w:rPr/>
        <w:t>三、承诺事项履行情况</w:t>
      </w:r>
      <w:r>
        <w:rPr>
          <w:b w:val="0"/>
          <w:bCs w:val="0"/>
        </w:rPr>
      </w:r>
    </w:p>
    <w:p>
      <w:pPr>
        <w:spacing w:line="240" w:lineRule="auto" w:before="2"/>
        <w:rPr>
          <w:rFonts w:ascii="宋体" w:hAnsi="宋体" w:cs="宋体" w:eastAsia="宋体" w:hint="default"/>
          <w:b/>
          <w:bCs/>
          <w:sz w:val="20"/>
          <w:szCs w:val="20"/>
        </w:rPr>
      </w:pPr>
    </w:p>
    <w:p>
      <w:pPr>
        <w:pStyle w:val="Heading5"/>
        <w:spacing w:line="256" w:lineRule="auto" w:before="0"/>
        <w:ind w:left="1092"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1"/>
        <w:rPr>
          <w:rFonts w:ascii="宋体" w:hAnsi="宋体" w:cs="宋体" w:eastAsia="宋体" w:hint="default"/>
          <w:b/>
          <w:bCs/>
          <w:sz w:val="21"/>
          <w:szCs w:val="21"/>
        </w:rPr>
      </w:pPr>
    </w:p>
    <w:p>
      <w:pPr>
        <w:spacing w:before="0"/>
        <w:ind w:left="109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适用 </w:t>
      </w:r>
      <w:r>
        <w:rPr>
          <w:rFonts w:ascii="宋体" w:hAnsi="宋体" w:cs="宋体" w:eastAsia="宋体" w:hint="default"/>
          <w:sz w:val="18"/>
          <w:szCs w:val="18"/>
        </w:rPr>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不适用</w:t>
      </w:r>
      <w:r>
        <w:rPr>
          <w:rFonts w:ascii="宋体" w:hAnsi="宋体" w:cs="宋体" w:eastAsia="宋体" w:hint="default"/>
          <w:sz w:val="18"/>
          <w:szCs w:val="18"/>
        </w:rPr>
        <w:t> </w:t>
      </w: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533"/>
        <w:gridCol w:w="806"/>
        <w:gridCol w:w="1154"/>
        <w:gridCol w:w="5180"/>
        <w:gridCol w:w="1081"/>
        <w:gridCol w:w="941"/>
        <w:gridCol w:w="917"/>
      </w:tblGrid>
      <w:tr>
        <w:trPr>
          <w:trHeight w:val="634" w:hRule="exact"/>
        </w:trPr>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76" w:right="269"/>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22" w:hRule="exact"/>
        </w:trPr>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0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1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 w:right="80"/>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 w:right="74"/>
              <w:jc w:val="center"/>
              <w:rPr>
                <w:rFonts w:ascii="宋体" w:hAnsi="宋体" w:cs="宋体" w:eastAsia="宋体" w:hint="default"/>
                <w:sz w:val="18"/>
                <w:szCs w:val="18"/>
              </w:rPr>
            </w:pPr>
            <w:r>
              <w:rPr>
                <w:rFonts w:ascii="宋体" w:hAnsi="宋体" w:cs="宋体" w:eastAsia="宋体" w:hint="default"/>
                <w:sz w:val="18"/>
                <w:szCs w:val="18"/>
              </w:rPr>
              <w:t>中国电子</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 w:right="60"/>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4"/>
                <w:sz w:val="18"/>
                <w:szCs w:val="18"/>
              </w:rPr>
              <w:t>争、关联交易</w:t>
            </w:r>
            <w:r>
              <w:rPr>
                <w:rFonts w:ascii="宋体" w:hAnsi="宋体" w:cs="宋体" w:eastAsia="宋体" w:hint="default"/>
                <w:sz w:val="18"/>
                <w:szCs w:val="18"/>
              </w:rPr>
              <w:t> 资金占用方面 的承诺</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36"/>
              <w:ind w:left="2" w:right="-3" w:firstLine="300"/>
              <w:jc w:val="both"/>
              <w:rPr>
                <w:rFonts w:ascii="宋体" w:hAnsi="宋体" w:cs="宋体" w:eastAsia="宋体" w:hint="default"/>
                <w:sz w:val="15"/>
                <w:szCs w:val="15"/>
              </w:rPr>
            </w:pP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）中国电子及下属企业目前没有直接或间接从事与中国长城及其下属企</w:t>
            </w:r>
            <w:r>
              <w:rPr>
                <w:rFonts w:ascii="宋体" w:hAnsi="宋体" w:cs="宋体" w:eastAsia="宋体" w:hint="default"/>
                <w:w w:val="100"/>
                <w:sz w:val="15"/>
                <w:szCs w:val="15"/>
              </w:rPr>
              <w:t> </w:t>
            </w:r>
            <w:r>
              <w:rPr>
                <w:rFonts w:ascii="宋体" w:hAnsi="宋体" w:cs="宋体" w:eastAsia="宋体" w:hint="default"/>
                <w:spacing w:val="-2"/>
                <w:w w:val="100"/>
                <w:sz w:val="15"/>
                <w:szCs w:val="15"/>
              </w:rPr>
              <w:t>业主营业务构成竞争的业务；（</w:t>
            </w:r>
            <w:r>
              <w:rPr>
                <w:rFonts w:ascii="Times New Roman" w:hAnsi="Times New Roman" w:cs="Times New Roman" w:eastAsia="Times New Roman" w:hint="default"/>
                <w:spacing w:val="-2"/>
                <w:w w:val="100"/>
                <w:sz w:val="15"/>
                <w:szCs w:val="15"/>
              </w:rPr>
              <w:t>2</w:t>
            </w:r>
            <w:r>
              <w:rPr>
                <w:rFonts w:ascii="宋体" w:hAnsi="宋体" w:cs="宋体" w:eastAsia="宋体" w:hint="default"/>
                <w:spacing w:val="-2"/>
                <w:w w:val="100"/>
                <w:sz w:val="15"/>
                <w:szCs w:val="15"/>
              </w:rPr>
              <w:t>）中国电子将来不会，而且会促使中国电子下</w:t>
            </w:r>
            <w:r>
              <w:rPr>
                <w:rFonts w:ascii="宋体" w:hAnsi="宋体" w:cs="宋体" w:eastAsia="宋体" w:hint="default"/>
                <w:spacing w:val="-57"/>
                <w:w w:val="100"/>
                <w:sz w:val="15"/>
                <w:szCs w:val="15"/>
              </w:rPr>
              <w:t> </w:t>
            </w:r>
            <w:r>
              <w:rPr>
                <w:rFonts w:ascii="宋体" w:hAnsi="宋体" w:cs="宋体" w:eastAsia="宋体" w:hint="default"/>
                <w:spacing w:val="-57"/>
                <w:w w:val="100"/>
                <w:sz w:val="15"/>
                <w:szCs w:val="15"/>
              </w:rPr>
            </w:r>
            <w:r>
              <w:rPr>
                <w:rFonts w:ascii="宋体" w:hAnsi="宋体" w:cs="宋体" w:eastAsia="宋体" w:hint="default"/>
                <w:sz w:val="15"/>
                <w:szCs w:val="15"/>
              </w:rPr>
              <w:t>属企业不会单独或与第三方、以直接或间接形式参与、经营或从事与中国长城</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pacing w:val="-2"/>
                <w:w w:val="100"/>
                <w:sz w:val="15"/>
                <w:szCs w:val="15"/>
              </w:rPr>
              <w:t>及其下属企业主营业务构成竞争或可能构成竞争的业务或活动；（</w:t>
            </w:r>
            <w:r>
              <w:rPr>
                <w:rFonts w:ascii="Times New Roman" w:hAnsi="Times New Roman" w:cs="Times New Roman" w:eastAsia="Times New Roman" w:hint="default"/>
                <w:spacing w:val="-2"/>
                <w:w w:val="100"/>
                <w:sz w:val="15"/>
                <w:szCs w:val="15"/>
              </w:rPr>
              <w:t>3</w:t>
            </w:r>
            <w:r>
              <w:rPr>
                <w:rFonts w:ascii="宋体" w:hAnsi="宋体" w:cs="宋体" w:eastAsia="宋体" w:hint="default"/>
                <w:spacing w:val="-2"/>
                <w:w w:val="100"/>
                <w:sz w:val="15"/>
                <w:szCs w:val="15"/>
              </w:rPr>
              <w:t>）若中国长</w:t>
            </w:r>
            <w:r>
              <w:rPr>
                <w:rFonts w:ascii="宋体" w:hAnsi="宋体" w:cs="宋体" w:eastAsia="宋体" w:hint="default"/>
                <w:spacing w:val="-56"/>
                <w:w w:val="100"/>
                <w:sz w:val="15"/>
                <w:szCs w:val="15"/>
              </w:rPr>
              <w:t> </w:t>
            </w:r>
            <w:r>
              <w:rPr>
                <w:rFonts w:ascii="宋体" w:hAnsi="宋体" w:cs="宋体" w:eastAsia="宋体" w:hint="default"/>
                <w:spacing w:val="-56"/>
                <w:w w:val="100"/>
                <w:sz w:val="15"/>
                <w:szCs w:val="15"/>
              </w:rPr>
            </w:r>
            <w:r>
              <w:rPr>
                <w:rFonts w:ascii="宋体" w:hAnsi="宋体" w:cs="宋体" w:eastAsia="宋体" w:hint="default"/>
                <w:sz w:val="15"/>
                <w:szCs w:val="15"/>
              </w:rPr>
              <w:t>城未来新增主营业务，中国电子及下属企业将不会单独或与第三方、以直接或</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间接形式参与、经营或从事与中国长城及其下属企业未来新增主营业务构成竞</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pacing w:val="-2"/>
                <w:w w:val="100"/>
                <w:sz w:val="15"/>
                <w:szCs w:val="15"/>
              </w:rPr>
              <w:t>争或可能构成竞争的业务或活动；（</w:t>
            </w:r>
            <w:r>
              <w:rPr>
                <w:rFonts w:ascii="Times New Roman" w:hAnsi="Times New Roman" w:cs="Times New Roman" w:eastAsia="Times New Roman" w:hint="default"/>
                <w:spacing w:val="-2"/>
                <w:w w:val="100"/>
                <w:sz w:val="15"/>
                <w:szCs w:val="15"/>
              </w:rPr>
              <w:t>4</w:t>
            </w:r>
            <w:r>
              <w:rPr>
                <w:rFonts w:ascii="宋体" w:hAnsi="宋体" w:cs="宋体" w:eastAsia="宋体" w:hint="default"/>
                <w:spacing w:val="-2"/>
                <w:w w:val="100"/>
                <w:sz w:val="15"/>
                <w:szCs w:val="15"/>
              </w:rPr>
              <w:t>）若违反上述承诺而参与竞争的，中国电</w:t>
            </w:r>
            <w:r>
              <w:rPr>
                <w:rFonts w:ascii="宋体" w:hAnsi="宋体" w:cs="宋体" w:eastAsia="宋体" w:hint="default"/>
                <w:spacing w:val="-57"/>
                <w:w w:val="100"/>
                <w:sz w:val="15"/>
                <w:szCs w:val="15"/>
              </w:rPr>
              <w:t> </w:t>
            </w:r>
            <w:r>
              <w:rPr>
                <w:rFonts w:ascii="宋体" w:hAnsi="宋体" w:cs="宋体" w:eastAsia="宋体" w:hint="default"/>
                <w:spacing w:val="-57"/>
                <w:w w:val="100"/>
                <w:sz w:val="15"/>
                <w:szCs w:val="15"/>
              </w:rPr>
            </w:r>
            <w:r>
              <w:rPr>
                <w:rFonts w:ascii="宋体" w:hAnsi="宋体" w:cs="宋体" w:eastAsia="宋体" w:hint="default"/>
                <w:sz w:val="15"/>
                <w:szCs w:val="15"/>
              </w:rPr>
              <w:t>子将承担由此给中国长城造成的全部经济损失。</w:t>
            </w:r>
          </w:p>
        </w:tc>
        <w:tc>
          <w:tcPr>
            <w:tcW w:w="108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both"/>
              <w:rPr>
                <w:rFonts w:ascii="宋体" w:hAnsi="宋体" w:cs="宋体" w:eastAsia="宋体" w:hint="default"/>
                <w:sz w:val="18"/>
                <w:szCs w:val="18"/>
              </w:rPr>
            </w:pPr>
            <w:r>
              <w:rPr>
                <w:rFonts w:ascii="宋体" w:hAnsi="宋体" w:cs="宋体" w:eastAsia="宋体" w:hint="default"/>
                <w:spacing w:val="41"/>
                <w:sz w:val="18"/>
                <w:szCs w:val="18"/>
              </w:rPr>
              <w:t>严格履</w:t>
            </w:r>
            <w:r>
              <w:rPr>
                <w:rFonts w:ascii="宋体" w:hAnsi="宋体" w:cs="宋体" w:eastAsia="宋体" w:hint="default"/>
                <w:spacing w:val="-27"/>
                <w:sz w:val="18"/>
                <w:szCs w:val="18"/>
              </w:rPr>
              <w:t> </w:t>
            </w:r>
            <w:r>
              <w:rPr>
                <w:rFonts w:ascii="宋体" w:hAnsi="宋体" w:cs="宋体" w:eastAsia="宋体" w:hint="default"/>
                <w:sz w:val="18"/>
                <w:szCs w:val="18"/>
              </w:rPr>
              <w:t>行</w:t>
            </w:r>
          </w:p>
          <w:p>
            <w:pPr>
              <w:pStyle w:val="TableParagraph"/>
              <w:spacing w:line="316" w:lineRule="auto" w:before="76"/>
              <w:ind w:left="2" w:right="-7"/>
              <w:jc w:val="both"/>
              <w:rPr>
                <w:rFonts w:ascii="宋体" w:hAnsi="宋体" w:cs="宋体" w:eastAsia="宋体" w:hint="default"/>
                <w:sz w:val="18"/>
                <w:szCs w:val="18"/>
              </w:rPr>
            </w:pPr>
            <w:r>
              <w:rPr>
                <w:rFonts w:ascii="宋体" w:hAnsi="宋体" w:cs="宋体" w:eastAsia="宋体" w:hint="default"/>
                <w:sz w:val="18"/>
                <w:szCs w:val="18"/>
              </w:rPr>
              <w:t>（已被重大</w:t>
            </w:r>
            <w:r>
              <w:rPr>
                <w:rFonts w:ascii="宋体" w:hAnsi="宋体" w:cs="宋体" w:eastAsia="宋体" w:hint="default"/>
                <w:spacing w:val="-81"/>
                <w:sz w:val="18"/>
                <w:szCs w:val="18"/>
              </w:rPr>
              <w:t> </w:t>
            </w:r>
            <w:r>
              <w:rPr>
                <w:rFonts w:ascii="宋体" w:hAnsi="宋体" w:cs="宋体" w:eastAsia="宋体" w:hint="default"/>
                <w:sz w:val="18"/>
                <w:szCs w:val="18"/>
              </w:rPr>
              <w:t>资产重组承</w:t>
            </w:r>
            <w:r>
              <w:rPr>
                <w:rFonts w:ascii="宋体" w:hAnsi="宋体" w:cs="宋体" w:eastAsia="宋体" w:hint="default"/>
                <w:spacing w:val="-81"/>
                <w:sz w:val="18"/>
                <w:szCs w:val="18"/>
              </w:rPr>
              <w:t> </w:t>
            </w:r>
            <w:r>
              <w:rPr>
                <w:rFonts w:ascii="宋体" w:hAnsi="宋体" w:cs="宋体" w:eastAsia="宋体" w:hint="default"/>
                <w:spacing w:val="41"/>
                <w:sz w:val="18"/>
                <w:szCs w:val="18"/>
              </w:rPr>
              <w:t>诺继承</w:t>
            </w:r>
            <w:r>
              <w:rPr>
                <w:rFonts w:ascii="宋体" w:hAnsi="宋体" w:cs="宋体" w:eastAsia="宋体" w:hint="default"/>
                <w:spacing w:val="-28"/>
                <w:sz w:val="18"/>
                <w:szCs w:val="18"/>
              </w:rPr>
              <w:t> </w:t>
            </w:r>
            <w:r>
              <w:rPr>
                <w:rFonts w:ascii="宋体" w:hAnsi="宋体" w:cs="宋体" w:eastAsia="宋体" w:hint="default"/>
                <w:sz w:val="18"/>
                <w:szCs w:val="18"/>
              </w:rPr>
              <w:t>优</w:t>
            </w:r>
            <w:r>
              <w:rPr>
                <w:rFonts w:ascii="宋体" w:hAnsi="宋体" w:cs="宋体" w:eastAsia="宋体" w:hint="default"/>
                <w:sz w:val="18"/>
                <w:szCs w:val="18"/>
              </w:rPr>
              <w:t> 化）</w:t>
            </w:r>
          </w:p>
        </w:tc>
      </w:tr>
    </w:tbl>
    <w:p>
      <w:pPr>
        <w:spacing w:after="0" w:line="316" w:lineRule="auto"/>
        <w:jc w:val="both"/>
        <w:rPr>
          <w:rFonts w:ascii="宋体" w:hAnsi="宋体" w:cs="宋体" w:eastAsia="宋体" w:hint="default"/>
          <w:sz w:val="18"/>
          <w:szCs w:val="18"/>
        </w:rPr>
        <w:sectPr>
          <w:pgSz w:w="11910" w:h="16840"/>
          <w:pgMar w:header="789" w:footer="975" w:top="1100" w:bottom="1160" w:left="40" w:right="0"/>
        </w:sectPr>
      </w:pPr>
    </w:p>
    <w:p>
      <w:pPr>
        <w:spacing w:line="240" w:lineRule="auto" w:before="8"/>
        <w:rPr>
          <w:rFonts w:ascii="Times New Roman" w:hAnsi="Times New Roman" w:cs="Times New Roman" w:eastAsia="Times New Roman" w:hint="default"/>
          <w:sz w:val="28"/>
          <w:szCs w:val="28"/>
        </w:rPr>
      </w:pPr>
      <w:r>
        <w:rPr/>
        <w:pict>
          <v:shape style="position:absolute;margin-left:437.040802pt;margin-top:155.065979pt;width:57.85pt;height:609.35pt;mso-position-horizontal-relative:page;mso-position-vertical-relative:page;z-index:-1630072"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8"/>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6"/>
                    <w:rPr>
                      <w:rFonts w:ascii="Times New Roman" w:hAnsi="Times New Roman" w:cs="Times New Roman" w:eastAsia="Times New Roman" w:hint="default"/>
                      <w:sz w:val="12"/>
                      <w:szCs w:val="12"/>
                    </w:rPr>
                  </w:pPr>
                </w:p>
                <w:p>
                  <w:pPr>
                    <w:spacing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group style="position:absolute;margin-left:7.68pt;margin-top:72.475983pt;width:76.150pt;height:691.9pt;mso-position-horizontal-relative:page;mso-position-vertical-relative:page;z-index:-1630048" coordorigin="154,1450" coordsize="1523,13838">
            <v:group style="position:absolute;left:154;top:1450;width:1523;height:1640" coordorigin="154,1450" coordsize="1523,1640">
              <v:shape style="position:absolute;left:154;top:1450;width:1523;height:1640" coordorigin="154,1450" coordsize="1523,1640" path="m154,3089l1676,3089,1676,1450,154,1450,154,3089xe" filled="true" fillcolor="#d2d2d2" stroked="false">
                <v:path arrowok="t"/>
                <v:fill type="solid"/>
              </v:shape>
            </v:group>
            <v:group style="position:absolute;left:154;top:3101;width:1523;height:5780" coordorigin="154,3101" coordsize="1523,5780">
              <v:shape style="position:absolute;left:154;top:3101;width:1523;height:5780" coordorigin="154,3101" coordsize="1523,5780" path="m154,8881l1676,8881,1676,3101,154,3101,154,8881xe" filled="true" fillcolor="#d2d2d2" stroked="false">
                <v:path arrowok="t"/>
                <v:fill type="solid"/>
              </v:shape>
            </v:group>
            <v:group style="position:absolute;left:154;top:8881;width:1523;height:312" coordorigin="154,8881" coordsize="1523,312">
              <v:shape style="position:absolute;left:154;top:8881;width:1523;height:312" coordorigin="154,8881" coordsize="1523,312" path="m154,9193l1676,9193,1676,8881,154,8881,154,9193xe" filled="true" fillcolor="#d2d2d2" stroked="false">
                <v:path arrowok="t"/>
                <v:fill type="solid"/>
              </v:shape>
            </v:group>
            <v:group style="position:absolute;left:154;top:9505;width:1523;height:5783" coordorigin="154,9505" coordsize="1523,5783">
              <v:shape style="position:absolute;left:154;top:9505;width:1523;height:5783" coordorigin="154,9505" coordsize="1523,5783" path="m154,15288l1676,15288,1676,9505,154,9505,154,15288xe" filled="true" fillcolor="#d2d2d2" stroked="false">
                <v:path arrowok="t"/>
                <v:fill type="solid"/>
              </v:shape>
            </v:group>
            <v:group style="position:absolute;left:154;top:9193;width:1523;height:313" coordorigin="154,9193" coordsize="1523,313">
              <v:shape style="position:absolute;left:154;top:9193;width:1523;height:313" coordorigin="154,9193" coordsize="1523,313" path="m154,9505l1676,9505,1676,9193,154,9193,154,9505xe" filled="true" fillcolor="#d2d2d2" stroked="false">
                <v:path arrowok="t"/>
                <v:fill type="solid"/>
              </v:shape>
            </v:group>
            <w10:wrap type="none"/>
          </v:group>
        </w:pict>
      </w:r>
      <w:r>
        <w:rPr/>
        <w:pict>
          <v:group style="position:absolute;margin-left:441.309998pt;margin-top:475.269989pt;width:53.55pt;height:289.150pt;mso-position-horizontal-relative:page;mso-position-vertical-relative:page;z-index:-1630024" coordorigin="8826,9505" coordsize="1071,5783">
            <v:shape style="position:absolute;left:8826;top:9505;width:1071;height:5783" coordorigin="8826,9505" coordsize="1071,5783" path="m8826,15288l9897,15288,9897,9505,8826,9505,8826,15288xe" filled="true" fillcolor="#ffffff" stroked="false">
              <v:path arrowok="t"/>
              <v:fill type="solid"/>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1534"/>
        <w:gridCol w:w="806"/>
        <w:gridCol w:w="1154"/>
        <w:gridCol w:w="5180"/>
        <w:gridCol w:w="1081"/>
        <w:gridCol w:w="941"/>
        <w:gridCol w:w="917"/>
      </w:tblGrid>
      <w:tr>
        <w:trPr>
          <w:trHeight w:val="1649" w:hRule="exact"/>
        </w:trPr>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154" w:type="dxa"/>
            <w:tcBorders>
              <w:top w:val="single" w:sz="4" w:space="0" w:color="FFFFFF"/>
              <w:left w:val="single" w:sz="4" w:space="0" w:color="000000"/>
              <w:bottom w:val="single" w:sz="4" w:space="0" w:color="000000"/>
              <w:right w:val="single" w:sz="4" w:space="0" w:color="000000"/>
            </w:tcBorders>
          </w:tcPr>
          <w:p>
            <w:pP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77"/>
              <w:ind w:left="2" w:right="-3" w:firstLine="300"/>
              <w:jc w:val="both"/>
              <w:rPr>
                <w:rFonts w:ascii="宋体" w:hAnsi="宋体" w:cs="宋体" w:eastAsia="宋体" w:hint="default"/>
                <w:sz w:val="15"/>
                <w:szCs w:val="15"/>
              </w:rPr>
            </w:pPr>
            <w:r>
              <w:rPr>
                <w:rFonts w:ascii="宋体" w:hAnsi="宋体" w:cs="宋体" w:eastAsia="宋体" w:hint="default"/>
                <w:spacing w:val="-4"/>
                <w:w w:val="100"/>
                <w:sz w:val="15"/>
                <w:szCs w:val="15"/>
              </w:rPr>
              <w:t>（</w:t>
            </w:r>
            <w:r>
              <w:rPr>
                <w:rFonts w:ascii="Times New Roman" w:hAnsi="Times New Roman" w:cs="Times New Roman" w:eastAsia="Times New Roman" w:hint="default"/>
                <w:spacing w:val="-4"/>
                <w:w w:val="100"/>
                <w:sz w:val="15"/>
                <w:szCs w:val="15"/>
              </w:rPr>
              <w:t>1</w:t>
            </w:r>
            <w:r>
              <w:rPr>
                <w:rFonts w:ascii="宋体" w:hAnsi="宋体" w:cs="宋体" w:eastAsia="宋体" w:hint="default"/>
                <w:spacing w:val="-4"/>
                <w:w w:val="100"/>
                <w:sz w:val="15"/>
                <w:szCs w:val="15"/>
              </w:rPr>
              <w:t>）中国电子将尽可能减少并规范与中国长城之间的关联交易；（</w:t>
            </w:r>
            <w:r>
              <w:rPr>
                <w:rFonts w:ascii="Times New Roman" w:hAnsi="Times New Roman" w:cs="Times New Roman" w:eastAsia="Times New Roman" w:hint="default"/>
                <w:spacing w:val="-4"/>
                <w:w w:val="100"/>
                <w:sz w:val="15"/>
                <w:szCs w:val="15"/>
              </w:rPr>
              <w:t>2</w:t>
            </w:r>
            <w:r>
              <w:rPr>
                <w:rFonts w:ascii="宋体" w:hAnsi="宋体" w:cs="宋体" w:eastAsia="宋体" w:hint="default"/>
                <w:spacing w:val="-4"/>
                <w:w w:val="100"/>
                <w:sz w:val="15"/>
                <w:szCs w:val="15"/>
              </w:rPr>
              <w:t>）对于</w:t>
            </w:r>
            <w:r>
              <w:rPr>
                <w:rFonts w:ascii="宋体" w:hAnsi="宋体" w:cs="宋体" w:eastAsia="宋体" w:hint="default"/>
                <w:spacing w:val="-3"/>
                <w:w w:val="100"/>
                <w:sz w:val="15"/>
                <w:szCs w:val="15"/>
              </w:rPr>
              <w:t> </w:t>
            </w:r>
            <w:r>
              <w:rPr>
                <w:rFonts w:ascii="宋体" w:hAnsi="宋体" w:cs="宋体" w:eastAsia="宋体" w:hint="default"/>
                <w:sz w:val="15"/>
                <w:szCs w:val="15"/>
              </w:rPr>
              <w:t>确需发生的中国电子及下属企业与中国长城之间的一切交易行为，中国电子将</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严格履行法定程序，依法及时进行信息披露，严格遵循市场规则，本着平等互</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利、等价有偿的一般商业原则，公平合理的进行，保证不通过关联交易取得任</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何不当的利益或使中国长城承担任何不当的责任和义务。</w:t>
            </w:r>
          </w:p>
        </w:tc>
        <w:tc>
          <w:tcPr>
            <w:tcW w:w="1081" w:type="dxa"/>
            <w:tcBorders>
              <w:top w:val="nil" w:sz="6" w:space="0" w:color="auto"/>
              <w:left w:val="single" w:sz="4" w:space="0" w:color="000000"/>
              <w:bottom w:val="single" w:sz="4" w:space="0" w:color="000000"/>
              <w:right w:val="single" w:sz="4" w:space="0" w:color="000000"/>
            </w:tcBorders>
          </w:tcPr>
          <w:p>
            <w:pPr/>
          </w:p>
        </w:tc>
        <w:tc>
          <w:tcPr>
            <w:tcW w:w="941" w:type="dxa"/>
            <w:tcBorders>
              <w:top w:val="single" w:sz="4" w:space="0" w:color="FFFFFF"/>
              <w:left w:val="single" w:sz="4" w:space="0" w:color="000000"/>
              <w:bottom w:val="single" w:sz="4" w:space="0" w:color="000000"/>
              <w:right w:val="single" w:sz="4" w:space="0" w:color="000000"/>
            </w:tcBorders>
          </w:tcPr>
          <w:p>
            <w:pPr/>
          </w:p>
        </w:tc>
        <w:tc>
          <w:tcPr>
            <w:tcW w:w="917" w:type="dxa"/>
            <w:tcBorders>
              <w:top w:val="single" w:sz="4" w:space="0" w:color="FFFFFF"/>
              <w:left w:val="single" w:sz="4" w:space="0" w:color="000000"/>
              <w:bottom w:val="single" w:sz="4" w:space="0" w:color="000000"/>
              <w:right w:val="single" w:sz="4" w:space="0" w:color="000000"/>
            </w:tcBorders>
          </w:tcPr>
          <w:p>
            <w:pPr/>
          </w:p>
        </w:tc>
      </w:tr>
      <w:tr>
        <w:trPr>
          <w:trHeight w:val="9692" w:hRule="exact"/>
        </w:trPr>
        <w:tc>
          <w:tcPr>
            <w:tcW w:w="15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 w:right="80"/>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2" w:right="60"/>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4"/>
                <w:sz w:val="18"/>
                <w:szCs w:val="18"/>
              </w:rPr>
              <w:t>争、关联交易</w:t>
            </w:r>
            <w:r>
              <w:rPr>
                <w:rFonts w:ascii="宋体" w:hAnsi="宋体" w:cs="宋体" w:eastAsia="宋体" w:hint="default"/>
                <w:sz w:val="18"/>
                <w:szCs w:val="18"/>
              </w:rPr>
              <w:t> 资金占用方面 的承诺</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9"/>
              <w:ind w:left="2" w:right="-3" w:firstLine="300"/>
              <w:jc w:val="both"/>
              <w:rPr>
                <w:rFonts w:ascii="宋体" w:hAnsi="宋体" w:cs="宋体" w:eastAsia="宋体" w:hint="default"/>
                <w:sz w:val="15"/>
                <w:szCs w:val="15"/>
              </w:rPr>
            </w:pPr>
            <w:r>
              <w:rPr>
                <w:rFonts w:ascii="宋体" w:hAnsi="宋体" w:cs="宋体" w:eastAsia="宋体" w:hint="default"/>
                <w:sz w:val="15"/>
                <w:szCs w:val="15"/>
              </w:rPr>
              <w:t>截至承诺出具日，中国电子及其控股企业未直接或者间接从事任何与中国</w:t>
            </w:r>
            <w:r>
              <w:rPr>
                <w:rFonts w:ascii="宋体" w:hAnsi="宋体" w:cs="宋体" w:eastAsia="宋体" w:hint="default"/>
                <w:w w:val="100"/>
                <w:sz w:val="15"/>
                <w:szCs w:val="15"/>
              </w:rPr>
              <w:t> </w:t>
            </w:r>
            <w:r>
              <w:rPr>
                <w:rFonts w:ascii="宋体" w:hAnsi="宋体" w:cs="宋体" w:eastAsia="宋体" w:hint="default"/>
                <w:sz w:val="15"/>
                <w:szCs w:val="15"/>
              </w:rPr>
              <w:t>长城、长城信息及其控股企业现有业务构成实质同业竞争的生产经营活动，与</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中国长城、长城信息及其控股企业不存在实质同业竞争的情形。中国长城与冠</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捷科技不存在实质同业竞争的情形。</w:t>
            </w:r>
          </w:p>
          <w:p>
            <w:pPr>
              <w:pStyle w:val="TableParagraph"/>
              <w:spacing w:line="381" w:lineRule="auto" w:before="68"/>
              <w:ind w:left="2" w:right="-3" w:firstLine="300"/>
              <w:jc w:val="left"/>
              <w:rPr>
                <w:rFonts w:ascii="宋体" w:hAnsi="宋体" w:cs="宋体" w:eastAsia="宋体" w:hint="default"/>
                <w:sz w:val="15"/>
                <w:szCs w:val="15"/>
              </w:rPr>
            </w:pPr>
            <w:r>
              <w:rPr>
                <w:rFonts w:ascii="宋体" w:hAnsi="宋体" w:cs="宋体" w:eastAsia="宋体" w:hint="default"/>
                <w:sz w:val="15"/>
                <w:szCs w:val="15"/>
              </w:rPr>
              <w:t>本次交易完成后，中国电子及其控股企业不会以控股、参股、联营、合作</w:t>
            </w:r>
            <w:r>
              <w:rPr>
                <w:rFonts w:ascii="宋体" w:hAnsi="宋体" w:cs="宋体" w:eastAsia="宋体" w:hint="default"/>
                <w:w w:val="100"/>
                <w:sz w:val="15"/>
                <w:szCs w:val="15"/>
              </w:rPr>
              <w:t> </w:t>
            </w:r>
            <w:r>
              <w:rPr>
                <w:rFonts w:ascii="宋体" w:hAnsi="宋体" w:cs="宋体" w:eastAsia="宋体" w:hint="default"/>
                <w:sz w:val="15"/>
                <w:szCs w:val="15"/>
              </w:rPr>
              <w:t>合伙、承包、租赁等任何形式，直接、间接或代表任何人士、公司或单位在任</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何地区，从事与中国长城或其控股企业实质相同或者相似的业务。中国电子保</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证不利用控股地位损害中国长城及中国长城其他股东的合法权益，也不利用控</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股地位谋取额外的利益。</w:t>
            </w:r>
          </w:p>
          <w:p>
            <w:pPr>
              <w:pStyle w:val="TableParagraph"/>
              <w:spacing w:line="381" w:lineRule="auto" w:before="68"/>
              <w:ind w:left="2" w:right="-3" w:firstLine="300"/>
              <w:jc w:val="both"/>
              <w:rPr>
                <w:rFonts w:ascii="宋体" w:hAnsi="宋体" w:cs="宋体" w:eastAsia="宋体" w:hint="default"/>
                <w:sz w:val="15"/>
                <w:szCs w:val="15"/>
              </w:rPr>
            </w:pPr>
            <w:r>
              <w:rPr>
                <w:rFonts w:ascii="宋体" w:hAnsi="宋体" w:cs="宋体" w:eastAsia="宋体" w:hint="default"/>
                <w:sz w:val="15"/>
                <w:szCs w:val="15"/>
              </w:rPr>
              <w:t>本次交易完成后，如果中国电子或中国电子除中国长城外的控股企业发现</w:t>
            </w:r>
            <w:r>
              <w:rPr>
                <w:rFonts w:ascii="宋体" w:hAnsi="宋体" w:cs="宋体" w:eastAsia="宋体" w:hint="default"/>
                <w:w w:val="100"/>
                <w:sz w:val="15"/>
                <w:szCs w:val="15"/>
              </w:rPr>
              <w:t> </w:t>
            </w:r>
            <w:r>
              <w:rPr>
                <w:rFonts w:ascii="宋体" w:hAnsi="宋体" w:cs="宋体" w:eastAsia="宋体" w:hint="default"/>
                <w:sz w:val="15"/>
                <w:szCs w:val="15"/>
              </w:rPr>
              <w:t>任何与中国长城或其控股企业主营业务构成或可能构成直接或间接竞争关系的</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新业务机会，将立即书面通知中国长城，并尽力促使该业务机会按合理和公平</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的条款和条件首先提供给中国长城或其控股企业。</w:t>
            </w:r>
          </w:p>
          <w:p>
            <w:pPr>
              <w:pStyle w:val="TableParagraph"/>
              <w:spacing w:line="381" w:lineRule="auto" w:before="65"/>
              <w:ind w:left="2" w:right="-5" w:firstLine="300"/>
              <w:jc w:val="both"/>
              <w:rPr>
                <w:rFonts w:ascii="宋体" w:hAnsi="宋体" w:cs="宋体" w:eastAsia="宋体" w:hint="default"/>
                <w:sz w:val="15"/>
                <w:szCs w:val="15"/>
              </w:rPr>
            </w:pPr>
            <w:r>
              <w:rPr>
                <w:rFonts w:ascii="宋体" w:hAnsi="宋体" w:cs="宋体" w:eastAsia="宋体" w:hint="default"/>
                <w:sz w:val="15"/>
                <w:szCs w:val="15"/>
              </w:rPr>
              <w:t>本次交易完成后，如果中国长城或其控股企业放弃上述竞争性新业务机会</w:t>
            </w:r>
            <w:r>
              <w:rPr>
                <w:rFonts w:ascii="宋体" w:hAnsi="宋体" w:cs="宋体" w:eastAsia="宋体" w:hint="default"/>
                <w:w w:val="100"/>
                <w:sz w:val="15"/>
                <w:szCs w:val="15"/>
              </w:rPr>
              <w:t> </w:t>
            </w:r>
            <w:r>
              <w:rPr>
                <w:rFonts w:ascii="宋体" w:hAnsi="宋体" w:cs="宋体" w:eastAsia="宋体" w:hint="default"/>
                <w:sz w:val="15"/>
                <w:szCs w:val="15"/>
              </w:rPr>
              <w:t>且中国电子或中国电子除中国长城以外的控股企业从事该等竞争性业务，则中</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国长城或其控股企业有权随时一次性或分多次向中国电子或中国电子除中国长</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城以外的控股企业收购在上述竞争性业务中的任何股权、资产及其他权益，或</w:t>
            </w:r>
            <w:r>
              <w:rPr>
                <w:rFonts w:ascii="宋体" w:hAnsi="宋体" w:cs="宋体" w:eastAsia="宋体" w:hint="default"/>
                <w:spacing w:val="-7"/>
                <w:sz w:val="15"/>
                <w:szCs w:val="15"/>
              </w:rPr>
              <w:t> </w:t>
            </w:r>
            <w:r>
              <w:rPr>
                <w:rFonts w:ascii="宋体" w:hAnsi="宋体" w:cs="宋体" w:eastAsia="宋体" w:hint="default"/>
                <w:spacing w:val="-7"/>
                <w:sz w:val="15"/>
                <w:szCs w:val="15"/>
              </w:rPr>
            </w:r>
            <w:r>
              <w:rPr>
                <w:rFonts w:ascii="宋体" w:hAnsi="宋体" w:cs="宋体" w:eastAsia="宋体" w:hint="default"/>
                <w:sz w:val="15"/>
                <w:szCs w:val="15"/>
              </w:rPr>
              <w:t>由中国长城根据国家法律法规许可的方式选择委托经营、租赁或承包经营中国</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pacing w:val="3"/>
                <w:sz w:val="15"/>
                <w:szCs w:val="15"/>
              </w:rPr>
              <w:t>电子或中国电子除中国长城以外的控股企业在上述竞争性业务中的资产或业</w:t>
            </w:r>
            <w:r>
              <w:rPr>
                <w:rFonts w:ascii="宋体" w:hAnsi="宋体" w:cs="宋体" w:eastAsia="宋体" w:hint="default"/>
                <w:spacing w:val="26"/>
                <w:sz w:val="15"/>
                <w:szCs w:val="15"/>
              </w:rPr>
              <w:t> </w:t>
            </w:r>
            <w:r>
              <w:rPr>
                <w:rFonts w:ascii="宋体" w:hAnsi="宋体" w:cs="宋体" w:eastAsia="宋体" w:hint="default"/>
                <w:spacing w:val="26"/>
                <w:sz w:val="15"/>
                <w:szCs w:val="15"/>
              </w:rPr>
            </w:r>
            <w:r>
              <w:rPr>
                <w:rFonts w:ascii="宋体" w:hAnsi="宋体" w:cs="宋体" w:eastAsia="宋体" w:hint="default"/>
                <w:sz w:val="15"/>
                <w:szCs w:val="15"/>
              </w:rPr>
              <w:t>务。</w:t>
            </w:r>
          </w:p>
          <w:p>
            <w:pPr>
              <w:pStyle w:val="TableParagraph"/>
              <w:spacing w:line="381" w:lineRule="auto" w:before="68"/>
              <w:ind w:left="2" w:right="-3" w:firstLine="300"/>
              <w:jc w:val="left"/>
              <w:rPr>
                <w:rFonts w:ascii="宋体" w:hAnsi="宋体" w:cs="宋体" w:eastAsia="宋体" w:hint="default"/>
                <w:sz w:val="15"/>
                <w:szCs w:val="15"/>
              </w:rPr>
            </w:pPr>
            <w:r>
              <w:rPr>
                <w:rFonts w:ascii="宋体" w:hAnsi="宋体" w:cs="宋体" w:eastAsia="宋体" w:hint="default"/>
                <w:sz w:val="15"/>
                <w:szCs w:val="15"/>
              </w:rPr>
              <w:t>本次交易完成后，在中国电子及中国电子除中国长城外的控股企业拟转让</w:t>
            </w:r>
            <w:r>
              <w:rPr>
                <w:rFonts w:ascii="宋体" w:hAnsi="宋体" w:cs="宋体" w:eastAsia="宋体" w:hint="default"/>
                <w:w w:val="100"/>
                <w:sz w:val="15"/>
                <w:szCs w:val="15"/>
              </w:rPr>
              <w:t> </w:t>
            </w:r>
            <w:r>
              <w:rPr>
                <w:rFonts w:ascii="宋体" w:hAnsi="宋体" w:cs="宋体" w:eastAsia="宋体" w:hint="default"/>
                <w:sz w:val="15"/>
                <w:szCs w:val="15"/>
              </w:rPr>
              <w:t>出售、出租、许可使用或以其他方式转让或允许使用与中国长城或其控股企业</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主营业务构成或可能构成直接或间接竞争关系的资产和业务时，中国电子及中</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国电子除中国长城外的控股企业将向中国长城或其控股企业提供优先受让权，</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并承诺尽最大努力促使中国电子参股企业在上述情况下向中国长城或其控股企</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业提供优先受让权。</w:t>
            </w:r>
          </w:p>
          <w:p>
            <w:pPr>
              <w:pStyle w:val="TableParagraph"/>
              <w:spacing w:line="381" w:lineRule="auto" w:before="68"/>
              <w:ind w:left="2" w:right="-1" w:firstLine="300"/>
              <w:jc w:val="both"/>
              <w:rPr>
                <w:rFonts w:ascii="宋体" w:hAnsi="宋体" w:cs="宋体" w:eastAsia="宋体" w:hint="default"/>
                <w:sz w:val="15"/>
                <w:szCs w:val="15"/>
              </w:rPr>
            </w:pPr>
            <w:r>
              <w:rPr>
                <w:rFonts w:ascii="宋体" w:hAnsi="宋体" w:cs="宋体" w:eastAsia="宋体" w:hint="default"/>
                <w:sz w:val="15"/>
                <w:szCs w:val="15"/>
              </w:rPr>
              <w:t>自承诺出具日起，中国电子承诺赔偿中国长城或其控股企业因中国电子或</w:t>
            </w:r>
            <w:r>
              <w:rPr>
                <w:rFonts w:ascii="宋体" w:hAnsi="宋体" w:cs="宋体" w:eastAsia="宋体" w:hint="default"/>
                <w:w w:val="100"/>
                <w:sz w:val="15"/>
                <w:szCs w:val="15"/>
              </w:rPr>
              <w:t> </w:t>
            </w:r>
            <w:r>
              <w:rPr>
                <w:rFonts w:ascii="宋体" w:hAnsi="宋体" w:cs="宋体" w:eastAsia="宋体" w:hint="default"/>
                <w:sz w:val="15"/>
                <w:szCs w:val="15"/>
              </w:rPr>
              <w:t>中国电子控股企业因违反本承诺任何条款而遭受的一切实际损失、损害和开支</w:t>
            </w:r>
          </w:p>
          <w:p>
            <w:pPr>
              <w:pStyle w:val="TableParagraph"/>
              <w:spacing w:line="381" w:lineRule="auto" w:before="65"/>
              <w:ind w:left="2" w:right="-1" w:firstLine="300"/>
              <w:jc w:val="both"/>
              <w:rPr>
                <w:rFonts w:ascii="宋体" w:hAnsi="宋体" w:cs="宋体" w:eastAsia="宋体" w:hint="default"/>
                <w:sz w:val="15"/>
                <w:szCs w:val="15"/>
              </w:rPr>
            </w:pPr>
            <w:r>
              <w:rPr>
                <w:rFonts w:ascii="宋体" w:hAnsi="宋体" w:cs="宋体" w:eastAsia="宋体" w:hint="default"/>
                <w:sz w:val="15"/>
                <w:szCs w:val="15"/>
              </w:rPr>
              <w:t>上述承诺在中国电子对中国长城拥有由资本因素或非资本因素形成的直接</w:t>
            </w:r>
            <w:r>
              <w:rPr>
                <w:rFonts w:ascii="宋体" w:hAnsi="宋体" w:cs="宋体" w:eastAsia="宋体" w:hint="default"/>
                <w:w w:val="100"/>
                <w:sz w:val="15"/>
                <w:szCs w:val="15"/>
              </w:rPr>
              <w:t> </w:t>
            </w:r>
            <w:r>
              <w:rPr>
                <w:rFonts w:ascii="宋体" w:hAnsi="宋体" w:cs="宋体" w:eastAsia="宋体" w:hint="default"/>
                <w:sz w:val="15"/>
                <w:szCs w:val="15"/>
              </w:rPr>
              <w:t>或间接的控制权或对中国长城存在重大影响期间持续有效，且不可变更或撤销</w:t>
            </w:r>
          </w:p>
        </w:tc>
        <w:tc>
          <w:tcPr>
            <w:tcW w:w="1081" w:type="dxa"/>
            <w:tcBorders>
              <w:top w:val="single" w:sz="4" w:space="0" w:color="000000"/>
              <w:left w:val="single" w:sz="4" w:space="0" w:color="000000"/>
              <w:bottom w:val="nil" w:sz="6" w:space="0" w:color="auto"/>
              <w:right w:val="single" w:sz="4" w:space="0" w:color="000000"/>
            </w:tcBorders>
          </w:tcPr>
          <w:p>
            <w:pPr>
              <w:pStyle w:val="TableParagraph"/>
              <w:spacing w:line="577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5"/>
                <w:sz w:val="20"/>
                <w:szCs w:val="20"/>
              </w:rPr>
              <w:pict>
                <v:group style="width:53.55pt;height:289pt;mso-position-horizontal-relative:char;mso-position-vertical-relative:line" coordorigin="0,0" coordsize="1071,5780">
                  <v:group style="position:absolute;left:0;top:0;width:1071;height:5780" coordorigin="0,0" coordsize="1071,5780">
                    <v:shape style="position:absolute;left:0;top:0;width:1071;height:5780" coordorigin="0,0" coordsize="1071,5780" path="m0,5780l1071,5780,1071,0,0,0,0,5780xe" filled="true" fillcolor="#ffffff" stroked="false">
                      <v:path arrowok="t"/>
                      <v:fill type="solid"/>
                    </v:shape>
                  </v:group>
                </v:group>
              </w:pict>
            </w:r>
            <w:r>
              <w:rPr>
                <w:rFonts w:ascii="Times New Roman" w:hAnsi="Times New Roman" w:cs="Times New Roman" w:eastAsia="Times New Roman" w:hint="default"/>
                <w:position w:val="-115"/>
                <w:sz w:val="20"/>
                <w:szCs w:val="20"/>
              </w:rPr>
            </w:r>
          </w:p>
          <w:p>
            <w:pPr>
              <w:pStyle w:val="TableParagraph"/>
              <w:spacing w:line="240" w:lineRule="auto" w:before="1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2506" w:hRule="exact"/>
        </w:trPr>
        <w:tc>
          <w:tcPr>
            <w:tcW w:w="1534" w:type="dxa"/>
            <w:vMerge/>
            <w:tcBorders>
              <w:left w:val="single" w:sz="4" w:space="0" w:color="000000"/>
              <w:bottom w:val="nil" w:sz="6" w:space="0" w:color="auto"/>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5" w:firstLine="300"/>
              <w:jc w:val="both"/>
              <w:rPr>
                <w:rFonts w:ascii="宋体" w:hAnsi="宋体" w:cs="宋体" w:eastAsia="宋体" w:hint="default"/>
                <w:sz w:val="15"/>
                <w:szCs w:val="15"/>
              </w:rPr>
            </w:pPr>
            <w:r>
              <w:rPr>
                <w:rFonts w:ascii="宋体" w:hAnsi="宋体" w:cs="宋体" w:eastAsia="宋体" w:hint="default"/>
                <w:sz w:val="15"/>
                <w:szCs w:val="15"/>
              </w:rPr>
              <w:t>在本次交易前，中国电子及其控制的其他企业与中国长城、长城信息之间</w:t>
            </w:r>
            <w:r>
              <w:rPr>
                <w:rFonts w:ascii="宋体" w:hAnsi="宋体" w:cs="宋体" w:eastAsia="宋体" w:hint="default"/>
                <w:w w:val="100"/>
                <w:sz w:val="15"/>
                <w:szCs w:val="15"/>
              </w:rPr>
              <w:t> </w:t>
            </w:r>
            <w:r>
              <w:rPr>
                <w:rFonts w:ascii="宋体" w:hAnsi="宋体" w:cs="宋体" w:eastAsia="宋体" w:hint="default"/>
                <w:sz w:val="15"/>
                <w:szCs w:val="15"/>
              </w:rPr>
              <w:t>不存在显失公平的关联交易。本次交易完成后，中国电子控制的除中国长城及</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其下属公司以外的其他企业将尽量减少与中国长城及其下属公司之间发生关联</w:t>
            </w:r>
            <w:r>
              <w:rPr>
                <w:rFonts w:ascii="宋体" w:hAnsi="宋体" w:cs="宋体" w:eastAsia="宋体" w:hint="default"/>
                <w:spacing w:val="-7"/>
                <w:sz w:val="15"/>
                <w:szCs w:val="15"/>
              </w:rPr>
              <w:t> </w:t>
            </w:r>
            <w:r>
              <w:rPr>
                <w:rFonts w:ascii="宋体" w:hAnsi="宋体" w:cs="宋体" w:eastAsia="宋体" w:hint="default"/>
                <w:spacing w:val="-7"/>
                <w:sz w:val="15"/>
                <w:szCs w:val="15"/>
              </w:rPr>
            </w:r>
            <w:r>
              <w:rPr>
                <w:rFonts w:ascii="宋体" w:hAnsi="宋体" w:cs="宋体" w:eastAsia="宋体" w:hint="default"/>
                <w:sz w:val="15"/>
                <w:szCs w:val="15"/>
              </w:rPr>
              <w:t>交易。</w:t>
            </w:r>
          </w:p>
          <w:p>
            <w:pPr>
              <w:pStyle w:val="TableParagraph"/>
              <w:spacing w:line="381" w:lineRule="auto" w:before="27"/>
              <w:ind w:left="2" w:right="-3" w:firstLine="300"/>
              <w:jc w:val="both"/>
              <w:rPr>
                <w:rFonts w:ascii="宋体" w:hAnsi="宋体" w:cs="宋体" w:eastAsia="宋体" w:hint="default"/>
                <w:sz w:val="15"/>
                <w:szCs w:val="15"/>
              </w:rPr>
            </w:pPr>
            <w:r>
              <w:rPr>
                <w:rFonts w:ascii="宋体" w:hAnsi="宋体" w:cs="宋体" w:eastAsia="宋体" w:hint="default"/>
                <w:sz w:val="15"/>
                <w:szCs w:val="15"/>
              </w:rPr>
              <w:t>本次交易完成后，对于无法避免或有合理理由存在的关联交易，中国电子</w:t>
            </w:r>
            <w:r>
              <w:rPr>
                <w:rFonts w:ascii="宋体" w:hAnsi="宋体" w:cs="宋体" w:eastAsia="宋体" w:hint="default"/>
                <w:w w:val="100"/>
                <w:sz w:val="15"/>
                <w:szCs w:val="15"/>
              </w:rPr>
              <w:t> </w:t>
            </w:r>
            <w:r>
              <w:rPr>
                <w:rFonts w:ascii="宋体" w:hAnsi="宋体" w:cs="宋体" w:eastAsia="宋体" w:hint="default"/>
                <w:sz w:val="15"/>
                <w:szCs w:val="15"/>
              </w:rPr>
              <w:t>控制的其他企业将与中国长城依法签订规范的关联交易协议，关联交易价格依</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照与无关联关系的独立第三方进行相同或相似交易时的价格确定，保证关联交</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易价格具有公允性；并按照有关法律、法规、规章、其他规范性文件和中国长</w:t>
            </w:r>
          </w:p>
        </w:tc>
        <w:tc>
          <w:tcPr>
            <w:tcW w:w="1081" w:type="dxa"/>
            <w:tcBorders>
              <w:top w:val="nil" w:sz="6" w:space="0" w:color="auto"/>
              <w:left w:val="single" w:sz="4" w:space="0" w:color="000000"/>
              <w:bottom w:val="nil" w:sz="6" w:space="0" w:color="auto"/>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r>
    </w:tbl>
    <w:p>
      <w:pPr>
        <w:spacing w:after="0"/>
        <w:sectPr>
          <w:pgSz w:w="11910" w:h="16840"/>
          <w:pgMar w:header="789" w:footer="975" w:top="1100" w:bottom="1160" w:left="40" w:right="0"/>
        </w:sectPr>
      </w:pPr>
    </w:p>
    <w:p>
      <w:pPr>
        <w:spacing w:line="240" w:lineRule="auto" w:before="8"/>
        <w:rPr>
          <w:rFonts w:ascii="Times New Roman" w:hAnsi="Times New Roman" w:cs="Times New Roman" w:eastAsia="Times New Roman" w:hint="default"/>
          <w:sz w:val="28"/>
          <w:szCs w:val="28"/>
        </w:rPr>
      </w:pPr>
      <w:r>
        <w:rPr/>
        <w:pict>
          <v:shape style="position:absolute;margin-left:437.040802pt;margin-top:72.47998pt;width:57.85pt;height:156.050pt;mso-position-horizontal-relative:page;mso-position-vertical-relative:page;z-index:-1629976"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10"/>
                    <w:rPr>
                      <w:rFonts w:ascii="Times New Roman" w:hAnsi="Times New Roman" w:cs="Times New Roman" w:eastAsia="Times New Roman" w:hint="default"/>
                      <w:sz w:val="12"/>
                      <w:szCs w:val="12"/>
                    </w:rPr>
                  </w:pPr>
                </w:p>
                <w:p>
                  <w:pPr>
                    <w:spacing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before="85"/>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p>
    <w:tbl>
      <w:tblPr>
        <w:tblW w:w="0" w:type="auto"/>
        <w:jc w:val="left"/>
        <w:tblInd w:w="102" w:type="dxa"/>
        <w:tblLayout w:type="fixed"/>
        <w:tblCellMar>
          <w:top w:w="0" w:type="dxa"/>
          <w:left w:w="0" w:type="dxa"/>
          <w:bottom w:w="0" w:type="dxa"/>
          <w:right w:w="0" w:type="dxa"/>
        </w:tblCellMar>
        <w:tblLook w:val="01E0"/>
      </w:tblPr>
      <w:tblGrid>
        <w:gridCol w:w="1533"/>
        <w:gridCol w:w="806"/>
        <w:gridCol w:w="1154"/>
        <w:gridCol w:w="5180"/>
        <w:gridCol w:w="1081"/>
        <w:gridCol w:w="941"/>
        <w:gridCol w:w="917"/>
      </w:tblGrid>
      <w:tr>
        <w:trPr>
          <w:trHeight w:val="318" w:hRule="exact"/>
        </w:trPr>
        <w:tc>
          <w:tcPr>
            <w:tcW w:w="1533" w:type="dxa"/>
            <w:vMerge w:val="restart"/>
            <w:tcBorders>
              <w:top w:val="nil" w:sz="6" w:space="0" w:color="auto"/>
              <w:left w:val="single" w:sz="4" w:space="0" w:color="000000"/>
              <w:right w:val="single" w:sz="4" w:space="0" w:color="000000"/>
            </w:tcBorders>
            <w:shd w:val="clear" w:color="auto" w:fill="D2D2D2"/>
          </w:tcPr>
          <w:p>
            <w:pPr/>
          </w:p>
        </w:tc>
        <w:tc>
          <w:tcPr>
            <w:tcW w:w="806" w:type="dxa"/>
            <w:vMerge w:val="restart"/>
            <w:tcBorders>
              <w:top w:val="single" w:sz="4" w:space="0" w:color="FFFFFF"/>
              <w:left w:val="single" w:sz="4" w:space="0" w:color="000000"/>
              <w:right w:val="single" w:sz="4" w:space="0" w:color="000000"/>
            </w:tcBorders>
          </w:tcPr>
          <w:p>
            <w:pPr/>
          </w:p>
        </w:tc>
        <w:tc>
          <w:tcPr>
            <w:tcW w:w="1154" w:type="dxa"/>
            <w:vMerge w:val="restart"/>
            <w:tcBorders>
              <w:top w:val="single" w:sz="4" w:space="0" w:color="FFFFFF"/>
              <w:left w:val="single" w:sz="4" w:space="0" w:color="000000"/>
              <w:right w:val="single" w:sz="4" w:space="0" w:color="000000"/>
            </w:tcBorders>
          </w:tcPr>
          <w:p>
            <w:pPr/>
          </w:p>
        </w:tc>
        <w:tc>
          <w:tcPr>
            <w:tcW w:w="5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left="2" w:right="-3"/>
              <w:jc w:val="left"/>
              <w:rPr>
                <w:rFonts w:ascii="宋体" w:hAnsi="宋体" w:cs="宋体" w:eastAsia="宋体" w:hint="default"/>
                <w:sz w:val="15"/>
                <w:szCs w:val="15"/>
              </w:rPr>
            </w:pPr>
            <w:r>
              <w:rPr>
                <w:rFonts w:ascii="宋体" w:hAnsi="宋体" w:cs="宋体" w:eastAsia="宋体" w:hint="default"/>
                <w:sz w:val="15"/>
                <w:szCs w:val="15"/>
              </w:rPr>
              <w:t>城公司章程的规定，履行关联交易决策、回避表决等公允程序，及时进行信息</w:t>
            </w:r>
          </w:p>
        </w:tc>
        <w:tc>
          <w:tcPr>
            <w:tcW w:w="1081" w:type="dxa"/>
            <w:vMerge w:val="restart"/>
            <w:tcBorders>
              <w:top w:val="nil" w:sz="6" w:space="0" w:color="auto"/>
              <w:left w:val="single" w:sz="4" w:space="0" w:color="000000"/>
              <w:right w:val="single" w:sz="4" w:space="0" w:color="000000"/>
            </w:tcBorders>
          </w:tcPr>
          <w:p>
            <w:pPr>
              <w:pStyle w:val="TableParagraph"/>
              <w:spacing w:line="312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53.55pt;height:156.050pt;mso-position-horizontal-relative:char;mso-position-vertical-relative:line" coordorigin="0,0" coordsize="1071,3121">
                  <v:group style="position:absolute;left:0;top:0;width:1071;height:3121" coordorigin="0,0" coordsize="1071,3121">
                    <v:shape style="position:absolute;left:0;top:0;width:1071;height:3121" coordorigin="0,0" coordsize="1071,3121" path="m0,3120l1071,3120,1071,0,0,0,0,3120xe" filled="true" fillcolor="#ffffff" stroked="false">
                      <v:path arrowok="t"/>
                      <v:fill type="solid"/>
                    </v:shape>
                  </v:group>
                </v:group>
              </w:pict>
            </w:r>
            <w:r>
              <w:rPr>
                <w:rFonts w:ascii="Times New Roman" w:hAnsi="Times New Roman" w:cs="Times New Roman" w:eastAsia="Times New Roman" w:hint="default"/>
                <w:position w:val="-6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41" w:type="dxa"/>
            <w:vMerge w:val="restart"/>
            <w:tcBorders>
              <w:top w:val="single" w:sz="4" w:space="0" w:color="FFFFFF"/>
              <w:left w:val="single" w:sz="4" w:space="0" w:color="000000"/>
              <w:right w:val="single" w:sz="4" w:space="0" w:color="000000"/>
            </w:tcBorders>
          </w:tcPr>
          <w:p>
            <w:pPr/>
          </w:p>
        </w:tc>
        <w:tc>
          <w:tcPr>
            <w:tcW w:w="917" w:type="dxa"/>
            <w:vMerge w:val="restart"/>
            <w:tcBorders>
              <w:top w:val="single" w:sz="4" w:space="0" w:color="FFFFFF"/>
              <w:left w:val="single" w:sz="4" w:space="0" w:color="000000"/>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 w:right="-3"/>
              <w:jc w:val="left"/>
              <w:rPr>
                <w:rFonts w:ascii="宋体" w:hAnsi="宋体" w:cs="宋体" w:eastAsia="宋体" w:hint="default"/>
                <w:sz w:val="15"/>
                <w:szCs w:val="15"/>
              </w:rPr>
            </w:pPr>
            <w:r>
              <w:rPr>
                <w:rFonts w:ascii="宋体" w:hAnsi="宋体" w:cs="宋体" w:eastAsia="宋体" w:hint="default"/>
                <w:sz w:val="15"/>
                <w:szCs w:val="15"/>
              </w:rPr>
              <w:t>披露，保证不通过关联交易损害中国长城及中国长城其他股东的合法权益；保</w:t>
            </w:r>
          </w:p>
        </w:tc>
        <w:tc>
          <w:tcPr>
            <w:tcW w:w="1081"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 w:right="-3"/>
              <w:jc w:val="left"/>
              <w:rPr>
                <w:rFonts w:ascii="宋体" w:hAnsi="宋体" w:cs="宋体" w:eastAsia="宋体" w:hint="default"/>
                <w:sz w:val="15"/>
                <w:szCs w:val="15"/>
              </w:rPr>
            </w:pPr>
            <w:r>
              <w:rPr>
                <w:rFonts w:ascii="宋体" w:hAnsi="宋体" w:cs="宋体" w:eastAsia="宋体" w:hint="default"/>
                <w:sz w:val="15"/>
                <w:szCs w:val="15"/>
              </w:rPr>
              <w:t>证不要求或不接受中国长城在任何一项市场公平交易中给予中国电子及其控制</w:t>
            </w:r>
          </w:p>
        </w:tc>
        <w:tc>
          <w:tcPr>
            <w:tcW w:w="1081"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 w:right="-3"/>
              <w:jc w:val="left"/>
              <w:rPr>
                <w:rFonts w:ascii="宋体" w:hAnsi="宋体" w:cs="宋体" w:eastAsia="宋体" w:hint="default"/>
                <w:sz w:val="15"/>
                <w:szCs w:val="15"/>
              </w:rPr>
            </w:pPr>
            <w:r>
              <w:rPr>
                <w:rFonts w:ascii="宋体" w:hAnsi="宋体" w:cs="宋体" w:eastAsia="宋体" w:hint="default"/>
                <w:sz w:val="15"/>
                <w:szCs w:val="15"/>
              </w:rPr>
              <w:t>的其他企业优于给予第三者的条件；保证将依照中国长城公司章程行使相应权</w:t>
            </w:r>
          </w:p>
        </w:tc>
        <w:tc>
          <w:tcPr>
            <w:tcW w:w="1081"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 w:right="-3"/>
              <w:jc w:val="left"/>
              <w:rPr>
                <w:rFonts w:ascii="宋体" w:hAnsi="宋体" w:cs="宋体" w:eastAsia="宋体" w:hint="default"/>
                <w:sz w:val="15"/>
                <w:szCs w:val="15"/>
              </w:rPr>
            </w:pPr>
            <w:r>
              <w:rPr>
                <w:rFonts w:ascii="宋体" w:hAnsi="宋体" w:cs="宋体" w:eastAsia="宋体" w:hint="default"/>
                <w:sz w:val="15"/>
                <w:szCs w:val="15"/>
              </w:rPr>
              <w:t>利，承担相应义务，不利用实际控制人的身份谋取不正当利益，不利用关联交</w:t>
            </w:r>
          </w:p>
        </w:tc>
        <w:tc>
          <w:tcPr>
            <w:tcW w:w="1081"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 w:right="0"/>
              <w:jc w:val="left"/>
              <w:rPr>
                <w:rFonts w:ascii="宋体" w:hAnsi="宋体" w:cs="宋体" w:eastAsia="宋体" w:hint="default"/>
                <w:sz w:val="15"/>
                <w:szCs w:val="15"/>
              </w:rPr>
            </w:pPr>
            <w:r>
              <w:rPr>
                <w:rFonts w:ascii="宋体" w:hAnsi="宋体" w:cs="宋体" w:eastAsia="宋体" w:hint="default"/>
                <w:sz w:val="15"/>
                <w:szCs w:val="15"/>
              </w:rPr>
              <w:t>易非法转移中国长城的资金、利润，保证不损害中国长城其他股东的合法权益</w:t>
            </w:r>
          </w:p>
        </w:tc>
        <w:tc>
          <w:tcPr>
            <w:tcW w:w="1081"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
              <w:jc w:val="right"/>
              <w:rPr>
                <w:rFonts w:ascii="宋体" w:hAnsi="宋体" w:cs="宋体" w:eastAsia="宋体" w:hint="default"/>
                <w:sz w:val="15"/>
                <w:szCs w:val="15"/>
              </w:rPr>
            </w:pPr>
            <w:r>
              <w:rPr>
                <w:rFonts w:ascii="宋体" w:hAnsi="宋体" w:cs="宋体" w:eastAsia="宋体" w:hint="default"/>
                <w:sz w:val="15"/>
                <w:szCs w:val="15"/>
              </w:rPr>
              <w:t>如违反上述承诺，愿意承担由此产生的全部责任，充分赔偿或补偿由此给</w:t>
            </w:r>
          </w:p>
        </w:tc>
        <w:tc>
          <w:tcPr>
            <w:tcW w:w="1081"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 w:right="0"/>
              <w:jc w:val="left"/>
              <w:rPr>
                <w:rFonts w:ascii="宋体" w:hAnsi="宋体" w:cs="宋体" w:eastAsia="宋体" w:hint="default"/>
                <w:sz w:val="15"/>
                <w:szCs w:val="15"/>
              </w:rPr>
            </w:pPr>
            <w:r>
              <w:rPr>
                <w:rFonts w:ascii="宋体" w:hAnsi="宋体" w:cs="宋体" w:eastAsia="宋体" w:hint="default"/>
                <w:sz w:val="15"/>
                <w:szCs w:val="15"/>
              </w:rPr>
              <w:t>中国长城造成的所有直接或间接损失。</w:t>
            </w:r>
          </w:p>
        </w:tc>
        <w:tc>
          <w:tcPr>
            <w:tcW w:w="1081"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
              <w:jc w:val="right"/>
              <w:rPr>
                <w:rFonts w:ascii="宋体" w:hAnsi="宋体" w:cs="宋体" w:eastAsia="宋体" w:hint="default"/>
                <w:sz w:val="15"/>
                <w:szCs w:val="15"/>
              </w:rPr>
            </w:pPr>
            <w:r>
              <w:rPr>
                <w:rFonts w:ascii="宋体" w:hAnsi="宋体" w:cs="宋体" w:eastAsia="宋体" w:hint="default"/>
                <w:sz w:val="15"/>
                <w:szCs w:val="15"/>
              </w:rPr>
              <w:t>上述承诺在中国电子对中国长城拥有由资本因素或非资本因素形成的直接</w:t>
            </w:r>
          </w:p>
        </w:tc>
        <w:tc>
          <w:tcPr>
            <w:tcW w:w="1081"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r>
      <w:tr>
        <w:trPr>
          <w:trHeight w:val="316"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5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2" w:right="0"/>
              <w:jc w:val="left"/>
              <w:rPr>
                <w:rFonts w:ascii="宋体" w:hAnsi="宋体" w:cs="宋体" w:eastAsia="宋体" w:hint="default"/>
                <w:sz w:val="15"/>
                <w:szCs w:val="15"/>
              </w:rPr>
            </w:pPr>
            <w:r>
              <w:rPr>
                <w:rFonts w:ascii="宋体" w:hAnsi="宋体" w:cs="宋体" w:eastAsia="宋体" w:hint="default"/>
                <w:sz w:val="15"/>
                <w:szCs w:val="15"/>
              </w:rPr>
              <w:t>或间接的控制权或对中国长城存在重大影响期间持续有效，且不可变更或撤销</w:t>
            </w:r>
          </w:p>
        </w:tc>
        <w:tc>
          <w:tcPr>
            <w:tcW w:w="1081" w:type="dxa"/>
            <w:vMerge/>
            <w:tcBorders>
              <w:left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r>
      <w:tr>
        <w:trPr>
          <w:trHeight w:val="310"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
        </w:tc>
        <w:tc>
          <w:tcPr>
            <w:tcW w:w="5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3"/>
              <w:jc w:val="right"/>
              <w:rPr>
                <w:rFonts w:ascii="宋体" w:hAnsi="宋体" w:cs="宋体" w:eastAsia="宋体" w:hint="default"/>
                <w:sz w:val="15"/>
                <w:szCs w:val="15"/>
              </w:rPr>
            </w:pPr>
            <w:r>
              <w:rPr>
                <w:rFonts w:ascii="宋体" w:hAnsi="宋体" w:cs="宋体" w:eastAsia="宋体" w:hint="default"/>
                <w:sz w:val="15"/>
                <w:szCs w:val="15"/>
              </w:rPr>
              <w:t>保证上市公司独立性的承诺：在本次交易完成后，保证中国长城在人员、</w:t>
            </w:r>
          </w:p>
        </w:tc>
        <w:tc>
          <w:tcPr>
            <w:tcW w:w="1081" w:type="dxa"/>
            <w:vMerge/>
            <w:tcBorders>
              <w:left w:val="single" w:sz="4" w:space="0" w:color="000000"/>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r>
      <w:tr>
        <w:trPr>
          <w:trHeight w:val="326"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 w:right="-3"/>
              <w:jc w:val="left"/>
              <w:rPr>
                <w:rFonts w:ascii="宋体" w:hAnsi="宋体" w:cs="宋体" w:eastAsia="宋体" w:hint="default"/>
                <w:sz w:val="15"/>
                <w:szCs w:val="15"/>
              </w:rPr>
            </w:pPr>
            <w:r>
              <w:rPr>
                <w:rFonts w:ascii="宋体" w:hAnsi="宋体" w:cs="宋体" w:eastAsia="宋体" w:hint="default"/>
                <w:sz w:val="15"/>
                <w:szCs w:val="15"/>
              </w:rPr>
              <w:t>资产、财务、机构及业务方面与中国电子控制的其他企业完全分开，保持上市</w:t>
            </w:r>
          </w:p>
        </w:tc>
        <w:tc>
          <w:tcPr>
            <w:tcW w:w="1081" w:type="dxa"/>
            <w:vMerge/>
            <w:tcBorders>
              <w:left w:val="single" w:sz="4" w:space="0" w:color="000000"/>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09"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5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15"/>
                <w:szCs w:val="15"/>
              </w:rPr>
            </w:pPr>
            <w:r>
              <w:rPr>
                <w:rFonts w:ascii="宋体" w:hAnsi="宋体" w:cs="宋体" w:eastAsia="宋体" w:hint="default"/>
                <w:sz w:val="15"/>
                <w:szCs w:val="15"/>
              </w:rPr>
              <w:t>公司在业务、资产、人员、财务和机构方面的独立。</w:t>
            </w:r>
          </w:p>
        </w:tc>
        <w:tc>
          <w:tcPr>
            <w:tcW w:w="1081" w:type="dxa"/>
            <w:vMerge/>
            <w:tcBorders>
              <w:left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
        </w:tc>
        <w:tc>
          <w:tcPr>
            <w:tcW w:w="5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0"/>
              <w:jc w:val="right"/>
              <w:rPr>
                <w:rFonts w:ascii="宋体" w:hAnsi="宋体" w:cs="宋体" w:eastAsia="宋体" w:hint="default"/>
                <w:sz w:val="15"/>
                <w:szCs w:val="15"/>
              </w:rPr>
            </w:pPr>
            <w:r>
              <w:rPr>
                <w:rFonts w:ascii="宋体" w:hAnsi="宋体" w:cs="宋体" w:eastAsia="宋体" w:hint="default"/>
                <w:sz w:val="15"/>
                <w:szCs w:val="15"/>
              </w:rPr>
              <w:t>中</w:t>
            </w:r>
            <w:r>
              <w:rPr>
                <w:rFonts w:ascii="宋体" w:hAnsi="宋体" w:cs="宋体" w:eastAsia="宋体" w:hint="default"/>
                <w:spacing w:val="-53"/>
                <w:sz w:val="15"/>
                <w:szCs w:val="15"/>
              </w:rPr>
              <w:t> </w:t>
            </w:r>
            <w:r>
              <w:rPr>
                <w:rFonts w:ascii="宋体" w:hAnsi="宋体" w:cs="宋体" w:eastAsia="宋体" w:hint="default"/>
                <w:sz w:val="15"/>
                <w:szCs w:val="15"/>
              </w:rPr>
              <w:t>国</w:t>
            </w:r>
            <w:r>
              <w:rPr>
                <w:rFonts w:ascii="宋体" w:hAnsi="宋体" w:cs="宋体" w:eastAsia="宋体" w:hint="default"/>
                <w:spacing w:val="-55"/>
                <w:sz w:val="15"/>
                <w:szCs w:val="15"/>
              </w:rPr>
              <w:t> </w:t>
            </w:r>
            <w:r>
              <w:rPr>
                <w:rFonts w:ascii="宋体" w:hAnsi="宋体" w:cs="宋体" w:eastAsia="宋体" w:hint="default"/>
                <w:sz w:val="15"/>
                <w:szCs w:val="15"/>
              </w:rPr>
              <w:t>电</w:t>
            </w:r>
            <w:r>
              <w:rPr>
                <w:rFonts w:ascii="宋体" w:hAnsi="宋体" w:cs="宋体" w:eastAsia="宋体" w:hint="default"/>
                <w:spacing w:val="-55"/>
                <w:sz w:val="15"/>
                <w:szCs w:val="15"/>
              </w:rPr>
              <w:t> </w:t>
            </w:r>
            <w:r>
              <w:rPr>
                <w:rFonts w:ascii="宋体" w:hAnsi="宋体" w:cs="宋体" w:eastAsia="宋体" w:hint="default"/>
                <w:sz w:val="15"/>
                <w:szCs w:val="15"/>
              </w:rPr>
              <w:t>子</w:t>
            </w:r>
            <w:r>
              <w:rPr>
                <w:rFonts w:ascii="宋体" w:hAnsi="宋体" w:cs="宋体" w:eastAsia="宋体" w:hint="default"/>
                <w:spacing w:val="-53"/>
                <w:sz w:val="15"/>
                <w:szCs w:val="15"/>
              </w:rPr>
              <w:t> </w:t>
            </w:r>
            <w:r>
              <w:rPr>
                <w:rFonts w:ascii="宋体" w:hAnsi="宋体" w:cs="宋体" w:eastAsia="宋体" w:hint="default"/>
                <w:sz w:val="15"/>
                <w:szCs w:val="15"/>
              </w:rPr>
              <w:t>对</w:t>
            </w:r>
            <w:r>
              <w:rPr>
                <w:rFonts w:ascii="宋体" w:hAnsi="宋体" w:cs="宋体" w:eastAsia="宋体" w:hint="default"/>
                <w:spacing w:val="-55"/>
                <w:sz w:val="15"/>
                <w:szCs w:val="15"/>
              </w:rPr>
              <w:t> </w:t>
            </w:r>
            <w:r>
              <w:rPr>
                <w:rFonts w:ascii="宋体" w:hAnsi="宋体" w:cs="宋体" w:eastAsia="宋体" w:hint="default"/>
                <w:sz w:val="15"/>
                <w:szCs w:val="15"/>
              </w:rPr>
              <w:t>标</w:t>
            </w:r>
            <w:r>
              <w:rPr>
                <w:rFonts w:ascii="宋体" w:hAnsi="宋体" w:cs="宋体" w:eastAsia="宋体" w:hint="default"/>
                <w:spacing w:val="-55"/>
                <w:sz w:val="15"/>
                <w:szCs w:val="15"/>
              </w:rPr>
              <w:t> </w:t>
            </w:r>
            <w:r>
              <w:rPr>
                <w:rFonts w:ascii="宋体" w:hAnsi="宋体" w:cs="宋体" w:eastAsia="宋体" w:hint="default"/>
                <w:sz w:val="15"/>
                <w:szCs w:val="15"/>
              </w:rPr>
              <w:t>的</w:t>
            </w:r>
            <w:r>
              <w:rPr>
                <w:rFonts w:ascii="宋体" w:hAnsi="宋体" w:cs="宋体" w:eastAsia="宋体" w:hint="default"/>
                <w:spacing w:val="-53"/>
                <w:sz w:val="15"/>
                <w:szCs w:val="15"/>
              </w:rPr>
              <w:t> </w:t>
            </w:r>
            <w:r>
              <w:rPr>
                <w:rFonts w:ascii="宋体" w:hAnsi="宋体" w:cs="宋体" w:eastAsia="宋体" w:hint="default"/>
                <w:sz w:val="15"/>
                <w:szCs w:val="15"/>
              </w:rPr>
              <w:t>公</w:t>
            </w:r>
            <w:r>
              <w:rPr>
                <w:rFonts w:ascii="宋体" w:hAnsi="宋体" w:cs="宋体" w:eastAsia="宋体" w:hint="default"/>
                <w:spacing w:val="-55"/>
                <w:sz w:val="15"/>
                <w:szCs w:val="15"/>
              </w:rPr>
              <w:t> </w:t>
            </w:r>
            <w:r>
              <w:rPr>
                <w:rFonts w:ascii="宋体" w:hAnsi="宋体" w:cs="宋体" w:eastAsia="宋体" w:hint="default"/>
                <w:sz w:val="15"/>
                <w:szCs w:val="15"/>
              </w:rPr>
              <w:t>司</w:t>
            </w:r>
            <w:r>
              <w:rPr>
                <w:rFonts w:ascii="宋体" w:hAnsi="宋体" w:cs="宋体" w:eastAsia="宋体" w:hint="default"/>
                <w:spacing w:val="-55"/>
                <w:sz w:val="15"/>
                <w:szCs w:val="15"/>
              </w:rPr>
              <w:t> </w:t>
            </w:r>
            <w:r>
              <w:rPr>
                <w:rFonts w:ascii="宋体" w:hAnsi="宋体" w:cs="宋体" w:eastAsia="宋体" w:hint="default"/>
                <w:sz w:val="15"/>
                <w:szCs w:val="15"/>
              </w:rPr>
              <w:t>在</w:t>
            </w:r>
            <w:r>
              <w:rPr>
                <w:rFonts w:ascii="宋体" w:hAnsi="宋体" w:cs="宋体" w:eastAsia="宋体" w:hint="default"/>
                <w:spacing w:val="-55"/>
                <w:sz w:val="15"/>
                <w:szCs w:val="15"/>
              </w:rPr>
              <w:t> </w:t>
            </w:r>
            <w:r>
              <w:rPr>
                <w:rFonts w:ascii="宋体" w:hAnsi="宋体" w:cs="宋体" w:eastAsia="宋体" w:hint="default"/>
                <w:sz w:val="15"/>
                <w:szCs w:val="15"/>
              </w:rPr>
              <w:t>本</w:t>
            </w:r>
            <w:r>
              <w:rPr>
                <w:rFonts w:ascii="宋体" w:hAnsi="宋体" w:cs="宋体" w:eastAsia="宋体" w:hint="default"/>
                <w:spacing w:val="-53"/>
                <w:sz w:val="15"/>
                <w:szCs w:val="15"/>
              </w:rPr>
              <w:t> </w:t>
            </w:r>
            <w:r>
              <w:rPr>
                <w:rFonts w:ascii="宋体" w:hAnsi="宋体" w:cs="宋体" w:eastAsia="宋体" w:hint="default"/>
                <w:sz w:val="15"/>
                <w:szCs w:val="15"/>
              </w:rPr>
              <w:t>次</w:t>
            </w:r>
            <w:r>
              <w:rPr>
                <w:rFonts w:ascii="宋体" w:hAnsi="宋体" w:cs="宋体" w:eastAsia="宋体" w:hint="default"/>
                <w:spacing w:val="-55"/>
                <w:sz w:val="15"/>
                <w:szCs w:val="15"/>
              </w:rPr>
              <w:t> </w:t>
            </w:r>
            <w:r>
              <w:rPr>
                <w:rFonts w:ascii="宋体" w:hAnsi="宋体" w:cs="宋体" w:eastAsia="宋体" w:hint="default"/>
                <w:sz w:val="15"/>
                <w:szCs w:val="15"/>
              </w:rPr>
              <w:t>交</w:t>
            </w:r>
            <w:r>
              <w:rPr>
                <w:rFonts w:ascii="宋体" w:hAnsi="宋体" w:cs="宋体" w:eastAsia="宋体" w:hint="default"/>
                <w:spacing w:val="-55"/>
                <w:sz w:val="15"/>
                <w:szCs w:val="15"/>
              </w:rPr>
              <w:t> </w:t>
            </w:r>
            <w:r>
              <w:rPr>
                <w:rFonts w:ascii="宋体" w:hAnsi="宋体" w:cs="宋体" w:eastAsia="宋体" w:hint="default"/>
                <w:sz w:val="15"/>
                <w:szCs w:val="15"/>
              </w:rPr>
              <w:t>易</w:t>
            </w:r>
            <w:r>
              <w:rPr>
                <w:rFonts w:ascii="宋体" w:hAnsi="宋体" w:cs="宋体" w:eastAsia="宋体" w:hint="default"/>
                <w:spacing w:val="-55"/>
                <w:sz w:val="15"/>
                <w:szCs w:val="15"/>
              </w:rPr>
              <w:t> </w:t>
            </w:r>
            <w:r>
              <w:rPr>
                <w:rFonts w:ascii="宋体" w:hAnsi="宋体" w:cs="宋体" w:eastAsia="宋体" w:hint="default"/>
                <w:sz w:val="15"/>
                <w:szCs w:val="15"/>
              </w:rPr>
              <w:t>实</w:t>
            </w:r>
            <w:r>
              <w:rPr>
                <w:rFonts w:ascii="宋体" w:hAnsi="宋体" w:cs="宋体" w:eastAsia="宋体" w:hint="default"/>
                <w:spacing w:val="-53"/>
                <w:sz w:val="15"/>
                <w:szCs w:val="15"/>
              </w:rPr>
              <w:t> </w:t>
            </w:r>
            <w:r>
              <w:rPr>
                <w:rFonts w:ascii="宋体" w:hAnsi="宋体" w:cs="宋体" w:eastAsia="宋体" w:hint="default"/>
                <w:sz w:val="15"/>
                <w:szCs w:val="15"/>
              </w:rPr>
              <w:t>施</w:t>
            </w:r>
            <w:r>
              <w:rPr>
                <w:rFonts w:ascii="宋体" w:hAnsi="宋体" w:cs="宋体" w:eastAsia="宋体" w:hint="default"/>
                <w:spacing w:val="-55"/>
                <w:sz w:val="15"/>
                <w:szCs w:val="15"/>
              </w:rPr>
              <w:t> </w:t>
            </w:r>
            <w:r>
              <w:rPr>
                <w:rFonts w:ascii="宋体" w:hAnsi="宋体" w:cs="宋体" w:eastAsia="宋体" w:hint="default"/>
                <w:sz w:val="15"/>
                <w:szCs w:val="15"/>
              </w:rPr>
              <w:t>完</w:t>
            </w:r>
            <w:r>
              <w:rPr>
                <w:rFonts w:ascii="宋体" w:hAnsi="宋体" w:cs="宋体" w:eastAsia="宋体" w:hint="default"/>
                <w:spacing w:val="-55"/>
                <w:sz w:val="15"/>
                <w:szCs w:val="15"/>
              </w:rPr>
              <w:t> </w:t>
            </w:r>
            <w:r>
              <w:rPr>
                <w:rFonts w:ascii="宋体" w:hAnsi="宋体" w:cs="宋体" w:eastAsia="宋体" w:hint="default"/>
                <w:sz w:val="15"/>
                <w:szCs w:val="15"/>
              </w:rPr>
              <w:t>毕</w:t>
            </w:r>
            <w:r>
              <w:rPr>
                <w:rFonts w:ascii="宋体" w:hAnsi="宋体" w:cs="宋体" w:eastAsia="宋体" w:hint="default"/>
                <w:spacing w:val="-53"/>
                <w:sz w:val="15"/>
                <w:szCs w:val="15"/>
              </w:rPr>
              <w:t> </w:t>
            </w:r>
            <w:r>
              <w:rPr>
                <w:rFonts w:ascii="宋体" w:hAnsi="宋体" w:cs="宋体" w:eastAsia="宋体" w:hint="default"/>
                <w:sz w:val="15"/>
                <w:szCs w:val="15"/>
              </w:rPr>
              <w:t>当</w:t>
            </w:r>
            <w:r>
              <w:rPr>
                <w:rFonts w:ascii="宋体" w:hAnsi="宋体" w:cs="宋体" w:eastAsia="宋体" w:hint="default"/>
                <w:spacing w:val="-55"/>
                <w:sz w:val="15"/>
                <w:szCs w:val="15"/>
              </w:rPr>
              <w:t> </w:t>
            </w:r>
            <w:r>
              <w:rPr>
                <w:rFonts w:ascii="宋体" w:hAnsi="宋体" w:cs="宋体" w:eastAsia="宋体" w:hint="default"/>
                <w:sz w:val="15"/>
                <w:szCs w:val="15"/>
              </w:rPr>
              <w:t>年</w:t>
            </w:r>
            <w:r>
              <w:rPr>
                <w:rFonts w:ascii="宋体" w:hAnsi="宋体" w:cs="宋体" w:eastAsia="宋体" w:hint="default"/>
                <w:spacing w:val="-55"/>
                <w:sz w:val="15"/>
                <w:szCs w:val="15"/>
              </w:rPr>
              <w:t> </w:t>
            </w:r>
            <w:r>
              <w:rPr>
                <w:rFonts w:ascii="宋体" w:hAnsi="宋体" w:cs="宋体" w:eastAsia="宋体" w:hint="default"/>
                <w:sz w:val="15"/>
                <w:szCs w:val="15"/>
              </w:rPr>
              <w:t>及</w:t>
            </w:r>
            <w:r>
              <w:rPr>
                <w:rFonts w:ascii="宋体" w:hAnsi="宋体" w:cs="宋体" w:eastAsia="宋体" w:hint="default"/>
                <w:spacing w:val="-53"/>
                <w:sz w:val="15"/>
                <w:szCs w:val="15"/>
              </w:rPr>
              <w:t> </w:t>
            </w:r>
            <w:r>
              <w:rPr>
                <w:rFonts w:ascii="宋体" w:hAnsi="宋体" w:cs="宋体" w:eastAsia="宋体" w:hint="default"/>
                <w:sz w:val="15"/>
                <w:szCs w:val="15"/>
              </w:rPr>
              <w:t>其</w:t>
            </w:r>
            <w:r>
              <w:rPr>
                <w:rFonts w:ascii="宋体" w:hAnsi="宋体" w:cs="宋体" w:eastAsia="宋体" w:hint="default"/>
                <w:spacing w:val="-55"/>
                <w:sz w:val="15"/>
                <w:szCs w:val="15"/>
              </w:rPr>
              <w:t> </w:t>
            </w:r>
            <w:r>
              <w:rPr>
                <w:rFonts w:ascii="宋体" w:hAnsi="宋体" w:cs="宋体" w:eastAsia="宋体" w:hint="default"/>
                <w:sz w:val="15"/>
                <w:szCs w:val="15"/>
              </w:rPr>
              <w:t>后</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个</w:t>
            </w:r>
            <w:r>
              <w:rPr>
                <w:rFonts w:ascii="宋体" w:hAnsi="宋体" w:cs="宋体" w:eastAsia="宋体" w:hint="default"/>
                <w:spacing w:val="-53"/>
                <w:sz w:val="15"/>
                <w:szCs w:val="15"/>
              </w:rPr>
              <w:t> </w:t>
            </w:r>
            <w:r>
              <w:rPr>
                <w:rFonts w:ascii="宋体" w:hAnsi="宋体" w:cs="宋体" w:eastAsia="宋体" w:hint="default"/>
                <w:sz w:val="15"/>
                <w:szCs w:val="15"/>
              </w:rPr>
              <w:t>会</w:t>
            </w:r>
            <w:r>
              <w:rPr>
                <w:rFonts w:ascii="宋体" w:hAnsi="宋体" w:cs="宋体" w:eastAsia="宋体" w:hint="default"/>
                <w:spacing w:val="-55"/>
                <w:sz w:val="15"/>
                <w:szCs w:val="15"/>
              </w:rPr>
              <w:t> </w:t>
            </w:r>
            <w:r>
              <w:rPr>
                <w:rFonts w:ascii="宋体" w:hAnsi="宋体" w:cs="宋体" w:eastAsia="宋体" w:hint="default"/>
                <w:sz w:val="15"/>
                <w:szCs w:val="15"/>
              </w:rPr>
              <w:t>计</w:t>
            </w:r>
            <w:r>
              <w:rPr>
                <w:rFonts w:ascii="宋体" w:hAnsi="宋体" w:cs="宋体" w:eastAsia="宋体" w:hint="default"/>
                <w:spacing w:val="-55"/>
                <w:sz w:val="15"/>
                <w:szCs w:val="15"/>
              </w:rPr>
              <w:t> </w:t>
            </w:r>
            <w:r>
              <w:rPr>
                <w:rFonts w:ascii="宋体" w:hAnsi="宋体" w:cs="宋体" w:eastAsia="宋体" w:hint="default"/>
                <w:sz w:val="15"/>
                <w:szCs w:val="15"/>
              </w:rPr>
              <w:t>年</w:t>
            </w:r>
            <w:r>
              <w:rPr>
                <w:rFonts w:ascii="宋体" w:hAnsi="宋体" w:cs="宋体" w:eastAsia="宋体" w:hint="default"/>
                <w:spacing w:val="-55"/>
                <w:sz w:val="15"/>
                <w:szCs w:val="15"/>
              </w:rPr>
              <w:t> </w:t>
            </w:r>
            <w:r>
              <w:rPr>
                <w:rFonts w:ascii="宋体" w:hAnsi="宋体" w:cs="宋体" w:eastAsia="宋体" w:hint="default"/>
                <w:sz w:val="15"/>
                <w:szCs w:val="15"/>
              </w:rPr>
              <w:t>度</w:t>
            </w:r>
          </w:p>
        </w:tc>
        <w:tc>
          <w:tcPr>
            <w:tcW w:w="1081" w:type="dxa"/>
            <w:vMerge/>
            <w:tcBorders>
              <w:left w:val="single" w:sz="4" w:space="0" w:color="000000"/>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 w:right="-1"/>
              <w:jc w:val="left"/>
              <w:rPr>
                <w:rFonts w:ascii="Times New Roman" w:hAnsi="Times New Roman" w:cs="Times New Roman" w:eastAsia="Times New Roman" w:hint="default"/>
                <w:sz w:val="15"/>
                <w:szCs w:val="15"/>
              </w:rPr>
            </w:pPr>
            <w:r>
              <w:rPr>
                <w:rFonts w:ascii="宋体" w:hAnsi="宋体" w:cs="宋体" w:eastAsia="宋体" w:hint="default"/>
                <w:w w:val="100"/>
                <w:sz w:val="15"/>
                <w:szCs w:val="15"/>
              </w:rPr>
              <w:t>（</w:t>
            </w:r>
            <w:r>
              <w:rPr>
                <w:rFonts w:ascii="Times New Roman" w:hAnsi="Times New Roman" w:cs="Times New Roman" w:eastAsia="Times New Roman" w:hint="default"/>
                <w:spacing w:val="-2"/>
                <w:w w:val="100"/>
                <w:sz w:val="15"/>
                <w:szCs w:val="15"/>
              </w:rPr>
              <w:t>20</w:t>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1"/>
                <w:w w:val="100"/>
                <w:sz w:val="15"/>
                <w:szCs w:val="15"/>
              </w:rPr>
              <w:t>7</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201</w:t>
            </w:r>
            <w:r>
              <w:rPr>
                <w:rFonts w:ascii="Times New Roman" w:hAnsi="Times New Roman" w:cs="Times New Roman" w:eastAsia="Times New Roman" w:hint="default"/>
                <w:spacing w:val="1"/>
                <w:w w:val="100"/>
                <w:sz w:val="15"/>
                <w:szCs w:val="15"/>
              </w:rPr>
              <w:t>9</w:t>
            </w:r>
            <w:r>
              <w:rPr>
                <w:rFonts w:ascii="宋体" w:hAnsi="宋体" w:cs="宋体" w:eastAsia="宋体" w:hint="default"/>
                <w:w w:val="100"/>
                <w:sz w:val="15"/>
                <w:szCs w:val="15"/>
              </w:rPr>
              <w:t>年</w:t>
            </w:r>
            <w:r>
              <w:rPr>
                <w:rFonts w:ascii="宋体" w:hAnsi="宋体" w:cs="宋体" w:eastAsia="宋体" w:hint="default"/>
                <w:spacing w:val="-70"/>
                <w:w w:val="100"/>
                <w:sz w:val="15"/>
                <w:szCs w:val="15"/>
              </w:rPr>
              <w:t>）</w:t>
            </w:r>
            <w:r>
              <w:rPr>
                <w:rFonts w:ascii="宋体" w:hAnsi="宋体" w:cs="宋体" w:eastAsia="宋体" w:hint="default"/>
                <w:w w:val="100"/>
                <w:sz w:val="15"/>
                <w:szCs w:val="15"/>
              </w:rPr>
              <w:t>的</w:t>
            </w:r>
            <w:r>
              <w:rPr>
                <w:rFonts w:ascii="宋体" w:hAnsi="宋体" w:cs="宋体" w:eastAsia="宋体" w:hint="default"/>
                <w:spacing w:val="-3"/>
                <w:w w:val="100"/>
                <w:sz w:val="15"/>
                <w:szCs w:val="15"/>
              </w:rPr>
              <w:t>具</w:t>
            </w:r>
            <w:r>
              <w:rPr>
                <w:rFonts w:ascii="宋体" w:hAnsi="宋体" w:cs="宋体" w:eastAsia="宋体" w:hint="default"/>
                <w:w w:val="100"/>
                <w:sz w:val="15"/>
                <w:szCs w:val="15"/>
              </w:rPr>
              <w:t>体</w:t>
            </w:r>
            <w:r>
              <w:rPr>
                <w:rFonts w:ascii="宋体" w:hAnsi="宋体" w:cs="宋体" w:eastAsia="宋体" w:hint="default"/>
                <w:spacing w:val="-3"/>
                <w:w w:val="100"/>
                <w:sz w:val="15"/>
                <w:szCs w:val="15"/>
              </w:rPr>
              <w:t>每</w:t>
            </w:r>
            <w:r>
              <w:rPr>
                <w:rFonts w:ascii="宋体" w:hAnsi="宋体" w:cs="宋体" w:eastAsia="宋体" w:hint="default"/>
                <w:w w:val="100"/>
                <w:sz w:val="15"/>
                <w:szCs w:val="15"/>
              </w:rPr>
              <w:t>年</w:t>
            </w:r>
            <w:r>
              <w:rPr>
                <w:rFonts w:ascii="宋体" w:hAnsi="宋体" w:cs="宋体" w:eastAsia="宋体" w:hint="default"/>
                <w:spacing w:val="-3"/>
                <w:w w:val="100"/>
                <w:sz w:val="15"/>
                <w:szCs w:val="15"/>
              </w:rPr>
              <w:t>的</w:t>
            </w:r>
            <w:r>
              <w:rPr>
                <w:rFonts w:ascii="宋体" w:hAnsi="宋体" w:cs="宋体" w:eastAsia="宋体" w:hint="default"/>
                <w:w w:val="100"/>
                <w:sz w:val="15"/>
                <w:szCs w:val="15"/>
              </w:rPr>
              <w:t>盈</w:t>
            </w:r>
            <w:r>
              <w:rPr>
                <w:rFonts w:ascii="宋体" w:hAnsi="宋体" w:cs="宋体" w:eastAsia="宋体" w:hint="default"/>
                <w:spacing w:val="-3"/>
                <w:w w:val="100"/>
                <w:sz w:val="15"/>
                <w:szCs w:val="15"/>
              </w:rPr>
              <w:t>利承</w:t>
            </w:r>
            <w:r>
              <w:rPr>
                <w:rFonts w:ascii="宋体" w:hAnsi="宋体" w:cs="宋体" w:eastAsia="宋体" w:hint="default"/>
                <w:w w:val="100"/>
                <w:sz w:val="15"/>
                <w:szCs w:val="15"/>
              </w:rPr>
              <w:t>诺数</w:t>
            </w:r>
            <w:r>
              <w:rPr>
                <w:rFonts w:ascii="宋体" w:hAnsi="宋体" w:cs="宋体" w:eastAsia="宋体" w:hint="default"/>
                <w:spacing w:val="-3"/>
                <w:w w:val="100"/>
                <w:sz w:val="15"/>
                <w:szCs w:val="15"/>
              </w:rPr>
              <w:t>如</w:t>
            </w:r>
            <w:r>
              <w:rPr>
                <w:rFonts w:ascii="宋体" w:hAnsi="宋体" w:cs="宋体" w:eastAsia="宋体" w:hint="default"/>
                <w:w w:val="100"/>
                <w:sz w:val="15"/>
                <w:szCs w:val="15"/>
              </w:rPr>
              <w:t>下</w:t>
            </w:r>
            <w:r>
              <w:rPr>
                <w:rFonts w:ascii="宋体" w:hAnsi="宋体" w:cs="宋体" w:eastAsia="宋体" w:hint="default"/>
                <w:spacing w:val="-70"/>
                <w:w w:val="100"/>
                <w:sz w:val="15"/>
                <w:szCs w:val="15"/>
              </w:rPr>
              <w:t>：</w:t>
            </w:r>
            <w:r>
              <w:rPr>
                <w:rFonts w:ascii="宋体" w:hAnsi="宋体" w:cs="宋体" w:eastAsia="宋体" w:hint="default"/>
                <w:w w:val="100"/>
                <w:sz w:val="15"/>
                <w:szCs w:val="15"/>
              </w:rPr>
              <w:t>中</w:t>
            </w:r>
            <w:r>
              <w:rPr>
                <w:rFonts w:ascii="宋体" w:hAnsi="宋体" w:cs="宋体" w:eastAsia="宋体" w:hint="default"/>
                <w:spacing w:val="-3"/>
                <w:w w:val="100"/>
                <w:sz w:val="15"/>
                <w:szCs w:val="15"/>
              </w:rPr>
              <w:t>原</w:t>
            </w:r>
            <w:r>
              <w:rPr>
                <w:rFonts w:ascii="宋体" w:hAnsi="宋体" w:cs="宋体" w:eastAsia="宋体" w:hint="default"/>
                <w:w w:val="100"/>
                <w:sz w:val="15"/>
                <w:szCs w:val="15"/>
              </w:rPr>
              <w:t>电</w:t>
            </w:r>
            <w:r>
              <w:rPr>
                <w:rFonts w:ascii="宋体" w:hAnsi="宋体" w:cs="宋体" w:eastAsia="宋体" w:hint="default"/>
                <w:spacing w:val="-3"/>
                <w:w w:val="100"/>
                <w:sz w:val="15"/>
                <w:szCs w:val="15"/>
              </w:rPr>
              <w:t>子</w:t>
            </w:r>
            <w:r>
              <w:rPr>
                <w:rFonts w:ascii="宋体" w:hAnsi="宋体" w:cs="宋体" w:eastAsia="宋体" w:hint="default"/>
                <w:w w:val="100"/>
                <w:sz w:val="15"/>
                <w:szCs w:val="15"/>
              </w:rPr>
              <w:t>盈</w:t>
            </w:r>
            <w:r>
              <w:rPr>
                <w:rFonts w:ascii="宋体" w:hAnsi="宋体" w:cs="宋体" w:eastAsia="宋体" w:hint="default"/>
                <w:spacing w:val="-3"/>
                <w:w w:val="100"/>
                <w:sz w:val="15"/>
                <w:szCs w:val="15"/>
              </w:rPr>
              <w:t>利</w:t>
            </w:r>
            <w:r>
              <w:rPr>
                <w:rFonts w:ascii="宋体" w:hAnsi="宋体" w:cs="宋体" w:eastAsia="宋体" w:hint="default"/>
                <w:w w:val="100"/>
                <w:sz w:val="15"/>
                <w:szCs w:val="15"/>
              </w:rPr>
              <w:t>承</w:t>
            </w:r>
            <w:r>
              <w:rPr>
                <w:rFonts w:ascii="宋体" w:hAnsi="宋体" w:cs="宋体" w:eastAsia="宋体" w:hint="default"/>
                <w:spacing w:val="-3"/>
                <w:w w:val="100"/>
                <w:sz w:val="15"/>
                <w:szCs w:val="15"/>
              </w:rPr>
              <w:t>诺</w:t>
            </w:r>
            <w:r>
              <w:rPr>
                <w:rFonts w:ascii="宋体" w:hAnsi="宋体" w:cs="宋体" w:eastAsia="宋体" w:hint="default"/>
                <w:w w:val="100"/>
                <w:sz w:val="15"/>
                <w:szCs w:val="15"/>
              </w:rPr>
              <w:t>数</w:t>
            </w:r>
            <w:r>
              <w:rPr>
                <w:rFonts w:ascii="宋体" w:hAnsi="宋体" w:cs="宋体" w:eastAsia="宋体" w:hint="default"/>
                <w:spacing w:val="-2"/>
                <w:w w:val="100"/>
                <w:sz w:val="15"/>
                <w:szCs w:val="15"/>
              </w:rPr>
              <w:t>为</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spacing w:val="1"/>
                <w:w w:val="100"/>
                <w:sz w:val="15"/>
                <w:szCs w:val="15"/>
              </w:rPr>
              <w:t>8</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spacing w:val="1"/>
                <w:w w:val="100"/>
                <w:sz w:val="15"/>
                <w:szCs w:val="15"/>
              </w:rPr>
              <w:t>8</w:t>
            </w:r>
            <w:r>
              <w:rPr>
                <w:rFonts w:ascii="Times New Roman" w:hAnsi="Times New Roman" w:cs="Times New Roman" w:eastAsia="Times New Roman" w:hint="default"/>
                <w:spacing w:val="-2"/>
                <w:w w:val="100"/>
                <w:sz w:val="15"/>
                <w:szCs w:val="15"/>
              </w:rPr>
              <w:t>2.</w:t>
            </w:r>
            <w:r>
              <w:rPr>
                <w:rFonts w:ascii="Times New Roman" w:hAnsi="Times New Roman" w:cs="Times New Roman" w:eastAsia="Times New Roman" w:hint="default"/>
                <w:spacing w:val="1"/>
                <w:w w:val="100"/>
                <w:sz w:val="15"/>
                <w:szCs w:val="15"/>
              </w:rPr>
              <w:t>8</w:t>
            </w:r>
            <w:r>
              <w:rPr>
                <w:rFonts w:ascii="Times New Roman" w:hAnsi="Times New Roman" w:cs="Times New Roman" w:eastAsia="Times New Roman" w:hint="default"/>
                <w:w w:val="100"/>
                <w:sz w:val="15"/>
                <w:szCs w:val="15"/>
              </w:rPr>
              <w:t>4</w:t>
            </w:r>
          </w:p>
        </w:tc>
        <w:tc>
          <w:tcPr>
            <w:tcW w:w="1081" w:type="dxa"/>
            <w:vMerge/>
            <w:tcBorders>
              <w:left w:val="single" w:sz="4" w:space="0" w:color="000000"/>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r>
      <w:tr>
        <w:trPr>
          <w:trHeight w:val="93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 w:right="60"/>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360" w:lineRule="auto" w:before="31"/>
              <w:ind w:left="2" w:right="-8"/>
              <w:jc w:val="right"/>
              <w:rPr>
                <w:rFonts w:ascii="宋体" w:hAnsi="宋体" w:cs="宋体" w:eastAsia="宋体" w:hint="default"/>
                <w:sz w:val="15"/>
                <w:szCs w:val="15"/>
              </w:rPr>
            </w:pPr>
            <w:r>
              <w:rPr>
                <w:rFonts w:ascii="宋体" w:hAnsi="宋体" w:cs="宋体" w:eastAsia="宋体" w:hint="default"/>
                <w:spacing w:val="-6"/>
                <w:w w:val="100"/>
                <w:sz w:val="15"/>
                <w:szCs w:val="15"/>
              </w:rPr>
              <w:t>万元、</w:t>
            </w:r>
            <w:r>
              <w:rPr>
                <w:rFonts w:ascii="Times New Roman" w:hAnsi="Times New Roman" w:cs="Times New Roman" w:eastAsia="Times New Roman" w:hint="default"/>
                <w:spacing w:val="-6"/>
                <w:w w:val="100"/>
                <w:sz w:val="15"/>
                <w:szCs w:val="15"/>
              </w:rPr>
              <w:t>18,495.39</w:t>
            </w:r>
            <w:r>
              <w:rPr>
                <w:rFonts w:ascii="宋体" w:hAnsi="宋体" w:cs="宋体" w:eastAsia="宋体" w:hint="default"/>
                <w:spacing w:val="-6"/>
                <w:w w:val="100"/>
                <w:sz w:val="15"/>
                <w:szCs w:val="15"/>
              </w:rPr>
              <w:t>万元、</w:t>
            </w:r>
            <w:r>
              <w:rPr>
                <w:rFonts w:ascii="Times New Roman" w:hAnsi="Times New Roman" w:cs="Times New Roman" w:eastAsia="Times New Roman" w:hint="default"/>
                <w:spacing w:val="-6"/>
                <w:w w:val="100"/>
                <w:sz w:val="15"/>
                <w:szCs w:val="15"/>
              </w:rPr>
              <w:t>20,329.37</w:t>
            </w:r>
            <w:r>
              <w:rPr>
                <w:rFonts w:ascii="宋体" w:hAnsi="宋体" w:cs="宋体" w:eastAsia="宋体" w:hint="default"/>
                <w:spacing w:val="-6"/>
                <w:w w:val="100"/>
                <w:sz w:val="15"/>
                <w:szCs w:val="15"/>
              </w:rPr>
              <w:t>万元；圣非凡盈利承诺数为</w:t>
            </w:r>
            <w:r>
              <w:rPr>
                <w:rFonts w:ascii="Times New Roman" w:hAnsi="Times New Roman" w:cs="Times New Roman" w:eastAsia="Times New Roman" w:hint="default"/>
                <w:spacing w:val="-6"/>
                <w:w w:val="100"/>
                <w:sz w:val="15"/>
                <w:szCs w:val="15"/>
              </w:rPr>
              <w:t>7,146.38</w:t>
            </w:r>
            <w:r>
              <w:rPr>
                <w:rFonts w:ascii="宋体" w:hAnsi="宋体" w:cs="宋体" w:eastAsia="宋体" w:hint="default"/>
                <w:spacing w:val="-6"/>
                <w:w w:val="100"/>
                <w:sz w:val="15"/>
                <w:szCs w:val="15"/>
              </w:rPr>
              <w:t>万元、</w:t>
            </w:r>
            <w:r>
              <w:rPr>
                <w:rFonts w:ascii="Times New Roman" w:hAnsi="Times New Roman" w:cs="Times New Roman" w:eastAsia="Times New Roman" w:hint="default"/>
                <w:spacing w:val="-6"/>
                <w:w w:val="100"/>
                <w:sz w:val="15"/>
                <w:szCs w:val="15"/>
              </w:rPr>
              <w:t>7,160.17</w:t>
            </w:r>
            <w:r>
              <w:rPr>
                <w:rFonts w:ascii="Times New Roman" w:hAnsi="Times New Roman" w:cs="Times New Roman" w:eastAsia="Times New Roman" w:hint="default"/>
                <w:w w:val="100"/>
                <w:sz w:val="15"/>
                <w:szCs w:val="15"/>
              </w:rPr>
              <w:t> </w:t>
            </w:r>
            <w:r>
              <w:rPr>
                <w:rFonts w:ascii="宋体" w:hAnsi="宋体" w:cs="宋体" w:eastAsia="宋体" w:hint="default"/>
                <w:spacing w:val="-2"/>
                <w:sz w:val="15"/>
                <w:szCs w:val="15"/>
              </w:rPr>
              <w:t>万元、</w:t>
            </w:r>
            <w:r>
              <w:rPr>
                <w:rFonts w:ascii="Times New Roman" w:hAnsi="Times New Roman" w:cs="Times New Roman" w:eastAsia="Times New Roman" w:hint="default"/>
                <w:spacing w:val="-2"/>
                <w:sz w:val="15"/>
                <w:szCs w:val="15"/>
              </w:rPr>
              <w:t>8,418.46</w:t>
            </w:r>
            <w:r>
              <w:rPr>
                <w:rFonts w:ascii="宋体" w:hAnsi="宋体" w:cs="宋体" w:eastAsia="宋体" w:hint="default"/>
                <w:spacing w:val="-2"/>
                <w:sz w:val="15"/>
                <w:szCs w:val="15"/>
              </w:rPr>
              <w:t>万元。该承诺净利润不包括募集配套资金的项目所产生的收益。</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中国长城及中国电子确认本次交易完成后，标的公司在本次交易实施完毕</w:t>
            </w:r>
          </w:p>
        </w:tc>
        <w:tc>
          <w:tcPr>
            <w:tcW w:w="1081" w:type="dxa"/>
            <w:vMerge/>
            <w:tcBorders>
              <w:left w:val="single" w:sz="4" w:space="0" w:color="000000"/>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16"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 w:right="-5"/>
              <w:jc w:val="left"/>
              <w:rPr>
                <w:rFonts w:ascii="宋体" w:hAnsi="宋体" w:cs="宋体" w:eastAsia="宋体" w:hint="default"/>
                <w:sz w:val="15"/>
                <w:szCs w:val="15"/>
              </w:rPr>
            </w:pPr>
            <w:r>
              <w:rPr>
                <w:rFonts w:ascii="宋体" w:hAnsi="宋体" w:cs="宋体" w:eastAsia="宋体" w:hint="default"/>
                <w:spacing w:val="-2"/>
                <w:sz w:val="15"/>
                <w:szCs w:val="15"/>
              </w:rPr>
              <w:t>当年及其后</w:t>
            </w: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个会计年度的累计实现净利润应不低于累计承诺净利润，否则中国</w:t>
            </w:r>
          </w:p>
        </w:tc>
        <w:tc>
          <w:tcPr>
            <w:tcW w:w="1081" w:type="dxa"/>
            <w:vMerge/>
            <w:tcBorders>
              <w:left w:val="single" w:sz="4" w:space="0" w:color="000000"/>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5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 w:right="0"/>
              <w:jc w:val="left"/>
              <w:rPr>
                <w:rFonts w:ascii="宋体" w:hAnsi="宋体" w:cs="宋体" w:eastAsia="宋体" w:hint="default"/>
                <w:sz w:val="15"/>
                <w:szCs w:val="15"/>
              </w:rPr>
            </w:pPr>
            <w:r>
              <w:rPr>
                <w:rFonts w:ascii="宋体" w:hAnsi="宋体" w:cs="宋体" w:eastAsia="宋体" w:hint="default"/>
                <w:sz w:val="15"/>
                <w:szCs w:val="15"/>
              </w:rPr>
              <w:t>电子应按照《盈利预测补偿协议》规定对中国长城予以补偿。</w:t>
            </w:r>
          </w:p>
        </w:tc>
        <w:tc>
          <w:tcPr>
            <w:tcW w:w="1081" w:type="dxa"/>
            <w:vMerge/>
            <w:tcBorders>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
        </w:tc>
        <w:tc>
          <w:tcPr>
            <w:tcW w:w="5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right="-1"/>
              <w:jc w:val="right"/>
              <w:rPr>
                <w:rFonts w:ascii="宋体" w:hAnsi="宋体" w:cs="宋体" w:eastAsia="宋体" w:hint="default"/>
                <w:sz w:val="15"/>
                <w:szCs w:val="15"/>
              </w:rPr>
            </w:pPr>
            <w:r>
              <w:rPr>
                <w:rFonts w:ascii="宋体" w:hAnsi="宋体" w:cs="宋体" w:eastAsia="宋体" w:hint="default"/>
                <w:sz w:val="15"/>
                <w:szCs w:val="15"/>
              </w:rPr>
              <w:t>本次重大资产重组完成后，中国电子持有的长城信息股份相应变更为中国</w:t>
            </w:r>
          </w:p>
        </w:tc>
        <w:tc>
          <w:tcPr>
            <w:tcW w:w="108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 w:right="-4"/>
              <w:jc w:val="left"/>
              <w:rPr>
                <w:rFonts w:ascii="宋体" w:hAnsi="宋体" w:cs="宋体" w:eastAsia="宋体" w:hint="default"/>
                <w:sz w:val="15"/>
                <w:szCs w:val="15"/>
              </w:rPr>
            </w:pPr>
            <w:r>
              <w:rPr>
                <w:rFonts w:ascii="宋体" w:hAnsi="宋体" w:cs="宋体" w:eastAsia="宋体" w:hint="default"/>
                <w:sz w:val="15"/>
                <w:szCs w:val="15"/>
              </w:rPr>
              <w:t>长城股份并自发行上市之日起</w:t>
            </w:r>
            <w:r>
              <w:rPr>
                <w:rFonts w:ascii="Times New Roman" w:hAnsi="Times New Roman" w:cs="Times New Roman" w:eastAsia="Times New Roman" w:hint="default"/>
                <w:sz w:val="15"/>
                <w:szCs w:val="15"/>
              </w:rPr>
              <w:t>36</w:t>
            </w:r>
            <w:r>
              <w:rPr>
                <w:rFonts w:ascii="宋体" w:hAnsi="宋体" w:cs="宋体" w:eastAsia="宋体" w:hint="default"/>
                <w:sz w:val="15"/>
                <w:szCs w:val="15"/>
              </w:rPr>
              <w:t>个月内不转让该等通过本次换股合并而取得的</w:t>
            </w:r>
          </w:p>
        </w:tc>
        <w:tc>
          <w:tcPr>
            <w:tcW w:w="108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 w:right="0"/>
              <w:jc w:val="left"/>
              <w:rPr>
                <w:rFonts w:ascii="宋体" w:hAnsi="宋体" w:cs="宋体" w:eastAsia="宋体" w:hint="default"/>
                <w:sz w:val="15"/>
                <w:szCs w:val="15"/>
              </w:rPr>
            </w:pPr>
            <w:r>
              <w:rPr>
                <w:rFonts w:ascii="宋体" w:hAnsi="宋体" w:cs="宋体" w:eastAsia="宋体" w:hint="default"/>
                <w:sz w:val="15"/>
                <w:szCs w:val="15"/>
              </w:rPr>
              <w:t>中国长城股份，之后按照中国证监会及深交所的有关规定执行。</w:t>
            </w:r>
          </w:p>
        </w:tc>
        <w:tc>
          <w:tcPr>
            <w:tcW w:w="108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381" w:lineRule="auto" w:before="35"/>
              <w:ind w:left="2" w:right="-1" w:firstLine="300"/>
              <w:jc w:val="left"/>
              <w:rPr>
                <w:rFonts w:ascii="宋体" w:hAnsi="宋体" w:cs="宋体" w:eastAsia="宋体" w:hint="default"/>
                <w:sz w:val="15"/>
                <w:szCs w:val="15"/>
              </w:rPr>
            </w:pPr>
            <w:r>
              <w:rPr>
                <w:rFonts w:ascii="宋体" w:hAnsi="宋体" w:cs="宋体" w:eastAsia="宋体" w:hint="default"/>
                <w:sz w:val="15"/>
                <w:szCs w:val="15"/>
              </w:rPr>
              <w:t>本次重大资产重组完成后，中国电子以资产认购的中国长城新增股份自股</w:t>
            </w:r>
            <w:r>
              <w:rPr>
                <w:rFonts w:ascii="宋体" w:hAnsi="宋体" w:cs="宋体" w:eastAsia="宋体" w:hint="default"/>
                <w:w w:val="100"/>
                <w:sz w:val="15"/>
                <w:szCs w:val="15"/>
              </w:rPr>
              <w:t> </w:t>
            </w:r>
            <w:r>
              <w:rPr>
                <w:rFonts w:ascii="宋体" w:hAnsi="宋体" w:cs="宋体" w:eastAsia="宋体" w:hint="default"/>
                <w:sz w:val="15"/>
                <w:szCs w:val="15"/>
              </w:rPr>
              <w:t>份发行上市之日起</w:t>
            </w:r>
            <w:r>
              <w:rPr>
                <w:rFonts w:ascii="Times New Roman" w:hAnsi="Times New Roman" w:cs="Times New Roman" w:eastAsia="Times New Roman" w:hint="default"/>
                <w:sz w:val="15"/>
                <w:szCs w:val="15"/>
              </w:rPr>
              <w:t>36</w:t>
            </w:r>
            <w:r>
              <w:rPr>
                <w:rFonts w:ascii="宋体" w:hAnsi="宋体" w:cs="宋体" w:eastAsia="宋体" w:hint="default"/>
                <w:sz w:val="15"/>
                <w:szCs w:val="15"/>
              </w:rPr>
              <w:t>个月内不转让。</w:t>
            </w:r>
          </w:p>
          <w:p>
            <w:pPr>
              <w:pStyle w:val="TableParagraph"/>
              <w:spacing w:line="240" w:lineRule="auto" w:before="6"/>
              <w:ind w:left="302" w:right="0"/>
              <w:jc w:val="left"/>
              <w:rPr>
                <w:rFonts w:ascii="宋体" w:hAnsi="宋体" w:cs="宋体" w:eastAsia="宋体" w:hint="default"/>
                <w:sz w:val="15"/>
                <w:szCs w:val="15"/>
              </w:rPr>
            </w:pPr>
            <w:r>
              <w:rPr>
                <w:rFonts w:ascii="宋体" w:hAnsi="宋体" w:cs="宋体" w:eastAsia="宋体" w:hint="default"/>
                <w:spacing w:val="-2"/>
                <w:sz w:val="15"/>
                <w:szCs w:val="15"/>
              </w:rPr>
              <w:t>本次交易完成后</w:t>
            </w:r>
            <w:r>
              <w:rPr>
                <w:rFonts w:ascii="Times New Roman" w:hAnsi="Times New Roman" w:cs="Times New Roman" w:eastAsia="Times New Roman" w:hint="default"/>
                <w:spacing w:val="-2"/>
                <w:sz w:val="15"/>
                <w:szCs w:val="15"/>
              </w:rPr>
              <w:t>6</w:t>
            </w:r>
            <w:r>
              <w:rPr>
                <w:rFonts w:ascii="宋体" w:hAnsi="宋体" w:cs="宋体" w:eastAsia="宋体" w:hint="default"/>
                <w:spacing w:val="-2"/>
                <w:sz w:val="15"/>
                <w:szCs w:val="15"/>
              </w:rPr>
              <w:t>个月内，如中国长城股票连续</w:t>
            </w:r>
            <w:r>
              <w:rPr>
                <w:rFonts w:ascii="Times New Roman" w:hAnsi="Times New Roman" w:cs="Times New Roman" w:eastAsia="Times New Roman" w:hint="default"/>
                <w:spacing w:val="-2"/>
                <w:sz w:val="15"/>
                <w:szCs w:val="15"/>
              </w:rPr>
              <w:t>20</w:t>
            </w:r>
            <w:r>
              <w:rPr>
                <w:rFonts w:ascii="宋体" w:hAnsi="宋体" w:cs="宋体" w:eastAsia="宋体" w:hint="default"/>
                <w:spacing w:val="-2"/>
                <w:sz w:val="15"/>
                <w:szCs w:val="15"/>
              </w:rPr>
              <w:t>个交易日的收盘价低于其</w:t>
            </w:r>
          </w:p>
        </w:tc>
        <w:tc>
          <w:tcPr>
            <w:tcW w:w="10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 w:right="-5"/>
              <w:jc w:val="left"/>
              <w:rPr>
                <w:rFonts w:ascii="宋体" w:hAnsi="宋体" w:cs="宋体" w:eastAsia="宋体" w:hint="default"/>
                <w:sz w:val="15"/>
                <w:szCs w:val="15"/>
              </w:rPr>
            </w:pPr>
            <w:r>
              <w:rPr>
                <w:rFonts w:ascii="宋体" w:hAnsi="宋体" w:cs="宋体" w:eastAsia="宋体" w:hint="default"/>
                <w:spacing w:val="-2"/>
                <w:sz w:val="15"/>
                <w:szCs w:val="15"/>
              </w:rPr>
              <w:t>发行股份购买资产的发行价格，或者交易完成后</w:t>
            </w:r>
            <w:r>
              <w:rPr>
                <w:rFonts w:ascii="Times New Roman" w:hAnsi="Times New Roman" w:cs="Times New Roman" w:eastAsia="Times New Roman" w:hint="default"/>
                <w:spacing w:val="-2"/>
                <w:sz w:val="15"/>
                <w:szCs w:val="15"/>
              </w:rPr>
              <w:t>6</w:t>
            </w:r>
            <w:r>
              <w:rPr>
                <w:rFonts w:ascii="宋体" w:hAnsi="宋体" w:cs="宋体" w:eastAsia="宋体" w:hint="default"/>
                <w:spacing w:val="-2"/>
                <w:sz w:val="15"/>
                <w:szCs w:val="15"/>
              </w:rPr>
              <w:t>个月期末收盘价低于其发行股</w:t>
            </w:r>
          </w:p>
        </w:tc>
        <w:tc>
          <w:tcPr>
            <w:tcW w:w="108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 w:right="-5"/>
              <w:jc w:val="left"/>
              <w:rPr>
                <w:rFonts w:ascii="宋体" w:hAnsi="宋体" w:cs="宋体" w:eastAsia="宋体" w:hint="default"/>
                <w:sz w:val="15"/>
                <w:szCs w:val="15"/>
              </w:rPr>
            </w:pPr>
            <w:r>
              <w:rPr>
                <w:rFonts w:ascii="宋体" w:hAnsi="宋体" w:cs="宋体" w:eastAsia="宋体" w:hint="default"/>
                <w:sz w:val="15"/>
                <w:szCs w:val="15"/>
              </w:rPr>
              <w:t>份购买资产发行价格的，则以上中国电子作出的股份锁定期承诺将在</w:t>
            </w:r>
            <w:r>
              <w:rPr>
                <w:rFonts w:ascii="Times New Roman" w:hAnsi="Times New Roman" w:cs="Times New Roman" w:eastAsia="Times New Roman" w:hint="default"/>
                <w:sz w:val="15"/>
                <w:szCs w:val="15"/>
              </w:rPr>
              <w:t>36</w:t>
            </w:r>
            <w:r>
              <w:rPr>
                <w:rFonts w:ascii="宋体" w:hAnsi="宋体" w:cs="宋体" w:eastAsia="宋体" w:hint="default"/>
                <w:sz w:val="15"/>
                <w:szCs w:val="15"/>
              </w:rPr>
              <w:t>个月的</w:t>
            </w:r>
          </w:p>
        </w:tc>
        <w:tc>
          <w:tcPr>
            <w:tcW w:w="108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33" w:type="dxa"/>
            <w:vMerge/>
            <w:tcBorders>
              <w:left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5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 w:right="0"/>
              <w:jc w:val="left"/>
              <w:rPr>
                <w:rFonts w:ascii="宋体" w:hAnsi="宋体" w:cs="宋体" w:eastAsia="宋体" w:hint="default"/>
                <w:sz w:val="15"/>
                <w:szCs w:val="15"/>
              </w:rPr>
            </w:pPr>
            <w:r>
              <w:rPr>
                <w:rFonts w:ascii="宋体" w:hAnsi="宋体" w:cs="宋体" w:eastAsia="宋体" w:hint="default"/>
                <w:sz w:val="15"/>
                <w:szCs w:val="15"/>
              </w:rPr>
              <w:t>基础上自动延长</w:t>
            </w:r>
            <w:r>
              <w:rPr>
                <w:rFonts w:ascii="Times New Roman" w:hAnsi="Times New Roman" w:cs="Times New Roman" w:eastAsia="Times New Roman" w:hint="default"/>
                <w:sz w:val="15"/>
                <w:szCs w:val="15"/>
              </w:rPr>
              <w:t>6</w:t>
            </w:r>
            <w:r>
              <w:rPr>
                <w:rFonts w:ascii="宋体" w:hAnsi="宋体" w:cs="宋体" w:eastAsia="宋体" w:hint="default"/>
                <w:sz w:val="15"/>
                <w:szCs w:val="15"/>
              </w:rPr>
              <w:t>个月。</w:t>
            </w:r>
          </w:p>
        </w:tc>
        <w:tc>
          <w:tcPr>
            <w:tcW w:w="108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r>
      <w:tr>
        <w:trPr>
          <w:trHeight w:val="318" w:hRule="exact"/>
        </w:trPr>
        <w:tc>
          <w:tcPr>
            <w:tcW w:w="1533" w:type="dxa"/>
            <w:vMerge/>
            <w:tcBorders>
              <w:left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
        </w:tc>
        <w:tc>
          <w:tcPr>
            <w:tcW w:w="5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1"/>
              <w:jc w:val="right"/>
              <w:rPr>
                <w:rFonts w:ascii="宋体" w:hAnsi="宋体" w:cs="宋体" w:eastAsia="宋体" w:hint="default"/>
                <w:sz w:val="15"/>
                <w:szCs w:val="15"/>
              </w:rPr>
            </w:pPr>
            <w:r>
              <w:rPr>
                <w:rFonts w:ascii="宋体" w:hAnsi="宋体" w:cs="宋体" w:eastAsia="宋体" w:hint="default"/>
                <w:sz w:val="15"/>
                <w:szCs w:val="15"/>
              </w:rPr>
              <w:t>本次重大资产重组完成后，湖南计算机厂有限公司持有的长城信息股份相</w:t>
            </w:r>
          </w:p>
        </w:tc>
        <w:tc>
          <w:tcPr>
            <w:tcW w:w="108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r>
      <w:tr>
        <w:trPr>
          <w:trHeight w:val="1252" w:hRule="exact"/>
        </w:trPr>
        <w:tc>
          <w:tcPr>
            <w:tcW w:w="1533" w:type="dxa"/>
            <w:vMerge/>
            <w:tcBorders>
              <w:left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 w:right="74"/>
              <w:jc w:val="both"/>
              <w:rPr>
                <w:rFonts w:ascii="宋体" w:hAnsi="宋体" w:cs="宋体" w:eastAsia="宋体" w:hint="default"/>
                <w:sz w:val="18"/>
                <w:szCs w:val="18"/>
              </w:rPr>
            </w:pPr>
            <w:r>
              <w:rPr>
                <w:rFonts w:ascii="宋体" w:hAnsi="宋体" w:cs="宋体" w:eastAsia="宋体" w:hint="default"/>
                <w:sz w:val="18"/>
                <w:szCs w:val="18"/>
              </w:rPr>
              <w:t>湖南计算 机厂有限 公司</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360" w:lineRule="auto" w:before="35"/>
              <w:ind w:left="2" w:right="-5"/>
              <w:jc w:val="left"/>
              <w:rPr>
                <w:rFonts w:ascii="宋体" w:hAnsi="宋体" w:cs="宋体" w:eastAsia="宋体" w:hint="default"/>
                <w:sz w:val="15"/>
                <w:szCs w:val="15"/>
              </w:rPr>
            </w:pPr>
            <w:r>
              <w:rPr>
                <w:rFonts w:ascii="宋体" w:hAnsi="宋体" w:cs="宋体" w:eastAsia="宋体" w:hint="default"/>
                <w:sz w:val="15"/>
                <w:szCs w:val="15"/>
              </w:rPr>
              <w:t>应变更为中国长城股份并自发行上市之日起</w:t>
            </w:r>
            <w:r>
              <w:rPr>
                <w:rFonts w:ascii="Times New Roman" w:hAnsi="Times New Roman" w:cs="Times New Roman" w:eastAsia="Times New Roman" w:hint="default"/>
                <w:sz w:val="15"/>
                <w:szCs w:val="15"/>
              </w:rPr>
              <w:t>36</w:t>
            </w:r>
            <w:r>
              <w:rPr>
                <w:rFonts w:ascii="宋体" w:hAnsi="宋体" w:cs="宋体" w:eastAsia="宋体" w:hint="default"/>
                <w:sz w:val="15"/>
                <w:szCs w:val="15"/>
              </w:rPr>
              <w:t>个月内不转让该等通过本次换股</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合并而取得的中国长城股份，之后按照中国证监会及深交所的有关规定执行。</w:t>
            </w:r>
          </w:p>
          <w:p>
            <w:pPr>
              <w:pStyle w:val="TableParagraph"/>
              <w:spacing w:line="360" w:lineRule="auto" w:before="40"/>
              <w:ind w:left="2" w:right="-2" w:firstLine="300"/>
              <w:jc w:val="left"/>
              <w:rPr>
                <w:rFonts w:ascii="宋体" w:hAnsi="宋体" w:cs="宋体" w:eastAsia="宋体" w:hint="default"/>
                <w:sz w:val="15"/>
                <w:szCs w:val="15"/>
              </w:rPr>
            </w:pPr>
            <w:r>
              <w:rPr>
                <w:rFonts w:ascii="宋体" w:hAnsi="宋体" w:cs="宋体" w:eastAsia="宋体" w:hint="default"/>
                <w:spacing w:val="-2"/>
                <w:sz w:val="15"/>
                <w:szCs w:val="15"/>
              </w:rPr>
              <w:t>本次交易完成后</w:t>
            </w:r>
            <w:r>
              <w:rPr>
                <w:rFonts w:ascii="Times New Roman" w:hAnsi="Times New Roman" w:cs="Times New Roman" w:eastAsia="Times New Roman" w:hint="default"/>
                <w:spacing w:val="-2"/>
                <w:sz w:val="15"/>
                <w:szCs w:val="15"/>
              </w:rPr>
              <w:t>6</w:t>
            </w:r>
            <w:r>
              <w:rPr>
                <w:rFonts w:ascii="宋体" w:hAnsi="宋体" w:cs="宋体" w:eastAsia="宋体" w:hint="default"/>
                <w:spacing w:val="-2"/>
                <w:sz w:val="15"/>
                <w:szCs w:val="15"/>
              </w:rPr>
              <w:t>个月内，如中国长城股票连续</w:t>
            </w:r>
            <w:r>
              <w:rPr>
                <w:rFonts w:ascii="Times New Roman" w:hAnsi="Times New Roman" w:cs="Times New Roman" w:eastAsia="Times New Roman" w:hint="default"/>
                <w:spacing w:val="-2"/>
                <w:sz w:val="15"/>
                <w:szCs w:val="15"/>
              </w:rPr>
              <w:t>20</w:t>
            </w:r>
            <w:r>
              <w:rPr>
                <w:rFonts w:ascii="宋体" w:hAnsi="宋体" w:cs="宋体" w:eastAsia="宋体" w:hint="default"/>
                <w:spacing w:val="-2"/>
                <w:sz w:val="15"/>
                <w:szCs w:val="15"/>
              </w:rPr>
              <w:t>个交易日的收盘价低于其</w:t>
            </w:r>
            <w:r>
              <w:rPr>
                <w:rFonts w:ascii="宋体" w:hAnsi="宋体" w:cs="宋体" w:eastAsia="宋体" w:hint="default"/>
                <w:w w:val="100"/>
                <w:sz w:val="15"/>
                <w:szCs w:val="15"/>
              </w:rPr>
              <w:t> </w:t>
            </w:r>
            <w:r>
              <w:rPr>
                <w:rFonts w:ascii="宋体" w:hAnsi="宋体" w:cs="宋体" w:eastAsia="宋体" w:hint="default"/>
                <w:spacing w:val="-2"/>
                <w:sz w:val="15"/>
                <w:szCs w:val="15"/>
              </w:rPr>
              <w:t>换股价格，或者交易完成后</w:t>
            </w:r>
            <w:r>
              <w:rPr>
                <w:rFonts w:ascii="Times New Roman" w:hAnsi="Times New Roman" w:cs="Times New Roman" w:eastAsia="Times New Roman" w:hint="default"/>
                <w:spacing w:val="-2"/>
                <w:sz w:val="15"/>
                <w:szCs w:val="15"/>
              </w:rPr>
              <w:t>6</w:t>
            </w:r>
            <w:r>
              <w:rPr>
                <w:rFonts w:ascii="宋体" w:hAnsi="宋体" w:cs="宋体" w:eastAsia="宋体" w:hint="default"/>
                <w:spacing w:val="-2"/>
                <w:sz w:val="15"/>
                <w:szCs w:val="15"/>
              </w:rPr>
              <w:t>个月期末收盘价低于其换股价格的，则以上湖南计</w:t>
            </w:r>
          </w:p>
        </w:tc>
        <w:tc>
          <w:tcPr>
            <w:tcW w:w="10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12" w:hRule="exact"/>
        </w:trPr>
        <w:tc>
          <w:tcPr>
            <w:tcW w:w="1533" w:type="dxa"/>
            <w:vMerge/>
            <w:tcBorders>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5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 w:right="0"/>
              <w:jc w:val="left"/>
              <w:rPr>
                <w:rFonts w:ascii="宋体" w:hAnsi="宋体" w:cs="宋体" w:eastAsia="宋体" w:hint="default"/>
                <w:sz w:val="15"/>
                <w:szCs w:val="15"/>
              </w:rPr>
            </w:pPr>
            <w:r>
              <w:rPr>
                <w:rFonts w:ascii="宋体" w:hAnsi="宋体" w:cs="宋体" w:eastAsia="宋体" w:hint="default"/>
                <w:sz w:val="15"/>
                <w:szCs w:val="15"/>
              </w:rPr>
              <w:t>算机厂有限公司作出的股份锁定期承诺将在</w:t>
            </w:r>
            <w:r>
              <w:rPr>
                <w:rFonts w:ascii="Times New Roman" w:hAnsi="Times New Roman" w:cs="Times New Roman" w:eastAsia="Times New Roman" w:hint="default"/>
                <w:sz w:val="15"/>
                <w:szCs w:val="15"/>
              </w:rPr>
              <w:t>36</w:t>
            </w:r>
            <w:r>
              <w:rPr>
                <w:rFonts w:ascii="宋体" w:hAnsi="宋体" w:cs="宋体" w:eastAsia="宋体" w:hint="default"/>
                <w:sz w:val="15"/>
                <w:szCs w:val="15"/>
              </w:rPr>
              <w:t>个月的基础上自动延长</w:t>
            </w:r>
            <w:r>
              <w:rPr>
                <w:rFonts w:ascii="Times New Roman" w:hAnsi="Times New Roman" w:cs="Times New Roman" w:eastAsia="Times New Roman" w:hint="default"/>
                <w:sz w:val="15"/>
                <w:szCs w:val="15"/>
              </w:rPr>
              <w:t>6</w:t>
            </w:r>
            <w:r>
              <w:rPr>
                <w:rFonts w:ascii="宋体" w:hAnsi="宋体" w:cs="宋体" w:eastAsia="宋体" w:hint="default"/>
                <w:sz w:val="15"/>
                <w:szCs w:val="15"/>
              </w:rPr>
              <w:t>个月。</w:t>
            </w:r>
          </w:p>
        </w:tc>
        <w:tc>
          <w:tcPr>
            <w:tcW w:w="108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 w:right="80"/>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80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1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
        </w:tc>
        <w:tc>
          <w:tcPr>
            <w:tcW w:w="5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right="-1"/>
              <w:jc w:val="right"/>
              <w:rPr>
                <w:rFonts w:ascii="宋体" w:hAnsi="宋体" w:cs="宋体" w:eastAsia="宋体" w:hint="default"/>
                <w:sz w:val="15"/>
                <w:szCs w:val="15"/>
              </w:rPr>
            </w:pPr>
            <w:r>
              <w:rPr>
                <w:rFonts w:ascii="宋体" w:hAnsi="宋体" w:cs="宋体" w:eastAsia="宋体" w:hint="default"/>
                <w:sz w:val="15"/>
                <w:szCs w:val="15"/>
              </w:rPr>
              <w:t>公司承诺不为激励对象依股票期权激励计划获取有关股票期权提供贷款以</w:t>
            </w:r>
          </w:p>
        </w:tc>
        <w:tc>
          <w:tcPr>
            <w:tcW w:w="108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r>
      <w:tr>
        <w:trPr>
          <w:trHeight w:val="335" w:hRule="exact"/>
        </w:trPr>
        <w:tc>
          <w:tcPr>
            <w:tcW w:w="1533" w:type="dxa"/>
            <w:tcBorders>
              <w:top w:val="nil" w:sz="6" w:space="0" w:color="auto"/>
              <w:left w:val="single" w:sz="4" w:space="0" w:color="000000"/>
              <w:bottom w:val="nil" w:sz="6" w:space="0" w:color="auto"/>
              <w:right w:val="single" w:sz="4" w:space="0" w:color="000000"/>
            </w:tcBorders>
            <w:shd w:val="clear" w:color="auto" w:fill="D2D2D2"/>
          </w:tcPr>
          <w:p>
            <w:pP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 w:right="-3"/>
              <w:jc w:val="left"/>
              <w:rPr>
                <w:rFonts w:ascii="宋体" w:hAnsi="宋体" w:cs="宋体" w:eastAsia="宋体" w:hint="default"/>
                <w:sz w:val="18"/>
                <w:szCs w:val="18"/>
              </w:rPr>
            </w:pPr>
            <w:r>
              <w:rPr>
                <w:rFonts w:ascii="宋体" w:hAnsi="宋体" w:cs="宋体" w:eastAsia="宋体" w:hint="default"/>
                <w:spacing w:val="5"/>
                <w:sz w:val="18"/>
                <w:szCs w:val="18"/>
              </w:rPr>
              <w:t>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w:t>
            </w:r>
          </w:p>
        </w:tc>
        <w:tc>
          <w:tcPr>
            <w:tcW w:w="1154" w:type="dxa"/>
            <w:tcBorders>
              <w:top w:val="nil" w:sz="6" w:space="0" w:color="auto"/>
              <w:left w:val="single" w:sz="4" w:space="0" w:color="000000"/>
              <w:bottom w:val="nil" w:sz="6" w:space="0" w:color="auto"/>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 w:right="0"/>
              <w:jc w:val="left"/>
              <w:rPr>
                <w:rFonts w:ascii="宋体" w:hAnsi="宋体" w:cs="宋体" w:eastAsia="宋体" w:hint="default"/>
                <w:sz w:val="15"/>
                <w:szCs w:val="15"/>
              </w:rPr>
            </w:pPr>
            <w:r>
              <w:rPr>
                <w:rFonts w:ascii="宋体" w:hAnsi="宋体" w:cs="宋体" w:eastAsia="宋体" w:hint="default"/>
                <w:sz w:val="15"/>
                <w:szCs w:val="15"/>
              </w:rPr>
              <w:t>及其他任何形式的财务资助，包括为其贷款提供担保。</w:t>
            </w:r>
          </w:p>
        </w:tc>
        <w:tc>
          <w:tcPr>
            <w:tcW w:w="108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5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1"/>
              <w:ind w:left="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 w:right="-29"/>
              <w:jc w:val="left"/>
              <w:rPr>
                <w:rFonts w:ascii="宋体" w:hAnsi="宋体" w:cs="宋体" w:eastAsia="宋体" w:hint="default"/>
                <w:sz w:val="18"/>
                <w:szCs w:val="18"/>
              </w:rPr>
            </w:pPr>
            <w:r>
              <w:rPr>
                <w:rFonts w:ascii="宋体" w:hAnsi="宋体" w:cs="宋体" w:eastAsia="宋体" w:hint="default"/>
                <w:spacing w:val="19"/>
                <w:sz w:val="18"/>
                <w:szCs w:val="18"/>
              </w:rPr>
              <w:t>票期权激</w:t>
            </w:r>
            <w:r>
              <w:rPr>
                <w:rFonts w:ascii="宋体" w:hAnsi="宋体" w:cs="宋体" w:eastAsia="宋体" w:hint="default"/>
                <w:spacing w:val="-64"/>
                <w:sz w:val="18"/>
                <w:szCs w:val="18"/>
              </w:rPr>
              <w:t> </w:t>
            </w:r>
            <w:r>
              <w:rPr>
                <w:rFonts w:ascii="宋体" w:hAnsi="宋体" w:cs="宋体" w:eastAsia="宋体" w:hint="default"/>
                <w:spacing w:val="19"/>
                <w:sz w:val="18"/>
                <w:szCs w:val="18"/>
              </w:rPr>
              <w:t>励计划激</w:t>
            </w:r>
            <w:r>
              <w:rPr>
                <w:rFonts w:ascii="宋体" w:hAnsi="宋体" w:cs="宋体" w:eastAsia="宋体" w:hint="default"/>
                <w:spacing w:val="-64"/>
                <w:sz w:val="18"/>
                <w:szCs w:val="18"/>
              </w:rPr>
              <w:t> </w:t>
            </w:r>
            <w:r>
              <w:rPr>
                <w:rFonts w:ascii="宋体" w:hAnsi="宋体" w:cs="宋体" w:eastAsia="宋体" w:hint="default"/>
                <w:sz w:val="18"/>
                <w:szCs w:val="18"/>
              </w:rPr>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381" w:lineRule="auto" w:before="50"/>
              <w:ind w:left="2" w:right="-3" w:firstLine="300"/>
              <w:jc w:val="left"/>
              <w:rPr>
                <w:rFonts w:ascii="宋体" w:hAnsi="宋体" w:cs="宋体" w:eastAsia="宋体" w:hint="default"/>
                <w:sz w:val="15"/>
                <w:szCs w:val="15"/>
              </w:rPr>
            </w:pPr>
            <w:r>
              <w:rPr>
                <w:rFonts w:ascii="宋体" w:hAnsi="宋体" w:cs="宋体" w:eastAsia="宋体" w:hint="default"/>
                <w:sz w:val="15"/>
                <w:szCs w:val="15"/>
              </w:rPr>
              <w:t>激励对象承诺，公司因信息披露文件中有虚假记载、误导性陈述或者重大</w:t>
            </w:r>
            <w:r>
              <w:rPr>
                <w:rFonts w:ascii="宋体" w:hAnsi="宋体" w:cs="宋体" w:eastAsia="宋体" w:hint="default"/>
                <w:w w:val="100"/>
                <w:sz w:val="15"/>
                <w:szCs w:val="15"/>
              </w:rPr>
              <w:t> </w:t>
            </w:r>
            <w:r>
              <w:rPr>
                <w:rFonts w:ascii="宋体" w:hAnsi="宋体" w:cs="宋体" w:eastAsia="宋体" w:hint="default"/>
                <w:sz w:val="15"/>
                <w:szCs w:val="15"/>
              </w:rPr>
              <w:t>遗漏，导致不符合授予权益或行使权益安排的，激励对象应当自相关信息披露</w:t>
            </w:r>
          </w:p>
        </w:tc>
        <w:tc>
          <w:tcPr>
            <w:tcW w:w="10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27" w:hRule="exact"/>
        </w:trPr>
        <w:tc>
          <w:tcPr>
            <w:tcW w:w="1533" w:type="dxa"/>
            <w:tcBorders>
              <w:top w:val="nil" w:sz="6" w:space="0" w:color="auto"/>
              <w:left w:val="single" w:sz="4" w:space="0" w:color="000000"/>
              <w:bottom w:val="nil" w:sz="6" w:space="0" w:color="auto"/>
              <w:right w:val="single" w:sz="4" w:space="0" w:color="000000"/>
            </w:tcBorders>
            <w:shd w:val="clear" w:color="auto" w:fill="D2D2D2"/>
          </w:tcPr>
          <w:p>
            <w:pP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励对象</w:t>
            </w:r>
          </w:p>
        </w:tc>
        <w:tc>
          <w:tcPr>
            <w:tcW w:w="1154" w:type="dxa"/>
            <w:tcBorders>
              <w:top w:val="nil" w:sz="6" w:space="0" w:color="auto"/>
              <w:left w:val="single" w:sz="4" w:space="0" w:color="000000"/>
              <w:bottom w:val="nil" w:sz="6" w:space="0" w:color="auto"/>
              <w:right w:val="single" w:sz="4" w:space="0" w:color="000000"/>
            </w:tcBorders>
          </w:tcPr>
          <w:p>
            <w:pPr/>
          </w:p>
        </w:tc>
        <w:tc>
          <w:tcPr>
            <w:tcW w:w="51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3"/>
              <w:jc w:val="left"/>
              <w:rPr>
                <w:rFonts w:ascii="宋体" w:hAnsi="宋体" w:cs="宋体" w:eastAsia="宋体" w:hint="default"/>
                <w:sz w:val="15"/>
                <w:szCs w:val="15"/>
              </w:rPr>
            </w:pPr>
            <w:r>
              <w:rPr>
                <w:rFonts w:ascii="宋体" w:hAnsi="宋体" w:cs="宋体" w:eastAsia="宋体" w:hint="default"/>
                <w:sz w:val="15"/>
                <w:szCs w:val="15"/>
              </w:rPr>
              <w:t>文件被确认存在虚假记载、误导性陈述或者重大遗漏后，将由股票期权激励计</w:t>
            </w:r>
          </w:p>
        </w:tc>
        <w:tc>
          <w:tcPr>
            <w:tcW w:w="108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5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2" w:right="0"/>
              <w:jc w:val="left"/>
              <w:rPr>
                <w:rFonts w:ascii="宋体" w:hAnsi="宋体" w:cs="宋体" w:eastAsia="宋体" w:hint="default"/>
                <w:sz w:val="15"/>
                <w:szCs w:val="15"/>
              </w:rPr>
            </w:pPr>
            <w:r>
              <w:rPr>
                <w:rFonts w:ascii="宋体" w:hAnsi="宋体" w:cs="宋体" w:eastAsia="宋体" w:hint="default"/>
                <w:sz w:val="15"/>
                <w:szCs w:val="15"/>
              </w:rPr>
              <w:t>划所获得的全部利益返还公司。</w:t>
            </w:r>
          </w:p>
        </w:tc>
        <w:tc>
          <w:tcPr>
            <w:tcW w:w="108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9" w:footer="975" w:top="1100" w:bottom="1160" w:left="4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1533"/>
        <w:gridCol w:w="806"/>
        <w:gridCol w:w="1154"/>
        <w:gridCol w:w="5180"/>
        <w:gridCol w:w="1081"/>
        <w:gridCol w:w="941"/>
        <w:gridCol w:w="917"/>
      </w:tblGrid>
      <w:tr>
        <w:trPr>
          <w:trHeight w:val="1025" w:hRule="exact"/>
        </w:trPr>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 w:right="80"/>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 w:right="-3" w:firstLine="300"/>
              <w:jc w:val="both"/>
              <w:rPr>
                <w:rFonts w:ascii="宋体" w:hAnsi="宋体" w:cs="宋体" w:eastAsia="宋体" w:hint="default"/>
                <w:sz w:val="15"/>
                <w:szCs w:val="15"/>
              </w:rPr>
            </w:pPr>
            <w:r>
              <w:rPr>
                <w:rFonts w:ascii="宋体" w:hAnsi="宋体" w:cs="宋体" w:eastAsia="宋体" w:hint="default"/>
                <w:sz w:val="15"/>
                <w:szCs w:val="15"/>
              </w:rPr>
              <w:t>公司实际控制人中国电子承诺不会发生占用上市公司资金的现象和可能。</w:t>
            </w:r>
            <w:r>
              <w:rPr>
                <w:rFonts w:ascii="宋体" w:hAnsi="宋体" w:cs="宋体" w:eastAsia="宋体" w:hint="default"/>
                <w:w w:val="100"/>
                <w:sz w:val="15"/>
                <w:szCs w:val="15"/>
              </w:rPr>
              <w:t> </w:t>
            </w:r>
            <w:r>
              <w:rPr>
                <w:rFonts w:ascii="宋体" w:hAnsi="宋体" w:cs="宋体" w:eastAsia="宋体" w:hint="default"/>
                <w:sz w:val="15"/>
                <w:szCs w:val="15"/>
              </w:rPr>
              <w:t>中国电子承诺当中电财务出现支付困难的紧急情况时，按照解决支付困难的实</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际需要，增加相应的资本金。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339" w:hRule="exact"/>
        </w:trPr>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 w:right="74"/>
              <w:jc w:val="left"/>
              <w:rPr>
                <w:rFonts w:ascii="宋体" w:hAnsi="宋体" w:cs="宋体" w:eastAsia="宋体" w:hint="default"/>
                <w:sz w:val="18"/>
                <w:szCs w:val="18"/>
              </w:rPr>
            </w:pPr>
            <w:r>
              <w:rPr>
                <w:rFonts w:ascii="宋体" w:hAnsi="宋体" w:cs="宋体" w:eastAsia="宋体" w:hint="default"/>
                <w:sz w:val="18"/>
                <w:szCs w:val="18"/>
              </w:rPr>
              <w:t>长城超云 原股东</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 w:right="60"/>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9"/>
              <w:ind w:left="2" w:right="-3" w:firstLine="300"/>
              <w:jc w:val="both"/>
              <w:rPr>
                <w:rFonts w:ascii="宋体" w:hAnsi="宋体" w:cs="宋体" w:eastAsia="宋体" w:hint="default"/>
                <w:sz w:val="15"/>
                <w:szCs w:val="15"/>
              </w:rPr>
            </w:pPr>
            <w:r>
              <w:rPr>
                <w:rFonts w:ascii="宋体" w:hAnsi="宋体" w:cs="宋体" w:eastAsia="宋体" w:hint="default"/>
                <w:sz w:val="15"/>
                <w:szCs w:val="15"/>
              </w:rPr>
              <w:t>原股东承诺长城超云</w:t>
            </w:r>
            <w:r>
              <w:rPr>
                <w:rFonts w:ascii="Times New Roman" w:hAnsi="Times New Roman" w:cs="Times New Roman" w:eastAsia="Times New Roman" w:hint="default"/>
                <w:sz w:val="15"/>
                <w:szCs w:val="15"/>
              </w:rPr>
              <w:t>2018</w:t>
            </w:r>
            <w:r>
              <w:rPr>
                <w:rFonts w:ascii="宋体" w:hAnsi="宋体" w:cs="宋体" w:eastAsia="宋体" w:hint="default"/>
                <w:sz w:val="15"/>
                <w:szCs w:val="15"/>
              </w:rPr>
              <w:t>年度、</w:t>
            </w:r>
            <w:r>
              <w:rPr>
                <w:rFonts w:ascii="Times New Roman" w:hAnsi="Times New Roman" w:cs="Times New Roman" w:eastAsia="Times New Roman" w:hint="default"/>
                <w:sz w:val="15"/>
                <w:szCs w:val="15"/>
              </w:rPr>
              <w:t>2019</w:t>
            </w:r>
            <w:r>
              <w:rPr>
                <w:rFonts w:ascii="宋体" w:hAnsi="宋体" w:cs="宋体" w:eastAsia="宋体" w:hint="default"/>
                <w:sz w:val="15"/>
                <w:szCs w:val="15"/>
              </w:rPr>
              <w:t>年度、</w:t>
            </w:r>
            <w:r>
              <w:rPr>
                <w:rFonts w:ascii="Times New Roman" w:hAnsi="Times New Roman" w:cs="Times New Roman" w:eastAsia="Times New Roman" w:hint="default"/>
                <w:sz w:val="15"/>
                <w:szCs w:val="15"/>
              </w:rPr>
              <w:t>2020</w:t>
            </w:r>
            <w:r>
              <w:rPr>
                <w:rFonts w:ascii="宋体" w:hAnsi="宋体" w:cs="宋体" w:eastAsia="宋体" w:hint="default"/>
                <w:sz w:val="15"/>
                <w:szCs w:val="15"/>
              </w:rPr>
              <w:t>年度实现的扣除非经常性</w:t>
            </w:r>
            <w:r>
              <w:rPr>
                <w:rFonts w:ascii="宋体" w:hAnsi="宋体" w:cs="宋体" w:eastAsia="宋体" w:hint="default"/>
                <w:w w:val="100"/>
                <w:sz w:val="15"/>
                <w:szCs w:val="15"/>
              </w:rPr>
              <w:t> </w:t>
            </w:r>
            <w:r>
              <w:rPr>
                <w:rFonts w:ascii="宋体" w:hAnsi="宋体" w:cs="宋体" w:eastAsia="宋体" w:hint="default"/>
                <w:spacing w:val="-1"/>
                <w:sz w:val="15"/>
                <w:szCs w:val="15"/>
              </w:rPr>
              <w:t>损益归属于母公司所有者的净利润之和不低于</w:t>
            </w:r>
            <w:r>
              <w:rPr>
                <w:rFonts w:ascii="Times New Roman" w:hAnsi="Times New Roman" w:cs="Times New Roman" w:eastAsia="Times New Roman" w:hint="default"/>
                <w:spacing w:val="-1"/>
                <w:sz w:val="15"/>
                <w:szCs w:val="15"/>
              </w:rPr>
              <w:t>8,700</w:t>
            </w:r>
            <w:r>
              <w:rPr>
                <w:rFonts w:ascii="宋体" w:hAnsi="宋体" w:cs="宋体" w:eastAsia="宋体" w:hint="default"/>
                <w:spacing w:val="-1"/>
                <w:sz w:val="15"/>
                <w:szCs w:val="15"/>
              </w:rPr>
              <w:t>万，逐年度分别为</w:t>
            </w:r>
            <w:r>
              <w:rPr>
                <w:rFonts w:ascii="Times New Roman" w:hAnsi="Times New Roman" w:cs="Times New Roman" w:eastAsia="Times New Roman" w:hint="default"/>
                <w:spacing w:val="-1"/>
                <w:sz w:val="15"/>
                <w:szCs w:val="15"/>
              </w:rPr>
              <w:t>2018</w:t>
            </w:r>
            <w:r>
              <w:rPr>
                <w:rFonts w:ascii="宋体" w:hAnsi="宋体" w:cs="宋体" w:eastAsia="宋体" w:hint="default"/>
                <w:spacing w:val="-1"/>
                <w:sz w:val="15"/>
                <w:szCs w:val="15"/>
              </w:rPr>
              <w:t>年度</w:t>
            </w:r>
            <w:r>
              <w:rPr>
                <w:rFonts w:ascii="宋体" w:hAnsi="宋体" w:cs="宋体" w:eastAsia="宋体" w:hint="default"/>
                <w:spacing w:val="-13"/>
                <w:sz w:val="15"/>
                <w:szCs w:val="15"/>
              </w:rPr>
              <w:t> </w:t>
            </w:r>
            <w:r>
              <w:rPr>
                <w:rFonts w:ascii="宋体" w:hAnsi="宋体" w:cs="宋体" w:eastAsia="宋体" w:hint="default"/>
                <w:spacing w:val="-3"/>
                <w:sz w:val="15"/>
                <w:szCs w:val="15"/>
              </w:rPr>
              <w:t>不低于</w:t>
            </w:r>
            <w:r>
              <w:rPr>
                <w:rFonts w:ascii="Times New Roman" w:hAnsi="Times New Roman" w:cs="Times New Roman" w:eastAsia="Times New Roman" w:hint="default"/>
                <w:spacing w:val="-3"/>
                <w:sz w:val="15"/>
                <w:szCs w:val="15"/>
              </w:rPr>
              <w:t>1,000</w:t>
            </w:r>
            <w:r>
              <w:rPr>
                <w:rFonts w:ascii="宋体" w:hAnsi="宋体" w:cs="宋体" w:eastAsia="宋体" w:hint="default"/>
                <w:spacing w:val="-3"/>
                <w:sz w:val="15"/>
                <w:szCs w:val="15"/>
              </w:rPr>
              <w:t>万元、</w:t>
            </w:r>
            <w:r>
              <w:rPr>
                <w:rFonts w:ascii="Times New Roman" w:hAnsi="Times New Roman" w:cs="Times New Roman" w:eastAsia="Times New Roman" w:hint="default"/>
                <w:spacing w:val="-3"/>
                <w:sz w:val="15"/>
                <w:szCs w:val="15"/>
              </w:rPr>
              <w:t>2019</w:t>
            </w:r>
            <w:r>
              <w:rPr>
                <w:rFonts w:ascii="宋体" w:hAnsi="宋体" w:cs="宋体" w:eastAsia="宋体" w:hint="default"/>
                <w:spacing w:val="-3"/>
                <w:sz w:val="15"/>
                <w:szCs w:val="15"/>
              </w:rPr>
              <w:t>年度不低于</w:t>
            </w:r>
            <w:r>
              <w:rPr>
                <w:rFonts w:ascii="Times New Roman" w:hAnsi="Times New Roman" w:cs="Times New Roman" w:eastAsia="Times New Roman" w:hint="default"/>
                <w:spacing w:val="-3"/>
                <w:sz w:val="15"/>
                <w:szCs w:val="15"/>
              </w:rPr>
              <w:t>2,900</w:t>
            </w:r>
            <w:r>
              <w:rPr>
                <w:rFonts w:ascii="宋体" w:hAnsi="宋体" w:cs="宋体" w:eastAsia="宋体" w:hint="default"/>
                <w:spacing w:val="-3"/>
                <w:sz w:val="15"/>
                <w:szCs w:val="15"/>
              </w:rPr>
              <w:t>万元、</w:t>
            </w:r>
            <w:r>
              <w:rPr>
                <w:rFonts w:ascii="Times New Roman" w:hAnsi="Times New Roman" w:cs="Times New Roman" w:eastAsia="Times New Roman" w:hint="default"/>
                <w:spacing w:val="-3"/>
                <w:sz w:val="15"/>
                <w:szCs w:val="15"/>
              </w:rPr>
              <w:t>2020</w:t>
            </w:r>
            <w:r>
              <w:rPr>
                <w:rFonts w:ascii="宋体" w:hAnsi="宋体" w:cs="宋体" w:eastAsia="宋体" w:hint="default"/>
                <w:spacing w:val="-3"/>
                <w:sz w:val="15"/>
                <w:szCs w:val="15"/>
              </w:rPr>
              <w:t>年度不低于</w:t>
            </w:r>
            <w:r>
              <w:rPr>
                <w:rFonts w:ascii="Times New Roman" w:hAnsi="Times New Roman" w:cs="Times New Roman" w:eastAsia="Times New Roman" w:hint="default"/>
                <w:spacing w:val="-3"/>
                <w:sz w:val="15"/>
                <w:szCs w:val="15"/>
              </w:rPr>
              <w:t>4,800</w:t>
            </w:r>
            <w:r>
              <w:rPr>
                <w:rFonts w:ascii="宋体" w:hAnsi="宋体" w:cs="宋体" w:eastAsia="宋体" w:hint="default"/>
                <w:spacing w:val="-3"/>
                <w:sz w:val="15"/>
                <w:szCs w:val="15"/>
              </w:rPr>
              <w:t>万元。如果</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未达业绩承诺则按协议约定对中国长城予以补偿。</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22" w:hRule="exact"/>
        </w:trPr>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00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570" w:hRule="exact"/>
        </w:trPr>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 w:right="80"/>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100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Times New Roman" w:hAnsi="Times New Roman" w:cs="Times New Roman" w:eastAsia="Times New Roman" w:hint="default"/>
          <w:sz w:val="11"/>
          <w:szCs w:val="11"/>
        </w:rPr>
      </w:pPr>
    </w:p>
    <w:p>
      <w:pPr>
        <w:pStyle w:val="Heading5"/>
        <w:spacing w:line="256" w:lineRule="auto"/>
        <w:ind w:left="1092"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17"/>
          <w:szCs w:val="17"/>
        </w:rPr>
      </w:pPr>
    </w:p>
    <w:p>
      <w:pPr>
        <w:spacing w:before="0"/>
        <w:ind w:left="109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348" w:type="dxa"/>
        <w:tblLayout w:type="fixed"/>
        <w:tblCellMar>
          <w:top w:w="0" w:type="dxa"/>
          <w:left w:w="0" w:type="dxa"/>
          <w:bottom w:w="0" w:type="dxa"/>
          <w:right w:w="0" w:type="dxa"/>
        </w:tblCellMar>
        <w:tblLook w:val="01E0"/>
      </w:tblPr>
      <w:tblGrid>
        <w:gridCol w:w="1416"/>
        <w:gridCol w:w="1294"/>
        <w:gridCol w:w="1301"/>
        <w:gridCol w:w="1200"/>
        <w:gridCol w:w="1181"/>
        <w:gridCol w:w="1351"/>
        <w:gridCol w:w="1335"/>
        <w:gridCol w:w="2040"/>
      </w:tblGrid>
      <w:tr>
        <w:trPr>
          <w:trHeight w:val="634"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43" w:right="70" w:hanging="269"/>
              <w:jc w:val="left"/>
              <w:rPr>
                <w:rFonts w:ascii="宋体" w:hAnsi="宋体" w:cs="宋体" w:eastAsia="宋体" w:hint="default"/>
                <w:sz w:val="18"/>
                <w:szCs w:val="18"/>
              </w:rPr>
            </w:pPr>
            <w:r>
              <w:rPr>
                <w:rFonts w:ascii="宋体" w:hAnsi="宋体" w:cs="宋体" w:eastAsia="宋体" w:hint="default"/>
                <w:sz w:val="18"/>
                <w:szCs w:val="18"/>
              </w:rPr>
              <w:t>盈利预测资产或 项目名称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未达预测的原因</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（如适用）</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原预测披露日期</w:t>
            </w:r>
          </w:p>
        </w:tc>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67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55"/>
              <w:ind w:left="23" w:right="27"/>
              <w:jc w:val="left"/>
              <w:rPr>
                <w:rFonts w:ascii="宋体" w:hAnsi="宋体" w:cs="宋体" w:eastAsia="宋体" w:hint="default"/>
                <w:sz w:val="15"/>
                <w:szCs w:val="15"/>
              </w:rPr>
            </w:pPr>
            <w:r>
              <w:rPr>
                <w:rFonts w:ascii="宋体" w:hAnsi="宋体" w:cs="宋体" w:eastAsia="宋体" w:hint="default"/>
                <w:sz w:val="15"/>
                <w:szCs w:val="15"/>
              </w:rPr>
              <w:t>武汉中原电子集团有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20,329.37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22,196.90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46" w:right="0"/>
              <w:jc w:val="left"/>
              <w:rPr>
                <w:rFonts w:ascii="宋体" w:hAnsi="宋体" w:cs="宋体" w:eastAsia="宋体" w:hint="default"/>
                <w:sz w:val="15"/>
                <w:szCs w:val="15"/>
              </w:rPr>
            </w:pPr>
            <w:r>
              <w:rPr>
                <w:rFonts w:ascii="宋体" w:hAnsi="宋体" w:cs="宋体" w:eastAsia="宋体" w:hint="default"/>
                <w:sz w:val="15"/>
                <w:szCs w:val="15"/>
              </w:rPr>
              <w:t>不适用</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4"/>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2040" w:type="dxa"/>
            <w:vMerge w:val="restart"/>
            <w:tcBorders>
              <w:top w:val="single" w:sz="4" w:space="0" w:color="000000"/>
              <w:left w:val="single" w:sz="4" w:space="0" w:color="000000"/>
              <w:right w:val="single" w:sz="4" w:space="0" w:color="000000"/>
            </w:tcBorders>
          </w:tcPr>
          <w:p>
            <w:pPr>
              <w:pStyle w:val="TableParagraph"/>
              <w:spacing w:line="240" w:lineRule="auto" w:before="81"/>
              <w:ind w:left="23" w:right="0"/>
              <w:jc w:val="both"/>
              <w:rPr>
                <w:rFonts w:ascii="宋体" w:hAnsi="宋体" w:cs="宋体" w:eastAsia="宋体" w:hint="default"/>
                <w:sz w:val="15"/>
                <w:szCs w:val="15"/>
              </w:rPr>
            </w:pPr>
            <w:r>
              <w:rPr>
                <w:rFonts w:ascii="宋体" w:hAnsi="宋体" w:cs="宋体" w:eastAsia="宋体" w:hint="default"/>
                <w:sz w:val="15"/>
                <w:szCs w:val="15"/>
              </w:rPr>
              <w:t>详见巨潮资讯网</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2017-017 </w:t>
            </w:r>
            <w:r>
              <w:rPr>
                <w:rFonts w:ascii="宋体" w:hAnsi="宋体" w:cs="宋体" w:eastAsia="宋体" w:hint="default"/>
                <w:sz w:val="15"/>
                <w:szCs w:val="15"/>
              </w:rPr>
              <w:t>号</w:t>
            </w:r>
          </w:p>
          <w:p>
            <w:pPr>
              <w:pStyle w:val="TableParagraph"/>
              <w:spacing w:line="379" w:lineRule="auto" w:before="104"/>
              <w:ind w:left="23" w:right="50"/>
              <w:jc w:val="both"/>
              <w:rPr>
                <w:rFonts w:ascii="宋体" w:hAnsi="宋体" w:cs="宋体" w:eastAsia="宋体" w:hint="default"/>
                <w:sz w:val="15"/>
                <w:szCs w:val="15"/>
              </w:rPr>
            </w:pPr>
            <w:r>
              <w:rPr>
                <w:rFonts w:ascii="宋体" w:hAnsi="宋体" w:cs="宋体" w:eastAsia="宋体" w:hint="default"/>
                <w:spacing w:val="-2"/>
                <w:sz w:val="15"/>
                <w:szCs w:val="15"/>
              </w:rPr>
              <w:t>《重大资产重组相关承诺的公</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2"/>
                <w:sz w:val="15"/>
                <w:szCs w:val="15"/>
              </w:rPr>
              <w:t>告》或《重大资产重组实施情</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况暨新增股份上市公告书》</w:t>
            </w:r>
          </w:p>
        </w:tc>
      </w:tr>
      <w:tr>
        <w:trPr>
          <w:trHeight w:val="67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55"/>
              <w:ind w:left="23" w:right="27"/>
              <w:jc w:val="left"/>
              <w:rPr>
                <w:rFonts w:ascii="宋体" w:hAnsi="宋体" w:cs="宋体" w:eastAsia="宋体" w:hint="default"/>
                <w:sz w:val="15"/>
                <w:szCs w:val="15"/>
              </w:rPr>
            </w:pPr>
            <w:r>
              <w:rPr>
                <w:rFonts w:ascii="宋体" w:hAnsi="宋体" w:cs="宋体" w:eastAsia="宋体" w:hint="default"/>
                <w:sz w:val="15"/>
                <w:szCs w:val="15"/>
              </w:rPr>
              <w:t>北京圣非凡电子系统</w:t>
            </w:r>
            <w:r>
              <w:rPr>
                <w:rFonts w:ascii="宋体" w:hAnsi="宋体" w:cs="宋体" w:eastAsia="宋体" w:hint="default"/>
                <w:w w:val="100"/>
                <w:sz w:val="15"/>
                <w:szCs w:val="15"/>
              </w:rPr>
              <w:t> </w:t>
            </w:r>
            <w:r>
              <w:rPr>
                <w:rFonts w:ascii="宋体" w:hAnsi="宋体" w:cs="宋体" w:eastAsia="宋体" w:hint="default"/>
                <w:sz w:val="15"/>
                <w:szCs w:val="15"/>
              </w:rPr>
              <w:t>技术开发有限公司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8,418.46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9,533.40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46" w:right="0"/>
              <w:jc w:val="left"/>
              <w:rPr>
                <w:rFonts w:ascii="宋体" w:hAnsi="宋体" w:cs="宋体" w:eastAsia="宋体" w:hint="default"/>
                <w:sz w:val="15"/>
                <w:szCs w:val="15"/>
              </w:rPr>
            </w:pPr>
            <w:r>
              <w:rPr>
                <w:rFonts w:ascii="宋体" w:hAnsi="宋体" w:cs="宋体" w:eastAsia="宋体" w:hint="default"/>
                <w:sz w:val="15"/>
                <w:szCs w:val="15"/>
              </w:rPr>
              <w:t>不适用</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4"/>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2040" w:type="dxa"/>
            <w:vMerge/>
            <w:tcBorders>
              <w:left w:val="single" w:sz="4" w:space="0" w:color="000000"/>
              <w:bottom w:val="single" w:sz="4" w:space="0" w:color="000000"/>
              <w:right w:val="single" w:sz="4" w:space="0" w:color="000000"/>
            </w:tcBorders>
          </w:tcPr>
          <w:p>
            <w:pPr/>
          </w:p>
        </w:tc>
      </w:tr>
      <w:tr>
        <w:trPr>
          <w:trHeight w:val="67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55"/>
              <w:ind w:left="23" w:right="27"/>
              <w:jc w:val="left"/>
              <w:rPr>
                <w:rFonts w:ascii="宋体" w:hAnsi="宋体" w:cs="宋体" w:eastAsia="宋体" w:hint="default"/>
                <w:sz w:val="15"/>
                <w:szCs w:val="15"/>
              </w:rPr>
            </w:pPr>
            <w:r>
              <w:rPr>
                <w:rFonts w:ascii="宋体" w:hAnsi="宋体" w:cs="宋体" w:eastAsia="宋体" w:hint="default"/>
                <w:sz w:val="15"/>
                <w:szCs w:val="15"/>
              </w:rPr>
              <w:t>长城超云（北京）科</w:t>
            </w:r>
            <w:r>
              <w:rPr>
                <w:rFonts w:ascii="宋体" w:hAnsi="宋体" w:cs="宋体" w:eastAsia="宋体" w:hint="default"/>
                <w:w w:val="100"/>
                <w:sz w:val="15"/>
                <w:szCs w:val="15"/>
              </w:rPr>
              <w:t> </w:t>
            </w:r>
            <w:r>
              <w:rPr>
                <w:rFonts w:ascii="宋体" w:hAnsi="宋体" w:cs="宋体" w:eastAsia="宋体" w:hint="default"/>
                <w:sz w:val="15"/>
                <w:szCs w:val="15"/>
              </w:rPr>
              <w:t>技有限公司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2,900.00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3,090.12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46" w:right="0"/>
              <w:jc w:val="left"/>
              <w:rPr>
                <w:rFonts w:ascii="宋体" w:hAnsi="宋体" w:cs="宋体" w:eastAsia="宋体" w:hint="default"/>
                <w:sz w:val="15"/>
                <w:szCs w:val="15"/>
              </w:rPr>
            </w:pPr>
            <w:r>
              <w:rPr>
                <w:rFonts w:ascii="宋体" w:hAnsi="宋体" w:cs="宋体" w:eastAsia="宋体" w:hint="default"/>
                <w:sz w:val="15"/>
                <w:szCs w:val="15"/>
              </w:rPr>
              <w:t>不适用</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4"/>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2018-041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号公告</w:t>
            </w:r>
          </w:p>
        </w:tc>
      </w:tr>
    </w:tbl>
    <w:p>
      <w:pPr>
        <w:spacing w:before="51"/>
        <w:ind w:left="1092" w:right="0" w:firstLine="0"/>
        <w:jc w:val="both"/>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5"/>
        <w:ind w:left="109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14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）重大资产重组购入资产业绩承诺实现情况</w:t>
      </w:r>
    </w:p>
    <w:p>
      <w:pPr>
        <w:spacing w:line="307" w:lineRule="auto" w:before="103"/>
        <w:ind w:left="1092" w:right="1131" w:firstLine="360"/>
        <w:jc w:val="both"/>
        <w:rPr>
          <w:rFonts w:ascii="宋体" w:hAnsi="宋体" w:cs="宋体" w:eastAsia="宋体" w:hint="default"/>
          <w:sz w:val="18"/>
          <w:szCs w:val="18"/>
        </w:rPr>
      </w:pPr>
      <w:r>
        <w:rPr>
          <w:rFonts w:ascii="宋体" w:hAnsi="宋体" w:cs="宋体" w:eastAsia="宋体" w:hint="default"/>
          <w:sz w:val="18"/>
          <w:szCs w:val="18"/>
        </w:rPr>
        <w:t>公司重大资产重组项目中圣非凡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股权及中原电子主要资产评估结果系按照收益法评估结果确定且以该等评估结果 </w:t>
      </w:r>
      <w:r>
        <w:rPr>
          <w:rFonts w:ascii="宋体" w:hAnsi="宋体" w:cs="宋体" w:eastAsia="宋体" w:hint="default"/>
          <w:spacing w:val="-5"/>
          <w:sz w:val="18"/>
          <w:szCs w:val="18"/>
        </w:rPr>
        <w:t>作为定价依据，根据公司与中国电子签署的《盈利预测补偿协议》、《盈利预测补偿协议之补充协议》，中国电子对标的公司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在本次重组实施完毕后的当年及其后两个完整会计年度的经营业绩进行承诺：中原电子在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2018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年经审计 的扣除非经常性损益归属于母公司所有者的净利润之和将不低于 </w:t>
      </w:r>
      <w:r>
        <w:rPr>
          <w:rFonts w:ascii="Times New Roman" w:hAnsi="Times New Roman" w:cs="Times New Roman" w:eastAsia="Times New Roman" w:hint="default"/>
          <w:sz w:val="18"/>
          <w:szCs w:val="18"/>
        </w:rPr>
        <w:t>5.7  </w:t>
      </w:r>
      <w:r>
        <w:rPr>
          <w:rFonts w:ascii="宋体" w:hAnsi="宋体" w:cs="宋体" w:eastAsia="宋体" w:hint="default"/>
          <w:sz w:val="18"/>
          <w:szCs w:val="18"/>
        </w:rPr>
        <w:t>亿元，具体分别为 </w:t>
      </w:r>
      <w:r>
        <w:rPr>
          <w:rFonts w:ascii="Times New Roman" w:hAnsi="Times New Roman" w:cs="Times New Roman" w:eastAsia="Times New Roman" w:hint="default"/>
          <w:sz w:val="18"/>
          <w:szCs w:val="18"/>
        </w:rPr>
        <w:t>18,182.84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18,495.39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00" w:lineRule="auto" w:before="7"/>
        <w:ind w:left="1092" w:right="113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20,329.37 </w:t>
      </w:r>
      <w:r>
        <w:rPr>
          <w:rFonts w:ascii="宋体" w:hAnsi="宋体" w:cs="宋体" w:eastAsia="宋体" w:hint="default"/>
          <w:sz w:val="18"/>
          <w:szCs w:val="18"/>
        </w:rPr>
        <w:t>万元；圣非凡在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年经审计的扣除非经常性损益归属于母公司所有者的净利润之和将不低 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亿元，具体分别为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7,146.38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7,160.17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8,418.46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万元。承诺净利润不包括募集配套资金的项目所产生的收 益。否则中国电子应按照协议约定的利润补偿的方式对公司予以补偿。</w:t>
      </w:r>
    </w:p>
    <w:p>
      <w:pPr>
        <w:spacing w:before="70"/>
        <w:ind w:left="14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根据立信会计师事务</w:t>
      </w:r>
      <w:r>
        <w:rPr>
          <w:rFonts w:ascii="宋体" w:hAnsi="宋体" w:cs="宋体" w:eastAsia="宋体" w:hint="default"/>
          <w:spacing w:val="-29"/>
          <w:sz w:val="18"/>
          <w:szCs w:val="18"/>
        </w:rPr>
        <w:t>所</w:t>
      </w:r>
      <w:r>
        <w:rPr>
          <w:rFonts w:ascii="宋体" w:hAnsi="宋体" w:cs="宋体" w:eastAsia="宋体" w:hint="default"/>
          <w:sz w:val="18"/>
          <w:szCs w:val="18"/>
        </w:rPr>
        <w:t>（特殊普通合伙</w:t>
      </w:r>
      <w:r>
        <w:rPr>
          <w:rFonts w:ascii="宋体" w:hAnsi="宋体" w:cs="宋体" w:eastAsia="宋体" w:hint="default"/>
          <w:spacing w:val="-29"/>
          <w:sz w:val="18"/>
          <w:szCs w:val="18"/>
        </w:rPr>
        <w:t>）</w:t>
      </w:r>
      <w:r>
        <w:rPr>
          <w:rFonts w:ascii="宋体" w:hAnsi="宋体" w:cs="宋体" w:eastAsia="宋体" w:hint="default"/>
          <w:sz w:val="18"/>
          <w:szCs w:val="18"/>
        </w:rPr>
        <w:t>出具</w:t>
      </w:r>
      <w:r>
        <w:rPr>
          <w:rFonts w:ascii="宋体" w:hAnsi="宋体" w:cs="宋体" w:eastAsia="宋体" w:hint="default"/>
          <w:spacing w:val="-29"/>
          <w:sz w:val="18"/>
          <w:szCs w:val="18"/>
        </w:rPr>
        <w:t>的</w:t>
      </w:r>
      <w:r>
        <w:rPr>
          <w:rFonts w:ascii="宋体" w:hAnsi="宋体" w:cs="宋体" w:eastAsia="宋体" w:hint="default"/>
          <w:sz w:val="18"/>
          <w:szCs w:val="18"/>
        </w:rPr>
        <w:t>《中原电子业绩承诺完成情况审核报告</w:t>
      </w:r>
      <w:r>
        <w:rPr>
          <w:rFonts w:ascii="宋体" w:hAnsi="宋体" w:cs="宋体" w:eastAsia="宋体" w:hint="default"/>
          <w:spacing w:val="-121"/>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信会师报</w:t>
      </w:r>
      <w:r>
        <w:rPr>
          <w:rFonts w:ascii="宋体" w:hAnsi="宋体" w:cs="宋体" w:eastAsia="宋体" w:hint="default"/>
          <w:spacing w:val="1"/>
          <w:sz w:val="18"/>
          <w:szCs w:val="18"/>
        </w:rPr>
        <w:t>字</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Z</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6</w:t>
      </w:r>
    </w:p>
    <w:p>
      <w:pPr>
        <w:spacing w:line="340" w:lineRule="auto" w:before="63"/>
        <w:ind w:left="1453" w:right="1114"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年度中原电子实</w:t>
      </w:r>
      <w:r>
        <w:rPr>
          <w:rFonts w:ascii="宋体" w:hAnsi="宋体" w:cs="宋体" w:eastAsia="宋体" w:hint="default"/>
          <w:spacing w:val="-3"/>
          <w:sz w:val="18"/>
          <w:szCs w:val="18"/>
        </w:rPr>
        <w:t>现</w:t>
      </w:r>
      <w:r>
        <w:rPr>
          <w:rFonts w:ascii="宋体" w:hAnsi="宋体" w:cs="宋体" w:eastAsia="宋体" w:hint="default"/>
          <w:sz w:val="18"/>
          <w:szCs w:val="18"/>
        </w:rPr>
        <w:t>扣除非经常性损益归属于母公司所有者的净利润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元，达成业绩承诺。</w:t>
      </w:r>
      <w:r>
        <w:rPr>
          <w:rFonts w:ascii="宋体" w:hAnsi="宋体" w:cs="宋体" w:eastAsia="宋体" w:hint="default"/>
          <w:sz w:val="18"/>
          <w:szCs w:val="18"/>
        </w:rPr>
        <w:t> 根据立信会计</w:t>
      </w:r>
      <w:r>
        <w:rPr>
          <w:rFonts w:ascii="宋体" w:hAnsi="宋体" w:cs="宋体" w:eastAsia="宋体" w:hint="default"/>
          <w:spacing w:val="2"/>
          <w:sz w:val="18"/>
          <w:szCs w:val="18"/>
        </w:rPr>
        <w:t>师</w:t>
      </w:r>
      <w:r>
        <w:rPr>
          <w:rFonts w:ascii="宋体" w:hAnsi="宋体" w:cs="宋体" w:eastAsia="宋体" w:hint="default"/>
          <w:sz w:val="18"/>
          <w:szCs w:val="18"/>
        </w:rPr>
        <w:t>事务所（</w:t>
      </w:r>
      <w:r>
        <w:rPr>
          <w:rFonts w:ascii="宋体" w:hAnsi="宋体" w:cs="宋体" w:eastAsia="宋体" w:hint="default"/>
          <w:spacing w:val="2"/>
          <w:sz w:val="18"/>
          <w:szCs w:val="18"/>
        </w:rPr>
        <w:t>特殊</w:t>
      </w:r>
      <w:r>
        <w:rPr>
          <w:rFonts w:ascii="宋体" w:hAnsi="宋体" w:cs="宋体" w:eastAsia="宋体" w:hint="default"/>
          <w:sz w:val="18"/>
          <w:szCs w:val="18"/>
        </w:rPr>
        <w:t>普通合伙）出</w:t>
      </w:r>
      <w:r>
        <w:rPr>
          <w:rFonts w:ascii="宋体" w:hAnsi="宋体" w:cs="宋体" w:eastAsia="宋体" w:hint="default"/>
          <w:spacing w:val="2"/>
          <w:sz w:val="18"/>
          <w:szCs w:val="18"/>
        </w:rPr>
        <w:t>具</w:t>
      </w:r>
      <w:r>
        <w:rPr>
          <w:rFonts w:ascii="宋体" w:hAnsi="宋体" w:cs="宋体" w:eastAsia="宋体" w:hint="default"/>
          <w:sz w:val="18"/>
          <w:szCs w:val="18"/>
        </w:rPr>
        <w:t>的《圣非</w:t>
      </w:r>
      <w:r>
        <w:rPr>
          <w:rFonts w:ascii="宋体" w:hAnsi="宋体" w:cs="宋体" w:eastAsia="宋体" w:hint="default"/>
          <w:spacing w:val="2"/>
          <w:sz w:val="18"/>
          <w:szCs w:val="18"/>
        </w:rPr>
        <w:t>凡业</w:t>
      </w:r>
      <w:r>
        <w:rPr>
          <w:rFonts w:ascii="宋体" w:hAnsi="宋体" w:cs="宋体" w:eastAsia="宋体" w:hint="default"/>
          <w:sz w:val="18"/>
          <w:szCs w:val="18"/>
        </w:rPr>
        <w:t>绩承诺完成情</w:t>
      </w:r>
      <w:r>
        <w:rPr>
          <w:rFonts w:ascii="宋体" w:hAnsi="宋体" w:cs="宋体" w:eastAsia="宋体" w:hint="default"/>
          <w:spacing w:val="2"/>
          <w:sz w:val="18"/>
          <w:szCs w:val="18"/>
        </w:rPr>
        <w:t>况</w:t>
      </w:r>
      <w:r>
        <w:rPr>
          <w:rFonts w:ascii="宋体" w:hAnsi="宋体" w:cs="宋体" w:eastAsia="宋体" w:hint="default"/>
          <w:sz w:val="18"/>
          <w:szCs w:val="18"/>
        </w:rPr>
        <w:t>审核报告</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信</w:t>
      </w:r>
      <w:r>
        <w:rPr>
          <w:rFonts w:ascii="宋体" w:hAnsi="宋体" w:cs="宋体" w:eastAsia="宋体" w:hint="default"/>
          <w:sz w:val="18"/>
          <w:szCs w:val="18"/>
        </w:rPr>
        <w:t>会师报</w:t>
      </w:r>
      <w:r>
        <w:rPr>
          <w:rFonts w:ascii="宋体" w:hAnsi="宋体" w:cs="宋体" w:eastAsia="宋体" w:hint="default"/>
          <w:spacing w:val="3"/>
          <w:sz w:val="18"/>
          <w:szCs w:val="18"/>
        </w:rPr>
        <w:t>字</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2020</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pacing w:val="-2"/>
          <w:sz w:val="18"/>
          <w:szCs w:val="18"/>
        </w:rPr>
        <w:t> </w:t>
      </w:r>
      <w:r>
        <w:rPr>
          <w:rFonts w:ascii="Times New Roman" w:hAnsi="Times New Roman" w:cs="Times New Roman" w:eastAsia="Times New Roman" w:hint="default"/>
          <w:w w:val="99"/>
          <w:sz w:val="18"/>
          <w:szCs w:val="18"/>
        </w:rPr>
        <w:t>Z</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z w:val="18"/>
          <w:szCs w:val="18"/>
        </w:rPr>
        <w:t>5</w:t>
      </w:r>
    </w:p>
    <w:p>
      <w:pPr>
        <w:spacing w:line="228" w:lineRule="exact" w:before="0"/>
        <w:ind w:left="1092" w:right="0" w:firstLine="0"/>
        <w:jc w:val="both"/>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年度圣非凡实现</w:t>
      </w:r>
      <w:r>
        <w:rPr>
          <w:rFonts w:ascii="宋体" w:hAnsi="宋体" w:cs="宋体" w:eastAsia="宋体" w:hint="default"/>
          <w:spacing w:val="-3"/>
          <w:sz w:val="18"/>
          <w:szCs w:val="18"/>
        </w:rPr>
        <w:t>扣</w:t>
      </w:r>
      <w:r>
        <w:rPr>
          <w:rFonts w:ascii="宋体" w:hAnsi="宋体" w:cs="宋体" w:eastAsia="宋体" w:hint="default"/>
          <w:sz w:val="18"/>
          <w:szCs w:val="18"/>
        </w:rPr>
        <w:t>除非经常性损益归属于母公司所有者的净利润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，达成业绩承诺。</w:t>
      </w:r>
    </w:p>
    <w:p>
      <w:pPr>
        <w:spacing w:line="300" w:lineRule="auto" w:before="103"/>
        <w:ind w:left="1092" w:right="1087" w:firstLine="360"/>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根据立信会计师事务所（特殊普通合伙）出具的《重大资产重组购入资产减值测试专项审核报告》（信会师报字</w:t>
      </w:r>
      <w:r>
        <w:rPr>
          <w:rFonts w:ascii="Times New Roman" w:hAnsi="Times New Roman" w:cs="Times New Roman" w:eastAsia="Times New Roman" w:hint="default"/>
          <w:spacing w:val="-1"/>
          <w:sz w:val="18"/>
          <w:szCs w:val="18"/>
        </w:rPr>
        <w:t>[2020]</w:t>
      </w:r>
      <w:r>
        <w:rPr>
          <w:rFonts w:ascii="Times New Roman" w:hAnsi="Times New Roman" w:cs="Times New Roman" w:eastAsia="Times New Roman" w:hint="default"/>
          <w:sz w:val="18"/>
          <w:szCs w:val="18"/>
        </w:rPr>
        <w:t> </w:t>
      </w:r>
      <w:r>
        <w:rPr>
          <w:rFonts w:ascii="宋体" w:hAnsi="宋体" w:cs="宋体" w:eastAsia="宋体" w:hint="default"/>
          <w:sz w:val="18"/>
          <w:szCs w:val="18"/>
        </w:rPr>
        <w:t>第</w:t>
      </w:r>
      <w:r>
        <w:rPr>
          <w:rFonts w:ascii="宋体" w:hAnsi="宋体" w:cs="宋体" w:eastAsia="宋体" w:hint="default"/>
          <w:spacing w:val="-39"/>
          <w:sz w:val="18"/>
          <w:szCs w:val="18"/>
        </w:rPr>
        <w:t> </w:t>
      </w:r>
      <w:r>
        <w:rPr>
          <w:rFonts w:ascii="Times New Roman" w:hAnsi="Times New Roman" w:cs="Times New Roman" w:eastAsia="Times New Roman" w:hint="default"/>
          <w:spacing w:val="-2"/>
          <w:w w:val="99"/>
          <w:sz w:val="18"/>
          <w:szCs w:val="18"/>
        </w:rPr>
        <w:t>ZG11096</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2"/>
          <w:sz w:val="18"/>
          <w:szCs w:val="18"/>
        </w:rPr>
        <w:t>号），公司已按照《上市公司重大资产重组管理办法》的有关规定以及与中国电子签署的《盈利预测补偿协议》</w:t>
      </w:r>
      <w:r>
        <w:rPr>
          <w:rFonts w:ascii="宋体" w:hAnsi="宋体" w:cs="宋体" w:eastAsia="宋体" w:hint="default"/>
          <w:sz w:val="18"/>
          <w:szCs w:val="18"/>
        </w:rPr>
        <w:t> 及其补充协议的约定编制减值测试报告，在所有重大方面公允的反映了公司重大资产重组购入资产的减值情况。截至</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2019</w:t>
      </w:r>
    </w:p>
    <w:p>
      <w:pPr>
        <w:spacing w:after="0" w:line="300" w:lineRule="auto"/>
        <w:jc w:val="both"/>
        <w:rPr>
          <w:rFonts w:ascii="Times New Roman" w:hAnsi="Times New Roman" w:cs="Times New Roman" w:eastAsia="Times New Roman" w:hint="default"/>
          <w:sz w:val="18"/>
          <w:szCs w:val="18"/>
        </w:rPr>
        <w:sectPr>
          <w:pgSz w:w="11910" w:h="16840"/>
          <w:pgMar w:header="789" w:footer="975" w:top="1100" w:bottom="1160" w:left="40" w:right="0"/>
        </w:sectPr>
      </w:pPr>
    </w:p>
    <w:p>
      <w:pPr>
        <w:spacing w:line="240" w:lineRule="auto" w:before="8"/>
        <w:rPr>
          <w:rFonts w:ascii="Times New Roman" w:hAnsi="Times New Roman" w:cs="Times New Roman" w:eastAsia="Times New Roman" w:hint="default"/>
          <w:sz w:val="25"/>
          <w:szCs w:val="25"/>
        </w:rPr>
      </w:pPr>
    </w:p>
    <w:p>
      <w:pPr>
        <w:spacing w:line="300" w:lineRule="auto" w:before="44"/>
        <w:ind w:left="152" w:right="1131"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日，考虑增资及业绩补偿股份价值因素调整后，中原电子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股权价值为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350,800.00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万元，高于资产置换及发 行股份购买中原电子</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股权交易价格</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245,961.60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万元，中原电子</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股权未发生减值，不涉及资产减值补偿；圣非凡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股权价值为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77,517.18 </w:t>
      </w:r>
      <w:r>
        <w:rPr>
          <w:rFonts w:ascii="宋体" w:hAnsi="宋体" w:cs="宋体" w:eastAsia="宋体" w:hint="default"/>
          <w:sz w:val="18"/>
          <w:szCs w:val="18"/>
        </w:rPr>
        <w:t>万元，高于发行股份购买圣非凡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股权交易价格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68,040.62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万元，圣非凡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股权未发生减 值，不涉及资产减值补偿。</w:t>
      </w:r>
    </w:p>
    <w:p>
      <w:pPr>
        <w:spacing w:before="72"/>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）长城超云业绩承诺实现情况</w:t>
      </w:r>
    </w:p>
    <w:p>
      <w:pPr>
        <w:spacing w:line="300" w:lineRule="auto" w:before="101"/>
        <w:ind w:left="152" w:right="103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月，公司完成收购长城超云管理层股东</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股权并向其增资人民币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亿元，公司持有长城超云股权比例为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44%</w:t>
      </w:r>
      <w:r>
        <w:rPr>
          <w:rFonts w:ascii="宋体" w:hAnsi="宋体" w:cs="宋体" w:eastAsia="宋体" w:hint="default"/>
          <w:sz w:val="18"/>
          <w:szCs w:val="18"/>
        </w:rPr>
        <w:t>。 长城超云原股东承诺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年度实现的扣除非经常性损益归属于母公司所有者的净利润之和不低于 </w:t>
      </w:r>
      <w:r>
        <w:rPr>
          <w:rFonts w:ascii="Times New Roman" w:hAnsi="Times New Roman" w:cs="Times New Roman" w:eastAsia="Times New Roman" w:hint="default"/>
          <w:sz w:val="18"/>
          <w:szCs w:val="18"/>
        </w:rPr>
        <w:t>8,700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万元，逐年度分别为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万元。如果未</w:t>
      </w:r>
      <w:r>
        <w:rPr>
          <w:rFonts w:ascii="宋体" w:hAnsi="宋体" w:cs="宋体" w:eastAsia="宋体" w:hint="default"/>
          <w:sz w:val="18"/>
          <w:szCs w:val="18"/>
        </w:rPr>
        <w:t> 达业绩承诺则按协议约定对中国长城予以补偿。</w:t>
      </w:r>
    </w:p>
    <w:p>
      <w:pPr>
        <w:spacing w:before="72"/>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根据立信会计师事务</w:t>
      </w:r>
      <w:r>
        <w:rPr>
          <w:rFonts w:ascii="宋体" w:hAnsi="宋体" w:cs="宋体" w:eastAsia="宋体" w:hint="default"/>
          <w:spacing w:val="-27"/>
          <w:sz w:val="18"/>
          <w:szCs w:val="18"/>
        </w:rPr>
        <w:t>所</w:t>
      </w:r>
      <w:r>
        <w:rPr>
          <w:rFonts w:ascii="宋体" w:hAnsi="宋体" w:cs="宋体" w:eastAsia="宋体" w:hint="default"/>
          <w:sz w:val="18"/>
          <w:szCs w:val="18"/>
        </w:rPr>
        <w:t>（特殊普通合伙</w:t>
      </w:r>
      <w:r>
        <w:rPr>
          <w:rFonts w:ascii="宋体" w:hAnsi="宋体" w:cs="宋体" w:eastAsia="宋体" w:hint="default"/>
          <w:spacing w:val="-27"/>
          <w:sz w:val="18"/>
          <w:szCs w:val="18"/>
        </w:rPr>
        <w:t>）</w:t>
      </w:r>
      <w:r>
        <w:rPr>
          <w:rFonts w:ascii="宋体" w:hAnsi="宋体" w:cs="宋体" w:eastAsia="宋体" w:hint="default"/>
          <w:sz w:val="18"/>
          <w:szCs w:val="18"/>
        </w:rPr>
        <w:t>出具</w:t>
      </w:r>
      <w:r>
        <w:rPr>
          <w:rFonts w:ascii="宋体" w:hAnsi="宋体" w:cs="宋体" w:eastAsia="宋体" w:hint="default"/>
          <w:spacing w:val="-27"/>
          <w:sz w:val="18"/>
          <w:szCs w:val="18"/>
        </w:rPr>
        <w:t>的</w:t>
      </w:r>
      <w:r>
        <w:rPr>
          <w:rFonts w:ascii="宋体" w:hAnsi="宋体" w:cs="宋体" w:eastAsia="宋体" w:hint="default"/>
          <w:sz w:val="18"/>
          <w:szCs w:val="18"/>
        </w:rPr>
        <w:t>《长城超云业绩承诺完成情况审核报告</w:t>
      </w:r>
      <w:r>
        <w:rPr>
          <w:rFonts w:ascii="宋体" w:hAnsi="宋体" w:cs="宋体" w:eastAsia="宋体" w:hint="default"/>
          <w:spacing w:val="-118"/>
          <w:sz w:val="18"/>
          <w:szCs w:val="18"/>
        </w:rPr>
        <w:t>》</w:t>
      </w:r>
      <w:r>
        <w:rPr>
          <w:rFonts w:ascii="宋体" w:hAnsi="宋体" w:cs="宋体" w:eastAsia="宋体" w:hint="default"/>
          <w:sz w:val="18"/>
          <w:szCs w:val="18"/>
        </w:rPr>
        <w:t>（信会师报</w:t>
      </w:r>
      <w:r>
        <w:rPr>
          <w:rFonts w:ascii="宋体" w:hAnsi="宋体" w:cs="宋体" w:eastAsia="宋体" w:hint="default"/>
          <w:spacing w:val="1"/>
          <w:sz w:val="18"/>
          <w:szCs w:val="18"/>
        </w:rPr>
        <w:t>字</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Z</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年度长城超云实</w:t>
      </w:r>
      <w:r>
        <w:rPr>
          <w:rFonts w:ascii="宋体" w:hAnsi="宋体" w:cs="宋体" w:eastAsia="宋体" w:hint="default"/>
          <w:spacing w:val="-3"/>
          <w:sz w:val="18"/>
          <w:szCs w:val="18"/>
        </w:rPr>
        <w:t>现</w:t>
      </w:r>
      <w:r>
        <w:rPr>
          <w:rFonts w:ascii="宋体" w:hAnsi="宋体" w:cs="宋体" w:eastAsia="宋体" w:hint="default"/>
          <w:sz w:val="18"/>
          <w:szCs w:val="18"/>
        </w:rPr>
        <w:t>扣除非经常性损益归属于母公司所有者的净利润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元，达成业绩承诺。</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line="360" w:lineRule="auto" w:before="0"/>
        <w:ind w:left="513" w:right="6613" w:firstLine="0"/>
        <w:jc w:val="left"/>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 不适用。</w:t>
      </w:r>
    </w:p>
    <w:p>
      <w:pPr>
        <w:spacing w:line="240" w:lineRule="auto" w:before="2"/>
        <w:rPr>
          <w:rFonts w:ascii="宋体" w:hAnsi="宋体" w:cs="宋体" w:eastAsia="宋体" w:hint="default"/>
          <w:sz w:val="18"/>
          <w:szCs w:val="18"/>
        </w:rPr>
      </w:pPr>
    </w:p>
    <w:p>
      <w:pPr>
        <w:pStyle w:val="Heading4"/>
        <w:spacing w:line="240" w:lineRule="auto"/>
        <w:ind w:right="1133"/>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513" w:right="463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公司报告期不存在控股股东及其关联方对上市公司的非经营性占用资金。</w:t>
      </w:r>
    </w:p>
    <w:p>
      <w:pPr>
        <w:spacing w:line="240" w:lineRule="auto" w:before="0"/>
        <w:rPr>
          <w:rFonts w:ascii="宋体" w:hAnsi="宋体" w:cs="宋体" w:eastAsia="宋体" w:hint="default"/>
          <w:sz w:val="18"/>
          <w:szCs w:val="18"/>
        </w:rPr>
      </w:pPr>
    </w:p>
    <w:p>
      <w:pPr>
        <w:pStyle w:val="Heading4"/>
        <w:spacing w:line="240" w:lineRule="auto"/>
        <w:ind w:right="111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4"/>
        <w:spacing w:line="240" w:lineRule="auto"/>
        <w:ind w:right="1133"/>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00" w:lineRule="auto" w:before="115"/>
        <w:ind w:left="152" w:right="1128" w:firstLine="360"/>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、财政部于</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日发布了《关于印发修订</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企业会计准则第</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15"/>
          <w:sz w:val="18"/>
          <w:szCs w:val="18"/>
        </w:rPr>
        <w:t> </w:t>
      </w:r>
      <w:r>
        <w:rPr>
          <w:rFonts w:ascii="宋体" w:hAnsi="宋体" w:cs="宋体" w:eastAsia="宋体" w:hint="default"/>
          <w:spacing w:val="-7"/>
          <w:sz w:val="18"/>
          <w:szCs w:val="18"/>
        </w:rPr>
        <w:t>号—金融工具确认和计量</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的通知（》财会</w:t>
      </w:r>
      <w:r>
        <w:rPr>
          <w:rFonts w:ascii="Times New Roman" w:hAnsi="Times New Roman" w:cs="Times New Roman" w:eastAsia="Times New Roman" w:hint="default"/>
          <w:spacing w:val="-7"/>
          <w:sz w:val="18"/>
          <w:szCs w:val="18"/>
        </w:rPr>
        <w:t>[2017]7</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号）、《关于印发修订</w:t>
      </w:r>
      <w:r>
        <w:rPr>
          <w:rFonts w:ascii="Times New Roman" w:hAnsi="Times New Roman" w:cs="Times New Roman" w:eastAsia="Times New Roman" w:hint="default"/>
          <w:spacing w:val="-11"/>
          <w:sz w:val="18"/>
          <w:szCs w:val="18"/>
        </w:rPr>
        <w:t>&lt;</w:t>
      </w:r>
      <w:r>
        <w:rPr>
          <w:rFonts w:ascii="宋体" w:hAnsi="宋体" w:cs="宋体" w:eastAsia="宋体" w:hint="default"/>
          <w:spacing w:val="-11"/>
          <w:sz w:val="18"/>
          <w:szCs w:val="18"/>
        </w:rPr>
        <w:t>企业会计准则第</w:t>
      </w:r>
      <w:r>
        <w:rPr>
          <w:rFonts w:ascii="宋体" w:hAnsi="宋体" w:cs="宋体" w:eastAsia="宋体" w:hint="default"/>
          <w:spacing w:val="-10"/>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36"/>
          <w:sz w:val="18"/>
          <w:szCs w:val="18"/>
        </w:rPr>
        <w:t> </w:t>
      </w:r>
      <w:r>
        <w:rPr>
          <w:rFonts w:ascii="宋体" w:hAnsi="宋体" w:cs="宋体" w:eastAsia="宋体" w:hint="default"/>
          <w:spacing w:val="-4"/>
          <w:sz w:val="18"/>
          <w:szCs w:val="18"/>
        </w:rPr>
        <w:t>号—金融资产转移</w:t>
      </w:r>
      <w:r>
        <w:rPr>
          <w:rFonts w:ascii="Times New Roman" w:hAnsi="Times New Roman" w:cs="Times New Roman" w:eastAsia="Times New Roman" w:hint="default"/>
          <w:spacing w:val="-4"/>
          <w:sz w:val="18"/>
          <w:szCs w:val="18"/>
        </w:rPr>
        <w:t>&gt;</w:t>
      </w:r>
      <w:r>
        <w:rPr>
          <w:rFonts w:ascii="宋体" w:hAnsi="宋体" w:cs="宋体" w:eastAsia="宋体" w:hint="default"/>
          <w:spacing w:val="-4"/>
          <w:sz w:val="18"/>
          <w:szCs w:val="18"/>
        </w:rPr>
        <w:t>的通知》（财会</w:t>
      </w:r>
      <w:r>
        <w:rPr>
          <w:rFonts w:ascii="Times New Roman" w:hAnsi="Times New Roman" w:cs="Times New Roman" w:eastAsia="Times New Roman" w:hint="default"/>
          <w:spacing w:val="-4"/>
          <w:sz w:val="18"/>
          <w:szCs w:val="18"/>
        </w:rPr>
        <w:t>[2017]8</w:t>
      </w:r>
      <w:r>
        <w:rPr>
          <w:rFonts w:ascii="Times New Roman" w:hAnsi="Times New Roman" w:cs="Times New Roman" w:eastAsia="Times New Roman" w:hint="default"/>
          <w:spacing w:val="36"/>
          <w:sz w:val="18"/>
          <w:szCs w:val="18"/>
        </w:rPr>
        <w:t> </w:t>
      </w:r>
      <w:r>
        <w:rPr>
          <w:rFonts w:ascii="宋体" w:hAnsi="宋体" w:cs="宋体" w:eastAsia="宋体" w:hint="default"/>
          <w:spacing w:val="-11"/>
          <w:sz w:val="18"/>
          <w:szCs w:val="18"/>
        </w:rPr>
        <w:t>号）、《关于印发修订</w:t>
      </w:r>
      <w:r>
        <w:rPr>
          <w:rFonts w:ascii="Times New Roman" w:hAnsi="Times New Roman" w:cs="Times New Roman" w:eastAsia="Times New Roman" w:hint="default"/>
          <w:spacing w:val="-11"/>
          <w:sz w:val="18"/>
          <w:szCs w:val="18"/>
        </w:rPr>
        <w:t>&lt;</w:t>
      </w:r>
      <w:r>
        <w:rPr>
          <w:rFonts w:ascii="宋体" w:hAnsi="宋体" w:cs="宋体" w:eastAsia="宋体" w:hint="default"/>
          <w:spacing w:val="-11"/>
          <w:sz w:val="18"/>
          <w:szCs w:val="18"/>
        </w:rPr>
        <w:t>企业会计准则第</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号—套期会计</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的通知》（财会</w:t>
      </w:r>
      <w:r>
        <w:rPr>
          <w:rFonts w:ascii="Times New Roman" w:hAnsi="Times New Roman" w:cs="Times New Roman" w:eastAsia="Times New Roman" w:hint="default"/>
          <w:spacing w:val="-6"/>
          <w:sz w:val="18"/>
          <w:szCs w:val="18"/>
        </w:rPr>
        <w:t>[2017]9</w:t>
      </w:r>
      <w:r>
        <w:rPr>
          <w:rFonts w:ascii="Times New Roman" w:hAnsi="Times New Roman" w:cs="Times New Roman" w:eastAsia="Times New Roman" w:hint="default"/>
          <w:spacing w:val="3"/>
          <w:sz w:val="18"/>
          <w:szCs w:val="18"/>
        </w:rPr>
        <w:t> </w:t>
      </w:r>
      <w:r>
        <w:rPr>
          <w:rFonts w:ascii="宋体" w:hAnsi="宋体" w:cs="宋体" w:eastAsia="宋体" w:hint="default"/>
          <w:spacing w:val="-27"/>
          <w:sz w:val="18"/>
          <w:szCs w:val="18"/>
        </w:rPr>
        <w:t>号），于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日发布了《关于印发修订</w:t>
      </w:r>
      <w:r>
        <w:rPr>
          <w:rFonts w:ascii="Times New Roman" w:hAnsi="Times New Roman" w:cs="Times New Roman" w:eastAsia="Times New Roman" w:hint="default"/>
          <w:spacing w:val="-1"/>
          <w:sz w:val="18"/>
          <w:szCs w:val="18"/>
        </w:rPr>
        <w:t>&lt;</w:t>
      </w:r>
      <w:r>
        <w:rPr>
          <w:rFonts w:ascii="宋体" w:hAnsi="宋体" w:cs="宋体" w:eastAsia="宋体" w:hint="default"/>
          <w:spacing w:val="-1"/>
          <w:sz w:val="18"/>
          <w:szCs w:val="18"/>
        </w:rPr>
        <w:t>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号—金融工具 </w:t>
      </w:r>
      <w:r>
        <w:rPr>
          <w:rFonts w:ascii="宋体" w:hAnsi="宋体" w:cs="宋体" w:eastAsia="宋体" w:hint="default"/>
          <w:spacing w:val="-6"/>
          <w:sz w:val="18"/>
          <w:szCs w:val="18"/>
        </w:rPr>
        <w:t>列报</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的通知》（财会</w:t>
      </w:r>
      <w:r>
        <w:rPr>
          <w:rFonts w:ascii="Times New Roman" w:hAnsi="Times New Roman" w:cs="Times New Roman" w:eastAsia="Times New Roman" w:hint="default"/>
          <w:spacing w:val="-6"/>
          <w:sz w:val="18"/>
          <w:szCs w:val="18"/>
        </w:rPr>
        <w:t>[2017]14</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号）（统称“新金融工具系列准则”）。规定在境内外同时上市的企业以及在境外上市并采用国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际财务报告准则或企业会计准则编制财务报告的企业，自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日起施行；其他境内上市企业自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w:t>
      </w:r>
    </w:p>
    <w:p>
      <w:pPr>
        <w:spacing w:line="350" w:lineRule="auto" w:before="13"/>
        <w:ind w:left="513" w:right="1119" w:hanging="361"/>
        <w:jc w:val="left"/>
        <w:rPr>
          <w:rFonts w:ascii="宋体" w:hAnsi="宋体" w:cs="宋体" w:eastAsia="宋体" w:hint="default"/>
          <w:sz w:val="18"/>
          <w:szCs w:val="18"/>
        </w:rPr>
      </w:pPr>
      <w:r>
        <w:rPr>
          <w:rFonts w:ascii="宋体" w:hAnsi="宋体" w:cs="宋体" w:eastAsia="宋体" w:hint="default"/>
          <w:sz w:val="18"/>
          <w:szCs w:val="18"/>
        </w:rPr>
        <w:t>施行；执行企业会计准则的非上市企业自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日起施行。 根据上述新金融工具系列准则的修订，公司需对原金融工具相关的会计政策进行相应变更。 本次会计政策变更，公司自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日起执行，根据新金融工具系列准则的相关要求，公司对上年同期比较报表</w:t>
      </w:r>
    </w:p>
    <w:p>
      <w:pPr>
        <w:spacing w:line="221"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不进行追溯调整，仅调整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年度期初留存收益及其他相关报表项目金额。本次会计政策变更，对以前年度股东权益和净</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利润不构成影响。</w:t>
      </w:r>
    </w:p>
    <w:p>
      <w:pPr>
        <w:spacing w:before="115"/>
        <w:ind w:left="51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财</w:t>
      </w:r>
      <w:r>
        <w:rPr>
          <w:rFonts w:ascii="宋体" w:hAnsi="宋体" w:cs="宋体" w:eastAsia="宋体" w:hint="default"/>
          <w:spacing w:val="-1"/>
          <w:sz w:val="18"/>
          <w:szCs w:val="18"/>
        </w:rPr>
        <w:t>政</w:t>
      </w:r>
      <w:r>
        <w:rPr>
          <w:rFonts w:ascii="宋体" w:hAnsi="宋体" w:cs="宋体" w:eastAsia="宋体" w:hint="default"/>
          <w:sz w:val="18"/>
          <w:szCs w:val="18"/>
        </w:rPr>
        <w:t>部分别于</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日和</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w:t>
      </w:r>
      <w:r>
        <w:rPr>
          <w:rFonts w:ascii="宋体" w:hAnsi="宋体" w:cs="宋体" w:eastAsia="宋体" w:hint="default"/>
          <w:spacing w:val="-3"/>
          <w:sz w:val="18"/>
          <w:szCs w:val="18"/>
        </w:rPr>
        <w:t>布</w:t>
      </w:r>
      <w:r>
        <w:rPr>
          <w:rFonts w:ascii="宋体" w:hAnsi="宋体" w:cs="宋体" w:eastAsia="宋体" w:hint="default"/>
          <w:spacing w:val="-87"/>
          <w:sz w:val="18"/>
          <w:szCs w:val="18"/>
        </w:rPr>
        <w:t>了</w:t>
      </w:r>
      <w:r>
        <w:rPr>
          <w:rFonts w:ascii="宋体" w:hAnsi="宋体" w:cs="宋体" w:eastAsia="宋体" w:hint="default"/>
          <w:sz w:val="18"/>
          <w:szCs w:val="18"/>
        </w:rPr>
        <w:t>《关于修订印发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3"/>
          <w:sz w:val="18"/>
          <w:szCs w:val="18"/>
        </w:rPr>
        <w:t>一</w:t>
      </w:r>
      <w:r>
        <w:rPr>
          <w:rFonts w:ascii="宋体" w:hAnsi="宋体" w:cs="宋体" w:eastAsia="宋体" w:hint="default"/>
          <w:sz w:val="18"/>
          <w:szCs w:val="18"/>
        </w:rPr>
        <w:t>般企业财务报表格式的通知》</w:t>
      </w:r>
    </w:p>
    <w:p>
      <w:pPr>
        <w:spacing w:line="300" w:lineRule="auto" w:before="63"/>
        <w:ind w:left="152" w:right="1130" w:firstLine="0"/>
        <w:jc w:val="left"/>
        <w:rPr>
          <w:rFonts w:ascii="宋体" w:hAnsi="宋体" w:cs="宋体" w:eastAsia="宋体" w:hint="default"/>
          <w:sz w:val="18"/>
          <w:szCs w:val="18"/>
        </w:rPr>
      </w:pP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[2019]6</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号）和《关于修订印发合并财务报表格式（</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版）的通知》（财会</w:t>
      </w:r>
      <w:r>
        <w:rPr>
          <w:rFonts w:ascii="Times New Roman" w:hAnsi="Times New Roman" w:cs="Times New Roman" w:eastAsia="Times New Roman" w:hint="default"/>
          <w:spacing w:val="-6"/>
          <w:sz w:val="18"/>
          <w:szCs w:val="18"/>
        </w:rPr>
        <w:t>[2019]16</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号），对财务报表格式进行了修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订。</w:t>
      </w:r>
    </w:p>
    <w:p>
      <w:pPr>
        <w:spacing w:line="316" w:lineRule="auto" w:before="72"/>
        <w:ind w:left="152" w:right="1129" w:firstLine="360"/>
        <w:jc w:val="left"/>
        <w:rPr>
          <w:rFonts w:ascii="宋体" w:hAnsi="宋体" w:cs="宋体" w:eastAsia="宋体" w:hint="default"/>
          <w:sz w:val="18"/>
          <w:szCs w:val="18"/>
        </w:rPr>
      </w:pPr>
      <w:r>
        <w:rPr>
          <w:rFonts w:ascii="宋体" w:hAnsi="宋体" w:cs="宋体" w:eastAsia="宋体" w:hint="default"/>
          <w:spacing w:val="-2"/>
          <w:sz w:val="18"/>
          <w:szCs w:val="18"/>
        </w:rPr>
        <w:t>本次会计政策变更仅对财务报表项目列示产生影响，不会对当期和会计政策变更之前公司资产总额、负债总额、所有者</w:t>
      </w:r>
      <w:r>
        <w:rPr>
          <w:rFonts w:ascii="宋体" w:hAnsi="宋体" w:cs="宋体" w:eastAsia="宋体" w:hint="default"/>
          <w:sz w:val="18"/>
          <w:szCs w:val="18"/>
        </w:rPr>
        <w:t> 权益及净利润产生任何影响。</w:t>
      </w:r>
    </w:p>
    <w:p>
      <w:pPr>
        <w:spacing w:after="0" w:line="316" w:lineRule="auto"/>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line="300" w:lineRule="auto" w:before="44"/>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、公司对投资性房地产的计量方法初始确定为成本计量模式，为了更加客观的反映公司持有的投资性房地产公允价值，</w:t>
      </w:r>
      <w:r>
        <w:rPr>
          <w:rFonts w:ascii="宋体" w:hAnsi="宋体" w:cs="宋体" w:eastAsia="宋体" w:hint="default"/>
          <w:sz w:val="18"/>
          <w:szCs w:val="18"/>
        </w:rPr>
        <w:t> </w:t>
      </w:r>
      <w:r>
        <w:rPr>
          <w:rFonts w:ascii="宋体" w:hAnsi="宋体" w:cs="宋体" w:eastAsia="宋体" w:hint="default"/>
          <w:spacing w:val="-2"/>
          <w:sz w:val="18"/>
          <w:szCs w:val="18"/>
        </w:rPr>
        <w:t>并与控股股东及实际控制人中国电子的会计政策保持一致，根据《企业会计准则第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pacing w:val="-12"/>
          <w:sz w:val="18"/>
          <w:szCs w:val="18"/>
        </w:rPr>
        <w:t>号—投资性房地产》、《企业会计准则第</w:t>
      </w:r>
    </w:p>
    <w:p>
      <w:pPr>
        <w:spacing w:before="1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号—会计政策、会计估计变更和差错更正》的相关规定，经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日公司第七届董事会第二十九次会议、第七</w:t>
      </w:r>
    </w:p>
    <w:p>
      <w:pPr>
        <w:spacing w:line="300" w:lineRule="auto" w:before="63"/>
        <w:ind w:left="152" w:right="1120" w:firstLine="0"/>
        <w:jc w:val="left"/>
        <w:rPr>
          <w:rFonts w:ascii="宋体" w:hAnsi="宋体" w:cs="宋体" w:eastAsia="宋体" w:hint="default"/>
          <w:sz w:val="18"/>
          <w:szCs w:val="18"/>
        </w:rPr>
      </w:pPr>
      <w:r>
        <w:rPr>
          <w:rFonts w:ascii="宋体" w:hAnsi="宋体" w:cs="宋体" w:eastAsia="宋体" w:hint="default"/>
          <w:sz w:val="18"/>
          <w:szCs w:val="18"/>
        </w:rPr>
        <w:t>届监事会第十一次会议审议，同意公司自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日起对投资性房地产的后续计量模式进行会计政策变更，由成本计 量模式变更为公允价值计量模式，并追溯调整可比期间的合并报表。</w:t>
      </w:r>
    </w:p>
    <w:p>
      <w:pPr>
        <w:spacing w:before="72"/>
        <w:ind w:left="513" w:right="0" w:firstLine="0"/>
        <w:jc w:val="left"/>
        <w:rPr>
          <w:rFonts w:ascii="宋体" w:hAnsi="宋体" w:cs="宋体" w:eastAsia="宋体" w:hint="default"/>
          <w:sz w:val="18"/>
          <w:szCs w:val="18"/>
        </w:rPr>
      </w:pPr>
      <w:r>
        <w:rPr>
          <w:rFonts w:ascii="宋体" w:hAnsi="宋体" w:cs="宋体" w:eastAsia="宋体" w:hint="default"/>
          <w:sz w:val="18"/>
          <w:szCs w:val="18"/>
        </w:rPr>
        <w:t>会计政策变更的具体内容详见年审会计师出具</w:t>
      </w:r>
      <w:r>
        <w:rPr>
          <w:rFonts w:ascii="宋体" w:hAnsi="宋体" w:cs="宋体" w:eastAsia="宋体" w:hint="default"/>
          <w:spacing w:val="-41"/>
          <w:sz w:val="18"/>
          <w:szCs w:val="18"/>
        </w:rPr>
        <w:t>的</w:t>
      </w:r>
      <w:r>
        <w:rPr>
          <w:rFonts w:ascii="宋体" w:hAnsi="宋体" w:cs="宋体" w:eastAsia="宋体" w:hint="default"/>
          <w:sz w:val="18"/>
          <w:szCs w:val="18"/>
        </w:rPr>
        <w:t>《重大会计政策</w:t>
      </w:r>
      <w:r>
        <w:rPr>
          <w:rFonts w:ascii="宋体" w:hAnsi="宋体" w:cs="宋体" w:eastAsia="宋体" w:hint="default"/>
          <w:spacing w:val="-41"/>
          <w:sz w:val="18"/>
          <w:szCs w:val="18"/>
        </w:rPr>
        <w:t>、</w:t>
      </w:r>
      <w:r>
        <w:rPr>
          <w:rFonts w:ascii="宋体" w:hAnsi="宋体" w:cs="宋体" w:eastAsia="宋体" w:hint="default"/>
          <w:sz w:val="18"/>
          <w:szCs w:val="18"/>
        </w:rPr>
        <w:t>会计估计变更以及重大前期会计差错更正专项说明</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pStyle w:val="Heading4"/>
        <w:spacing w:line="240" w:lineRule="auto" w:before="150"/>
        <w:ind w:right="1133"/>
        <w:jc w:val="left"/>
        <w:rPr>
          <w:b w:val="0"/>
          <w:bCs w:val="0"/>
        </w:rPr>
      </w:pP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513" w:right="625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公司报告期无重大会计差错更正需追溯重述的情况。</w:t>
      </w:r>
    </w:p>
    <w:p>
      <w:pPr>
        <w:spacing w:line="240" w:lineRule="auto" w:before="12"/>
        <w:rPr>
          <w:rFonts w:ascii="宋体" w:hAnsi="宋体" w:cs="宋体" w:eastAsia="宋体" w:hint="default"/>
          <w:sz w:val="22"/>
          <w:szCs w:val="22"/>
        </w:rPr>
      </w:pPr>
    </w:p>
    <w:p>
      <w:pPr>
        <w:pStyle w:val="Heading4"/>
        <w:spacing w:line="240" w:lineRule="auto"/>
        <w:ind w:right="1133"/>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00" w:lineRule="auto" w:before="117"/>
        <w:ind w:left="152" w:right="111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月，公司向关联方中电工业互联网有限公司转让湖南凯杰科技有限责任公司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股权交易完成，湖南凯杰科 技有限责任公司不再纳入公司合并范围；</w:t>
      </w:r>
    </w:p>
    <w:p>
      <w:pPr>
        <w:spacing w:before="72"/>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月，新设立的子公司河南长城计算机系统有限公司纳入公司合并范围；</w:t>
      </w:r>
    </w:p>
    <w:p>
      <w:pPr>
        <w:spacing w:before="101"/>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月，新设立的子公司山西长城计算机系统有限公司纳入公司合并范围；</w:t>
      </w:r>
    </w:p>
    <w:p>
      <w:pPr>
        <w:spacing w:before="103"/>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月，新设立的子公司安徽长城计算机系统有限公司纳入公司合并范围；</w:t>
      </w:r>
    </w:p>
    <w:p>
      <w:pPr>
        <w:spacing w:before="103"/>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月，新设立的子公司浙江长城计算机系统有限公司纳入公司合并范围；</w:t>
      </w:r>
    </w:p>
    <w:p>
      <w:pPr>
        <w:spacing w:before="101"/>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月，新设立的子公司新疆长城计算机系统有限公司纳入公司合并范围；</w:t>
      </w:r>
    </w:p>
    <w:p>
      <w:pPr>
        <w:spacing w:line="348" w:lineRule="auto" w:before="103"/>
        <w:ind w:left="513" w:right="21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月，圣非凡完成对轨道交通研究院的收购，以同一控制下企业合并的方式纳入公司合并范围。 湖南长城信息金融设备有限责任公司股权转让湖南长城科技，级次下沉； 详见财务报告附注“合并范围的变更”中的相关内容。</w:t>
      </w:r>
    </w:p>
    <w:p>
      <w:pPr>
        <w:spacing w:line="240" w:lineRule="auto" w:before="11"/>
        <w:rPr>
          <w:rFonts w:ascii="宋体" w:hAnsi="宋体" w:cs="宋体" w:eastAsia="宋体" w:hint="default"/>
          <w:sz w:val="18"/>
          <w:szCs w:val="18"/>
        </w:rPr>
      </w:pPr>
    </w:p>
    <w:p>
      <w:pPr>
        <w:pStyle w:val="Heading4"/>
        <w:spacing w:line="240" w:lineRule="auto"/>
        <w:ind w:right="113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许培梅、顾欣</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before="52"/>
        <w:ind w:left="152" w:right="113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60" w:lineRule="auto" w:before="115"/>
        <w:ind w:left="152" w:right="625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聘请内部控制审计会计师事务所、财务顾问或保荐人情况</w:t>
      </w:r>
    </w:p>
    <w:p>
      <w:pPr>
        <w:spacing w:before="25"/>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513" w:right="0" w:firstLine="0"/>
        <w:jc w:val="left"/>
        <w:rPr>
          <w:rFonts w:ascii="宋体" w:hAnsi="宋体" w:cs="宋体" w:eastAsia="宋体" w:hint="default"/>
          <w:sz w:val="18"/>
          <w:szCs w:val="18"/>
        </w:rPr>
      </w:pPr>
      <w:r>
        <w:rPr>
          <w:rFonts w:ascii="宋体" w:hAnsi="宋体" w:cs="宋体" w:eastAsia="宋体" w:hint="default"/>
          <w:sz w:val="18"/>
          <w:szCs w:val="18"/>
        </w:rPr>
        <w:t>公司聘请立信会计师事务所（特殊普通合伙）为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年度财务审计单位及内部控制审计单位，聘请期限为一年，年度</w:t>
      </w:r>
    </w:p>
    <w:p>
      <w:pPr>
        <w:spacing w:before="62"/>
        <w:ind w:left="152" w:right="0" w:firstLine="0"/>
        <w:jc w:val="left"/>
        <w:rPr>
          <w:rFonts w:ascii="宋体" w:hAnsi="宋体" w:cs="宋体" w:eastAsia="宋体" w:hint="default"/>
          <w:sz w:val="18"/>
          <w:szCs w:val="18"/>
        </w:rPr>
      </w:pPr>
      <w:r>
        <w:rPr>
          <w:rFonts w:ascii="宋体" w:hAnsi="宋体" w:cs="宋体" w:eastAsia="宋体" w:hint="default"/>
          <w:sz w:val="18"/>
          <w:szCs w:val="18"/>
        </w:rPr>
        <w:t>审计费用为不超过人民币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万元（含下属子公司，其中母公司年度财务审计费用不超过人民币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万元、内部控制审计费</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用不超过人民币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4"/>
        <w:rPr>
          <w:rFonts w:ascii="宋体" w:hAnsi="宋体" w:cs="宋体" w:eastAsia="宋体" w:hint="default"/>
          <w:sz w:val="20"/>
          <w:szCs w:val="20"/>
        </w:rPr>
      </w:pPr>
    </w:p>
    <w:p>
      <w:pPr>
        <w:pStyle w:val="Heading4"/>
        <w:spacing w:line="240" w:lineRule="auto" w:before="26"/>
        <w:ind w:left="512" w:right="112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512" w:right="11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2"/>
        <w:ind w:left="512" w:right="112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60" w:lineRule="auto" w:before="0"/>
        <w:ind w:left="873" w:right="733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公司报告期未发生破产重整相关事项。</w:t>
      </w:r>
    </w:p>
    <w:p>
      <w:pPr>
        <w:spacing w:line="240" w:lineRule="auto" w:before="0"/>
        <w:rPr>
          <w:rFonts w:ascii="宋体" w:hAnsi="宋体" w:cs="宋体" w:eastAsia="宋体" w:hint="default"/>
          <w:sz w:val="18"/>
          <w:szCs w:val="18"/>
        </w:rPr>
      </w:pPr>
    </w:p>
    <w:p>
      <w:pPr>
        <w:pStyle w:val="Heading4"/>
        <w:spacing w:line="240" w:lineRule="auto"/>
        <w:ind w:left="512" w:right="112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873" w:right="1120"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本报告期公司无重大诉讼、仲裁事项，因一般诉讼、仲裁事项形成的其他诉讼事项及或有负债事项详见下表和财务报告</w:t>
      </w:r>
    </w:p>
    <w:p>
      <w:pPr>
        <w:spacing w:line="224" w:lineRule="exact" w:before="0"/>
        <w:ind w:left="512" w:right="1120" w:firstLine="0"/>
        <w:jc w:val="left"/>
        <w:rPr>
          <w:rFonts w:ascii="宋体" w:hAnsi="宋体" w:cs="宋体" w:eastAsia="宋体" w:hint="default"/>
          <w:sz w:val="18"/>
          <w:szCs w:val="18"/>
        </w:rPr>
      </w:pPr>
      <w:r>
        <w:rPr>
          <w:rFonts w:ascii="宋体" w:hAnsi="宋体" w:cs="宋体" w:eastAsia="宋体" w:hint="default"/>
          <w:sz w:val="18"/>
          <w:szCs w:val="18"/>
        </w:rPr>
        <w:t>附注中的相关说明。</w:t>
      </w:r>
    </w:p>
    <w:p>
      <w:pPr>
        <w:spacing w:line="240" w:lineRule="auto" w:before="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5034"/>
        <w:gridCol w:w="795"/>
        <w:gridCol w:w="852"/>
        <w:gridCol w:w="991"/>
        <w:gridCol w:w="1553"/>
        <w:gridCol w:w="1207"/>
      </w:tblGrid>
      <w:tr>
        <w:trPr>
          <w:trHeight w:val="713" w:hRule="exact"/>
        </w:trPr>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60"/>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311" w:right="67"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10" w:right="79" w:hanging="329"/>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 果及影响</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48" w:right="86"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r>
      <w:tr>
        <w:trPr>
          <w:trHeight w:val="1963" w:hRule="exact"/>
        </w:trPr>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8"/>
              <w:jc w:val="both"/>
              <w:rPr>
                <w:rFonts w:ascii="宋体" w:hAnsi="宋体" w:cs="宋体" w:eastAsia="宋体" w:hint="default"/>
                <w:sz w:val="18"/>
                <w:szCs w:val="18"/>
              </w:rPr>
            </w:pPr>
            <w:r>
              <w:rPr>
                <w:rFonts w:ascii="宋体" w:hAnsi="宋体" w:cs="宋体" w:eastAsia="宋体" w:hint="default"/>
                <w:spacing w:val="2"/>
                <w:sz w:val="18"/>
                <w:szCs w:val="18"/>
              </w:rPr>
              <w:t>中国长城与深圳市广鑫融进出口贸易有限公司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深圳市华芯锂能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科技有限公司、中原电子与广东中钰科技股份有限公司、长城能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源与惠州小明太阳能投资管理有限公司、中电软件园与北京修哪</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儿互联网科技有限公司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湖南德冠北斗卫星应用产业研究院有限</w:t>
            </w:r>
            <w:r>
              <w:rPr>
                <w:rFonts w:ascii="宋体" w:hAnsi="宋体" w:cs="宋体" w:eastAsia="宋体" w:hint="default"/>
                <w:sz w:val="18"/>
                <w:szCs w:val="18"/>
              </w:rPr>
              <w:t>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湖南盛世华夏创客联盟有限公司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湖南微课创景教育科技有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长沙创芯谷电子科技有限公司合同纠纷案合同纠纷案</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1,094.94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60" w:lineRule="auto"/>
              <w:ind w:left="131" w:right="127" w:firstLine="180"/>
              <w:jc w:val="left"/>
              <w:rPr>
                <w:rFonts w:ascii="宋体" w:hAnsi="宋体" w:cs="宋体" w:eastAsia="宋体" w:hint="default"/>
                <w:sz w:val="18"/>
                <w:szCs w:val="18"/>
              </w:rPr>
            </w:pPr>
            <w:r>
              <w:rPr>
                <w:rFonts w:ascii="宋体" w:hAnsi="宋体" w:cs="宋体" w:eastAsia="宋体" w:hint="default"/>
                <w:sz w:val="18"/>
                <w:szCs w:val="18"/>
              </w:rPr>
              <w:t>胜诉 和解结案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 w:right="26"/>
              <w:jc w:val="left"/>
              <w:rPr>
                <w:rFonts w:ascii="宋体" w:hAnsi="宋体" w:cs="宋体" w:eastAsia="宋体" w:hint="default"/>
                <w:sz w:val="18"/>
                <w:szCs w:val="18"/>
              </w:rPr>
            </w:pPr>
            <w:r>
              <w:rPr>
                <w:rFonts w:ascii="宋体" w:hAnsi="宋体" w:cs="宋体" w:eastAsia="宋体" w:hint="default"/>
                <w:spacing w:val="6"/>
                <w:sz w:val="18"/>
                <w:szCs w:val="18"/>
              </w:rPr>
              <w:t>如执行到位可获一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定偿付</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713" w:hRule="exact"/>
        </w:trPr>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中国长城诉</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位自然人股东滥用权力赔偿纠纷案</w:t>
            </w:r>
            <w:r>
              <w:rPr>
                <w:rFonts w:ascii="宋体" w:hAnsi="宋体" w:cs="宋体" w:eastAsia="宋体" w:hint="default"/>
                <w:sz w:val="18"/>
                <w:szCs w:val="18"/>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胜诉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6"/>
              <w:jc w:val="left"/>
              <w:rPr>
                <w:rFonts w:ascii="宋体" w:hAnsi="宋体" w:cs="宋体" w:eastAsia="宋体" w:hint="default"/>
                <w:sz w:val="18"/>
                <w:szCs w:val="18"/>
              </w:rPr>
            </w:pPr>
            <w:r>
              <w:rPr>
                <w:rFonts w:ascii="宋体" w:hAnsi="宋体" w:cs="宋体" w:eastAsia="宋体" w:hint="default"/>
                <w:spacing w:val="6"/>
                <w:sz w:val="18"/>
                <w:szCs w:val="18"/>
              </w:rPr>
              <w:t>如执行到位可获一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定偿付</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716" w:hRule="exact"/>
        </w:trPr>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中国长城与榆树市第一小学债权追偿纠纷案</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胜诉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26"/>
              <w:jc w:val="left"/>
              <w:rPr>
                <w:rFonts w:ascii="宋体" w:hAnsi="宋体" w:cs="宋体" w:eastAsia="宋体" w:hint="default"/>
                <w:sz w:val="18"/>
                <w:szCs w:val="18"/>
              </w:rPr>
            </w:pPr>
            <w:r>
              <w:rPr>
                <w:rFonts w:ascii="宋体" w:hAnsi="宋体" w:cs="宋体" w:eastAsia="宋体" w:hint="default"/>
                <w:spacing w:val="6"/>
                <w:sz w:val="18"/>
                <w:szCs w:val="18"/>
              </w:rPr>
              <w:t>如执行到位可获一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定偿付</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713" w:hRule="exact"/>
        </w:trPr>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3"/>
                <w:sz w:val="18"/>
                <w:szCs w:val="18"/>
              </w:rPr>
              <w:t>橡果贸易</w:t>
            </w:r>
            <w:r>
              <w:rPr>
                <w:rFonts w:ascii="宋体" w:hAnsi="宋体" w:cs="宋体" w:eastAsia="宋体" w:hint="default"/>
                <w:spacing w:val="-3"/>
                <w:sz w:val="18"/>
                <w:szCs w:val="18"/>
              </w:rPr>
              <w:t>(</w:t>
            </w:r>
            <w:r>
              <w:rPr>
                <w:rFonts w:ascii="宋体" w:hAnsi="宋体" w:cs="宋体" w:eastAsia="宋体" w:hint="default"/>
                <w:spacing w:val="-3"/>
                <w:sz w:val="18"/>
                <w:szCs w:val="18"/>
              </w:rPr>
              <w:t>上海</w:t>
            </w:r>
            <w:r>
              <w:rPr>
                <w:rFonts w:ascii="宋体" w:hAnsi="宋体" w:cs="宋体" w:eastAsia="宋体" w:hint="default"/>
                <w:spacing w:val="-3"/>
                <w:sz w:val="18"/>
                <w:szCs w:val="18"/>
              </w:rPr>
              <w:t>)</w:t>
            </w:r>
            <w:r>
              <w:rPr>
                <w:rFonts w:ascii="宋体" w:hAnsi="宋体" w:cs="宋体" w:eastAsia="宋体" w:hint="default"/>
                <w:spacing w:val="-3"/>
                <w:sz w:val="18"/>
                <w:szCs w:val="18"/>
              </w:rPr>
              <w:t>有限公司与中国长城、湖南奥仕博才人力资源有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限责任公司与海盾光纤合同纠纷案</w:t>
            </w:r>
            <w:r>
              <w:rPr>
                <w:rFonts w:ascii="宋体" w:hAnsi="宋体" w:cs="宋体" w:eastAsia="宋体" w:hint="default"/>
                <w:sz w:val="18"/>
                <w:szCs w:val="18"/>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已结案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6"/>
              <w:jc w:val="left"/>
              <w:rPr>
                <w:rFonts w:ascii="宋体" w:hAnsi="宋体" w:cs="宋体" w:eastAsia="宋体" w:hint="default"/>
                <w:sz w:val="18"/>
                <w:szCs w:val="18"/>
              </w:rPr>
            </w:pPr>
            <w:r>
              <w:rPr>
                <w:rFonts w:ascii="宋体" w:hAnsi="宋体" w:cs="宋体" w:eastAsia="宋体" w:hint="default"/>
                <w:spacing w:val="6"/>
                <w:sz w:val="18"/>
                <w:szCs w:val="18"/>
              </w:rPr>
              <w:t>对公司影响较小，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公司执行部分偿付</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已执行</w:t>
            </w:r>
          </w:p>
        </w:tc>
      </w:tr>
      <w:tr>
        <w:trPr>
          <w:trHeight w:val="715" w:hRule="exact"/>
        </w:trPr>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3"/>
                <w:sz w:val="18"/>
                <w:szCs w:val="18"/>
              </w:rPr>
              <w:t>汉华易美</w:t>
            </w:r>
            <w:r>
              <w:rPr>
                <w:rFonts w:ascii="宋体" w:hAnsi="宋体" w:cs="宋体" w:eastAsia="宋体" w:hint="default"/>
                <w:spacing w:val="3"/>
                <w:sz w:val="18"/>
                <w:szCs w:val="18"/>
              </w:rPr>
              <w:t>(</w:t>
            </w:r>
            <w:r>
              <w:rPr>
                <w:rFonts w:ascii="宋体" w:hAnsi="宋体" w:cs="宋体" w:eastAsia="宋体" w:hint="default"/>
                <w:spacing w:val="3"/>
                <w:sz w:val="18"/>
                <w:szCs w:val="18"/>
              </w:rPr>
              <w:t>天津</w:t>
            </w:r>
            <w:r>
              <w:rPr>
                <w:rFonts w:ascii="宋体" w:hAnsi="宋体" w:cs="宋体" w:eastAsia="宋体" w:hint="default"/>
                <w:spacing w:val="3"/>
                <w:sz w:val="18"/>
                <w:szCs w:val="18"/>
              </w:rPr>
              <w:t>)</w:t>
            </w:r>
            <w:r>
              <w:rPr>
                <w:rFonts w:ascii="宋体" w:hAnsi="宋体" w:cs="宋体" w:eastAsia="宋体" w:hint="default"/>
                <w:spacing w:val="3"/>
                <w:sz w:val="18"/>
                <w:szCs w:val="18"/>
              </w:rPr>
              <w:t>图像技术有限公司与中国长城作品信息网络传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播权纠纷</w:t>
            </w:r>
            <w:r>
              <w:rPr>
                <w:rFonts w:ascii="宋体" w:hAnsi="宋体" w:cs="宋体" w:eastAsia="宋体" w:hint="default"/>
                <w:sz w:val="18"/>
                <w:szCs w:val="18"/>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已结案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6"/>
              <w:jc w:val="left"/>
              <w:rPr>
                <w:rFonts w:ascii="宋体" w:hAnsi="宋体" w:cs="宋体" w:eastAsia="宋体" w:hint="default"/>
                <w:sz w:val="18"/>
                <w:szCs w:val="18"/>
              </w:rPr>
            </w:pPr>
            <w:r>
              <w:rPr>
                <w:rFonts w:ascii="宋体" w:hAnsi="宋体" w:cs="宋体" w:eastAsia="宋体" w:hint="default"/>
                <w:spacing w:val="6"/>
                <w:sz w:val="18"/>
                <w:szCs w:val="18"/>
              </w:rPr>
              <w:t>对公司影响较小，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公司执行部分偿付</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已执行</w:t>
            </w:r>
          </w:p>
        </w:tc>
      </w:tr>
      <w:tr>
        <w:trPr>
          <w:trHeight w:val="401" w:hRule="exact"/>
        </w:trPr>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中电软件园与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位自然人合同纠纷案</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审理中</w:t>
            </w:r>
          </w:p>
        </w:tc>
        <w:tc>
          <w:tcPr>
            <w:tcW w:w="15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未结案</w:t>
            </w:r>
          </w:p>
        </w:tc>
      </w:tr>
      <w:tr>
        <w:trPr>
          <w:trHeight w:val="1027" w:hRule="exact"/>
        </w:trPr>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8"/>
              <w:jc w:val="both"/>
              <w:rPr>
                <w:rFonts w:ascii="宋体" w:hAnsi="宋体" w:cs="宋体" w:eastAsia="宋体" w:hint="default"/>
                <w:sz w:val="18"/>
                <w:szCs w:val="18"/>
              </w:rPr>
            </w:pPr>
            <w:r>
              <w:rPr>
                <w:rFonts w:ascii="宋体" w:hAnsi="宋体" w:cs="宋体" w:eastAsia="宋体" w:hint="default"/>
                <w:spacing w:val="-3"/>
                <w:sz w:val="18"/>
                <w:szCs w:val="18"/>
              </w:rPr>
              <w:t>广东飞触科技股份有限公司与中国长城、东莞飞洋光电科技有限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公司与湖南长城、</w:t>
            </w:r>
            <w:r>
              <w:rPr>
                <w:rFonts w:ascii="Times New Roman" w:hAnsi="Times New Roman" w:cs="Times New Roman" w:eastAsia="Times New Roman" w:hint="default"/>
                <w:sz w:val="18"/>
                <w:szCs w:val="18"/>
              </w:rPr>
              <w:t>SATCON(USA)INC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与长城能源、兰州力源铁 路专用设备有限公司与圣非凡合同纠纷案</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审理中</w:t>
            </w:r>
          </w:p>
        </w:tc>
        <w:tc>
          <w:tcPr>
            <w:tcW w:w="15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未结案</w:t>
            </w:r>
          </w:p>
        </w:tc>
      </w:tr>
    </w:tbl>
    <w:p>
      <w:pPr>
        <w:spacing w:line="240" w:lineRule="auto" w:before="1"/>
        <w:rPr>
          <w:rFonts w:ascii="宋体" w:hAnsi="宋体" w:cs="宋体" w:eastAsia="宋体" w:hint="default"/>
          <w:sz w:val="18"/>
          <w:szCs w:val="18"/>
        </w:rPr>
      </w:pPr>
    </w:p>
    <w:p>
      <w:pPr>
        <w:pStyle w:val="Heading4"/>
        <w:spacing w:line="240" w:lineRule="auto" w:before="26"/>
        <w:ind w:left="512" w:right="1120"/>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873" w:right="751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公司报告期不存在处罚及整改情况。</w:t>
      </w:r>
    </w:p>
    <w:p>
      <w:pPr>
        <w:spacing w:after="0" w:line="360" w:lineRule="auto"/>
        <w:jc w:val="left"/>
        <w:rPr>
          <w:rFonts w:ascii="宋体" w:hAnsi="宋体" w:cs="宋体" w:eastAsia="宋体" w:hint="default"/>
          <w:sz w:val="18"/>
          <w:szCs w:val="18"/>
        </w:rPr>
        <w:sectPr>
          <w:pgSz w:w="11910" w:h="16840"/>
          <w:pgMar w:header="789" w:footer="975" w:top="1100" w:bottom="1160" w:left="620" w:right="0"/>
        </w:sectPr>
      </w:pPr>
    </w:p>
    <w:p>
      <w:pPr>
        <w:spacing w:line="240" w:lineRule="auto" w:before="4"/>
        <w:rPr>
          <w:rFonts w:ascii="宋体" w:hAnsi="宋体" w:cs="宋体" w:eastAsia="宋体" w:hint="default"/>
          <w:sz w:val="20"/>
          <w:szCs w:val="20"/>
        </w:rPr>
      </w:pPr>
    </w:p>
    <w:p>
      <w:pPr>
        <w:pStyle w:val="Heading4"/>
        <w:spacing w:line="240" w:lineRule="auto" w:before="26"/>
        <w:ind w:right="1133"/>
        <w:jc w:val="left"/>
        <w:rPr>
          <w:b w:val="0"/>
          <w:bCs w:val="0"/>
        </w:rPr>
      </w:pPr>
      <w:r>
        <w:rPr/>
        <w:t>十四、公司及其控股股东、实际控制人的诚信状况</w:t>
      </w:r>
      <w:r>
        <w:rPr>
          <w:b w:val="0"/>
          <w:bCs w:val="0"/>
        </w:rPr>
      </w:r>
    </w:p>
    <w:p>
      <w:pPr>
        <w:spacing w:line="240" w:lineRule="auto" w:before="4"/>
        <w:rPr>
          <w:rFonts w:ascii="宋体" w:hAnsi="宋体" w:cs="宋体" w:eastAsia="宋体" w:hint="default"/>
          <w:b/>
          <w:bCs/>
          <w:sz w:val="17"/>
          <w:szCs w:val="17"/>
        </w:rPr>
      </w:pPr>
    </w:p>
    <w:p>
      <w:pPr>
        <w:spacing w:line="338" w:lineRule="auto" w:before="0"/>
        <w:ind w:left="513" w:right="121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报告期内，公司及其控股股东、实际控制人不存在未履行的法院生效判决、所负数额较大的债务到期未清偿等情况。</w:t>
      </w:r>
    </w:p>
    <w:p>
      <w:pPr>
        <w:pStyle w:val="Heading4"/>
        <w:spacing w:line="240" w:lineRule="auto" w:before="136"/>
        <w:ind w:right="1133"/>
        <w:jc w:val="left"/>
        <w:rPr>
          <w:b w:val="0"/>
          <w:bCs w:val="0"/>
        </w:rPr>
      </w:pPr>
      <w:r>
        <w:rPr/>
        <w:t>十五、公司股权激励计划、员工持股计划或其他员工激励措施的实施情况</w:t>
      </w:r>
      <w:r>
        <w:rPr>
          <w:b w:val="0"/>
          <w:bCs w:val="0"/>
        </w:rPr>
      </w:r>
    </w:p>
    <w:p>
      <w:pPr>
        <w:spacing w:line="240" w:lineRule="auto" w:before="2"/>
        <w:rPr>
          <w:rFonts w:ascii="宋体" w:hAnsi="宋体" w:cs="宋体" w:eastAsia="宋体" w:hint="default"/>
          <w:b/>
          <w:bCs/>
          <w:sz w:val="17"/>
          <w:szCs w:val="17"/>
        </w:rPr>
      </w:pPr>
    </w:p>
    <w:p>
      <w:pPr>
        <w:spacing w:line="316" w:lineRule="auto" w:before="0"/>
        <w:ind w:left="513" w:right="1129"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为进一步完善中国长城的法人治理结构，促进公司建立、健全激励约束机制，充分调动公司及控股子公司的董事、高级</w:t>
      </w:r>
    </w:p>
    <w:p>
      <w:pPr>
        <w:spacing w:line="316" w:lineRule="auto" w:before="19"/>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管理人员、其他高层管理人员、中层管理人员、核心骨干人员的积极性、责任感和使命感，有效地将股东利益、公司利益和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经营者个人利益结合在一起，共同关注公司的长远发展，并为之共同努力奋斗，根据相关法律法规，结合公司执行的薪酬体</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系和绩效考核体系等管理制度，制订股票期权激励计划。</w:t>
      </w:r>
    </w:p>
    <w:p>
      <w:pPr>
        <w:spacing w:before="19"/>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、公司股票期权激励计划简述</w:t>
      </w:r>
    </w:p>
    <w:p>
      <w:pPr>
        <w:spacing w:line="300" w:lineRule="auto" w:before="63"/>
        <w:ind w:left="152" w:right="111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t>激励工具为股票期权</w:t>
      </w:r>
      <w:r>
        <w:rPr>
          <w:rFonts w:ascii="宋体" w:hAnsi="宋体" w:cs="宋体" w:eastAsia="宋体" w:hint="default"/>
          <w:spacing w:val="-99"/>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
          <w:sz w:val="18"/>
          <w:szCs w:val="18"/>
        </w:rPr>
        <w:t>）</w:t>
      </w:r>
      <w:r>
        <w:rPr>
          <w:rFonts w:ascii="宋体" w:hAnsi="宋体" w:cs="宋体" w:eastAsia="宋体" w:hint="default"/>
          <w:sz w:val="18"/>
          <w:szCs w:val="18"/>
        </w:rPr>
        <w:t>标的股票来源为公司向激励对象定向发行公司</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t> </w:t>
      </w:r>
      <w:r>
        <w:rPr>
          <w:rFonts w:ascii="宋体" w:hAnsi="宋体" w:cs="宋体" w:eastAsia="宋体" w:hint="default"/>
          <w:sz w:val="18"/>
          <w:szCs w:val="18"/>
        </w:rPr>
        <w:t>股普通股</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8"/>
          <w:sz w:val="18"/>
          <w:szCs w:val="18"/>
        </w:rPr>
        <w:t>）</w:t>
      </w:r>
      <w:r>
        <w:rPr>
          <w:rFonts w:ascii="宋体" w:hAnsi="宋体" w:cs="宋体" w:eastAsia="宋体" w:hint="default"/>
          <w:sz w:val="18"/>
          <w:szCs w:val="18"/>
        </w:rPr>
        <w:t>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名激励对象授 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万份股票期</w:t>
      </w:r>
      <w:r>
        <w:rPr>
          <w:rFonts w:ascii="宋体" w:hAnsi="宋体" w:cs="宋体" w:eastAsia="宋体" w:hint="default"/>
          <w:spacing w:val="-3"/>
          <w:sz w:val="18"/>
          <w:szCs w:val="18"/>
        </w:rPr>
        <w:t>权</w:t>
      </w:r>
      <w:r>
        <w:rPr>
          <w:rFonts w:ascii="宋体" w:hAnsi="宋体" w:cs="宋体" w:eastAsia="宋体" w:hint="default"/>
          <w:spacing w:val="-10"/>
          <w:sz w:val="18"/>
          <w:szCs w:val="18"/>
        </w:rPr>
        <w:t>，</w:t>
      </w:r>
      <w:r>
        <w:rPr>
          <w:rFonts w:ascii="宋体" w:hAnsi="宋体" w:cs="宋体" w:eastAsia="宋体" w:hint="default"/>
          <w:sz w:val="18"/>
          <w:szCs w:val="18"/>
        </w:rPr>
        <w:t>约占</w:t>
      </w:r>
      <w:r>
        <w:rPr>
          <w:rFonts w:ascii="宋体" w:hAnsi="宋体" w:cs="宋体" w:eastAsia="宋体" w:hint="default"/>
          <w:spacing w:val="-3"/>
          <w:sz w:val="18"/>
          <w:szCs w:val="18"/>
        </w:rPr>
        <w:t>计</w:t>
      </w:r>
      <w:r>
        <w:rPr>
          <w:rFonts w:ascii="宋体" w:hAnsi="宋体" w:cs="宋体" w:eastAsia="宋体" w:hint="default"/>
          <w:sz w:val="18"/>
          <w:szCs w:val="18"/>
        </w:rPr>
        <w:t>划公告时公司总股本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万股的</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10"/>
          <w:sz w:val="18"/>
          <w:szCs w:val="18"/>
        </w:rPr>
        <w:t>）</w:t>
      </w:r>
      <w:r>
        <w:rPr>
          <w:rFonts w:ascii="宋体" w:hAnsi="宋体" w:cs="宋体" w:eastAsia="宋体" w:hint="default"/>
          <w:sz w:val="18"/>
          <w:szCs w:val="18"/>
        </w:rPr>
        <w:t>授予</w:t>
      </w:r>
      <w:r>
        <w:rPr>
          <w:rFonts w:ascii="宋体" w:hAnsi="宋体" w:cs="宋体" w:eastAsia="宋体" w:hint="default"/>
          <w:spacing w:val="-3"/>
          <w:sz w:val="18"/>
          <w:szCs w:val="18"/>
        </w:rPr>
        <w:t>日</w:t>
      </w: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0"/>
          <w:sz w:val="18"/>
          <w:szCs w:val="18"/>
        </w:rPr>
        <w:t>）</w:t>
      </w:r>
      <w:r>
        <w:rPr>
          <w:rFonts w:ascii="宋体" w:hAnsi="宋体" w:cs="宋体" w:eastAsia="宋体" w:hint="default"/>
          <w:sz w:val="18"/>
          <w:szCs w:val="18"/>
        </w:rPr>
        <w:t>行权价</w:t>
      </w:r>
    </w:p>
    <w:p>
      <w:pPr>
        <w:spacing w:before="13"/>
        <w:ind w:left="152" w:right="0" w:firstLine="0"/>
        <w:jc w:val="left"/>
        <w:rPr>
          <w:rFonts w:ascii="宋体" w:hAnsi="宋体" w:cs="宋体" w:eastAsia="宋体" w:hint="default"/>
          <w:sz w:val="18"/>
          <w:szCs w:val="18"/>
        </w:rPr>
      </w:pPr>
      <w:r>
        <w:rPr>
          <w:rFonts w:ascii="宋体" w:hAnsi="宋体" w:cs="宋体" w:eastAsia="宋体" w:hint="default"/>
          <w:sz w:val="18"/>
          <w:szCs w:val="18"/>
        </w:rPr>
        <w:t>格</w:t>
      </w:r>
      <w:r>
        <w:rPr>
          <w:rFonts w:ascii="宋体" w:hAnsi="宋体" w:cs="宋体" w:eastAsia="宋体" w:hint="default"/>
          <w:spacing w:val="-7"/>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份</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8"/>
          <w:sz w:val="18"/>
          <w:szCs w:val="18"/>
        </w:rPr>
        <w:t>）</w:t>
      </w:r>
      <w:r>
        <w:rPr>
          <w:rFonts w:ascii="宋体" w:hAnsi="宋体" w:cs="宋体" w:eastAsia="宋体" w:hint="default"/>
          <w:sz w:val="18"/>
          <w:szCs w:val="18"/>
        </w:rPr>
        <w:t>本计划</w:t>
      </w:r>
      <w:r>
        <w:rPr>
          <w:rFonts w:ascii="宋体" w:hAnsi="宋体" w:cs="宋体" w:eastAsia="宋体" w:hint="default"/>
          <w:spacing w:val="-3"/>
          <w:sz w:val="18"/>
          <w:szCs w:val="18"/>
        </w:rPr>
        <w:t>的</w:t>
      </w:r>
      <w:r>
        <w:rPr>
          <w:rFonts w:ascii="宋体" w:hAnsi="宋体" w:cs="宋体" w:eastAsia="宋体" w:hint="default"/>
          <w:sz w:val="18"/>
          <w:szCs w:val="18"/>
        </w:rPr>
        <w:t>有效期为自股票期权授予之日起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8"/>
          <w:sz w:val="18"/>
          <w:szCs w:val="18"/>
        </w:rPr>
        <w:t>，</w:t>
      </w:r>
      <w:r>
        <w:rPr>
          <w:rFonts w:ascii="宋体" w:hAnsi="宋体" w:cs="宋体" w:eastAsia="宋体" w:hint="default"/>
          <w:sz w:val="18"/>
          <w:szCs w:val="18"/>
        </w:rPr>
        <w:t>等待期为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
          <w:sz w:val="18"/>
          <w:szCs w:val="18"/>
        </w:rPr>
        <w:t>。</w:t>
      </w:r>
      <w:r>
        <w:rPr>
          <w:rFonts w:ascii="宋体" w:hAnsi="宋体" w:cs="宋体" w:eastAsia="宋体" w:hint="default"/>
          <w:spacing w:val="-3"/>
          <w:sz w:val="18"/>
          <w:szCs w:val="18"/>
        </w:rPr>
        <w:t>在</w:t>
      </w:r>
      <w:r>
        <w:rPr>
          <w:rFonts w:ascii="宋体" w:hAnsi="宋体" w:cs="宋体" w:eastAsia="宋体" w:hint="default"/>
          <w:sz w:val="18"/>
          <w:szCs w:val="18"/>
        </w:rPr>
        <w:t>可行权日内</w:t>
      </w:r>
      <w:r>
        <w:rPr>
          <w:rFonts w:ascii="宋体" w:hAnsi="宋体" w:cs="宋体" w:eastAsia="宋体" w:hint="default"/>
          <w:spacing w:val="-8"/>
          <w:sz w:val="18"/>
          <w:szCs w:val="18"/>
        </w:rPr>
        <w:t>，</w:t>
      </w:r>
      <w:r>
        <w:rPr>
          <w:rFonts w:ascii="宋体" w:hAnsi="宋体" w:cs="宋体" w:eastAsia="宋体" w:hint="default"/>
          <w:sz w:val="18"/>
          <w:szCs w:val="18"/>
        </w:rPr>
        <w:t>若达到本计划规定</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的行权条件，授予的股票期权自授予日起满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个月后，激励对象应在未来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个月内分三期行权。</w:t>
      </w:r>
    </w:p>
    <w:p>
      <w:pPr>
        <w:spacing w:before="63"/>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、公司股票期权激励计划已履行的相关程序</w:t>
      </w:r>
    </w:p>
    <w:p>
      <w:pPr>
        <w:spacing w:before="63"/>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日公司第六届董事会第十八次会议、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日公司第六届董事会第十九次会议、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年度第二次临时股东大会审议，同意公司实施股票期权激励计划。</w:t>
      </w:r>
    </w:p>
    <w:p>
      <w:pPr>
        <w:spacing w:line="300" w:lineRule="auto" w:before="63"/>
        <w:ind w:left="152" w:right="1121"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22"/>
          <w:sz w:val="18"/>
          <w:szCs w:val="18"/>
        </w:rPr>
        <w:t>，</w:t>
      </w:r>
      <w:r>
        <w:rPr>
          <w:rFonts w:ascii="宋体" w:hAnsi="宋体" w:cs="宋体" w:eastAsia="宋体" w:hint="default"/>
          <w:sz w:val="18"/>
          <w:szCs w:val="18"/>
        </w:rPr>
        <w:t>国资委出</w:t>
      </w:r>
      <w:r>
        <w:rPr>
          <w:rFonts w:ascii="宋体" w:hAnsi="宋体" w:cs="宋体" w:eastAsia="宋体" w:hint="default"/>
          <w:spacing w:val="-22"/>
          <w:sz w:val="18"/>
          <w:szCs w:val="18"/>
        </w:rPr>
        <w:t>具</w:t>
      </w:r>
      <w:r>
        <w:rPr>
          <w:rFonts w:ascii="宋体" w:hAnsi="宋体" w:cs="宋体" w:eastAsia="宋体" w:hint="default"/>
          <w:sz w:val="18"/>
          <w:szCs w:val="18"/>
        </w:rPr>
        <w:t>《</w:t>
      </w:r>
      <w:r>
        <w:rPr>
          <w:rFonts w:ascii="宋体" w:hAnsi="宋体" w:cs="宋体" w:eastAsia="宋体" w:hint="default"/>
          <w:spacing w:val="-3"/>
          <w:sz w:val="18"/>
          <w:szCs w:val="18"/>
        </w:rPr>
        <w:t>关</w:t>
      </w:r>
      <w:r>
        <w:rPr>
          <w:rFonts w:ascii="宋体" w:hAnsi="宋体" w:cs="宋体" w:eastAsia="宋体" w:hint="default"/>
          <w:sz w:val="18"/>
          <w:szCs w:val="18"/>
        </w:rPr>
        <w:t>于中国长城科技集团股份有限公司实施股票期权激励计划的批复</w:t>
      </w:r>
      <w:r>
        <w:rPr>
          <w:rFonts w:ascii="宋体" w:hAnsi="宋体" w:cs="宋体" w:eastAsia="宋体" w:hint="default"/>
          <w:spacing w:val="-113"/>
          <w:sz w:val="18"/>
          <w:szCs w:val="18"/>
        </w:rPr>
        <w:t>》</w:t>
      </w:r>
      <w:r>
        <w:rPr>
          <w:rFonts w:ascii="宋体" w:hAnsi="宋体" w:cs="宋体" w:eastAsia="宋体" w:hint="default"/>
          <w:sz w:val="18"/>
          <w:szCs w:val="18"/>
        </w:rPr>
        <w:t>（国资考</w:t>
      </w:r>
      <w:r>
        <w:rPr>
          <w:rFonts w:ascii="宋体" w:hAnsi="宋体" w:cs="宋体" w:eastAsia="宋体" w:hint="default"/>
          <w:spacing w:val="1"/>
          <w:sz w:val="18"/>
          <w:szCs w:val="18"/>
        </w:rPr>
        <w:t>分</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，原则同意公司实施股票</w:t>
      </w:r>
      <w:r>
        <w:rPr>
          <w:rFonts w:ascii="宋体" w:hAnsi="宋体" w:cs="宋体" w:eastAsia="宋体" w:hint="default"/>
          <w:spacing w:val="2"/>
          <w:sz w:val="18"/>
          <w:szCs w:val="18"/>
        </w:rPr>
        <w:t>期</w:t>
      </w:r>
      <w:r>
        <w:rPr>
          <w:rFonts w:ascii="宋体" w:hAnsi="宋体" w:cs="宋体" w:eastAsia="宋体" w:hint="default"/>
          <w:sz w:val="18"/>
          <w:szCs w:val="18"/>
        </w:rPr>
        <w:t>权激励计划。</w:t>
      </w:r>
    </w:p>
    <w:p>
      <w:pPr>
        <w:spacing w:before="31"/>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经</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日公司第六届董事会第二十次会议审议，同意将公司股票期权激励计划授予日定为</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16</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日，同意授予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594 </w:t>
      </w:r>
      <w:r>
        <w:rPr>
          <w:rFonts w:ascii="宋体" w:hAnsi="宋体" w:cs="宋体" w:eastAsia="宋体" w:hint="default"/>
          <w:sz w:val="18"/>
          <w:szCs w:val="18"/>
        </w:rPr>
        <w:t>名激励对象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万份股票期权，行权价格为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份。</w:t>
      </w:r>
    </w:p>
    <w:p>
      <w:pPr>
        <w:spacing w:line="300" w:lineRule="auto" w:before="63"/>
        <w:ind w:left="152" w:right="1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日，经深圳证券交易所、中国证券登记结算有限责任公司深圳分公司审核确认，公司已完成股票期权的 登记工作，期权简称：长城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JLC1</w:t>
      </w:r>
      <w:r>
        <w:rPr>
          <w:rFonts w:ascii="宋体" w:hAnsi="宋体" w:cs="宋体" w:eastAsia="宋体" w:hint="default"/>
          <w:sz w:val="18"/>
          <w:szCs w:val="18"/>
        </w:rPr>
        <w:t>，期权代码：</w:t>
      </w:r>
      <w:r>
        <w:rPr>
          <w:rFonts w:ascii="Times New Roman" w:hAnsi="Times New Roman" w:cs="Times New Roman" w:eastAsia="Times New Roman" w:hint="default"/>
          <w:sz w:val="18"/>
          <w:szCs w:val="18"/>
        </w:rPr>
        <w:t>037057</w:t>
      </w:r>
      <w:r>
        <w:rPr>
          <w:rFonts w:ascii="宋体" w:hAnsi="宋体" w:cs="宋体" w:eastAsia="宋体" w:hint="default"/>
          <w:sz w:val="18"/>
          <w:szCs w:val="18"/>
        </w:rPr>
        <w:t>。</w:t>
      </w:r>
    </w:p>
    <w:p>
      <w:pPr>
        <w:spacing w:before="13"/>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、公司股票期权激励计划调整情况</w:t>
      </w:r>
    </w:p>
    <w:p>
      <w:pPr>
        <w:spacing w:line="300" w:lineRule="auto" w:before="63"/>
        <w:ind w:left="152" w:right="11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日公司第七届董事会第十七次会议、第七届监事会第七次会议审议，同意调整股票期权激励计 划激励对象名单、期权数量和行权价格及注销部分期权。</w:t>
      </w:r>
    </w:p>
    <w:p>
      <w:pPr>
        <w:spacing w:before="31"/>
        <w:ind w:left="513" w:right="0" w:firstLine="0"/>
        <w:jc w:val="left"/>
        <w:rPr>
          <w:rFonts w:ascii="宋体" w:hAnsi="宋体" w:cs="宋体" w:eastAsia="宋体" w:hint="default"/>
          <w:sz w:val="18"/>
          <w:szCs w:val="18"/>
        </w:rPr>
      </w:pPr>
      <w:r>
        <w:rPr>
          <w:rFonts w:ascii="宋体" w:hAnsi="宋体" w:cs="宋体" w:eastAsia="宋体" w:hint="default"/>
          <w:sz w:val="18"/>
          <w:szCs w:val="18"/>
        </w:rPr>
        <w:t>因激励对象离职原因，对股票期权激励计划激励对象及期权数量进行相应调整，激励对象由原</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594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人调整为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570</w:t>
      </w:r>
      <w:r>
        <w:rPr>
          <w:rFonts w:ascii="Times New Roman" w:hAnsi="Times New Roman" w:cs="Times New Roman" w:eastAsia="Times New Roman" w:hint="default"/>
          <w:spacing w:val="-14"/>
          <w:sz w:val="18"/>
          <w:szCs w:val="18"/>
        </w:rPr>
        <w:t> </w:t>
      </w:r>
      <w:r>
        <w:rPr>
          <w:rFonts w:ascii="宋体" w:hAnsi="宋体" w:cs="宋体" w:eastAsia="宋体" w:hint="default"/>
          <w:spacing w:val="-9"/>
          <w:sz w:val="18"/>
          <w:szCs w:val="18"/>
        </w:rPr>
        <w:t>人，期</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权数量由原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4,410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万份调整为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4,275.80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万份，注销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134.2</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万份；因公司实施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年度权益分派方案，股票期权激励计划行权</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价格由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8.27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份调整为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份。</w:t>
      </w:r>
    </w:p>
    <w:p>
      <w:pPr>
        <w:spacing w:line="300" w:lineRule="auto" w:before="63"/>
        <w:ind w:left="152" w:right="11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日公司第七届董事会第三十四次会议、第七届监事会第十二次会议审议，同意调整股票期权激 励计划激励对象名单、期权数量和行权价格及注销部分期权。</w:t>
      </w:r>
    </w:p>
    <w:p>
      <w:pPr>
        <w:spacing w:before="31"/>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因激励对象离职、离世原因，对股票期权激励计划激励对象及期权数量进行相应调整，激励对象由原</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570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人调整为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540</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人，期权数量由原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4,275.80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万份调整为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4,023.50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万份，注销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252.30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万份；因公司实施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年度权益分派方案，股票期权激</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励计划行权价格由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8.21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份调整为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份。</w:t>
      </w:r>
    </w:p>
    <w:p>
      <w:pPr>
        <w:spacing w:line="300" w:lineRule="auto" w:before="63"/>
        <w:ind w:left="152" w:right="11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日公司第七届董事会第三十六次会议、第七届监事会第十三次会议审议，同意公司对股票期权 激励计划第一个行权期未达行权条件对应的股票期权予以注销。</w:t>
      </w:r>
    </w:p>
    <w:p>
      <w:pPr>
        <w:spacing w:before="32"/>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因公司股票期权激励计划第一个行权期未达行权条件</w:t>
      </w:r>
      <w:r>
        <w:rPr>
          <w:rFonts w:ascii="宋体" w:hAnsi="宋体" w:cs="宋体" w:eastAsia="宋体" w:hint="default"/>
          <w:spacing w:val="-92"/>
          <w:sz w:val="18"/>
          <w:szCs w:val="18"/>
        </w:rPr>
        <w:t>，</w:t>
      </w:r>
      <w:r>
        <w:rPr>
          <w:rFonts w:ascii="宋体" w:hAnsi="宋体" w:cs="宋体" w:eastAsia="宋体" w:hint="default"/>
          <w:sz w:val="18"/>
          <w:szCs w:val="18"/>
        </w:rPr>
        <w:t>所有</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54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名激励对象</w:t>
      </w:r>
      <w:r>
        <w:rPr>
          <w:rFonts w:ascii="宋体" w:hAnsi="宋体" w:cs="宋体" w:eastAsia="宋体" w:hint="default"/>
          <w:spacing w:val="-3"/>
          <w:sz w:val="18"/>
          <w:szCs w:val="18"/>
        </w:rPr>
        <w:t>对</w:t>
      </w:r>
      <w:r>
        <w:rPr>
          <w:rFonts w:ascii="宋体" w:hAnsi="宋体" w:cs="宋体" w:eastAsia="宋体" w:hint="default"/>
          <w:sz w:val="18"/>
          <w:szCs w:val="18"/>
        </w:rPr>
        <w:t>应</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r>
        <w:rPr>
          <w:rFonts w:ascii="宋体" w:hAnsi="宋体" w:cs="宋体" w:eastAsia="宋体" w:hint="default"/>
          <w:spacing w:val="-3"/>
          <w:sz w:val="18"/>
          <w:szCs w:val="18"/>
        </w:rPr>
        <w:t>可</w:t>
      </w:r>
      <w:r>
        <w:rPr>
          <w:rFonts w:ascii="宋体" w:hAnsi="宋体" w:cs="宋体" w:eastAsia="宋体" w:hint="default"/>
          <w:sz w:val="18"/>
          <w:szCs w:val="18"/>
        </w:rPr>
        <w:t>行权的股票期权</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9</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万份均不得行权，由公司注销，注销完成后，公司股票期权激励计划已授予但尚未行权的股票期权数量为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2,682.3231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万份。</w:t>
      </w:r>
    </w:p>
    <w:p>
      <w:pPr>
        <w:spacing w:line="300" w:lineRule="auto" w:before="63"/>
        <w:ind w:left="152" w:right="11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日公司第七届董事会第三十六次会议、第七届监事会第十三次会议审议，同意公司调整股票期 权激励计划对标企业，该议案尚需提交公司股东大会审议。</w:t>
      </w:r>
    </w:p>
    <w:p>
      <w:pPr>
        <w:spacing w:line="316" w:lineRule="auto" w:before="31"/>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为保证对标业绩的合理性，保持一定的样本量，公司董事会建议从现有主业出发，考虑对标企业主营业务的相似性及其</w:t>
      </w:r>
      <w:r>
        <w:rPr>
          <w:rFonts w:ascii="宋体" w:hAnsi="宋体" w:cs="宋体" w:eastAsia="宋体" w:hint="default"/>
          <w:sz w:val="18"/>
          <w:szCs w:val="18"/>
        </w:rPr>
        <w:t> </w:t>
      </w:r>
      <w:r>
        <w:rPr>
          <w:rFonts w:ascii="宋体" w:hAnsi="宋体" w:cs="宋体" w:eastAsia="宋体" w:hint="default"/>
          <w:spacing w:val="-2"/>
          <w:sz w:val="18"/>
          <w:szCs w:val="18"/>
        </w:rPr>
        <w:t>营业收入与净利润规模的行业水平，通过剔除存在特殊情况的企业及补充选取主营业务契合度高的企业调整股票期权激励计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划对标企业名单，对标企业总数将由原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家调整至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家。</w:t>
      </w:r>
    </w:p>
    <w:p>
      <w:pPr>
        <w:spacing w:after="0" w:line="316" w:lineRule="auto"/>
        <w:jc w:val="both"/>
        <w:rPr>
          <w:rFonts w:ascii="宋体" w:hAnsi="宋体" w:cs="宋体" w:eastAsia="宋体" w:hint="default"/>
          <w:sz w:val="18"/>
          <w:szCs w:val="18"/>
        </w:rPr>
        <w:sectPr>
          <w:pgSz w:w="11910" w:h="16840"/>
          <w:pgMar w:header="789" w:footer="975" w:top="1100" w:bottom="1160" w:left="980" w:right="0"/>
        </w:sectPr>
      </w:pPr>
    </w:p>
    <w:p>
      <w:pPr>
        <w:spacing w:line="240" w:lineRule="auto" w:before="4"/>
        <w:rPr>
          <w:rFonts w:ascii="宋体" w:hAnsi="宋体" w:cs="宋体" w:eastAsia="宋体" w:hint="default"/>
          <w:sz w:val="20"/>
          <w:szCs w:val="20"/>
        </w:rPr>
      </w:pPr>
    </w:p>
    <w:p>
      <w:pPr>
        <w:pStyle w:val="Heading4"/>
        <w:spacing w:line="240" w:lineRule="auto" w:before="26"/>
        <w:ind w:left="1012" w:right="0"/>
        <w:jc w:val="left"/>
        <w:rPr>
          <w:b w:val="0"/>
          <w:bCs w:val="0"/>
        </w:rPr>
      </w:pPr>
      <w:r>
        <w:rPr/>
        <w:t>十六、重大关联交易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left="1012"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17"/>
          <w:szCs w:val="17"/>
        </w:rPr>
      </w:pPr>
    </w:p>
    <w:p>
      <w:pPr>
        <w:spacing w:before="0"/>
        <w:ind w:left="101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37"/>
        <w:gridCol w:w="907"/>
        <w:gridCol w:w="727"/>
        <w:gridCol w:w="788"/>
        <w:gridCol w:w="845"/>
        <w:gridCol w:w="593"/>
        <w:gridCol w:w="725"/>
        <w:gridCol w:w="908"/>
        <w:gridCol w:w="809"/>
        <w:gridCol w:w="571"/>
        <w:gridCol w:w="721"/>
        <w:gridCol w:w="888"/>
        <w:gridCol w:w="864"/>
        <w:gridCol w:w="756"/>
      </w:tblGrid>
      <w:tr>
        <w:trPr>
          <w:trHeight w:val="946"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8" w:right="0"/>
              <w:jc w:val="left"/>
              <w:rPr>
                <w:rFonts w:ascii="宋体" w:hAnsi="宋体" w:cs="宋体" w:eastAsia="宋体" w:hint="default"/>
                <w:sz w:val="15"/>
                <w:szCs w:val="15"/>
              </w:rPr>
            </w:pPr>
            <w:r>
              <w:rPr>
                <w:rFonts w:ascii="宋体" w:hAnsi="宋体" w:cs="宋体" w:eastAsia="宋体" w:hint="default"/>
                <w:sz w:val="15"/>
                <w:szCs w:val="15"/>
              </w:rPr>
              <w:t>关联交易方</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关联关系</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208" w:right="53" w:hanging="149"/>
              <w:jc w:val="left"/>
              <w:rPr>
                <w:rFonts w:ascii="宋体" w:hAnsi="宋体" w:cs="宋体" w:eastAsia="宋体" w:hint="default"/>
                <w:sz w:val="15"/>
                <w:szCs w:val="15"/>
              </w:rPr>
            </w:pPr>
            <w:r>
              <w:rPr>
                <w:rFonts w:ascii="宋体" w:hAnsi="宋体" w:cs="宋体" w:eastAsia="宋体" w:hint="default"/>
                <w:sz w:val="15"/>
                <w:szCs w:val="15"/>
              </w:rPr>
              <w:t>关联交易</w:t>
            </w:r>
            <w:r>
              <w:rPr>
                <w:rFonts w:ascii="宋体" w:hAnsi="宋体" w:cs="宋体" w:eastAsia="宋体" w:hint="default"/>
                <w:w w:val="100"/>
                <w:sz w:val="15"/>
                <w:szCs w:val="15"/>
              </w:rPr>
              <w:t> </w:t>
            </w:r>
            <w:r>
              <w:rPr>
                <w:rFonts w:ascii="宋体" w:hAnsi="宋体" w:cs="宋体" w:eastAsia="宋体" w:hint="default"/>
                <w:sz w:val="15"/>
                <w:szCs w:val="15"/>
              </w:rPr>
              <w:t>类型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312" w:right="10" w:hanging="300"/>
              <w:jc w:val="left"/>
              <w:rPr>
                <w:rFonts w:ascii="宋体" w:hAnsi="宋体" w:cs="宋体" w:eastAsia="宋体" w:hint="default"/>
                <w:sz w:val="15"/>
                <w:szCs w:val="15"/>
              </w:rPr>
            </w:pPr>
            <w:r>
              <w:rPr>
                <w:rFonts w:ascii="宋体" w:hAnsi="宋体" w:cs="宋体" w:eastAsia="宋体" w:hint="default"/>
                <w:sz w:val="15"/>
                <w:szCs w:val="15"/>
              </w:rPr>
              <w:t>关联交易内</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容</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191" w:right="38" w:hanging="152"/>
              <w:jc w:val="left"/>
              <w:rPr>
                <w:rFonts w:ascii="宋体" w:hAnsi="宋体" w:cs="宋体" w:eastAsia="宋体" w:hint="default"/>
                <w:sz w:val="15"/>
                <w:szCs w:val="15"/>
              </w:rPr>
            </w:pPr>
            <w:r>
              <w:rPr>
                <w:rFonts w:ascii="宋体" w:hAnsi="宋体" w:cs="宋体" w:eastAsia="宋体" w:hint="default"/>
                <w:sz w:val="15"/>
                <w:szCs w:val="15"/>
              </w:rPr>
              <w:t>关联交易定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价原则</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关联交</w:t>
            </w:r>
            <w:r>
              <w:rPr>
                <w:rFonts w:ascii="宋体" w:hAnsi="宋体" w:cs="宋体" w:eastAsia="宋体" w:hint="default"/>
                <w:spacing w:val="-72"/>
                <w:sz w:val="15"/>
                <w:szCs w:val="15"/>
              </w:rPr>
              <w:t> </w:t>
            </w:r>
            <w:r>
              <w:rPr>
                <w:rFonts w:ascii="宋体" w:hAnsi="宋体" w:cs="宋体" w:eastAsia="宋体" w:hint="default"/>
                <w:sz w:val="15"/>
                <w:szCs w:val="15"/>
              </w:rPr>
              <w:t>易价格</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6"/>
              <w:ind w:left="57" w:right="53"/>
              <w:jc w:val="center"/>
              <w:rPr>
                <w:rFonts w:ascii="宋体" w:hAnsi="宋体" w:cs="宋体" w:eastAsia="宋体" w:hint="default"/>
                <w:sz w:val="15"/>
                <w:szCs w:val="15"/>
              </w:rPr>
            </w:pPr>
            <w:r>
              <w:rPr>
                <w:rFonts w:ascii="宋体" w:hAnsi="宋体" w:cs="宋体" w:eastAsia="宋体" w:hint="default"/>
                <w:sz w:val="15"/>
                <w:szCs w:val="15"/>
              </w:rPr>
              <w:t>关联交易</w:t>
            </w:r>
            <w:r>
              <w:rPr>
                <w:rFonts w:ascii="宋体" w:hAnsi="宋体" w:cs="宋体" w:eastAsia="宋体" w:hint="default"/>
                <w:w w:val="100"/>
                <w:sz w:val="15"/>
                <w:szCs w:val="15"/>
              </w:rPr>
              <w:t> </w:t>
            </w:r>
            <w:r>
              <w:rPr>
                <w:rFonts w:ascii="宋体" w:hAnsi="宋体" w:cs="宋体" w:eastAsia="宋体" w:hint="default"/>
                <w:sz w:val="15"/>
                <w:szCs w:val="15"/>
              </w:rPr>
              <w:t>金额（万</w:t>
            </w:r>
            <w:r>
              <w:rPr>
                <w:rFonts w:ascii="宋体" w:hAnsi="宋体" w:cs="宋体" w:eastAsia="宋体" w:hint="default"/>
                <w:w w:val="100"/>
                <w:sz w:val="15"/>
                <w:szCs w:val="15"/>
              </w:rPr>
              <w:t> </w:t>
            </w:r>
            <w:r>
              <w:rPr>
                <w:rFonts w:ascii="宋体" w:hAnsi="宋体" w:cs="宋体" w:eastAsia="宋体" w:hint="default"/>
                <w:sz w:val="15"/>
                <w:szCs w:val="15"/>
              </w:rPr>
              <w:t>元）</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占同类交易</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金额的比例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2" w:right="19" w:firstLine="21"/>
              <w:jc w:val="left"/>
              <w:rPr>
                <w:rFonts w:ascii="宋体" w:hAnsi="宋体" w:cs="宋体" w:eastAsia="宋体" w:hint="default"/>
                <w:sz w:val="15"/>
                <w:szCs w:val="15"/>
              </w:rPr>
            </w:pPr>
            <w:r>
              <w:rPr>
                <w:rFonts w:ascii="宋体" w:hAnsi="宋体" w:cs="宋体" w:eastAsia="宋体" w:hint="default"/>
                <w:sz w:val="15"/>
                <w:szCs w:val="15"/>
              </w:rPr>
              <w:t>获批的交易</w:t>
            </w:r>
            <w:r>
              <w:rPr>
                <w:rFonts w:ascii="宋体" w:hAnsi="宋体" w:cs="宋体" w:eastAsia="宋体" w:hint="default"/>
                <w:w w:val="100"/>
                <w:sz w:val="15"/>
                <w:szCs w:val="15"/>
              </w:rPr>
              <w:t> </w:t>
            </w:r>
            <w:r>
              <w:rPr>
                <w:rFonts w:ascii="宋体" w:hAnsi="宋体" w:cs="宋体" w:eastAsia="宋体" w:hint="default"/>
                <w:spacing w:val="-7"/>
                <w:sz w:val="15"/>
                <w:szCs w:val="15"/>
              </w:rPr>
              <w:t>额度（万元</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6"/>
              <w:ind w:left="55" w:right="50"/>
              <w:jc w:val="both"/>
              <w:rPr>
                <w:rFonts w:ascii="宋体" w:hAnsi="宋体" w:cs="宋体" w:eastAsia="宋体" w:hint="default"/>
                <w:sz w:val="15"/>
                <w:szCs w:val="15"/>
              </w:rPr>
            </w:pPr>
            <w:r>
              <w:rPr>
                <w:rFonts w:ascii="宋体" w:hAnsi="宋体" w:cs="宋体" w:eastAsia="宋体" w:hint="default"/>
                <w:sz w:val="15"/>
                <w:szCs w:val="15"/>
              </w:rPr>
              <w:t>是否超</w:t>
            </w:r>
            <w:r>
              <w:rPr>
                <w:rFonts w:ascii="宋体" w:hAnsi="宋体" w:cs="宋体" w:eastAsia="宋体" w:hint="default"/>
                <w:spacing w:val="-72"/>
                <w:sz w:val="15"/>
                <w:szCs w:val="15"/>
              </w:rPr>
              <w:t> </w:t>
            </w:r>
            <w:r>
              <w:rPr>
                <w:rFonts w:ascii="宋体" w:hAnsi="宋体" w:cs="宋体" w:eastAsia="宋体" w:hint="default"/>
                <w:sz w:val="15"/>
                <w:szCs w:val="15"/>
              </w:rPr>
              <w:t>过获批</w:t>
            </w:r>
            <w:r>
              <w:rPr>
                <w:rFonts w:ascii="宋体" w:hAnsi="宋体" w:cs="宋体" w:eastAsia="宋体" w:hint="default"/>
                <w:spacing w:val="-72"/>
                <w:sz w:val="15"/>
                <w:szCs w:val="15"/>
              </w:rPr>
              <w:t> </w:t>
            </w:r>
            <w:r>
              <w:rPr>
                <w:rFonts w:ascii="宋体" w:hAnsi="宋体" w:cs="宋体" w:eastAsia="宋体" w:hint="default"/>
                <w:sz w:val="15"/>
                <w:szCs w:val="15"/>
              </w:rPr>
              <w:t>额度</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57" w:right="49"/>
              <w:jc w:val="left"/>
              <w:rPr>
                <w:rFonts w:ascii="宋体" w:hAnsi="宋体" w:cs="宋体" w:eastAsia="宋体" w:hint="default"/>
                <w:sz w:val="15"/>
                <w:szCs w:val="15"/>
              </w:rPr>
            </w:pPr>
            <w:r>
              <w:rPr>
                <w:rFonts w:ascii="宋体" w:hAnsi="宋体" w:cs="宋体" w:eastAsia="宋体" w:hint="default"/>
                <w:sz w:val="15"/>
                <w:szCs w:val="15"/>
              </w:rPr>
              <w:t>关联交易</w:t>
            </w:r>
            <w:r>
              <w:rPr>
                <w:rFonts w:ascii="宋体" w:hAnsi="宋体" w:cs="宋体" w:eastAsia="宋体" w:hint="default"/>
                <w:w w:val="100"/>
                <w:sz w:val="15"/>
                <w:szCs w:val="15"/>
              </w:rPr>
              <w:t> </w:t>
            </w:r>
            <w:r>
              <w:rPr>
                <w:rFonts w:ascii="宋体" w:hAnsi="宋体" w:cs="宋体" w:eastAsia="宋体" w:hint="default"/>
                <w:sz w:val="15"/>
                <w:szCs w:val="15"/>
              </w:rPr>
              <w:t>结算方式</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64" w:right="58"/>
              <w:jc w:val="left"/>
              <w:rPr>
                <w:rFonts w:ascii="宋体" w:hAnsi="宋体" w:cs="宋体" w:eastAsia="宋体" w:hint="default"/>
                <w:sz w:val="15"/>
                <w:szCs w:val="15"/>
              </w:rPr>
            </w:pPr>
            <w:r>
              <w:rPr>
                <w:rFonts w:ascii="宋体" w:hAnsi="宋体" w:cs="宋体" w:eastAsia="宋体" w:hint="default"/>
                <w:sz w:val="15"/>
                <w:szCs w:val="15"/>
              </w:rPr>
              <w:t>可获得的同</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类交易市价</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披露日期</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披露索引</w:t>
            </w:r>
          </w:p>
        </w:tc>
      </w:tr>
      <w:tr>
        <w:trPr>
          <w:trHeight w:val="126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81" w:lineRule="auto"/>
              <w:ind w:left="2" w:right="120"/>
              <w:jc w:val="left"/>
              <w:rPr>
                <w:rFonts w:ascii="宋体" w:hAnsi="宋体" w:cs="宋体" w:eastAsia="宋体" w:hint="default"/>
                <w:sz w:val="15"/>
                <w:szCs w:val="15"/>
              </w:rPr>
            </w:pPr>
            <w:r>
              <w:rPr>
                <w:rFonts w:ascii="宋体" w:hAnsi="宋体" w:cs="宋体" w:eastAsia="宋体" w:hint="default"/>
                <w:sz w:val="15"/>
                <w:szCs w:val="15"/>
              </w:rPr>
              <w:t>深圳中电国际信息</w:t>
            </w:r>
            <w:r>
              <w:rPr>
                <w:rFonts w:ascii="宋体" w:hAnsi="宋体" w:cs="宋体" w:eastAsia="宋体" w:hint="default"/>
                <w:w w:val="100"/>
                <w:sz w:val="15"/>
                <w:szCs w:val="15"/>
              </w:rPr>
              <w:t> </w:t>
            </w:r>
            <w:r>
              <w:rPr>
                <w:rFonts w:ascii="宋体" w:hAnsi="宋体" w:cs="宋体" w:eastAsia="宋体" w:hint="default"/>
                <w:sz w:val="15"/>
                <w:szCs w:val="15"/>
              </w:rPr>
              <w:t>科技有限公司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81" w:lineRule="auto"/>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8"/>
              <w:ind w:right="22"/>
              <w:jc w:val="left"/>
              <w:rPr>
                <w:rFonts w:ascii="宋体" w:hAnsi="宋体" w:cs="宋体" w:eastAsia="宋体" w:hint="default"/>
                <w:sz w:val="15"/>
                <w:szCs w:val="15"/>
              </w:rPr>
            </w:pPr>
            <w:r>
              <w:rPr>
                <w:rFonts w:ascii="宋体" w:hAnsi="宋体" w:cs="宋体" w:eastAsia="宋体" w:hint="default"/>
                <w:sz w:val="15"/>
                <w:szCs w:val="15"/>
              </w:rPr>
              <w:t>采购显示</w:t>
            </w:r>
            <w:r>
              <w:rPr>
                <w:rFonts w:ascii="宋体" w:hAnsi="宋体" w:cs="宋体" w:eastAsia="宋体" w:hint="default"/>
                <w:w w:val="100"/>
                <w:sz w:val="15"/>
                <w:szCs w:val="15"/>
              </w:rPr>
              <w:t> </w:t>
            </w:r>
            <w:r>
              <w:rPr>
                <w:rFonts w:ascii="宋体" w:hAnsi="宋体" w:cs="宋体" w:eastAsia="宋体" w:hint="default"/>
                <w:sz w:val="15"/>
                <w:szCs w:val="15"/>
              </w:rPr>
              <w:t>屏、零部件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及电子元器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件</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81"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2"/>
                <w:sz w:val="15"/>
              </w:rPr>
              <w:t>11,100.34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1.36%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12,000.00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1"/>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1"/>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2019-020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634"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20"/>
              <w:jc w:val="left"/>
              <w:rPr>
                <w:rFonts w:ascii="宋体" w:hAnsi="宋体" w:cs="宋体" w:eastAsia="宋体" w:hint="default"/>
                <w:sz w:val="15"/>
                <w:szCs w:val="15"/>
              </w:rPr>
            </w:pPr>
            <w:r>
              <w:rPr>
                <w:rFonts w:ascii="宋体" w:hAnsi="宋体" w:cs="宋体" w:eastAsia="宋体" w:hint="default"/>
                <w:sz w:val="15"/>
                <w:szCs w:val="15"/>
              </w:rPr>
              <w:t>天津飞腾信息技术</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141"/>
              <w:jc w:val="left"/>
              <w:rPr>
                <w:rFonts w:ascii="宋体" w:hAnsi="宋体" w:cs="宋体" w:eastAsia="宋体" w:hint="default"/>
                <w:sz w:val="15"/>
                <w:szCs w:val="15"/>
              </w:rPr>
            </w:pPr>
            <w:r>
              <w:rPr>
                <w:rFonts w:ascii="宋体" w:hAnsi="宋体" w:cs="宋体" w:eastAsia="宋体" w:hint="default"/>
                <w:sz w:val="15"/>
                <w:szCs w:val="15"/>
              </w:rPr>
              <w:t>上市公司规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则认定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采购</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CPU</w:t>
            </w:r>
          </w:p>
          <w:p>
            <w:pPr>
              <w:pStyle w:val="TableParagraph"/>
              <w:spacing w:line="240" w:lineRule="auto" w:before="104"/>
              <w:ind w:right="0"/>
              <w:jc w:val="left"/>
              <w:rPr>
                <w:rFonts w:ascii="宋体" w:hAnsi="宋体" w:cs="宋体" w:eastAsia="宋体" w:hint="default"/>
                <w:sz w:val="15"/>
                <w:szCs w:val="15"/>
              </w:rPr>
            </w:pPr>
            <w:r>
              <w:rPr>
                <w:rFonts w:ascii="宋体" w:hAnsi="宋体" w:cs="宋体" w:eastAsia="宋体" w:hint="default"/>
                <w:sz w:val="15"/>
                <w:szCs w:val="15"/>
              </w:rPr>
              <w:t>及配套芯片</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10,870.05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1.33%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不限额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2018-051</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81" w:lineRule="auto"/>
              <w:ind w:left="2" w:right="120"/>
              <w:jc w:val="left"/>
              <w:rPr>
                <w:rFonts w:ascii="宋体" w:hAnsi="宋体" w:cs="宋体" w:eastAsia="宋体" w:hint="default"/>
                <w:sz w:val="15"/>
                <w:szCs w:val="15"/>
              </w:rPr>
            </w:pPr>
            <w:r>
              <w:rPr>
                <w:rFonts w:ascii="宋体" w:hAnsi="宋体" w:cs="宋体" w:eastAsia="宋体" w:hint="default"/>
                <w:sz w:val="15"/>
                <w:szCs w:val="15"/>
              </w:rPr>
              <w:t>武汉艾德蒙科技股</w:t>
            </w:r>
            <w:r>
              <w:rPr>
                <w:rFonts w:ascii="宋体" w:hAnsi="宋体" w:cs="宋体" w:eastAsia="宋体" w:hint="default"/>
                <w:w w:val="100"/>
                <w:sz w:val="15"/>
                <w:szCs w:val="15"/>
              </w:rPr>
              <w:t> </w:t>
            </w:r>
            <w:r>
              <w:rPr>
                <w:rFonts w:ascii="宋体" w:hAnsi="宋体" w:cs="宋体" w:eastAsia="宋体" w:hint="default"/>
                <w:sz w:val="15"/>
                <w:szCs w:val="15"/>
              </w:rPr>
              <w:t>份有限公司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81" w:lineRule="auto"/>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left"/>
              <w:rPr>
                <w:rFonts w:ascii="宋体" w:hAnsi="宋体" w:cs="宋体" w:eastAsia="宋体" w:hint="default"/>
                <w:sz w:val="15"/>
                <w:szCs w:val="15"/>
              </w:rPr>
            </w:pPr>
            <w:r>
              <w:rPr>
                <w:rFonts w:ascii="宋体" w:hAnsi="宋体" w:cs="宋体" w:eastAsia="宋体" w:hint="default"/>
                <w:sz w:val="15"/>
                <w:szCs w:val="15"/>
              </w:rPr>
              <w:t>采购显示</w:t>
            </w:r>
            <w:r>
              <w:rPr>
                <w:rFonts w:ascii="宋体" w:hAnsi="宋体" w:cs="宋体" w:eastAsia="宋体" w:hint="default"/>
                <w:w w:val="100"/>
                <w:sz w:val="15"/>
                <w:szCs w:val="15"/>
              </w:rPr>
              <w:t> </w:t>
            </w:r>
            <w:r>
              <w:rPr>
                <w:rFonts w:ascii="宋体" w:hAnsi="宋体" w:cs="宋体" w:eastAsia="宋体" w:hint="default"/>
                <w:spacing w:val="-11"/>
                <w:sz w:val="15"/>
                <w:szCs w:val="15"/>
              </w:rPr>
              <w:t>屏、显示器</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电视、虚拟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设备等</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81"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3,770.20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0.46%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17,091.69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8"/>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8"/>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2017-114</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946"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2" w:right="120"/>
              <w:jc w:val="left"/>
              <w:rPr>
                <w:rFonts w:ascii="宋体" w:hAnsi="宋体" w:cs="宋体" w:eastAsia="宋体" w:hint="default"/>
                <w:sz w:val="15"/>
                <w:szCs w:val="15"/>
              </w:rPr>
            </w:pPr>
            <w:r>
              <w:rPr>
                <w:rFonts w:ascii="宋体" w:hAnsi="宋体" w:cs="宋体" w:eastAsia="宋体" w:hint="default"/>
                <w:sz w:val="15"/>
                <w:szCs w:val="15"/>
              </w:rPr>
              <w:t>天津麒麟信息技术</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52"/>
              <w:ind w:right="0"/>
              <w:jc w:val="left"/>
              <w:rPr>
                <w:rFonts w:ascii="宋体" w:hAnsi="宋体" w:cs="宋体" w:eastAsia="宋体" w:hint="default"/>
                <w:sz w:val="13"/>
                <w:szCs w:val="13"/>
              </w:rPr>
            </w:pPr>
            <w:r>
              <w:rPr>
                <w:rFonts w:ascii="宋体" w:hAnsi="宋体" w:cs="宋体" w:eastAsia="宋体" w:hint="default"/>
                <w:sz w:val="13"/>
                <w:szCs w:val="13"/>
              </w:rPr>
              <w:t>采购计算机、</w:t>
            </w:r>
            <w:r>
              <w:rPr>
                <w:rFonts w:ascii="宋体" w:hAnsi="宋体" w:cs="宋体" w:eastAsia="宋体" w:hint="default"/>
                <w:w w:val="99"/>
                <w:sz w:val="13"/>
                <w:szCs w:val="13"/>
              </w:rPr>
              <w:t> </w:t>
            </w:r>
            <w:r>
              <w:rPr>
                <w:rFonts w:ascii="宋体" w:hAnsi="宋体" w:cs="宋体" w:eastAsia="宋体" w:hint="default"/>
                <w:sz w:val="13"/>
                <w:szCs w:val="13"/>
              </w:rPr>
              <w:t>服务器操作</w:t>
            </w:r>
            <w:r>
              <w:rPr>
                <w:rFonts w:ascii="宋体" w:hAnsi="宋体" w:cs="宋体" w:eastAsia="宋体" w:hint="default"/>
                <w:w w:val="99"/>
                <w:sz w:val="13"/>
                <w:szCs w:val="13"/>
              </w:rPr>
              <w:t> </w:t>
            </w:r>
            <w:r>
              <w:rPr>
                <w:rFonts w:ascii="宋体" w:hAnsi="宋体" w:cs="宋体" w:eastAsia="宋体" w:hint="default"/>
                <w:sz w:val="13"/>
                <w:szCs w:val="13"/>
              </w:rPr>
              <w:t>系统</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2,482.42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0.30%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不限额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2018-051</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634"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20"/>
              <w:jc w:val="left"/>
              <w:rPr>
                <w:rFonts w:ascii="宋体" w:hAnsi="宋体" w:cs="宋体" w:eastAsia="宋体" w:hint="default"/>
                <w:sz w:val="15"/>
                <w:szCs w:val="15"/>
              </w:rPr>
            </w:pPr>
            <w:r>
              <w:rPr>
                <w:rFonts w:ascii="宋体" w:hAnsi="宋体" w:cs="宋体" w:eastAsia="宋体" w:hint="default"/>
                <w:sz w:val="15"/>
                <w:szCs w:val="15"/>
              </w:rPr>
              <w:t>湖南凯杰科技有限</w:t>
            </w:r>
            <w:r>
              <w:rPr>
                <w:rFonts w:ascii="宋体" w:hAnsi="宋体" w:cs="宋体" w:eastAsia="宋体" w:hint="default"/>
                <w:w w:val="100"/>
                <w:sz w:val="15"/>
                <w:szCs w:val="15"/>
              </w:rPr>
              <w:t> </w:t>
            </w:r>
            <w:r>
              <w:rPr>
                <w:rFonts w:ascii="宋体" w:hAnsi="宋体" w:cs="宋体" w:eastAsia="宋体" w:hint="default"/>
                <w:sz w:val="15"/>
                <w:szCs w:val="15"/>
              </w:rPr>
              <w:t>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采购板卡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2,070.10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0.25%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354.00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2019-006</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634"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2"/>
              <w:jc w:val="left"/>
              <w:rPr>
                <w:rFonts w:ascii="宋体" w:hAnsi="宋体" w:cs="宋体" w:eastAsia="宋体" w:hint="default"/>
                <w:sz w:val="15"/>
                <w:szCs w:val="15"/>
              </w:rPr>
            </w:pPr>
            <w:r>
              <w:rPr>
                <w:rFonts w:ascii="宋体" w:hAnsi="宋体" w:cs="宋体" w:eastAsia="宋体" w:hint="default"/>
                <w:spacing w:val="-4"/>
                <w:sz w:val="15"/>
                <w:szCs w:val="15"/>
              </w:rPr>
              <w:t>盛科网络（苏州）有</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141"/>
              <w:jc w:val="left"/>
              <w:rPr>
                <w:rFonts w:ascii="宋体" w:hAnsi="宋体" w:cs="宋体" w:eastAsia="宋体" w:hint="default"/>
                <w:sz w:val="15"/>
                <w:szCs w:val="15"/>
              </w:rPr>
            </w:pPr>
            <w:r>
              <w:rPr>
                <w:rFonts w:ascii="宋体" w:hAnsi="宋体" w:cs="宋体" w:eastAsia="宋体" w:hint="default"/>
                <w:sz w:val="15"/>
                <w:szCs w:val="15"/>
              </w:rPr>
              <w:t>上市公司规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则认定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left"/>
              <w:rPr>
                <w:rFonts w:ascii="宋体" w:hAnsi="宋体" w:cs="宋体" w:eastAsia="宋体" w:hint="default"/>
                <w:sz w:val="15"/>
                <w:szCs w:val="15"/>
              </w:rPr>
            </w:pPr>
            <w:r>
              <w:rPr>
                <w:rFonts w:ascii="宋体" w:hAnsi="宋体" w:cs="宋体" w:eastAsia="宋体" w:hint="default"/>
                <w:sz w:val="15"/>
                <w:szCs w:val="15"/>
              </w:rPr>
              <w:t>采购交换板</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1,146.35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0.14%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81" w:lineRule="auto"/>
              <w:ind w:left="2" w:right="-2"/>
              <w:jc w:val="left"/>
              <w:rPr>
                <w:rFonts w:ascii="宋体" w:hAnsi="宋体" w:cs="宋体" w:eastAsia="宋体" w:hint="default"/>
                <w:sz w:val="15"/>
                <w:szCs w:val="15"/>
              </w:rPr>
            </w:pPr>
            <w:r>
              <w:rPr>
                <w:rFonts w:ascii="宋体" w:hAnsi="宋体" w:cs="宋体" w:eastAsia="宋体" w:hint="default"/>
                <w:spacing w:val="-4"/>
                <w:sz w:val="15"/>
                <w:szCs w:val="15"/>
              </w:rPr>
              <w:t>中国振华（集团）科</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技股份有限公司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81" w:lineRule="auto"/>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8"/>
              <w:ind w:right="22"/>
              <w:jc w:val="both"/>
              <w:rPr>
                <w:rFonts w:ascii="宋体" w:hAnsi="宋体" w:cs="宋体" w:eastAsia="宋体" w:hint="default"/>
                <w:sz w:val="15"/>
                <w:szCs w:val="15"/>
              </w:rPr>
            </w:pPr>
            <w:r>
              <w:rPr>
                <w:rFonts w:ascii="宋体" w:hAnsi="宋体" w:cs="宋体" w:eastAsia="宋体" w:hint="default"/>
                <w:sz w:val="15"/>
                <w:szCs w:val="15"/>
              </w:rPr>
              <w:t>采购电子元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器件及开关</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81"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1,248.57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0.15%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2019-020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634"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20"/>
              <w:jc w:val="left"/>
              <w:rPr>
                <w:rFonts w:ascii="宋体" w:hAnsi="宋体" w:cs="宋体" w:eastAsia="宋体" w:hint="default"/>
                <w:sz w:val="15"/>
                <w:szCs w:val="15"/>
              </w:rPr>
            </w:pPr>
            <w:r>
              <w:rPr>
                <w:rFonts w:ascii="宋体" w:hAnsi="宋体" w:cs="宋体" w:eastAsia="宋体" w:hint="default"/>
                <w:sz w:val="15"/>
                <w:szCs w:val="15"/>
              </w:rPr>
              <w:t>湖南长城银河科技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left"/>
              <w:rPr>
                <w:rFonts w:ascii="宋体" w:hAnsi="宋体" w:cs="宋体" w:eastAsia="宋体" w:hint="default"/>
                <w:sz w:val="15"/>
                <w:szCs w:val="15"/>
              </w:rPr>
            </w:pPr>
            <w:r>
              <w:rPr>
                <w:rFonts w:ascii="宋体" w:hAnsi="宋体" w:cs="宋体" w:eastAsia="宋体" w:hint="default"/>
                <w:sz w:val="15"/>
                <w:szCs w:val="15"/>
              </w:rPr>
              <w:t>采购计算机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及相关设备</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537.65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0.07%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5,300.00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2019-020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1882"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10"/>
              <w:ind w:left="2" w:right="120"/>
              <w:jc w:val="left"/>
              <w:rPr>
                <w:rFonts w:ascii="宋体" w:hAnsi="宋体" w:cs="宋体" w:eastAsia="宋体" w:hint="default"/>
                <w:sz w:val="15"/>
                <w:szCs w:val="15"/>
              </w:rPr>
            </w:pPr>
            <w:r>
              <w:rPr>
                <w:rFonts w:ascii="宋体" w:hAnsi="宋体" w:cs="宋体" w:eastAsia="宋体" w:hint="default"/>
                <w:sz w:val="15"/>
                <w:szCs w:val="15"/>
              </w:rPr>
              <w:t>中国软件与技术服</w:t>
            </w:r>
            <w:r>
              <w:rPr>
                <w:rFonts w:ascii="宋体" w:hAnsi="宋体" w:cs="宋体" w:eastAsia="宋体" w:hint="default"/>
                <w:w w:val="100"/>
                <w:sz w:val="15"/>
                <w:szCs w:val="15"/>
              </w:rPr>
              <w:t> </w:t>
            </w:r>
            <w:r>
              <w:rPr>
                <w:rFonts w:ascii="宋体" w:hAnsi="宋体" w:cs="宋体" w:eastAsia="宋体" w:hint="default"/>
                <w:sz w:val="15"/>
                <w:szCs w:val="15"/>
              </w:rPr>
              <w:t>务股份有限公司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10"/>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销售商品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left"/>
              <w:rPr>
                <w:rFonts w:ascii="宋体" w:hAnsi="宋体" w:cs="宋体" w:eastAsia="宋体" w:hint="default"/>
                <w:sz w:val="15"/>
                <w:szCs w:val="15"/>
              </w:rPr>
            </w:pPr>
            <w:r>
              <w:rPr>
                <w:rFonts w:ascii="宋体" w:hAnsi="宋体" w:cs="宋体" w:eastAsia="宋体" w:hint="default"/>
                <w:sz w:val="15"/>
                <w:szCs w:val="15"/>
              </w:rPr>
              <w:t>销售整机、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服务器、存</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储、网络、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外设等相关</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产品及服</w:t>
            </w:r>
            <w:r>
              <w:rPr>
                <w:rFonts w:ascii="宋体" w:hAnsi="宋体" w:cs="宋体" w:eastAsia="宋体" w:hint="default"/>
                <w:w w:val="100"/>
                <w:sz w:val="15"/>
                <w:szCs w:val="15"/>
              </w:rPr>
              <w:t> </w:t>
            </w:r>
            <w:r>
              <w:rPr>
                <w:rFonts w:ascii="宋体" w:hAnsi="宋体" w:cs="宋体" w:eastAsia="宋体" w:hint="default"/>
                <w:sz w:val="15"/>
                <w:szCs w:val="15"/>
              </w:rPr>
              <w:t>务、软件</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10"/>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10"/>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
              <w:jc w:val="right"/>
              <w:rPr>
                <w:rFonts w:ascii="Times New Roman" w:hAnsi="Times New Roman" w:cs="Times New Roman" w:eastAsia="Times New Roman" w:hint="default"/>
                <w:sz w:val="15"/>
                <w:szCs w:val="15"/>
              </w:rPr>
            </w:pPr>
            <w:r>
              <w:rPr>
                <w:rFonts w:ascii="Times New Roman"/>
                <w:spacing w:val="-1"/>
                <w:sz w:val="15"/>
              </w:rPr>
              <w:t>34,330.84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2" w:right="0"/>
              <w:jc w:val="center"/>
              <w:rPr>
                <w:rFonts w:ascii="Times New Roman" w:hAnsi="Times New Roman" w:cs="Times New Roman" w:eastAsia="Times New Roman" w:hint="default"/>
                <w:sz w:val="15"/>
                <w:szCs w:val="15"/>
              </w:rPr>
            </w:pPr>
            <w:r>
              <w:rPr>
                <w:rFonts w:ascii="Times New Roman"/>
                <w:sz w:val="15"/>
              </w:rPr>
              <w:t>3.48%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
              <w:jc w:val="right"/>
              <w:rPr>
                <w:rFonts w:ascii="Times New Roman" w:hAnsi="Times New Roman" w:cs="Times New Roman" w:eastAsia="Times New Roman" w:hint="default"/>
                <w:sz w:val="15"/>
                <w:szCs w:val="15"/>
              </w:rPr>
            </w:pPr>
            <w:r>
              <w:rPr>
                <w:rFonts w:ascii="Times New Roman"/>
                <w:spacing w:val="-1"/>
                <w:sz w:val="15"/>
              </w:rPr>
              <w:t>34,000.00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10"/>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5"/>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2019-094</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946"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2" w:right="120"/>
              <w:jc w:val="left"/>
              <w:rPr>
                <w:rFonts w:ascii="宋体" w:hAnsi="宋体" w:cs="宋体" w:eastAsia="宋体" w:hint="default"/>
                <w:sz w:val="15"/>
                <w:szCs w:val="15"/>
              </w:rPr>
            </w:pPr>
            <w:r>
              <w:rPr>
                <w:rFonts w:ascii="宋体" w:hAnsi="宋体" w:cs="宋体" w:eastAsia="宋体" w:hint="default"/>
                <w:sz w:val="15"/>
                <w:szCs w:val="15"/>
              </w:rPr>
              <w:t>深圳中电国际信息</w:t>
            </w:r>
            <w:r>
              <w:rPr>
                <w:rFonts w:ascii="宋体" w:hAnsi="宋体" w:cs="宋体" w:eastAsia="宋体" w:hint="default"/>
                <w:w w:val="100"/>
                <w:sz w:val="15"/>
                <w:szCs w:val="15"/>
              </w:rPr>
              <w:t> </w:t>
            </w:r>
            <w:r>
              <w:rPr>
                <w:rFonts w:ascii="宋体" w:hAnsi="宋体" w:cs="宋体" w:eastAsia="宋体" w:hint="default"/>
                <w:sz w:val="15"/>
                <w:szCs w:val="15"/>
              </w:rPr>
              <w:t>科技有限公司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销售商品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both"/>
              <w:rPr>
                <w:rFonts w:ascii="宋体" w:hAnsi="宋体" w:cs="宋体" w:eastAsia="宋体" w:hint="default"/>
                <w:sz w:val="15"/>
                <w:szCs w:val="15"/>
              </w:rPr>
            </w:pPr>
            <w:r>
              <w:rPr>
                <w:rFonts w:ascii="宋体" w:hAnsi="宋体" w:cs="宋体" w:eastAsia="宋体" w:hint="default"/>
                <w:sz w:val="15"/>
                <w:szCs w:val="15"/>
              </w:rPr>
              <w:t>销售零部件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及电子元器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件</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5,909.28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0.60%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5"/>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5"/>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2019-094</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5"/>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946"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2" w:right="120"/>
              <w:jc w:val="left"/>
              <w:rPr>
                <w:rFonts w:ascii="宋体" w:hAnsi="宋体" w:cs="宋体" w:eastAsia="宋体" w:hint="default"/>
                <w:sz w:val="15"/>
                <w:szCs w:val="15"/>
              </w:rPr>
            </w:pPr>
            <w:r>
              <w:rPr>
                <w:rFonts w:ascii="宋体" w:hAnsi="宋体" w:cs="宋体" w:eastAsia="宋体" w:hint="default"/>
                <w:sz w:val="15"/>
                <w:szCs w:val="15"/>
              </w:rPr>
              <w:t>深圳长城开发科技</w:t>
            </w:r>
            <w:r>
              <w:rPr>
                <w:rFonts w:ascii="宋体" w:hAnsi="宋体" w:cs="宋体" w:eastAsia="宋体" w:hint="default"/>
                <w:w w:val="100"/>
                <w:sz w:val="15"/>
                <w:szCs w:val="15"/>
              </w:rPr>
              <w:t> </w:t>
            </w:r>
            <w:r>
              <w:rPr>
                <w:rFonts w:ascii="宋体" w:hAnsi="宋体" w:cs="宋体" w:eastAsia="宋体" w:hint="default"/>
                <w:sz w:val="15"/>
                <w:szCs w:val="15"/>
              </w:rPr>
              <w:t>股份有限公司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销售商品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both"/>
              <w:rPr>
                <w:rFonts w:ascii="宋体" w:hAnsi="宋体" w:cs="宋体" w:eastAsia="宋体" w:hint="default"/>
                <w:sz w:val="15"/>
                <w:szCs w:val="15"/>
              </w:rPr>
            </w:pPr>
            <w:r>
              <w:rPr>
                <w:rFonts w:ascii="宋体" w:hAnsi="宋体" w:cs="宋体" w:eastAsia="宋体" w:hint="default"/>
                <w:sz w:val="15"/>
                <w:szCs w:val="15"/>
              </w:rPr>
              <w:t>销售平板电</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脑及相关产</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2,580.22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0.26%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2,500.00.00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5"/>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2019-020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636"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20"/>
              <w:jc w:val="left"/>
              <w:rPr>
                <w:rFonts w:ascii="宋体" w:hAnsi="宋体" w:cs="宋体" w:eastAsia="宋体" w:hint="default"/>
                <w:sz w:val="15"/>
                <w:szCs w:val="15"/>
              </w:rPr>
            </w:pPr>
            <w:r>
              <w:rPr>
                <w:rFonts w:ascii="宋体" w:hAnsi="宋体" w:cs="宋体" w:eastAsia="宋体" w:hint="default"/>
                <w:sz w:val="15"/>
                <w:szCs w:val="15"/>
              </w:rPr>
              <w:t>湖南长城银河科技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销售商品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left"/>
              <w:rPr>
                <w:rFonts w:ascii="宋体" w:hAnsi="宋体" w:cs="宋体" w:eastAsia="宋体" w:hint="default"/>
                <w:sz w:val="15"/>
                <w:szCs w:val="15"/>
              </w:rPr>
            </w:pPr>
            <w:r>
              <w:rPr>
                <w:rFonts w:ascii="宋体" w:hAnsi="宋体" w:cs="宋体" w:eastAsia="宋体" w:hint="default"/>
                <w:sz w:val="15"/>
                <w:szCs w:val="15"/>
              </w:rPr>
              <w:t>销售整机、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服务器、存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2,158.30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0.22%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5"/>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2019-020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bl>
    <w:p>
      <w:pPr>
        <w:spacing w:after="0" w:line="240" w:lineRule="auto"/>
        <w:jc w:val="left"/>
        <w:rPr>
          <w:rFonts w:ascii="宋体" w:hAnsi="宋体" w:cs="宋体" w:eastAsia="宋体" w:hint="default"/>
          <w:sz w:val="15"/>
          <w:szCs w:val="15"/>
        </w:rPr>
        <w:sectPr>
          <w:pgSz w:w="11910" w:h="16840"/>
          <w:pgMar w:header="789" w:footer="975" w:top="1100" w:bottom="1160" w:left="1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337"/>
        <w:gridCol w:w="907"/>
        <w:gridCol w:w="727"/>
        <w:gridCol w:w="788"/>
        <w:gridCol w:w="845"/>
        <w:gridCol w:w="593"/>
        <w:gridCol w:w="725"/>
        <w:gridCol w:w="908"/>
        <w:gridCol w:w="809"/>
        <w:gridCol w:w="571"/>
        <w:gridCol w:w="721"/>
        <w:gridCol w:w="888"/>
        <w:gridCol w:w="864"/>
        <w:gridCol w:w="756"/>
      </w:tblGrid>
      <w:tr>
        <w:trPr>
          <w:trHeight w:val="946" w:hRule="exact"/>
        </w:trPr>
        <w:tc>
          <w:tcPr>
            <w:tcW w:w="133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both"/>
              <w:rPr>
                <w:rFonts w:ascii="宋体" w:hAnsi="宋体" w:cs="宋体" w:eastAsia="宋体" w:hint="default"/>
                <w:sz w:val="15"/>
                <w:szCs w:val="15"/>
              </w:rPr>
            </w:pPr>
            <w:r>
              <w:rPr>
                <w:rFonts w:ascii="宋体" w:hAnsi="宋体" w:cs="宋体" w:eastAsia="宋体" w:hint="default"/>
                <w:sz w:val="15"/>
                <w:szCs w:val="15"/>
              </w:rPr>
              <w:t>储、网络、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外设等相关</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产品及软件</w:t>
            </w:r>
          </w:p>
        </w:tc>
        <w:tc>
          <w:tcPr>
            <w:tcW w:w="845"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81" w:lineRule="auto"/>
              <w:ind w:left="2" w:right="120"/>
              <w:jc w:val="both"/>
              <w:rPr>
                <w:rFonts w:ascii="宋体" w:hAnsi="宋体" w:cs="宋体" w:eastAsia="宋体" w:hint="default"/>
                <w:sz w:val="15"/>
                <w:szCs w:val="15"/>
              </w:rPr>
            </w:pPr>
            <w:r>
              <w:rPr>
                <w:rFonts w:ascii="宋体" w:hAnsi="宋体" w:cs="宋体" w:eastAsia="宋体" w:hint="default"/>
                <w:sz w:val="15"/>
                <w:szCs w:val="15"/>
              </w:rPr>
              <w:t>中国电子信息产业</w:t>
            </w:r>
            <w:r>
              <w:rPr>
                <w:rFonts w:ascii="宋体" w:hAnsi="宋体" w:cs="宋体" w:eastAsia="宋体" w:hint="default"/>
                <w:w w:val="100"/>
                <w:sz w:val="15"/>
                <w:szCs w:val="15"/>
              </w:rPr>
              <w:t> </w:t>
            </w:r>
            <w:r>
              <w:rPr>
                <w:rFonts w:ascii="宋体" w:hAnsi="宋体" w:cs="宋体" w:eastAsia="宋体" w:hint="default"/>
                <w:sz w:val="15"/>
                <w:szCs w:val="15"/>
              </w:rPr>
              <w:t>集团有限公司第六</w:t>
            </w:r>
            <w:r>
              <w:rPr>
                <w:rFonts w:ascii="宋体" w:hAnsi="宋体" w:cs="宋体" w:eastAsia="宋体" w:hint="default"/>
                <w:w w:val="100"/>
                <w:sz w:val="15"/>
                <w:szCs w:val="15"/>
              </w:rPr>
              <w:t> </w:t>
            </w:r>
            <w:r>
              <w:rPr>
                <w:rFonts w:ascii="宋体" w:hAnsi="宋体" w:cs="宋体" w:eastAsia="宋体" w:hint="default"/>
                <w:sz w:val="15"/>
                <w:szCs w:val="15"/>
              </w:rPr>
              <w:t>研究所</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81" w:lineRule="auto"/>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销售商品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left"/>
              <w:rPr>
                <w:rFonts w:ascii="宋体" w:hAnsi="宋体" w:cs="宋体" w:eastAsia="宋体" w:hint="default"/>
                <w:sz w:val="15"/>
                <w:szCs w:val="15"/>
              </w:rPr>
            </w:pPr>
            <w:r>
              <w:rPr>
                <w:rFonts w:ascii="宋体" w:hAnsi="宋体" w:cs="宋体" w:eastAsia="宋体" w:hint="default"/>
                <w:sz w:val="15"/>
                <w:szCs w:val="15"/>
              </w:rPr>
              <w:t>销售整机、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服务器、通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信设备相关</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产品及服</w:t>
            </w:r>
            <w:r>
              <w:rPr>
                <w:rFonts w:ascii="宋体" w:hAnsi="宋体" w:cs="宋体" w:eastAsia="宋体" w:hint="default"/>
                <w:w w:val="100"/>
                <w:sz w:val="15"/>
                <w:szCs w:val="15"/>
              </w:rPr>
              <w:t> </w:t>
            </w:r>
            <w:r>
              <w:rPr>
                <w:rFonts w:ascii="宋体" w:hAnsi="宋体" w:cs="宋体" w:eastAsia="宋体" w:hint="default"/>
                <w:sz w:val="15"/>
                <w:szCs w:val="15"/>
              </w:rPr>
              <w:t>务、软件</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81"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1,847.85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0.19%</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81" w:lineRule="auto"/>
              <w:ind w:left="2" w:right="120"/>
              <w:jc w:val="left"/>
              <w:rPr>
                <w:rFonts w:ascii="宋体" w:hAnsi="宋体" w:cs="宋体" w:eastAsia="宋体" w:hint="default"/>
                <w:sz w:val="15"/>
                <w:szCs w:val="15"/>
              </w:rPr>
            </w:pPr>
            <w:r>
              <w:rPr>
                <w:rFonts w:ascii="宋体" w:hAnsi="宋体" w:cs="宋体" w:eastAsia="宋体" w:hint="default"/>
                <w:sz w:val="15"/>
                <w:szCs w:val="15"/>
              </w:rPr>
              <w:t>中电智能科技有限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81" w:lineRule="auto"/>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销售商品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left"/>
              <w:rPr>
                <w:rFonts w:ascii="宋体" w:hAnsi="宋体" w:cs="宋体" w:eastAsia="宋体" w:hint="default"/>
                <w:sz w:val="15"/>
                <w:szCs w:val="15"/>
              </w:rPr>
            </w:pPr>
            <w:r>
              <w:rPr>
                <w:rFonts w:ascii="宋体" w:hAnsi="宋体" w:cs="宋体" w:eastAsia="宋体" w:hint="default"/>
                <w:sz w:val="15"/>
                <w:szCs w:val="15"/>
              </w:rPr>
              <w:t>销售整机、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服务器、通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信设备相关</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产品及服</w:t>
            </w:r>
            <w:r>
              <w:rPr>
                <w:rFonts w:ascii="宋体" w:hAnsi="宋体" w:cs="宋体" w:eastAsia="宋体" w:hint="default"/>
                <w:w w:val="100"/>
                <w:sz w:val="15"/>
                <w:szCs w:val="15"/>
              </w:rPr>
              <w:t> </w:t>
            </w:r>
            <w:r>
              <w:rPr>
                <w:rFonts w:ascii="宋体" w:hAnsi="宋体" w:cs="宋体" w:eastAsia="宋体" w:hint="default"/>
                <w:sz w:val="15"/>
                <w:szCs w:val="15"/>
              </w:rPr>
              <w:t>务、软件</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81"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1,168.59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0.12%</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1261"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81" w:lineRule="auto"/>
              <w:ind w:left="2" w:right="120"/>
              <w:jc w:val="left"/>
              <w:rPr>
                <w:rFonts w:ascii="宋体" w:hAnsi="宋体" w:cs="宋体" w:eastAsia="宋体" w:hint="default"/>
                <w:sz w:val="15"/>
                <w:szCs w:val="15"/>
              </w:rPr>
            </w:pPr>
            <w:r>
              <w:rPr>
                <w:rFonts w:ascii="宋体" w:hAnsi="宋体" w:cs="宋体" w:eastAsia="宋体" w:hint="default"/>
                <w:sz w:val="15"/>
                <w:szCs w:val="15"/>
              </w:rPr>
              <w:t>中国电子系统技术</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81" w:lineRule="auto"/>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销售商品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9"/>
              <w:ind w:right="22"/>
              <w:jc w:val="both"/>
              <w:rPr>
                <w:rFonts w:ascii="宋体" w:hAnsi="宋体" w:cs="宋体" w:eastAsia="宋体" w:hint="default"/>
                <w:sz w:val="15"/>
                <w:szCs w:val="15"/>
              </w:rPr>
            </w:pPr>
            <w:r>
              <w:rPr>
                <w:rFonts w:ascii="宋体" w:hAnsi="宋体" w:cs="宋体" w:eastAsia="宋体" w:hint="default"/>
                <w:sz w:val="15"/>
                <w:szCs w:val="15"/>
              </w:rPr>
              <w:t>销售计算机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系统设备及</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数据系统设</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备</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81"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1,287.51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0.13%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5"/>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2019-020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634"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20"/>
              <w:jc w:val="left"/>
              <w:rPr>
                <w:rFonts w:ascii="宋体" w:hAnsi="宋体" w:cs="宋体" w:eastAsia="宋体" w:hint="default"/>
                <w:sz w:val="15"/>
                <w:szCs w:val="15"/>
              </w:rPr>
            </w:pPr>
            <w:r>
              <w:rPr>
                <w:rFonts w:ascii="宋体" w:hAnsi="宋体" w:cs="宋体" w:eastAsia="宋体" w:hint="default"/>
                <w:sz w:val="15"/>
                <w:szCs w:val="15"/>
              </w:rPr>
              <w:t>南京中电熊猫平板</w:t>
            </w:r>
            <w:r>
              <w:rPr>
                <w:rFonts w:ascii="宋体" w:hAnsi="宋体" w:cs="宋体" w:eastAsia="宋体" w:hint="default"/>
                <w:w w:val="100"/>
                <w:sz w:val="15"/>
                <w:szCs w:val="15"/>
              </w:rPr>
              <w:t> </w:t>
            </w:r>
            <w:r>
              <w:rPr>
                <w:rFonts w:ascii="宋体" w:hAnsi="宋体" w:cs="宋体" w:eastAsia="宋体" w:hint="default"/>
                <w:sz w:val="15"/>
                <w:szCs w:val="15"/>
              </w:rPr>
              <w:t>显示科技有限公司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销售商品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left"/>
              <w:rPr>
                <w:rFonts w:ascii="宋体" w:hAnsi="宋体" w:cs="宋体" w:eastAsia="宋体" w:hint="default"/>
                <w:sz w:val="15"/>
                <w:szCs w:val="15"/>
              </w:rPr>
            </w:pPr>
            <w:r>
              <w:rPr>
                <w:rFonts w:ascii="宋体" w:hAnsi="宋体" w:cs="宋体" w:eastAsia="宋体" w:hint="default"/>
                <w:sz w:val="15"/>
                <w:szCs w:val="15"/>
              </w:rPr>
              <w:t>销售信号发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生器及配件</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1,012.81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0.10%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1,013.00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5"/>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2019-020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634"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20"/>
              <w:jc w:val="left"/>
              <w:rPr>
                <w:rFonts w:ascii="宋体" w:hAnsi="宋体" w:cs="宋体" w:eastAsia="宋体" w:hint="default"/>
                <w:sz w:val="15"/>
                <w:szCs w:val="15"/>
              </w:rPr>
            </w:pPr>
            <w:r>
              <w:rPr>
                <w:rFonts w:ascii="宋体" w:hAnsi="宋体" w:cs="宋体" w:eastAsia="宋体" w:hint="default"/>
                <w:sz w:val="15"/>
                <w:szCs w:val="15"/>
              </w:rPr>
              <w:t>中国电子进出口有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销售商品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left"/>
              <w:rPr>
                <w:rFonts w:ascii="宋体" w:hAnsi="宋体" w:cs="宋体" w:eastAsia="宋体" w:hint="default"/>
                <w:sz w:val="15"/>
                <w:szCs w:val="15"/>
              </w:rPr>
            </w:pPr>
            <w:r>
              <w:rPr>
                <w:rFonts w:ascii="宋体" w:hAnsi="宋体" w:cs="宋体" w:eastAsia="宋体" w:hint="default"/>
                <w:sz w:val="15"/>
                <w:szCs w:val="15"/>
              </w:rPr>
              <w:t>销售通信设</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备</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713.31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0.07%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780.00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5"/>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2019-020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634"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20"/>
              <w:jc w:val="left"/>
              <w:rPr>
                <w:rFonts w:ascii="宋体" w:hAnsi="宋体" w:cs="宋体" w:eastAsia="宋体" w:hint="default"/>
                <w:sz w:val="15"/>
                <w:szCs w:val="15"/>
              </w:rPr>
            </w:pPr>
            <w:r>
              <w:rPr>
                <w:rFonts w:ascii="宋体" w:hAnsi="宋体" w:cs="宋体" w:eastAsia="宋体" w:hint="default"/>
                <w:sz w:val="15"/>
                <w:szCs w:val="15"/>
              </w:rPr>
              <w:t>南京熊猫汉达科技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141"/>
              <w:jc w:val="left"/>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销售商品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left"/>
              <w:rPr>
                <w:rFonts w:ascii="宋体" w:hAnsi="宋体" w:cs="宋体" w:eastAsia="宋体" w:hint="default"/>
                <w:sz w:val="15"/>
                <w:szCs w:val="15"/>
              </w:rPr>
            </w:pPr>
            <w:r>
              <w:rPr>
                <w:rFonts w:ascii="宋体" w:hAnsi="宋体" w:cs="宋体" w:eastAsia="宋体" w:hint="default"/>
                <w:sz w:val="15"/>
                <w:szCs w:val="15"/>
              </w:rPr>
              <w:t>销售通信设</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备、交换机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695.18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0.07%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5"/>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2019-020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634"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20"/>
              <w:jc w:val="left"/>
              <w:rPr>
                <w:rFonts w:ascii="宋体" w:hAnsi="宋体" w:cs="宋体" w:eastAsia="宋体" w:hint="default"/>
                <w:sz w:val="15"/>
                <w:szCs w:val="15"/>
              </w:rPr>
            </w:pPr>
            <w:r>
              <w:rPr>
                <w:rFonts w:ascii="宋体" w:hAnsi="宋体" w:cs="宋体" w:eastAsia="宋体" w:hint="default"/>
                <w:sz w:val="15"/>
                <w:szCs w:val="15"/>
              </w:rPr>
              <w:t>桂林长海科技有限</w:t>
            </w:r>
            <w:r>
              <w:rPr>
                <w:rFonts w:ascii="宋体" w:hAnsi="宋体" w:cs="宋体" w:eastAsia="宋体" w:hint="default"/>
                <w:w w:val="100"/>
                <w:sz w:val="15"/>
                <w:szCs w:val="15"/>
              </w:rPr>
              <w:t> </w:t>
            </w:r>
            <w:r>
              <w:rPr>
                <w:rFonts w:ascii="宋体" w:hAnsi="宋体" w:cs="宋体" w:eastAsia="宋体" w:hint="default"/>
                <w:sz w:val="15"/>
                <w:szCs w:val="15"/>
              </w:rPr>
              <w:t>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接受劳务</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22"/>
              <w:jc w:val="left"/>
              <w:rPr>
                <w:rFonts w:ascii="宋体" w:hAnsi="宋体" w:cs="宋体" w:eastAsia="宋体" w:hint="default"/>
                <w:sz w:val="15"/>
                <w:szCs w:val="15"/>
              </w:rPr>
            </w:pPr>
            <w:r>
              <w:rPr>
                <w:rFonts w:ascii="宋体" w:hAnsi="宋体" w:cs="宋体" w:eastAsia="宋体" w:hint="default"/>
                <w:sz w:val="15"/>
                <w:szCs w:val="15"/>
              </w:rPr>
              <w:t>接受加工服</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4,345.77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0.53%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5"/>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2019-094</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323" w:hRule="exact"/>
        </w:trPr>
        <w:tc>
          <w:tcPr>
            <w:tcW w:w="3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15"/>
                <w:szCs w:val="15"/>
              </w:rPr>
            </w:pPr>
            <w:r>
              <w:rPr>
                <w:rFonts w:ascii="Times New Roman"/>
                <w:sz w:val="15"/>
              </w:rPr>
              <w:t>--</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 w:right="0"/>
              <w:jc w:val="center"/>
              <w:rPr>
                <w:rFonts w:ascii="Times New Roman" w:hAnsi="Times New Roman" w:cs="Times New Roman" w:eastAsia="Times New Roman" w:hint="default"/>
                <w:sz w:val="15"/>
                <w:szCs w:val="15"/>
              </w:rPr>
            </w:pPr>
            <w:r>
              <w:rPr>
                <w:rFonts w:ascii="Times New Roman"/>
                <w:sz w:val="15"/>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Times New Roman" w:hAnsi="Times New Roman" w:cs="Times New Roman" w:eastAsia="Times New Roman" w:hint="default"/>
                <w:sz w:val="15"/>
                <w:szCs w:val="15"/>
              </w:rPr>
            </w:pPr>
            <w:r>
              <w:rPr>
                <w:rFonts w:ascii="Times New Roman"/>
                <w:spacing w:val="-1"/>
                <w:sz w:val="15"/>
              </w:rPr>
              <w:t>89,275.34</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5" w:right="0"/>
              <w:jc w:val="center"/>
              <w:rPr>
                <w:rFonts w:ascii="Times New Roman" w:hAnsi="Times New Roman" w:cs="Times New Roman" w:eastAsia="Times New Roman" w:hint="default"/>
                <w:sz w:val="15"/>
                <w:szCs w:val="15"/>
              </w:rPr>
            </w:pPr>
            <w:r>
              <w:rPr>
                <w:rFonts w:ascii="Times New Roman"/>
                <w:sz w:val="15"/>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Times New Roman" w:hAnsi="Times New Roman" w:cs="Times New Roman" w:eastAsia="Times New Roman" w:hint="default"/>
                <w:sz w:val="15"/>
                <w:szCs w:val="15"/>
              </w:rPr>
            </w:pPr>
            <w:r>
              <w:rPr>
                <w:rFonts w:ascii="Times New Roman"/>
                <w:spacing w:val="-1"/>
                <w:sz w:val="15"/>
              </w:rPr>
              <w:t>96,288.69</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4" w:right="0"/>
              <w:jc w:val="center"/>
              <w:rPr>
                <w:rFonts w:ascii="Times New Roman" w:hAnsi="Times New Roman" w:cs="Times New Roman" w:eastAsia="Times New Roman" w:hint="default"/>
                <w:sz w:val="15"/>
                <w:szCs w:val="15"/>
              </w:rPr>
            </w:pPr>
            <w:r>
              <w:rPr>
                <w:rFonts w:ascii="Times New Roman"/>
                <w:sz w:val="15"/>
              </w:rPr>
              <w:t>--</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15"/>
                <w:szCs w:val="15"/>
              </w:rPr>
            </w:pPr>
            <w:r>
              <w:rPr>
                <w:rFonts w:ascii="Times New Roman"/>
                <w:sz w:val="15"/>
              </w:rPr>
              <w:t>--</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15"/>
                <w:szCs w:val="15"/>
              </w:rPr>
            </w:pPr>
            <w:r>
              <w:rPr>
                <w:rFonts w:ascii="Times New Roman"/>
                <w:sz w:val="15"/>
              </w:rPr>
              <w:t>--</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 w:right="0"/>
              <w:jc w:val="center"/>
              <w:rPr>
                <w:rFonts w:ascii="Times New Roman" w:hAnsi="Times New Roman" w:cs="Times New Roman" w:eastAsia="Times New Roman" w:hint="default"/>
                <w:sz w:val="15"/>
                <w:szCs w:val="15"/>
              </w:rPr>
            </w:pPr>
            <w:r>
              <w:rPr>
                <w:rFonts w:ascii="Times New Roman"/>
                <w:sz w:val="15"/>
              </w:rPr>
              <w:t>--</w:t>
            </w:r>
          </w:p>
        </w:tc>
      </w:tr>
      <w:tr>
        <w:trPr>
          <w:trHeight w:val="323" w:hRule="exact"/>
        </w:trPr>
        <w:tc>
          <w:tcPr>
            <w:tcW w:w="3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大额销货退回的详细情况</w:t>
            </w:r>
          </w:p>
        </w:tc>
        <w:tc>
          <w:tcPr>
            <w:tcW w:w="767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99"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5002" w:hRule="exact"/>
        </w:trPr>
        <w:tc>
          <w:tcPr>
            <w:tcW w:w="3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381" w:lineRule="auto"/>
              <w:ind w:left="2" w:right="-4"/>
              <w:jc w:val="left"/>
              <w:rPr>
                <w:rFonts w:ascii="宋体" w:hAnsi="宋体" w:cs="宋体" w:eastAsia="宋体" w:hint="default"/>
                <w:sz w:val="15"/>
                <w:szCs w:val="15"/>
              </w:rPr>
            </w:pPr>
            <w:r>
              <w:rPr>
                <w:rFonts w:ascii="宋体" w:hAnsi="宋体" w:cs="宋体" w:eastAsia="宋体" w:hint="default"/>
                <w:spacing w:val="-2"/>
                <w:sz w:val="15"/>
                <w:szCs w:val="15"/>
              </w:rPr>
              <w:t>按类别对本期将发生的日常关联交易进行总金额预计的，</w:t>
            </w:r>
            <w:r>
              <w:rPr>
                <w:rFonts w:ascii="宋体" w:hAnsi="宋体" w:cs="宋体" w:eastAsia="宋体" w:hint="default"/>
                <w:spacing w:val="-31"/>
                <w:sz w:val="15"/>
                <w:szCs w:val="15"/>
              </w:rPr>
              <w:t> </w:t>
            </w:r>
            <w:r>
              <w:rPr>
                <w:rFonts w:ascii="宋体" w:hAnsi="宋体" w:cs="宋体" w:eastAsia="宋体" w:hint="default"/>
                <w:spacing w:val="-31"/>
                <w:sz w:val="15"/>
                <w:szCs w:val="15"/>
              </w:rPr>
            </w:r>
            <w:r>
              <w:rPr>
                <w:rFonts w:ascii="宋体" w:hAnsi="宋体" w:cs="宋体" w:eastAsia="宋体" w:hint="default"/>
                <w:sz w:val="15"/>
                <w:szCs w:val="15"/>
              </w:rPr>
              <w:t>在报告期内的实际履行情况（如有）</w:t>
            </w:r>
          </w:p>
        </w:tc>
        <w:tc>
          <w:tcPr>
            <w:tcW w:w="767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99"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）经</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18</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日公司第六届董事会、</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日公司第七届董事会第二次会议、</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29</w:t>
            </w:r>
          </w:p>
          <w:p>
            <w:pPr>
              <w:pStyle w:val="TableParagraph"/>
              <w:spacing w:line="240" w:lineRule="auto" w:before="104"/>
              <w:ind w:left="-1" w:right="-2"/>
              <w:jc w:val="left"/>
              <w:rPr>
                <w:rFonts w:ascii="宋体" w:hAnsi="宋体" w:cs="宋体" w:eastAsia="宋体" w:hint="default"/>
                <w:sz w:val="15"/>
                <w:szCs w:val="15"/>
              </w:rPr>
            </w:pPr>
            <w:r>
              <w:rPr>
                <w:rFonts w:ascii="宋体" w:hAnsi="宋体" w:cs="宋体" w:eastAsia="宋体" w:hint="default"/>
                <w:sz w:val="15"/>
                <w:szCs w:val="15"/>
              </w:rPr>
              <w:t>日公司</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年度股东大会、</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日公司第七届董事会第十七次会议、</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21</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日公司</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年度股东</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大会、</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日公司第七届董事会第二十八次会议、</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日公司</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年度第五次临时股东大会</w:t>
            </w:r>
          </w:p>
          <w:p>
            <w:pPr>
              <w:pStyle w:val="TableParagraph"/>
              <w:spacing w:line="240" w:lineRule="auto" w:before="104"/>
              <w:ind w:left="-1" w:right="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审议，通过公司</w:t>
            </w:r>
            <w:r>
              <w:rPr>
                <w:rFonts w:ascii="宋体" w:hAnsi="宋体" w:cs="宋体" w:eastAsia="宋体" w:hint="default"/>
                <w:sz w:val="15"/>
                <w:szCs w:val="15"/>
              </w:rPr>
              <w:t> </w:t>
            </w:r>
            <w:r>
              <w:rPr>
                <w:rFonts w:ascii="Times New Roman" w:hAnsi="Times New Roman" w:cs="Times New Roman" w:eastAsia="Times New Roman" w:hint="default"/>
                <w:spacing w:val="-1"/>
                <w:sz w:val="15"/>
                <w:szCs w:val="15"/>
              </w:rPr>
              <w:t>2019</w:t>
            </w:r>
            <w:r>
              <w:rPr>
                <w:rFonts w:ascii="Times New Roman" w:hAnsi="Times New Roman" w:cs="Times New Roman" w:eastAsia="Times New Roman" w:hint="default"/>
                <w:sz w:val="15"/>
                <w:szCs w:val="15"/>
              </w:rPr>
              <w:t> </w:t>
            </w:r>
            <w:r>
              <w:rPr>
                <w:rFonts w:ascii="宋体" w:hAnsi="宋体" w:cs="宋体" w:eastAsia="宋体" w:hint="default"/>
                <w:spacing w:val="-2"/>
                <w:sz w:val="15"/>
                <w:szCs w:val="15"/>
              </w:rPr>
              <w:t>年度日常关联交易预计事宜。鉴于中国长城及下属子公司开展日常生产运营的需要，预计</w:t>
            </w:r>
            <w:r>
              <w:rPr>
                <w:rFonts w:ascii="宋体" w:hAnsi="宋体" w:cs="宋体" w:eastAsia="宋体" w:hint="default"/>
                <w:spacing w:val="3"/>
                <w:sz w:val="15"/>
                <w:szCs w:val="15"/>
              </w:rPr>
              <w:t> </w:t>
            </w:r>
            <w:r>
              <w:rPr>
                <w:rFonts w:ascii="Times New Roman" w:hAnsi="Times New Roman" w:cs="Times New Roman" w:eastAsia="Times New Roman" w:hint="default"/>
                <w:spacing w:val="-1"/>
                <w:sz w:val="15"/>
                <w:szCs w:val="15"/>
              </w:rPr>
              <w:t>2019</w:t>
            </w:r>
          </w:p>
          <w:p>
            <w:pPr>
              <w:pStyle w:val="TableParagraph"/>
              <w:spacing w:line="240" w:lineRule="auto" w:before="104"/>
              <w:ind w:left="-1" w:right="-19"/>
              <w:jc w:val="left"/>
              <w:rPr>
                <w:rFonts w:ascii="宋体" w:hAnsi="宋体" w:cs="宋体" w:eastAsia="宋体" w:hint="default"/>
                <w:sz w:val="15"/>
                <w:szCs w:val="15"/>
              </w:rPr>
            </w:pPr>
            <w:r>
              <w:rPr>
                <w:rFonts w:ascii="宋体" w:hAnsi="宋体" w:cs="宋体" w:eastAsia="宋体" w:hint="default"/>
                <w:spacing w:val="-2"/>
                <w:sz w:val="15"/>
                <w:szCs w:val="15"/>
              </w:rPr>
              <w:t>年将涉及向关联方采购原材料及产成品、销售原材料及产成品、提供劳务、接受劳务等（具体内容详见</w:t>
            </w:r>
            <w:r>
              <w:rPr>
                <w:rFonts w:ascii="宋体" w:hAnsi="宋体" w:cs="宋体" w:eastAsia="宋体" w:hint="default"/>
                <w:sz w:val="15"/>
                <w:szCs w:val="15"/>
              </w:rPr>
              <w:t> </w:t>
            </w:r>
            <w:r>
              <w:rPr>
                <w:rFonts w:ascii="Times New Roman" w:hAnsi="Times New Roman" w:cs="Times New Roman" w:eastAsia="Times New Roman" w:hint="default"/>
                <w:spacing w:val="-2"/>
                <w:sz w:val="15"/>
                <w:szCs w:val="15"/>
              </w:rPr>
              <w:t>2017-114</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5"/>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spacing w:val="1"/>
                <w:w w:val="100"/>
                <w:sz w:val="15"/>
                <w:szCs w:val="15"/>
              </w:rPr>
              <w:t>8</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05</w:t>
            </w:r>
            <w:r>
              <w:rPr>
                <w:rFonts w:ascii="Times New Roman" w:hAnsi="Times New Roman" w:cs="Times New Roman" w:eastAsia="Times New Roman" w:hint="default"/>
                <w:w w:val="100"/>
                <w:sz w:val="15"/>
                <w:szCs w:val="15"/>
              </w:rPr>
              <w:t>1</w:t>
            </w:r>
            <w:r>
              <w:rPr>
                <w:rFonts w:ascii="Times New Roman" w:hAnsi="Times New Roman" w:cs="Times New Roman" w:eastAsia="Times New Roman" w:hint="default"/>
                <w:spacing w:val="-6"/>
                <w:sz w:val="15"/>
                <w:szCs w:val="15"/>
              </w:rPr>
              <w:t> </w:t>
            </w:r>
            <w:r>
              <w:rPr>
                <w:rFonts w:ascii="宋体" w:hAnsi="宋体" w:cs="宋体" w:eastAsia="宋体" w:hint="default"/>
                <w:spacing w:val="-3"/>
                <w:w w:val="100"/>
                <w:sz w:val="15"/>
                <w:szCs w:val="15"/>
              </w:rPr>
              <w:t>号、</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spacing w:val="1"/>
                <w:w w:val="100"/>
                <w:sz w:val="15"/>
                <w:szCs w:val="15"/>
              </w:rPr>
              <w:t>9</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02</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pacing w:val="-6"/>
                <w:sz w:val="15"/>
                <w:szCs w:val="15"/>
              </w:rPr>
              <w:t> </w:t>
            </w:r>
            <w:r>
              <w:rPr>
                <w:rFonts w:ascii="宋体" w:hAnsi="宋体" w:cs="宋体" w:eastAsia="宋体" w:hint="default"/>
                <w:spacing w:val="-3"/>
                <w:w w:val="100"/>
                <w:sz w:val="15"/>
                <w:szCs w:val="15"/>
              </w:rPr>
              <w:t>号、</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spacing w:val="1"/>
                <w:w w:val="100"/>
                <w:sz w:val="15"/>
                <w:szCs w:val="15"/>
              </w:rPr>
              <w:t>9</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spacing w:val="-2"/>
                <w:w w:val="100"/>
                <w:sz w:val="15"/>
                <w:szCs w:val="15"/>
              </w:rPr>
              <w:t>9</w:t>
            </w:r>
            <w:r>
              <w:rPr>
                <w:rFonts w:ascii="Times New Roman" w:hAnsi="Times New Roman" w:cs="Times New Roman" w:eastAsia="Times New Roman" w:hint="default"/>
                <w:w w:val="100"/>
                <w:sz w:val="15"/>
                <w:szCs w:val="15"/>
              </w:rPr>
              <w:t>4</w:t>
            </w:r>
            <w:r>
              <w:rPr>
                <w:rFonts w:ascii="Times New Roman" w:hAnsi="Times New Roman" w:cs="Times New Roman" w:eastAsia="Times New Roman" w:hint="default"/>
                <w:spacing w:val="-10"/>
                <w:sz w:val="15"/>
                <w:szCs w:val="15"/>
              </w:rPr>
              <w:t> </w:t>
            </w:r>
            <w:r>
              <w:rPr>
                <w:rFonts w:ascii="宋体" w:hAnsi="宋体" w:cs="宋体" w:eastAsia="宋体" w:hint="default"/>
                <w:w w:val="100"/>
                <w:sz w:val="15"/>
                <w:szCs w:val="15"/>
              </w:rPr>
              <w:t>号公</w:t>
            </w:r>
            <w:r>
              <w:rPr>
                <w:rFonts w:ascii="宋体" w:hAnsi="宋体" w:cs="宋体" w:eastAsia="宋体" w:hint="default"/>
                <w:spacing w:val="-3"/>
                <w:w w:val="100"/>
                <w:sz w:val="15"/>
                <w:szCs w:val="15"/>
              </w:rPr>
              <w:t>告</w:t>
            </w:r>
            <w:r>
              <w:rPr>
                <w:rFonts w:ascii="宋体" w:hAnsi="宋体" w:cs="宋体" w:eastAsia="宋体" w:hint="default"/>
                <w:spacing w:val="-77"/>
                <w:w w:val="100"/>
                <w:sz w:val="15"/>
                <w:szCs w:val="15"/>
              </w:rPr>
              <w:t>）</w:t>
            </w:r>
            <w:r>
              <w:rPr>
                <w:rFonts w:ascii="宋体" w:hAnsi="宋体" w:cs="宋体" w:eastAsia="宋体" w:hint="default"/>
                <w:w w:val="100"/>
                <w:sz w:val="15"/>
                <w:szCs w:val="15"/>
              </w:rPr>
              <w:t>。</w:t>
            </w:r>
          </w:p>
          <w:p>
            <w:pPr>
              <w:pStyle w:val="TableParagraph"/>
              <w:spacing w:line="240" w:lineRule="auto" w:before="104"/>
              <w:ind w:left="299" w:right="0"/>
              <w:jc w:val="left"/>
              <w:rPr>
                <w:rFonts w:ascii="宋体" w:hAnsi="宋体" w:cs="宋体" w:eastAsia="宋体" w:hint="default"/>
                <w:sz w:val="15"/>
                <w:szCs w:val="15"/>
              </w:rPr>
            </w:pPr>
            <w:r>
              <w:rPr>
                <w:rFonts w:ascii="宋体" w:hAnsi="宋体" w:cs="宋体" w:eastAsia="宋体" w:hint="default"/>
                <w:sz w:val="15"/>
                <w:szCs w:val="15"/>
              </w:rPr>
              <w:t>采购类日常关联交易全年预计</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20,000</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万元＋</w:t>
            </w:r>
            <w:r>
              <w:rPr>
                <w:rFonts w:ascii="Times New Roman" w:hAnsi="Times New Roman" w:cs="Times New Roman" w:eastAsia="Times New Roman" w:hint="default"/>
                <w:sz w:val="15"/>
                <w:szCs w:val="15"/>
              </w:rPr>
              <w:t>2,450</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万美元，报告期实发金额</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34,639.20</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万元；</w:t>
            </w:r>
          </w:p>
          <w:p>
            <w:pPr>
              <w:pStyle w:val="TableParagraph"/>
              <w:spacing w:line="240" w:lineRule="auto" w:before="104"/>
              <w:ind w:left="299" w:right="0"/>
              <w:jc w:val="left"/>
              <w:rPr>
                <w:rFonts w:ascii="宋体" w:hAnsi="宋体" w:cs="宋体" w:eastAsia="宋体" w:hint="default"/>
                <w:sz w:val="15"/>
                <w:szCs w:val="15"/>
              </w:rPr>
            </w:pPr>
            <w:r>
              <w:rPr>
                <w:rFonts w:ascii="宋体" w:hAnsi="宋体" w:cs="宋体" w:eastAsia="宋体" w:hint="default"/>
                <w:sz w:val="15"/>
                <w:szCs w:val="15"/>
              </w:rPr>
              <w:t>销售类日常关联交易全年预计</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75,000</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万元，报告期实发金额</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53,484.33</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万元；</w:t>
            </w:r>
          </w:p>
          <w:p>
            <w:pPr>
              <w:pStyle w:val="TableParagraph"/>
              <w:spacing w:line="240" w:lineRule="auto" w:before="104"/>
              <w:ind w:left="299" w:right="0"/>
              <w:jc w:val="left"/>
              <w:rPr>
                <w:rFonts w:ascii="宋体" w:hAnsi="宋体" w:cs="宋体" w:eastAsia="宋体" w:hint="default"/>
                <w:sz w:val="15"/>
                <w:szCs w:val="15"/>
              </w:rPr>
            </w:pPr>
            <w:r>
              <w:rPr>
                <w:rFonts w:ascii="宋体" w:hAnsi="宋体" w:cs="宋体" w:eastAsia="宋体" w:hint="default"/>
                <w:sz w:val="15"/>
                <w:szCs w:val="15"/>
              </w:rPr>
              <w:t>劳务类日常关联交易全年预计</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6,000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万元，报告期实发金额</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5,090.86</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万元；</w:t>
            </w:r>
          </w:p>
          <w:p>
            <w:pPr>
              <w:pStyle w:val="TableParagraph"/>
              <w:spacing w:line="362" w:lineRule="auto" w:before="104"/>
              <w:ind w:left="-1" w:right="-2" w:firstLine="300"/>
              <w:jc w:val="left"/>
              <w:rPr>
                <w:rFonts w:ascii="宋体" w:hAnsi="宋体" w:cs="宋体" w:eastAsia="宋体" w:hint="default"/>
                <w:sz w:val="15"/>
                <w:szCs w:val="15"/>
              </w:rPr>
            </w:pPr>
            <w:r>
              <w:rPr>
                <w:rFonts w:ascii="宋体" w:hAnsi="宋体" w:cs="宋体" w:eastAsia="宋体" w:hint="default"/>
                <w:sz w:val="15"/>
                <w:szCs w:val="15"/>
              </w:rPr>
              <w:t>所发生的日常关联交易均在公司与中国电子及联营企业的</w:t>
            </w:r>
            <w:r>
              <w:rPr>
                <w:rFonts w:ascii="宋体" w:hAnsi="宋体" w:cs="宋体" w:eastAsia="宋体" w:hint="default"/>
                <w:spacing w:val="-28"/>
                <w:sz w:val="15"/>
                <w:szCs w:val="15"/>
              </w:rPr>
              <w:t> </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
                <w:sz w:val="15"/>
                <w:szCs w:val="15"/>
              </w:rPr>
              <w:t> </w:t>
            </w:r>
            <w:r>
              <w:rPr>
                <w:rFonts w:ascii="宋体" w:hAnsi="宋体" w:cs="宋体" w:eastAsia="宋体" w:hint="default"/>
                <w:spacing w:val="-4"/>
                <w:sz w:val="15"/>
                <w:szCs w:val="15"/>
              </w:rPr>
              <w:t>年度各类日常关联预计总金额内进行，未超全年预</w:t>
            </w:r>
            <w:r>
              <w:rPr>
                <w:rFonts w:ascii="宋体" w:hAnsi="宋体" w:cs="宋体" w:eastAsia="宋体" w:hint="default"/>
                <w:w w:val="100"/>
                <w:sz w:val="15"/>
                <w:szCs w:val="15"/>
              </w:rPr>
              <w:t> </w:t>
            </w:r>
            <w:r>
              <w:rPr>
                <w:rFonts w:ascii="宋体" w:hAnsi="宋体" w:cs="宋体" w:eastAsia="宋体" w:hint="default"/>
                <w:sz w:val="15"/>
                <w:szCs w:val="15"/>
              </w:rPr>
              <w:t>计总金额。</w:t>
            </w:r>
          </w:p>
          <w:p>
            <w:pPr>
              <w:pStyle w:val="TableParagraph"/>
              <w:spacing w:line="372" w:lineRule="auto" w:before="39"/>
              <w:ind w:left="-1" w:right="14" w:firstLine="300"/>
              <w:jc w:val="both"/>
              <w:rPr>
                <w:rFonts w:ascii="宋体" w:hAnsi="宋体" w:cs="宋体" w:eastAsia="宋体" w:hint="default"/>
                <w:sz w:val="15"/>
                <w:szCs w:val="15"/>
              </w:rPr>
            </w:pP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2019</w:t>
            </w:r>
            <w:r>
              <w:rPr>
                <w:rFonts w:ascii="Times New Roman" w:hAnsi="Times New Roman" w:cs="Times New Roman" w:eastAsia="Times New Roman" w:hint="default"/>
                <w:spacing w:val="15"/>
                <w:sz w:val="15"/>
                <w:szCs w:val="15"/>
              </w:rPr>
              <w:t> </w:t>
            </w:r>
            <w:r>
              <w:rPr>
                <w:rFonts w:ascii="宋体" w:hAnsi="宋体" w:cs="宋体" w:eastAsia="宋体" w:hint="default"/>
                <w:spacing w:val="-2"/>
                <w:sz w:val="15"/>
                <w:szCs w:val="15"/>
              </w:rPr>
              <w:t>年初公司与长海科技关联交易预计为购销模式，实际开展过程中根据业务需要调整为接受劳务加工模</w:t>
            </w:r>
            <w:r>
              <w:rPr>
                <w:rFonts w:ascii="宋体" w:hAnsi="宋体" w:cs="宋体" w:eastAsia="宋体" w:hint="default"/>
                <w:w w:val="100"/>
                <w:sz w:val="15"/>
                <w:szCs w:val="15"/>
              </w:rPr>
              <w:t> </w:t>
            </w:r>
            <w:r>
              <w:rPr>
                <w:rFonts w:ascii="宋体" w:hAnsi="宋体" w:cs="宋体" w:eastAsia="宋体" w:hint="default"/>
                <w:spacing w:val="-2"/>
                <w:sz w:val="15"/>
                <w:szCs w:val="15"/>
              </w:rPr>
              <w:t>式，预计额度的类别在预计总额内进行了调整（即采购、销售关联交易预计相应调减，接受劳务关联交易预计相应调</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pacing w:val="-26"/>
                <w:w w:val="100"/>
                <w:sz w:val="15"/>
                <w:szCs w:val="15"/>
              </w:rPr>
              <w:t>增）。</w:t>
            </w:r>
          </w:p>
          <w:p>
            <w:pPr>
              <w:pStyle w:val="TableParagraph"/>
              <w:spacing w:line="360" w:lineRule="auto" w:before="33"/>
              <w:ind w:left="-1" w:right="-3" w:firstLine="300"/>
              <w:jc w:val="left"/>
              <w:rPr>
                <w:rFonts w:ascii="宋体" w:hAnsi="宋体" w:cs="宋体" w:eastAsia="宋体" w:hint="default"/>
                <w:sz w:val="15"/>
                <w:szCs w:val="15"/>
              </w:rPr>
            </w:pPr>
            <w:r>
              <w:rPr>
                <w:rFonts w:ascii="宋体" w:hAnsi="宋体" w:cs="宋体" w:eastAsia="宋体" w:hint="default"/>
                <w:spacing w:val="-4"/>
                <w:w w:val="100"/>
                <w:sz w:val="15"/>
                <w:szCs w:val="15"/>
              </w:rPr>
              <w:t>（</w:t>
            </w:r>
            <w:r>
              <w:rPr>
                <w:rFonts w:ascii="Times New Roman" w:hAnsi="Times New Roman" w:cs="Times New Roman" w:eastAsia="Times New Roman" w:hint="default"/>
                <w:spacing w:val="-4"/>
                <w:w w:val="100"/>
                <w:sz w:val="15"/>
                <w:szCs w:val="15"/>
              </w:rPr>
              <w:t>3</w:t>
            </w:r>
            <w:r>
              <w:rPr>
                <w:rFonts w:ascii="宋体" w:hAnsi="宋体" w:cs="宋体" w:eastAsia="宋体" w:hint="default"/>
                <w:spacing w:val="-4"/>
                <w:w w:val="100"/>
                <w:sz w:val="15"/>
                <w:szCs w:val="15"/>
              </w:rPr>
              <w:t>）上表列示的为报告期内累计金额较大的日常关联交易事项，关于其他关联交易的情况详见财务报表附注中</w:t>
            </w:r>
            <w:r>
              <w:rPr>
                <w:rFonts w:ascii="Times New Roman" w:hAnsi="Times New Roman" w:cs="Times New Roman" w:eastAsia="Times New Roman" w:hint="default"/>
                <w:spacing w:val="-4"/>
                <w:w w:val="100"/>
                <w:sz w:val="15"/>
                <w:szCs w:val="15"/>
              </w:rPr>
              <w:t>“</w:t>
            </w:r>
            <w:r>
              <w:rPr>
                <w:rFonts w:ascii="宋体" w:hAnsi="宋体" w:cs="宋体" w:eastAsia="宋体" w:hint="default"/>
                <w:spacing w:val="-4"/>
                <w:w w:val="100"/>
                <w:sz w:val="15"/>
                <w:szCs w:val="15"/>
              </w:rPr>
              <w:t>关</w:t>
            </w:r>
            <w:r>
              <w:rPr>
                <w:rFonts w:ascii="宋体" w:hAnsi="宋体" w:cs="宋体" w:eastAsia="宋体" w:hint="default"/>
                <w:w w:val="100"/>
                <w:sz w:val="15"/>
                <w:szCs w:val="15"/>
              </w:rPr>
              <w:t> </w:t>
            </w:r>
            <w:r>
              <w:rPr>
                <w:rFonts w:ascii="宋体" w:hAnsi="宋体" w:cs="宋体" w:eastAsia="宋体" w:hint="default"/>
                <w:sz w:val="15"/>
                <w:szCs w:val="15"/>
              </w:rPr>
              <w:t>联方及关联交易</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r>
        <w:trPr>
          <w:trHeight w:val="322" w:hRule="exact"/>
        </w:trPr>
        <w:tc>
          <w:tcPr>
            <w:tcW w:w="3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交易价格与市场参考价格差异较大的原因（如适用）</w:t>
            </w:r>
          </w:p>
        </w:tc>
        <w:tc>
          <w:tcPr>
            <w:tcW w:w="767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99" w:right="0"/>
              <w:jc w:val="left"/>
              <w:rPr>
                <w:rFonts w:ascii="宋体" w:hAnsi="宋体" w:cs="宋体" w:eastAsia="宋体" w:hint="default"/>
                <w:sz w:val="15"/>
                <w:szCs w:val="15"/>
              </w:rPr>
            </w:pPr>
            <w:r>
              <w:rPr>
                <w:rFonts w:ascii="宋体" w:hAnsi="宋体" w:cs="宋体" w:eastAsia="宋体" w:hint="default"/>
                <w:sz w:val="15"/>
                <w:szCs w:val="15"/>
              </w:rPr>
              <w:t>不适用。</w:t>
            </w:r>
          </w:p>
        </w:tc>
      </w:tr>
    </w:tbl>
    <w:p>
      <w:pPr>
        <w:spacing w:after="0" w:line="240" w:lineRule="auto"/>
        <w:jc w:val="left"/>
        <w:rPr>
          <w:rFonts w:ascii="宋体" w:hAnsi="宋体" w:cs="宋体" w:eastAsia="宋体" w:hint="default"/>
          <w:sz w:val="15"/>
          <w:szCs w:val="15"/>
        </w:rPr>
        <w:sectPr>
          <w:pgSz w:w="11910" w:h="16840"/>
          <w:pgMar w:header="789" w:footer="975" w:top="1100" w:bottom="1160" w:left="120" w:right="0"/>
        </w:sectPr>
      </w:pPr>
    </w:p>
    <w:p>
      <w:pPr>
        <w:spacing w:line="240" w:lineRule="auto" w:before="5"/>
        <w:rPr>
          <w:rFonts w:ascii="Times New Roman" w:hAnsi="Times New Roman" w:cs="Times New Roman" w:eastAsia="Times New Roman" w:hint="default"/>
          <w:sz w:val="24"/>
          <w:szCs w:val="24"/>
        </w:rPr>
      </w:pPr>
      <w:r>
        <w:rPr/>
        <w:pict>
          <v:shape style="position:absolute;margin-left:8.280pt;margin-top:114.259979pt;width:579pt;height:645.7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9"/>
                    <w:gridCol w:w="999"/>
                    <w:gridCol w:w="701"/>
                    <w:gridCol w:w="1534"/>
                    <w:gridCol w:w="1519"/>
                    <w:gridCol w:w="740"/>
                    <w:gridCol w:w="797"/>
                    <w:gridCol w:w="797"/>
                    <w:gridCol w:w="985"/>
                    <w:gridCol w:w="742"/>
                    <w:gridCol w:w="888"/>
                    <w:gridCol w:w="766"/>
                  </w:tblGrid>
                  <w:tr>
                    <w:trPr>
                      <w:trHeight w:val="946" w:hRule="exact"/>
                    </w:trPr>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14" w:right="312"/>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关联交易定价原则</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 w:right="3" w:firstLine="4"/>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0"/>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 w:right="29" w:firstLine="33"/>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6"/>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8" w:right="34"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right="125"/>
                          <w:jc w:val="left"/>
                          <w:rPr>
                            <w:rFonts w:ascii="宋体" w:hAnsi="宋体" w:cs="宋体" w:eastAsia="宋体" w:hint="default"/>
                            <w:sz w:val="16"/>
                            <w:szCs w:val="16"/>
                          </w:rPr>
                        </w:pPr>
                        <w:r>
                          <w:rPr>
                            <w:rFonts w:ascii="宋体" w:hAnsi="宋体" w:cs="宋体" w:eastAsia="宋体" w:hint="default"/>
                            <w:sz w:val="16"/>
                            <w:szCs w:val="16"/>
                          </w:rPr>
                          <w:t>中电工业互联</w:t>
                        </w:r>
                        <w:r>
                          <w:rPr>
                            <w:rFonts w:ascii="宋体" w:hAnsi="宋体" w:cs="宋体" w:eastAsia="宋体" w:hint="default"/>
                            <w:w w:val="100"/>
                            <w:sz w:val="16"/>
                            <w:szCs w:val="16"/>
                          </w:rPr>
                          <w:t> </w:t>
                        </w:r>
                        <w:r>
                          <w:rPr>
                            <w:rFonts w:ascii="宋体" w:hAnsi="宋体" w:cs="宋体" w:eastAsia="宋体" w:hint="default"/>
                            <w:sz w:val="16"/>
                            <w:szCs w:val="16"/>
                          </w:rPr>
                          <w:t>网有限公司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right="24"/>
                          <w:jc w:val="left"/>
                          <w:rPr>
                            <w:rFonts w:ascii="宋体" w:hAnsi="宋体" w:cs="宋体" w:eastAsia="宋体" w:hint="default"/>
                            <w:sz w:val="16"/>
                            <w:szCs w:val="16"/>
                          </w:rPr>
                        </w:pPr>
                        <w:r>
                          <w:rPr>
                            <w:rFonts w:ascii="宋体" w:hAnsi="宋体" w:cs="宋体" w:eastAsia="宋体" w:hint="default"/>
                            <w:sz w:val="16"/>
                            <w:szCs w:val="16"/>
                          </w:rPr>
                          <w:t>与公司为同一</w:t>
                        </w:r>
                        <w:r>
                          <w:rPr>
                            <w:rFonts w:ascii="宋体" w:hAnsi="宋体" w:cs="宋体" w:eastAsia="宋体" w:hint="default"/>
                            <w:w w:val="100"/>
                            <w:sz w:val="16"/>
                            <w:szCs w:val="16"/>
                          </w:rPr>
                          <w:t> </w:t>
                        </w:r>
                        <w:r>
                          <w:rPr>
                            <w:rFonts w:ascii="宋体" w:hAnsi="宋体" w:cs="宋体" w:eastAsia="宋体" w:hint="default"/>
                            <w:sz w:val="16"/>
                            <w:szCs w:val="16"/>
                          </w:rPr>
                          <w:t>实际控制人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6" w:right="0"/>
                          <w:jc w:val="left"/>
                          <w:rPr>
                            <w:rFonts w:ascii="宋体" w:hAnsi="宋体" w:cs="宋体" w:eastAsia="宋体" w:hint="default"/>
                            <w:sz w:val="16"/>
                            <w:szCs w:val="16"/>
                          </w:rPr>
                        </w:pPr>
                        <w:r>
                          <w:rPr>
                            <w:rFonts w:ascii="宋体" w:hAnsi="宋体" w:cs="宋体" w:eastAsia="宋体" w:hint="default"/>
                            <w:sz w:val="16"/>
                            <w:szCs w:val="16"/>
                          </w:rPr>
                          <w:t>股权出售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2" w:right="77"/>
                          <w:jc w:val="left"/>
                          <w:rPr>
                            <w:rFonts w:ascii="宋体" w:hAnsi="宋体" w:cs="宋体" w:eastAsia="宋体" w:hint="default"/>
                            <w:sz w:val="16"/>
                            <w:szCs w:val="16"/>
                          </w:rPr>
                        </w:pPr>
                        <w:r>
                          <w:rPr>
                            <w:rFonts w:ascii="宋体" w:hAnsi="宋体" w:cs="宋体" w:eastAsia="宋体" w:hint="default"/>
                            <w:sz w:val="16"/>
                            <w:szCs w:val="16"/>
                          </w:rPr>
                          <w:t>向中电互联出售凯杰</w:t>
                        </w:r>
                        <w:r>
                          <w:rPr>
                            <w:rFonts w:ascii="宋体" w:hAnsi="宋体" w:cs="宋体" w:eastAsia="宋体" w:hint="default"/>
                            <w:w w:val="100"/>
                            <w:sz w:val="16"/>
                            <w:szCs w:val="16"/>
                          </w:rPr>
                          <w:t> </w:t>
                        </w:r>
                        <w:r>
                          <w:rPr>
                            <w:rFonts w:ascii="宋体" w:hAnsi="宋体" w:cs="宋体" w:eastAsia="宋体" w:hint="default"/>
                            <w:sz w:val="16"/>
                            <w:szCs w:val="16"/>
                          </w:rPr>
                          <w:t>科技</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100%</w:t>
                        </w:r>
                        <w:r>
                          <w:rPr>
                            <w:rFonts w:ascii="宋体" w:hAnsi="宋体" w:cs="宋体" w:eastAsia="宋体" w:hint="default"/>
                            <w:sz w:val="16"/>
                            <w:szCs w:val="16"/>
                          </w:rPr>
                          <w:t>股权</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以基准日</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10</w:t>
                        </w:r>
                      </w:p>
                      <w:p>
                        <w:pPr>
                          <w:pStyle w:val="TableParagraph"/>
                          <w:spacing w:line="338" w:lineRule="auto" w:before="90"/>
                          <w:ind w:left="-1" w:right="-3"/>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7"/>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日的评估结果为</w:t>
                        </w:r>
                        <w:r>
                          <w:rPr>
                            <w:rFonts w:ascii="宋体" w:hAnsi="宋体" w:cs="宋体" w:eastAsia="宋体" w:hint="default"/>
                            <w:w w:val="100"/>
                            <w:sz w:val="16"/>
                            <w:szCs w:val="16"/>
                          </w:rPr>
                          <w:t> </w:t>
                        </w:r>
                        <w:r>
                          <w:rPr>
                            <w:rFonts w:ascii="宋体" w:hAnsi="宋体" w:cs="宋体" w:eastAsia="宋体" w:hint="default"/>
                            <w:sz w:val="16"/>
                            <w:szCs w:val="16"/>
                          </w:rPr>
                          <w:t>基础协商确定</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1"/>
                          <w:jc w:val="center"/>
                          <w:rPr>
                            <w:rFonts w:ascii="Times New Roman" w:hAnsi="Times New Roman" w:cs="Times New Roman" w:eastAsia="Times New Roman" w:hint="default"/>
                            <w:sz w:val="16"/>
                            <w:szCs w:val="16"/>
                          </w:rPr>
                        </w:pPr>
                        <w:r>
                          <w:rPr>
                            <w:rFonts w:ascii="Times New Roman"/>
                            <w:spacing w:val="-1"/>
                            <w:sz w:val="16"/>
                          </w:rPr>
                          <w:t>3,209.09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spacing w:val="-2"/>
                            <w:sz w:val="16"/>
                          </w:rPr>
                          <w:t>3,211.40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6"/>
                          </w:rPr>
                          <w:t>3,161</w:t>
                        </w:r>
                        <w:r>
                          <w:rPr>
                            <w:rFonts w:ascii="Times New Roman"/>
                            <w:spacing w:val="-1"/>
                            <w:sz w:val="15"/>
                          </w:rPr>
                          <w:t>.00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4" w:right="0"/>
                          <w:jc w:val="center"/>
                          <w:rPr>
                            <w:rFonts w:ascii="宋体" w:hAnsi="宋体" w:cs="宋体" w:eastAsia="宋体" w:hint="default"/>
                            <w:sz w:val="16"/>
                            <w:szCs w:val="16"/>
                          </w:rPr>
                        </w:pPr>
                        <w:r>
                          <w:rPr>
                            <w:rFonts w:ascii="宋体" w:hAnsi="宋体" w:cs="宋体" w:eastAsia="宋体" w:hint="default"/>
                            <w:sz w:val="16"/>
                            <w:szCs w:val="16"/>
                          </w:rPr>
                          <w:t>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1"/>
                            <w:sz w:val="16"/>
                          </w:rPr>
                          <w:t>80.4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年</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02</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月</w:t>
                        </w:r>
                      </w:p>
                      <w:p>
                        <w:pPr>
                          <w:pStyle w:val="TableParagraph"/>
                          <w:spacing w:line="240" w:lineRule="auto" w:before="90"/>
                          <w:ind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6"/>
                            <w:szCs w:val="16"/>
                          </w:rPr>
                        </w:pPr>
                        <w:r>
                          <w:rPr>
                            <w:rFonts w:ascii="Times New Roman"/>
                            <w:sz w:val="16"/>
                          </w:rPr>
                          <w:t>2019-006</w:t>
                        </w:r>
                      </w:p>
                      <w:p>
                        <w:pPr>
                          <w:pStyle w:val="TableParagraph"/>
                          <w:spacing w:line="240" w:lineRule="auto" w:before="90"/>
                          <w:ind w:left="2" w:right="0"/>
                          <w:jc w:val="left"/>
                          <w:rPr>
                            <w:rFonts w:ascii="宋体" w:hAnsi="宋体" w:cs="宋体" w:eastAsia="宋体" w:hint="default"/>
                            <w:sz w:val="16"/>
                            <w:szCs w:val="16"/>
                          </w:rPr>
                        </w:pPr>
                        <w:r>
                          <w:rPr>
                            <w:rFonts w:ascii="宋体" w:hAnsi="宋体" w:cs="宋体" w:eastAsia="宋体" w:hint="default"/>
                            <w:sz w:val="16"/>
                            <w:szCs w:val="16"/>
                          </w:rPr>
                          <w:t>号公告</w:t>
                        </w: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right="125"/>
                          <w:jc w:val="left"/>
                          <w:rPr>
                            <w:rFonts w:ascii="宋体" w:hAnsi="宋体" w:cs="宋体" w:eastAsia="宋体" w:hint="default"/>
                            <w:sz w:val="16"/>
                            <w:szCs w:val="16"/>
                          </w:rPr>
                        </w:pPr>
                        <w:r>
                          <w:rPr>
                            <w:rFonts w:ascii="宋体" w:hAnsi="宋体" w:cs="宋体" w:eastAsia="宋体" w:hint="default"/>
                            <w:sz w:val="16"/>
                            <w:szCs w:val="16"/>
                          </w:rPr>
                          <w:t>湖南长城银河</w:t>
                        </w:r>
                        <w:r>
                          <w:rPr>
                            <w:rFonts w:ascii="宋体" w:hAnsi="宋体" w:cs="宋体" w:eastAsia="宋体" w:hint="default"/>
                            <w:w w:val="100"/>
                            <w:sz w:val="16"/>
                            <w:szCs w:val="16"/>
                          </w:rPr>
                          <w:t> </w:t>
                        </w:r>
                        <w:r>
                          <w:rPr>
                            <w:rFonts w:ascii="宋体" w:hAnsi="宋体" w:cs="宋体" w:eastAsia="宋体" w:hint="default"/>
                            <w:sz w:val="16"/>
                            <w:szCs w:val="16"/>
                          </w:rPr>
                          <w:t>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left"/>
                          <w:rPr>
                            <w:rFonts w:ascii="宋体" w:hAnsi="宋体" w:cs="宋体" w:eastAsia="宋体" w:hint="default"/>
                            <w:sz w:val="16"/>
                            <w:szCs w:val="16"/>
                          </w:rPr>
                        </w:pPr>
                        <w:r>
                          <w:rPr>
                            <w:rFonts w:ascii="宋体" w:hAnsi="宋体" w:cs="宋体" w:eastAsia="宋体" w:hint="default"/>
                            <w:sz w:val="16"/>
                            <w:szCs w:val="16"/>
                          </w:rPr>
                          <w:t>联营企业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 w:right="0"/>
                          <w:jc w:val="left"/>
                          <w:rPr>
                            <w:rFonts w:ascii="宋体" w:hAnsi="宋体" w:cs="宋体" w:eastAsia="宋体" w:hint="default"/>
                            <w:sz w:val="16"/>
                            <w:szCs w:val="16"/>
                          </w:rPr>
                        </w:pPr>
                        <w:r>
                          <w:rPr>
                            <w:rFonts w:ascii="宋体" w:hAnsi="宋体" w:cs="宋体" w:eastAsia="宋体" w:hint="default"/>
                            <w:sz w:val="16"/>
                            <w:szCs w:val="16"/>
                          </w:rPr>
                          <w:t>资产购买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2" w:right="77"/>
                          <w:jc w:val="left"/>
                          <w:rPr>
                            <w:rFonts w:ascii="宋体" w:hAnsi="宋体" w:cs="宋体" w:eastAsia="宋体" w:hint="default"/>
                            <w:sz w:val="16"/>
                            <w:szCs w:val="16"/>
                          </w:rPr>
                        </w:pPr>
                        <w:r>
                          <w:rPr>
                            <w:rFonts w:ascii="宋体" w:hAnsi="宋体" w:cs="宋体" w:eastAsia="宋体" w:hint="default"/>
                            <w:sz w:val="16"/>
                            <w:szCs w:val="16"/>
                          </w:rPr>
                          <w:t>长城信安购买长城银</w:t>
                        </w:r>
                        <w:r>
                          <w:rPr>
                            <w:rFonts w:ascii="宋体" w:hAnsi="宋体" w:cs="宋体" w:eastAsia="宋体" w:hint="default"/>
                            <w:w w:val="100"/>
                            <w:sz w:val="16"/>
                            <w:szCs w:val="16"/>
                          </w:rPr>
                          <w:t> </w:t>
                        </w:r>
                        <w:r>
                          <w:rPr>
                            <w:rFonts w:ascii="宋体" w:hAnsi="宋体" w:cs="宋体" w:eastAsia="宋体" w:hint="default"/>
                            <w:sz w:val="16"/>
                            <w:szCs w:val="16"/>
                          </w:rPr>
                          <w:t>河无形资产</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3"/>
                          <w:jc w:val="left"/>
                          <w:rPr>
                            <w:rFonts w:ascii="宋体" w:hAnsi="宋体" w:cs="宋体" w:eastAsia="宋体" w:hint="default"/>
                            <w:sz w:val="16"/>
                            <w:szCs w:val="16"/>
                          </w:rPr>
                        </w:pPr>
                        <w:r>
                          <w:rPr>
                            <w:rFonts w:ascii="宋体" w:hAnsi="宋体" w:cs="宋体" w:eastAsia="宋体" w:hint="default"/>
                            <w:sz w:val="16"/>
                            <w:szCs w:val="16"/>
                          </w:rPr>
                          <w:t>以基准日</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p>
                      <w:p>
                        <w:pPr>
                          <w:pStyle w:val="TableParagraph"/>
                          <w:spacing w:line="338" w:lineRule="auto" w:before="90"/>
                          <w:ind w:left="-1" w:right="24"/>
                          <w:jc w:val="left"/>
                          <w:rPr>
                            <w:rFonts w:ascii="宋体" w:hAnsi="宋体" w:cs="宋体" w:eastAsia="宋体" w:hint="default"/>
                            <w:sz w:val="16"/>
                            <w:szCs w:val="16"/>
                          </w:rPr>
                        </w:pPr>
                        <w:r>
                          <w:rPr>
                            <w:rFonts w:ascii="Times New Roman" w:hAnsi="Times New Roman" w:cs="Times New Roman" w:eastAsia="Times New Roman" w:hint="default"/>
                            <w:sz w:val="16"/>
                            <w:szCs w:val="16"/>
                          </w:rPr>
                          <w:t>30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日的评估结果为基</w:t>
                        </w:r>
                        <w:r>
                          <w:rPr>
                            <w:rFonts w:ascii="宋体" w:hAnsi="宋体" w:cs="宋体" w:eastAsia="宋体" w:hint="default"/>
                            <w:w w:val="100"/>
                            <w:sz w:val="16"/>
                            <w:szCs w:val="16"/>
                          </w:rPr>
                          <w:t> </w:t>
                        </w:r>
                        <w:r>
                          <w:rPr>
                            <w:rFonts w:ascii="宋体" w:hAnsi="宋体" w:cs="宋体" w:eastAsia="宋体" w:hint="default"/>
                            <w:sz w:val="16"/>
                            <w:szCs w:val="16"/>
                          </w:rPr>
                          <w:t>础协商确定</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spacing w:val="-1"/>
                            <w:sz w:val="16"/>
                          </w:rPr>
                          <w:t>4,155.06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6"/>
                          </w:rPr>
                          <w:t>4,155</w:t>
                        </w:r>
                        <w:r>
                          <w:rPr>
                            <w:rFonts w:ascii="Times New Roman"/>
                            <w:spacing w:val="-1"/>
                            <w:sz w:val="15"/>
                          </w:rPr>
                          <w:t>.00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4" w:right="0"/>
                          <w:jc w:val="center"/>
                          <w:rPr>
                            <w:rFonts w:ascii="宋体" w:hAnsi="宋体" w:cs="宋体" w:eastAsia="宋体" w:hint="default"/>
                            <w:sz w:val="16"/>
                            <w:szCs w:val="16"/>
                          </w:rPr>
                        </w:pPr>
                        <w:r>
                          <w:rPr>
                            <w:rFonts w:ascii="宋体" w:hAnsi="宋体" w:cs="宋体" w:eastAsia="宋体" w:hint="default"/>
                            <w:sz w:val="16"/>
                            <w:szCs w:val="16"/>
                          </w:rPr>
                          <w:t>自筹资金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年</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04</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月</w:t>
                        </w:r>
                      </w:p>
                      <w:p>
                        <w:pPr>
                          <w:pStyle w:val="TableParagraph"/>
                          <w:spacing w:line="240" w:lineRule="auto" w:before="90"/>
                          <w:ind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05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6"/>
                            <w:szCs w:val="16"/>
                          </w:rPr>
                        </w:pPr>
                        <w:r>
                          <w:rPr>
                            <w:rFonts w:ascii="Times New Roman"/>
                            <w:sz w:val="16"/>
                          </w:rPr>
                          <w:t>2019-014</w:t>
                        </w:r>
                      </w:p>
                      <w:p>
                        <w:pPr>
                          <w:pStyle w:val="TableParagraph"/>
                          <w:spacing w:line="240" w:lineRule="auto" w:before="90"/>
                          <w:ind w:left="2" w:right="0"/>
                          <w:jc w:val="left"/>
                          <w:rPr>
                            <w:rFonts w:ascii="宋体" w:hAnsi="宋体" w:cs="宋体" w:eastAsia="宋体" w:hint="default"/>
                            <w:sz w:val="16"/>
                            <w:szCs w:val="16"/>
                          </w:rPr>
                        </w:pPr>
                        <w:r>
                          <w:rPr>
                            <w:rFonts w:ascii="宋体" w:hAnsi="宋体" w:cs="宋体" w:eastAsia="宋体" w:hint="default"/>
                            <w:sz w:val="16"/>
                            <w:szCs w:val="16"/>
                          </w:rPr>
                          <w:t>号公告</w:t>
                        </w: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right="125"/>
                          <w:jc w:val="both"/>
                          <w:rPr>
                            <w:rFonts w:ascii="宋体" w:hAnsi="宋体" w:cs="宋体" w:eastAsia="宋体" w:hint="default"/>
                            <w:sz w:val="16"/>
                            <w:szCs w:val="16"/>
                          </w:rPr>
                        </w:pPr>
                        <w:r>
                          <w:rPr>
                            <w:rFonts w:ascii="宋体" w:hAnsi="宋体" w:cs="宋体" w:eastAsia="宋体" w:hint="default"/>
                            <w:sz w:val="16"/>
                            <w:szCs w:val="16"/>
                          </w:rPr>
                          <w:t>中国电子信息</w:t>
                        </w:r>
                        <w:r>
                          <w:rPr>
                            <w:rFonts w:ascii="宋体" w:hAnsi="宋体" w:cs="宋体" w:eastAsia="宋体" w:hint="default"/>
                            <w:w w:val="100"/>
                            <w:sz w:val="16"/>
                            <w:szCs w:val="16"/>
                          </w:rPr>
                          <w:t> </w:t>
                        </w:r>
                        <w:r>
                          <w:rPr>
                            <w:rFonts w:ascii="宋体" w:hAnsi="宋体" w:cs="宋体" w:eastAsia="宋体" w:hint="default"/>
                            <w:sz w:val="16"/>
                            <w:szCs w:val="16"/>
                          </w:rPr>
                          <w:t>产业集团有限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left"/>
                          <w:rPr>
                            <w:rFonts w:ascii="宋体" w:hAnsi="宋体" w:cs="宋体" w:eastAsia="宋体" w:hint="default"/>
                            <w:sz w:val="16"/>
                            <w:szCs w:val="16"/>
                          </w:rPr>
                        </w:pPr>
                        <w:r>
                          <w:rPr>
                            <w:rFonts w:ascii="宋体" w:hAnsi="宋体" w:cs="宋体" w:eastAsia="宋体" w:hint="default"/>
                            <w:sz w:val="16"/>
                            <w:szCs w:val="16"/>
                          </w:rPr>
                          <w:t>实际控制人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 w:right="0"/>
                          <w:jc w:val="left"/>
                          <w:rPr>
                            <w:rFonts w:ascii="宋体" w:hAnsi="宋体" w:cs="宋体" w:eastAsia="宋体" w:hint="default"/>
                            <w:sz w:val="16"/>
                            <w:szCs w:val="16"/>
                          </w:rPr>
                        </w:pPr>
                        <w:r>
                          <w:rPr>
                            <w:rFonts w:ascii="宋体" w:hAnsi="宋体" w:cs="宋体" w:eastAsia="宋体" w:hint="default"/>
                            <w:sz w:val="16"/>
                            <w:szCs w:val="16"/>
                          </w:rPr>
                          <w:t>股权收购</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2" w:right="77"/>
                          <w:jc w:val="left"/>
                          <w:rPr>
                            <w:rFonts w:ascii="宋体" w:hAnsi="宋体" w:cs="宋体" w:eastAsia="宋体" w:hint="default"/>
                            <w:sz w:val="16"/>
                            <w:szCs w:val="16"/>
                          </w:rPr>
                        </w:pPr>
                        <w:r>
                          <w:rPr>
                            <w:rFonts w:ascii="宋体" w:hAnsi="宋体" w:cs="宋体" w:eastAsia="宋体" w:hint="default"/>
                            <w:sz w:val="16"/>
                            <w:szCs w:val="16"/>
                          </w:rPr>
                          <w:t>中原电子收购中电财</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15%</w:t>
                        </w:r>
                        <w:r>
                          <w:rPr>
                            <w:rFonts w:ascii="宋体" w:hAnsi="宋体" w:cs="宋体" w:eastAsia="宋体" w:hint="default"/>
                            <w:sz w:val="16"/>
                            <w:szCs w:val="16"/>
                          </w:rPr>
                          <w:t>股权</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以基准日</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12</w:t>
                        </w:r>
                      </w:p>
                      <w:p>
                        <w:pPr>
                          <w:pStyle w:val="TableParagraph"/>
                          <w:spacing w:line="338" w:lineRule="auto" w:before="90"/>
                          <w:ind w:left="-1" w:right="-3"/>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6"/>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3"/>
                            <w:sz w:val="16"/>
                            <w:szCs w:val="16"/>
                          </w:rPr>
                          <w:t> </w:t>
                        </w:r>
                        <w:r>
                          <w:rPr>
                            <w:rFonts w:ascii="宋体" w:hAnsi="宋体" w:cs="宋体" w:eastAsia="宋体" w:hint="default"/>
                            <w:spacing w:val="-3"/>
                            <w:sz w:val="16"/>
                            <w:szCs w:val="16"/>
                          </w:rPr>
                          <w:t>日的审计、评估</w:t>
                        </w:r>
                        <w:r>
                          <w:rPr>
                            <w:rFonts w:ascii="宋体" w:hAnsi="宋体" w:cs="宋体" w:eastAsia="宋体" w:hint="default"/>
                            <w:w w:val="100"/>
                            <w:sz w:val="16"/>
                            <w:szCs w:val="16"/>
                          </w:rPr>
                          <w:t> </w:t>
                        </w:r>
                        <w:r>
                          <w:rPr>
                            <w:rFonts w:ascii="宋体" w:hAnsi="宋体" w:cs="宋体" w:eastAsia="宋体" w:hint="default"/>
                            <w:sz w:val="16"/>
                            <w:szCs w:val="16"/>
                          </w:rPr>
                          <w:t>结果为基础协商确定</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1"/>
                          <w:jc w:val="center"/>
                          <w:rPr>
                            <w:rFonts w:ascii="Times New Roman" w:hAnsi="Times New Roman" w:cs="Times New Roman" w:eastAsia="Times New Roman" w:hint="default"/>
                            <w:sz w:val="16"/>
                            <w:szCs w:val="16"/>
                          </w:rPr>
                        </w:pPr>
                        <w:r>
                          <w:rPr>
                            <w:rFonts w:ascii="Times New Roman"/>
                            <w:spacing w:val="-1"/>
                            <w:sz w:val="16"/>
                          </w:rPr>
                          <w:t>42,922.08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spacing w:val="-1"/>
                            <w:sz w:val="16"/>
                          </w:rPr>
                          <w:t>50,891.50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6"/>
                            <w:szCs w:val="16"/>
                          </w:rPr>
                        </w:pPr>
                        <w:r>
                          <w:rPr>
                            <w:rFonts w:ascii="Times New Roman"/>
                            <w:spacing w:val="-1"/>
                            <w:sz w:val="16"/>
                          </w:rPr>
                          <w:t>50,891.50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4" w:right="0"/>
                          <w:jc w:val="center"/>
                          <w:rPr>
                            <w:rFonts w:ascii="宋体" w:hAnsi="宋体" w:cs="宋体" w:eastAsia="宋体" w:hint="default"/>
                            <w:sz w:val="16"/>
                            <w:szCs w:val="16"/>
                          </w:rPr>
                        </w:pPr>
                        <w:r>
                          <w:rPr>
                            <w:rFonts w:ascii="宋体" w:hAnsi="宋体" w:cs="宋体" w:eastAsia="宋体" w:hint="default"/>
                            <w:sz w:val="16"/>
                            <w:szCs w:val="16"/>
                          </w:rPr>
                          <w:t>自筹资金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6"/>
                            <w:szCs w:val="16"/>
                          </w:rPr>
                        </w:pPr>
                        <w:r>
                          <w:rPr>
                            <w:rFonts w:ascii="Times New Roman"/>
                            <w:sz w:val="16"/>
                          </w:rPr>
                          <w:t>--</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年</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04</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月</w:t>
                        </w:r>
                      </w:p>
                      <w:p>
                        <w:pPr>
                          <w:pStyle w:val="TableParagraph"/>
                          <w:spacing w:line="240" w:lineRule="auto" w:before="91"/>
                          <w:ind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6"/>
                            <w:szCs w:val="16"/>
                          </w:rPr>
                        </w:pPr>
                        <w:r>
                          <w:rPr>
                            <w:rFonts w:ascii="Times New Roman"/>
                            <w:sz w:val="16"/>
                          </w:rPr>
                          <w:t>2019-032</w:t>
                        </w:r>
                      </w:p>
                      <w:p>
                        <w:pPr>
                          <w:pStyle w:val="TableParagraph"/>
                          <w:spacing w:line="240" w:lineRule="auto" w:before="91"/>
                          <w:ind w:left="2" w:right="0"/>
                          <w:jc w:val="left"/>
                          <w:rPr>
                            <w:rFonts w:ascii="宋体" w:hAnsi="宋体" w:cs="宋体" w:eastAsia="宋体" w:hint="default"/>
                            <w:sz w:val="16"/>
                            <w:szCs w:val="16"/>
                          </w:rPr>
                        </w:pPr>
                        <w:r>
                          <w:rPr>
                            <w:rFonts w:ascii="宋体" w:hAnsi="宋体" w:cs="宋体" w:eastAsia="宋体" w:hint="default"/>
                            <w:sz w:val="16"/>
                            <w:szCs w:val="16"/>
                          </w:rPr>
                          <w:t>号公告</w:t>
                        </w: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right="125"/>
                          <w:jc w:val="both"/>
                          <w:rPr>
                            <w:rFonts w:ascii="宋体" w:hAnsi="宋体" w:cs="宋体" w:eastAsia="宋体" w:hint="default"/>
                            <w:sz w:val="16"/>
                            <w:szCs w:val="16"/>
                          </w:rPr>
                        </w:pPr>
                        <w:r>
                          <w:rPr>
                            <w:rFonts w:ascii="宋体" w:hAnsi="宋体" w:cs="宋体" w:eastAsia="宋体" w:hint="default"/>
                            <w:sz w:val="16"/>
                            <w:szCs w:val="16"/>
                          </w:rPr>
                          <w:t>中国电子信息</w:t>
                        </w:r>
                        <w:r>
                          <w:rPr>
                            <w:rFonts w:ascii="宋体" w:hAnsi="宋体" w:cs="宋体" w:eastAsia="宋体" w:hint="default"/>
                            <w:w w:val="100"/>
                            <w:sz w:val="16"/>
                            <w:szCs w:val="16"/>
                          </w:rPr>
                          <w:t> </w:t>
                        </w:r>
                        <w:r>
                          <w:rPr>
                            <w:rFonts w:ascii="宋体" w:hAnsi="宋体" w:cs="宋体" w:eastAsia="宋体" w:hint="default"/>
                            <w:sz w:val="16"/>
                            <w:szCs w:val="16"/>
                          </w:rPr>
                          <w:t>产业集团有限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left"/>
                          <w:rPr>
                            <w:rFonts w:ascii="宋体" w:hAnsi="宋体" w:cs="宋体" w:eastAsia="宋体" w:hint="default"/>
                            <w:sz w:val="16"/>
                            <w:szCs w:val="16"/>
                          </w:rPr>
                        </w:pPr>
                        <w:r>
                          <w:rPr>
                            <w:rFonts w:ascii="宋体" w:hAnsi="宋体" w:cs="宋体" w:eastAsia="宋体" w:hint="default"/>
                            <w:sz w:val="16"/>
                            <w:szCs w:val="16"/>
                          </w:rPr>
                          <w:t>实际控制人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 w:right="0"/>
                          <w:jc w:val="left"/>
                          <w:rPr>
                            <w:rFonts w:ascii="宋体" w:hAnsi="宋体" w:cs="宋体" w:eastAsia="宋体" w:hint="default"/>
                            <w:sz w:val="16"/>
                            <w:szCs w:val="16"/>
                          </w:rPr>
                        </w:pPr>
                        <w:r>
                          <w:rPr>
                            <w:rFonts w:ascii="宋体" w:hAnsi="宋体" w:cs="宋体" w:eastAsia="宋体" w:hint="default"/>
                            <w:sz w:val="16"/>
                            <w:szCs w:val="16"/>
                          </w:rPr>
                          <w:t>股权收购</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2" w:right="77"/>
                          <w:jc w:val="left"/>
                          <w:rPr>
                            <w:rFonts w:ascii="宋体" w:hAnsi="宋体" w:cs="宋体" w:eastAsia="宋体" w:hint="default"/>
                            <w:sz w:val="16"/>
                            <w:szCs w:val="16"/>
                          </w:rPr>
                        </w:pPr>
                        <w:r>
                          <w:rPr>
                            <w:rFonts w:ascii="宋体" w:hAnsi="宋体" w:cs="宋体" w:eastAsia="宋体" w:hint="default"/>
                            <w:sz w:val="16"/>
                            <w:szCs w:val="16"/>
                          </w:rPr>
                          <w:t>中原电子收购中元股</w:t>
                        </w:r>
                        <w:r>
                          <w:rPr>
                            <w:rFonts w:ascii="宋体" w:hAnsi="宋体" w:cs="宋体" w:eastAsia="宋体" w:hint="default"/>
                            <w:w w:val="100"/>
                            <w:sz w:val="16"/>
                            <w:szCs w:val="16"/>
                          </w:rPr>
                          <w:t> </w:t>
                        </w:r>
                        <w:r>
                          <w:rPr>
                            <w:rFonts w:ascii="宋体" w:hAnsi="宋体" w:cs="宋体" w:eastAsia="宋体" w:hint="default"/>
                            <w:sz w:val="16"/>
                            <w:szCs w:val="16"/>
                          </w:rPr>
                          <w:t>份</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4.98%</w:t>
                        </w:r>
                        <w:r>
                          <w:rPr>
                            <w:rFonts w:ascii="宋体" w:hAnsi="宋体" w:cs="宋体" w:eastAsia="宋体" w:hint="default"/>
                            <w:sz w:val="16"/>
                            <w:szCs w:val="16"/>
                          </w:rPr>
                          <w:t>股权</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3"/>
                          <w:jc w:val="left"/>
                          <w:rPr>
                            <w:rFonts w:ascii="宋体" w:hAnsi="宋体" w:cs="宋体" w:eastAsia="宋体" w:hint="default"/>
                            <w:sz w:val="16"/>
                            <w:szCs w:val="16"/>
                          </w:rPr>
                        </w:pPr>
                        <w:r>
                          <w:rPr>
                            <w:rFonts w:ascii="宋体" w:hAnsi="宋体" w:cs="宋体" w:eastAsia="宋体" w:hint="default"/>
                            <w:sz w:val="16"/>
                            <w:szCs w:val="16"/>
                          </w:rPr>
                          <w:t>以基准日</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p>
                      <w:p>
                        <w:pPr>
                          <w:pStyle w:val="TableParagraph"/>
                          <w:spacing w:line="338" w:lineRule="auto" w:before="90"/>
                          <w:ind w:left="-1" w:right="24"/>
                          <w:jc w:val="left"/>
                          <w:rPr>
                            <w:rFonts w:ascii="宋体" w:hAnsi="宋体" w:cs="宋体" w:eastAsia="宋体" w:hint="default"/>
                            <w:sz w:val="16"/>
                            <w:szCs w:val="16"/>
                          </w:rPr>
                        </w:pPr>
                        <w:r>
                          <w:rPr>
                            <w:rFonts w:ascii="Times New Roman" w:hAnsi="Times New Roman" w:cs="Times New Roman" w:eastAsia="Times New Roman" w:hint="default"/>
                            <w:sz w:val="16"/>
                            <w:szCs w:val="16"/>
                          </w:rPr>
                          <w:t>30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日的审计、评估结</w:t>
                        </w:r>
                        <w:r>
                          <w:rPr>
                            <w:rFonts w:ascii="宋体" w:hAnsi="宋体" w:cs="宋体" w:eastAsia="宋体" w:hint="default"/>
                            <w:w w:val="100"/>
                            <w:sz w:val="16"/>
                            <w:szCs w:val="16"/>
                          </w:rPr>
                          <w:t> </w:t>
                        </w:r>
                        <w:r>
                          <w:rPr>
                            <w:rFonts w:ascii="宋体" w:hAnsi="宋体" w:cs="宋体" w:eastAsia="宋体" w:hint="default"/>
                            <w:sz w:val="16"/>
                            <w:szCs w:val="16"/>
                          </w:rPr>
                          <w:t>果为基础协商确定</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5" w:right="-1"/>
                          <w:jc w:val="center"/>
                          <w:rPr>
                            <w:rFonts w:ascii="Times New Roman" w:hAnsi="Times New Roman" w:cs="Times New Roman" w:eastAsia="Times New Roman" w:hint="default"/>
                            <w:sz w:val="16"/>
                            <w:szCs w:val="16"/>
                          </w:rPr>
                        </w:pPr>
                        <w:r>
                          <w:rPr>
                            <w:rFonts w:ascii="Times New Roman"/>
                            <w:spacing w:val="-2"/>
                            <w:sz w:val="16"/>
                          </w:rPr>
                          <w:t>11,533.17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spacing w:val="-1"/>
                            <w:sz w:val="16"/>
                          </w:rPr>
                          <w:t>15,669.01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1"/>
                            <w:sz w:val="16"/>
                          </w:rPr>
                          <w:t>15,669.01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4" w:right="0"/>
                          <w:jc w:val="center"/>
                          <w:rPr>
                            <w:rFonts w:ascii="宋体" w:hAnsi="宋体" w:cs="宋体" w:eastAsia="宋体" w:hint="default"/>
                            <w:sz w:val="16"/>
                            <w:szCs w:val="16"/>
                          </w:rPr>
                        </w:pPr>
                        <w:r>
                          <w:rPr>
                            <w:rFonts w:ascii="宋体" w:hAnsi="宋体" w:cs="宋体" w:eastAsia="宋体" w:hint="default"/>
                            <w:sz w:val="16"/>
                            <w:szCs w:val="16"/>
                          </w:rPr>
                          <w:t>自筹资金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1"/>
                            <w:sz w:val="16"/>
                          </w:rPr>
                          <w:t>895.87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年</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07</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月</w:t>
                        </w:r>
                      </w:p>
                      <w:p>
                        <w:pPr>
                          <w:pStyle w:val="TableParagraph"/>
                          <w:spacing w:line="240" w:lineRule="auto" w:before="90"/>
                          <w:ind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6"/>
                            <w:szCs w:val="16"/>
                          </w:rPr>
                        </w:pPr>
                        <w:r>
                          <w:rPr>
                            <w:rFonts w:ascii="Times New Roman"/>
                            <w:sz w:val="16"/>
                          </w:rPr>
                          <w:t>2019-048</w:t>
                        </w:r>
                      </w:p>
                      <w:p>
                        <w:pPr>
                          <w:pStyle w:val="TableParagraph"/>
                          <w:spacing w:line="240" w:lineRule="auto" w:before="90"/>
                          <w:ind w:left="2" w:right="0"/>
                          <w:jc w:val="left"/>
                          <w:rPr>
                            <w:rFonts w:ascii="宋体" w:hAnsi="宋体" w:cs="宋体" w:eastAsia="宋体" w:hint="default"/>
                            <w:sz w:val="16"/>
                            <w:szCs w:val="16"/>
                          </w:rPr>
                        </w:pPr>
                        <w:r>
                          <w:rPr>
                            <w:rFonts w:ascii="宋体" w:hAnsi="宋体" w:cs="宋体" w:eastAsia="宋体" w:hint="default"/>
                            <w:sz w:val="16"/>
                            <w:szCs w:val="16"/>
                          </w:rPr>
                          <w:t>号公告</w:t>
                        </w:r>
                      </w:p>
                    </w:tc>
                  </w:tr>
                  <w:tr>
                    <w:trPr>
                      <w:trHeight w:val="94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57" w:lineRule="auto"/>
                          <w:ind w:right="125"/>
                          <w:jc w:val="left"/>
                          <w:rPr>
                            <w:rFonts w:ascii="宋体" w:hAnsi="宋体" w:cs="宋体" w:eastAsia="宋体" w:hint="default"/>
                            <w:sz w:val="16"/>
                            <w:szCs w:val="16"/>
                          </w:rPr>
                        </w:pPr>
                        <w:r>
                          <w:rPr>
                            <w:rFonts w:ascii="宋体" w:hAnsi="宋体" w:cs="宋体" w:eastAsia="宋体" w:hint="default"/>
                            <w:sz w:val="16"/>
                            <w:szCs w:val="16"/>
                          </w:rPr>
                          <w:t>华大半导体有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57" w:lineRule="auto"/>
                          <w:ind w:right="24"/>
                          <w:jc w:val="left"/>
                          <w:rPr>
                            <w:rFonts w:ascii="宋体" w:hAnsi="宋体" w:cs="宋体" w:eastAsia="宋体" w:hint="default"/>
                            <w:sz w:val="16"/>
                            <w:szCs w:val="16"/>
                          </w:rPr>
                        </w:pPr>
                        <w:r>
                          <w:rPr>
                            <w:rFonts w:ascii="宋体" w:hAnsi="宋体" w:cs="宋体" w:eastAsia="宋体" w:hint="default"/>
                            <w:sz w:val="16"/>
                            <w:szCs w:val="16"/>
                          </w:rPr>
                          <w:t>与公司为同一</w:t>
                        </w:r>
                        <w:r>
                          <w:rPr>
                            <w:rFonts w:ascii="宋体" w:hAnsi="宋体" w:cs="宋体" w:eastAsia="宋体" w:hint="default"/>
                            <w:w w:val="100"/>
                            <w:sz w:val="16"/>
                            <w:szCs w:val="16"/>
                          </w:rPr>
                          <w:t> </w:t>
                        </w:r>
                        <w:r>
                          <w:rPr>
                            <w:rFonts w:ascii="宋体" w:hAnsi="宋体" w:cs="宋体" w:eastAsia="宋体" w:hint="default"/>
                            <w:sz w:val="16"/>
                            <w:szCs w:val="16"/>
                          </w:rPr>
                          <w:t>实际控制人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left="2" w:right="0"/>
                          <w:jc w:val="left"/>
                          <w:rPr>
                            <w:rFonts w:ascii="宋体" w:hAnsi="宋体" w:cs="宋体" w:eastAsia="宋体" w:hint="default"/>
                            <w:sz w:val="16"/>
                            <w:szCs w:val="16"/>
                          </w:rPr>
                        </w:pPr>
                        <w:r>
                          <w:rPr>
                            <w:rFonts w:ascii="宋体" w:hAnsi="宋体" w:cs="宋体" w:eastAsia="宋体" w:hint="default"/>
                            <w:sz w:val="16"/>
                            <w:szCs w:val="16"/>
                          </w:rPr>
                          <w:t>股权收购</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收购天津飞腾</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13.54%</w:t>
                        </w:r>
                      </w:p>
                      <w:p>
                        <w:pPr>
                          <w:pStyle w:val="TableParagraph"/>
                          <w:spacing w:line="240" w:lineRule="auto" w:before="90"/>
                          <w:ind w:left="2" w:right="0"/>
                          <w:jc w:val="left"/>
                          <w:rPr>
                            <w:rFonts w:ascii="宋体" w:hAnsi="宋体" w:cs="宋体" w:eastAsia="宋体" w:hint="default"/>
                            <w:sz w:val="16"/>
                            <w:szCs w:val="16"/>
                          </w:rPr>
                        </w:pPr>
                        <w:r>
                          <w:rPr>
                            <w:rFonts w:ascii="宋体" w:hAnsi="宋体" w:cs="宋体" w:eastAsia="宋体" w:hint="default"/>
                            <w:sz w:val="16"/>
                            <w:szCs w:val="16"/>
                          </w:rPr>
                          <w:t>股权</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以基准日</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12</w:t>
                        </w:r>
                      </w:p>
                      <w:p>
                        <w:pPr>
                          <w:pStyle w:val="TableParagraph"/>
                          <w:spacing w:line="338" w:lineRule="auto" w:before="90"/>
                          <w:ind w:left="-1" w:right="-3"/>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6"/>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3"/>
                            <w:sz w:val="16"/>
                            <w:szCs w:val="16"/>
                          </w:rPr>
                          <w:t> </w:t>
                        </w:r>
                        <w:r>
                          <w:rPr>
                            <w:rFonts w:ascii="宋体" w:hAnsi="宋体" w:cs="宋体" w:eastAsia="宋体" w:hint="default"/>
                            <w:spacing w:val="-3"/>
                            <w:sz w:val="16"/>
                            <w:szCs w:val="16"/>
                          </w:rPr>
                          <w:t>日的审计、评估</w:t>
                        </w:r>
                        <w:r>
                          <w:rPr>
                            <w:rFonts w:ascii="宋体" w:hAnsi="宋体" w:cs="宋体" w:eastAsia="宋体" w:hint="default"/>
                            <w:w w:val="100"/>
                            <w:sz w:val="16"/>
                            <w:szCs w:val="16"/>
                          </w:rPr>
                          <w:t> </w:t>
                        </w:r>
                        <w:r>
                          <w:rPr>
                            <w:rFonts w:ascii="宋体" w:hAnsi="宋体" w:cs="宋体" w:eastAsia="宋体" w:hint="default"/>
                            <w:sz w:val="16"/>
                            <w:szCs w:val="16"/>
                          </w:rPr>
                          <w:t>结果为基础协商确定</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0" w:right="-1"/>
                          <w:jc w:val="center"/>
                          <w:rPr>
                            <w:rFonts w:ascii="Times New Roman" w:hAnsi="Times New Roman" w:cs="Times New Roman" w:eastAsia="Times New Roman" w:hint="default"/>
                            <w:sz w:val="16"/>
                            <w:szCs w:val="16"/>
                          </w:rPr>
                        </w:pPr>
                        <w:r>
                          <w:rPr>
                            <w:rFonts w:ascii="Times New Roman"/>
                            <w:spacing w:val="-1"/>
                            <w:sz w:val="16"/>
                          </w:rPr>
                          <w:t>8,149.88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spacing w:val="-1"/>
                            <w:sz w:val="16"/>
                          </w:rPr>
                          <w:t>8,444.02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2"/>
                            <w:sz w:val="16"/>
                          </w:rPr>
                          <w:t>11,691.88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left="4" w:right="0"/>
                          <w:jc w:val="center"/>
                          <w:rPr>
                            <w:rFonts w:ascii="宋体" w:hAnsi="宋体" w:cs="宋体" w:eastAsia="宋体" w:hint="default"/>
                            <w:sz w:val="16"/>
                            <w:szCs w:val="16"/>
                          </w:rPr>
                        </w:pPr>
                        <w:r>
                          <w:rPr>
                            <w:rFonts w:ascii="宋体" w:hAnsi="宋体" w:cs="宋体" w:eastAsia="宋体" w:hint="default"/>
                            <w:sz w:val="16"/>
                            <w:szCs w:val="16"/>
                          </w:rPr>
                          <w:t>自筹资金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1"/>
                            <w:sz w:val="16"/>
                          </w:rPr>
                          <w:t>-75.43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5"/>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年</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08</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月</w:t>
                        </w:r>
                      </w:p>
                      <w:p>
                        <w:pPr>
                          <w:pStyle w:val="TableParagraph"/>
                          <w:spacing w:line="240" w:lineRule="auto" w:before="90"/>
                          <w:ind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 w:right="0"/>
                          <w:jc w:val="left"/>
                          <w:rPr>
                            <w:rFonts w:ascii="Times New Roman" w:hAnsi="Times New Roman" w:cs="Times New Roman" w:eastAsia="Times New Roman" w:hint="default"/>
                            <w:sz w:val="16"/>
                            <w:szCs w:val="16"/>
                          </w:rPr>
                        </w:pPr>
                        <w:r>
                          <w:rPr>
                            <w:rFonts w:ascii="Times New Roman"/>
                            <w:sz w:val="16"/>
                          </w:rPr>
                          <w:t>2019-058</w:t>
                        </w:r>
                      </w:p>
                      <w:p>
                        <w:pPr>
                          <w:pStyle w:val="TableParagraph"/>
                          <w:spacing w:line="240" w:lineRule="auto" w:before="90"/>
                          <w:ind w:left="2" w:right="0"/>
                          <w:jc w:val="left"/>
                          <w:rPr>
                            <w:rFonts w:ascii="宋体" w:hAnsi="宋体" w:cs="宋体" w:eastAsia="宋体" w:hint="default"/>
                            <w:sz w:val="16"/>
                            <w:szCs w:val="16"/>
                          </w:rPr>
                        </w:pPr>
                        <w:r>
                          <w:rPr>
                            <w:rFonts w:ascii="宋体" w:hAnsi="宋体" w:cs="宋体" w:eastAsia="宋体" w:hint="default"/>
                            <w:sz w:val="16"/>
                            <w:szCs w:val="16"/>
                          </w:rPr>
                          <w:t>号公告</w:t>
                        </w: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right="125"/>
                          <w:jc w:val="left"/>
                          <w:rPr>
                            <w:rFonts w:ascii="宋体" w:hAnsi="宋体" w:cs="宋体" w:eastAsia="宋体" w:hint="default"/>
                            <w:sz w:val="16"/>
                            <w:szCs w:val="16"/>
                          </w:rPr>
                        </w:pPr>
                        <w:r>
                          <w:rPr>
                            <w:rFonts w:ascii="宋体" w:hAnsi="宋体" w:cs="宋体" w:eastAsia="宋体" w:hint="default"/>
                            <w:sz w:val="16"/>
                            <w:szCs w:val="16"/>
                          </w:rPr>
                          <w:t>中国振华电子</w:t>
                        </w:r>
                        <w:r>
                          <w:rPr>
                            <w:rFonts w:ascii="宋体" w:hAnsi="宋体" w:cs="宋体" w:eastAsia="宋体" w:hint="default"/>
                            <w:w w:val="100"/>
                            <w:sz w:val="16"/>
                            <w:szCs w:val="16"/>
                          </w:rPr>
                          <w:t> </w:t>
                        </w:r>
                        <w:r>
                          <w:rPr>
                            <w:rFonts w:ascii="宋体" w:hAnsi="宋体" w:cs="宋体" w:eastAsia="宋体" w:hint="default"/>
                            <w:sz w:val="16"/>
                            <w:szCs w:val="16"/>
                          </w:rPr>
                          <w:t>集团有限公司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right="24"/>
                          <w:jc w:val="left"/>
                          <w:rPr>
                            <w:rFonts w:ascii="宋体" w:hAnsi="宋体" w:cs="宋体" w:eastAsia="宋体" w:hint="default"/>
                            <w:sz w:val="16"/>
                            <w:szCs w:val="16"/>
                          </w:rPr>
                        </w:pPr>
                        <w:r>
                          <w:rPr>
                            <w:rFonts w:ascii="宋体" w:hAnsi="宋体" w:cs="宋体" w:eastAsia="宋体" w:hint="default"/>
                            <w:sz w:val="16"/>
                            <w:szCs w:val="16"/>
                          </w:rPr>
                          <w:t>与公司为同一</w:t>
                        </w:r>
                        <w:r>
                          <w:rPr>
                            <w:rFonts w:ascii="宋体" w:hAnsi="宋体" w:cs="宋体" w:eastAsia="宋体" w:hint="default"/>
                            <w:w w:val="100"/>
                            <w:sz w:val="16"/>
                            <w:szCs w:val="16"/>
                          </w:rPr>
                          <w:t> </w:t>
                        </w:r>
                        <w:r>
                          <w:rPr>
                            <w:rFonts w:ascii="宋体" w:hAnsi="宋体" w:cs="宋体" w:eastAsia="宋体" w:hint="default"/>
                            <w:sz w:val="16"/>
                            <w:szCs w:val="16"/>
                          </w:rPr>
                          <w:t>实际控制人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 w:right="0"/>
                          <w:jc w:val="left"/>
                          <w:rPr>
                            <w:rFonts w:ascii="宋体" w:hAnsi="宋体" w:cs="宋体" w:eastAsia="宋体" w:hint="default"/>
                            <w:sz w:val="16"/>
                            <w:szCs w:val="16"/>
                          </w:rPr>
                        </w:pPr>
                        <w:r>
                          <w:rPr>
                            <w:rFonts w:ascii="宋体" w:hAnsi="宋体" w:cs="宋体" w:eastAsia="宋体" w:hint="default"/>
                            <w:sz w:val="16"/>
                            <w:szCs w:val="16"/>
                          </w:rPr>
                          <w:t>股权收购</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收购天津飞腾</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21.46%</w:t>
                        </w:r>
                      </w:p>
                      <w:p>
                        <w:pPr>
                          <w:pStyle w:val="TableParagraph"/>
                          <w:spacing w:line="240" w:lineRule="auto" w:before="90"/>
                          <w:ind w:left="2" w:right="0"/>
                          <w:jc w:val="left"/>
                          <w:rPr>
                            <w:rFonts w:ascii="宋体" w:hAnsi="宋体" w:cs="宋体" w:eastAsia="宋体" w:hint="default"/>
                            <w:sz w:val="16"/>
                            <w:szCs w:val="16"/>
                          </w:rPr>
                        </w:pPr>
                        <w:r>
                          <w:rPr>
                            <w:rFonts w:ascii="宋体" w:hAnsi="宋体" w:cs="宋体" w:eastAsia="宋体" w:hint="default"/>
                            <w:sz w:val="16"/>
                            <w:szCs w:val="16"/>
                          </w:rPr>
                          <w:t>股权</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以基准日</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12</w:t>
                        </w:r>
                      </w:p>
                      <w:p>
                        <w:pPr>
                          <w:pStyle w:val="TableParagraph"/>
                          <w:spacing w:line="338" w:lineRule="auto" w:before="90"/>
                          <w:ind w:left="-1" w:right="-3"/>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6"/>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3"/>
                            <w:sz w:val="16"/>
                            <w:szCs w:val="16"/>
                          </w:rPr>
                          <w:t> </w:t>
                        </w:r>
                        <w:r>
                          <w:rPr>
                            <w:rFonts w:ascii="宋体" w:hAnsi="宋体" w:cs="宋体" w:eastAsia="宋体" w:hint="default"/>
                            <w:spacing w:val="-3"/>
                            <w:sz w:val="16"/>
                            <w:szCs w:val="16"/>
                          </w:rPr>
                          <w:t>日的审计、评估</w:t>
                        </w:r>
                        <w:r>
                          <w:rPr>
                            <w:rFonts w:ascii="宋体" w:hAnsi="宋体" w:cs="宋体" w:eastAsia="宋体" w:hint="default"/>
                            <w:w w:val="100"/>
                            <w:sz w:val="16"/>
                            <w:szCs w:val="16"/>
                          </w:rPr>
                          <w:t> </w:t>
                        </w:r>
                        <w:r>
                          <w:rPr>
                            <w:rFonts w:ascii="宋体" w:hAnsi="宋体" w:cs="宋体" w:eastAsia="宋体" w:hint="default"/>
                            <w:sz w:val="16"/>
                            <w:szCs w:val="16"/>
                          </w:rPr>
                          <w:t>结果为基础协商确定</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1"/>
                          <w:jc w:val="center"/>
                          <w:rPr>
                            <w:rFonts w:ascii="Times New Roman" w:hAnsi="Times New Roman" w:cs="Times New Roman" w:eastAsia="Times New Roman" w:hint="default"/>
                            <w:sz w:val="16"/>
                            <w:szCs w:val="16"/>
                          </w:rPr>
                        </w:pPr>
                        <w:r>
                          <w:rPr>
                            <w:rFonts w:ascii="Times New Roman"/>
                            <w:spacing w:val="-1"/>
                            <w:sz w:val="16"/>
                          </w:rPr>
                          <w:t>12,917.01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spacing w:val="-1"/>
                            <w:sz w:val="16"/>
                          </w:rPr>
                          <w:t>13,383.20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1"/>
                            <w:sz w:val="16"/>
                          </w:rPr>
                          <w:t>18,527.13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4" w:right="0"/>
                          <w:jc w:val="center"/>
                          <w:rPr>
                            <w:rFonts w:ascii="宋体" w:hAnsi="宋体" w:cs="宋体" w:eastAsia="宋体" w:hint="default"/>
                            <w:sz w:val="16"/>
                            <w:szCs w:val="16"/>
                          </w:rPr>
                        </w:pPr>
                        <w:r>
                          <w:rPr>
                            <w:rFonts w:ascii="宋体" w:hAnsi="宋体" w:cs="宋体" w:eastAsia="宋体" w:hint="default"/>
                            <w:sz w:val="16"/>
                            <w:szCs w:val="16"/>
                          </w:rPr>
                          <w:t>自筹资金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6"/>
                            <w:szCs w:val="16"/>
                          </w:rPr>
                        </w:pPr>
                        <w:r>
                          <w:rPr>
                            <w:rFonts w:ascii="Times New Roman"/>
                            <w:spacing w:val="-2"/>
                            <w:sz w:val="16"/>
                          </w:rPr>
                          <w:t>-119.55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年</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08</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月</w:t>
                        </w:r>
                      </w:p>
                      <w:p>
                        <w:pPr>
                          <w:pStyle w:val="TableParagraph"/>
                          <w:spacing w:line="240" w:lineRule="auto" w:before="90"/>
                          <w:ind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6"/>
                            <w:szCs w:val="16"/>
                          </w:rPr>
                        </w:pPr>
                        <w:r>
                          <w:rPr>
                            <w:rFonts w:ascii="Times New Roman"/>
                            <w:sz w:val="16"/>
                          </w:rPr>
                          <w:t>2019-058</w:t>
                        </w:r>
                      </w:p>
                      <w:p>
                        <w:pPr>
                          <w:pStyle w:val="TableParagraph"/>
                          <w:spacing w:line="240" w:lineRule="auto" w:before="90"/>
                          <w:ind w:left="2" w:right="0"/>
                          <w:jc w:val="left"/>
                          <w:rPr>
                            <w:rFonts w:ascii="宋体" w:hAnsi="宋体" w:cs="宋体" w:eastAsia="宋体" w:hint="default"/>
                            <w:sz w:val="16"/>
                            <w:szCs w:val="16"/>
                          </w:rPr>
                        </w:pPr>
                        <w:r>
                          <w:rPr>
                            <w:rFonts w:ascii="宋体" w:hAnsi="宋体" w:cs="宋体" w:eastAsia="宋体" w:hint="default"/>
                            <w:sz w:val="16"/>
                            <w:szCs w:val="16"/>
                          </w:rPr>
                          <w:t>号公告</w:t>
                        </w:r>
                      </w:p>
                    </w:tc>
                  </w:tr>
                  <w:tr>
                    <w:trPr>
                      <w:trHeight w:val="125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right="125"/>
                          <w:jc w:val="both"/>
                          <w:rPr>
                            <w:rFonts w:ascii="宋体" w:hAnsi="宋体" w:cs="宋体" w:eastAsia="宋体" w:hint="default"/>
                            <w:sz w:val="16"/>
                            <w:szCs w:val="16"/>
                          </w:rPr>
                        </w:pPr>
                        <w:r>
                          <w:rPr>
                            <w:rFonts w:ascii="宋体" w:hAnsi="宋体" w:cs="宋体" w:eastAsia="宋体" w:hint="default"/>
                            <w:sz w:val="16"/>
                            <w:szCs w:val="16"/>
                          </w:rPr>
                          <w:t>中国电子信息</w:t>
                        </w:r>
                        <w:r>
                          <w:rPr>
                            <w:rFonts w:ascii="宋体" w:hAnsi="宋体" w:cs="宋体" w:eastAsia="宋体" w:hint="default"/>
                            <w:w w:val="100"/>
                            <w:sz w:val="16"/>
                            <w:szCs w:val="16"/>
                          </w:rPr>
                          <w:t> </w:t>
                        </w:r>
                        <w:r>
                          <w:rPr>
                            <w:rFonts w:ascii="宋体" w:hAnsi="宋体" w:cs="宋体" w:eastAsia="宋体" w:hint="default"/>
                            <w:sz w:val="16"/>
                            <w:szCs w:val="16"/>
                          </w:rPr>
                          <w:t>产业集团有限</w:t>
                        </w:r>
                        <w:r>
                          <w:rPr>
                            <w:rFonts w:ascii="宋体" w:hAnsi="宋体" w:cs="宋体" w:eastAsia="宋体" w:hint="default"/>
                            <w:w w:val="100"/>
                            <w:sz w:val="16"/>
                            <w:szCs w:val="16"/>
                          </w:rPr>
                          <w:t> </w:t>
                        </w:r>
                        <w:r>
                          <w:rPr>
                            <w:rFonts w:ascii="宋体" w:hAnsi="宋体" w:cs="宋体" w:eastAsia="宋体" w:hint="default"/>
                            <w:sz w:val="16"/>
                            <w:szCs w:val="16"/>
                          </w:rPr>
                          <w:t>公司第六研究</w:t>
                        </w:r>
                        <w:r>
                          <w:rPr>
                            <w:rFonts w:ascii="宋体" w:hAnsi="宋体" w:cs="宋体" w:eastAsia="宋体" w:hint="default"/>
                            <w:w w:val="100"/>
                            <w:sz w:val="16"/>
                            <w:szCs w:val="16"/>
                          </w:rPr>
                          <w:t> </w:t>
                        </w:r>
                        <w:r>
                          <w:rPr>
                            <w:rFonts w:ascii="宋体" w:hAnsi="宋体" w:cs="宋体" w:eastAsia="宋体" w:hint="default"/>
                            <w:sz w:val="16"/>
                            <w:szCs w:val="16"/>
                          </w:rPr>
                          <w:t>所</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9"/>
                          <w:ind w:right="24"/>
                          <w:jc w:val="left"/>
                          <w:rPr>
                            <w:rFonts w:ascii="宋体" w:hAnsi="宋体" w:cs="宋体" w:eastAsia="宋体" w:hint="default"/>
                            <w:sz w:val="16"/>
                            <w:szCs w:val="16"/>
                          </w:rPr>
                        </w:pPr>
                        <w:r>
                          <w:rPr>
                            <w:rFonts w:ascii="宋体" w:hAnsi="宋体" w:cs="宋体" w:eastAsia="宋体" w:hint="default"/>
                            <w:sz w:val="16"/>
                            <w:szCs w:val="16"/>
                          </w:rPr>
                          <w:t>与公司为同一</w:t>
                        </w:r>
                        <w:r>
                          <w:rPr>
                            <w:rFonts w:ascii="宋体" w:hAnsi="宋体" w:cs="宋体" w:eastAsia="宋体" w:hint="default"/>
                            <w:w w:val="100"/>
                            <w:sz w:val="16"/>
                            <w:szCs w:val="16"/>
                          </w:rPr>
                          <w:t> </w:t>
                        </w:r>
                        <w:r>
                          <w:rPr>
                            <w:rFonts w:ascii="宋体" w:hAnsi="宋体" w:cs="宋体" w:eastAsia="宋体" w:hint="default"/>
                            <w:sz w:val="16"/>
                            <w:szCs w:val="16"/>
                          </w:rPr>
                          <w:t>实际控制人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 w:right="0"/>
                          <w:jc w:val="left"/>
                          <w:rPr>
                            <w:rFonts w:ascii="宋体" w:hAnsi="宋体" w:cs="宋体" w:eastAsia="宋体" w:hint="default"/>
                            <w:sz w:val="16"/>
                            <w:szCs w:val="16"/>
                          </w:rPr>
                        </w:pPr>
                        <w:r>
                          <w:rPr>
                            <w:rFonts w:ascii="宋体" w:hAnsi="宋体" w:cs="宋体" w:eastAsia="宋体" w:hint="default"/>
                            <w:sz w:val="16"/>
                            <w:szCs w:val="16"/>
                          </w:rPr>
                          <w:t>股权收购</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9"/>
                          <w:ind w:left="2" w:right="77"/>
                          <w:jc w:val="left"/>
                          <w:rPr>
                            <w:rFonts w:ascii="宋体" w:hAnsi="宋体" w:cs="宋体" w:eastAsia="宋体" w:hint="default"/>
                            <w:sz w:val="16"/>
                            <w:szCs w:val="16"/>
                          </w:rPr>
                        </w:pPr>
                        <w:r>
                          <w:rPr>
                            <w:rFonts w:ascii="宋体" w:hAnsi="宋体" w:cs="宋体" w:eastAsia="宋体" w:hint="default"/>
                            <w:sz w:val="16"/>
                            <w:szCs w:val="16"/>
                          </w:rPr>
                          <w:t>圣非凡收购轨道交通</w:t>
                        </w:r>
                        <w:r>
                          <w:rPr>
                            <w:rFonts w:ascii="宋体" w:hAnsi="宋体" w:cs="宋体" w:eastAsia="宋体" w:hint="default"/>
                            <w:w w:val="100"/>
                            <w:sz w:val="16"/>
                            <w:szCs w:val="16"/>
                          </w:rPr>
                          <w:t> </w:t>
                        </w:r>
                        <w:r>
                          <w:rPr>
                            <w:rFonts w:ascii="宋体" w:hAnsi="宋体" w:cs="宋体" w:eastAsia="宋体" w:hint="default"/>
                            <w:sz w:val="16"/>
                            <w:szCs w:val="16"/>
                          </w:rPr>
                          <w:t>研究院</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100%</w:t>
                        </w:r>
                        <w:r>
                          <w:rPr>
                            <w:rFonts w:ascii="宋体" w:hAnsi="宋体" w:cs="宋体" w:eastAsia="宋体" w:hint="default"/>
                            <w:sz w:val="16"/>
                            <w:szCs w:val="16"/>
                          </w:rPr>
                          <w:t>股权</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3"/>
                          <w:jc w:val="left"/>
                          <w:rPr>
                            <w:rFonts w:ascii="宋体" w:hAnsi="宋体" w:cs="宋体" w:eastAsia="宋体" w:hint="default"/>
                            <w:sz w:val="16"/>
                            <w:szCs w:val="16"/>
                          </w:rPr>
                        </w:pPr>
                        <w:r>
                          <w:rPr>
                            <w:rFonts w:ascii="宋体" w:hAnsi="宋体" w:cs="宋体" w:eastAsia="宋体" w:hint="default"/>
                            <w:sz w:val="16"/>
                            <w:szCs w:val="16"/>
                          </w:rPr>
                          <w:t>以基准日</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p>
                      <w:p>
                        <w:pPr>
                          <w:pStyle w:val="TableParagraph"/>
                          <w:spacing w:line="338" w:lineRule="auto" w:before="91"/>
                          <w:ind w:left="-1" w:right="24"/>
                          <w:jc w:val="left"/>
                          <w:rPr>
                            <w:rFonts w:ascii="宋体" w:hAnsi="宋体" w:cs="宋体" w:eastAsia="宋体" w:hint="default"/>
                            <w:sz w:val="16"/>
                            <w:szCs w:val="16"/>
                          </w:rPr>
                        </w:pPr>
                        <w:r>
                          <w:rPr>
                            <w:rFonts w:ascii="Times New Roman" w:hAnsi="Times New Roman" w:cs="Times New Roman" w:eastAsia="Times New Roman" w:hint="default"/>
                            <w:sz w:val="16"/>
                            <w:szCs w:val="16"/>
                          </w:rPr>
                          <w:t>30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日的审计、评估结</w:t>
                        </w:r>
                        <w:r>
                          <w:rPr>
                            <w:rFonts w:ascii="宋体" w:hAnsi="宋体" w:cs="宋体" w:eastAsia="宋体" w:hint="default"/>
                            <w:w w:val="100"/>
                            <w:sz w:val="16"/>
                            <w:szCs w:val="16"/>
                          </w:rPr>
                          <w:t> </w:t>
                        </w:r>
                        <w:r>
                          <w:rPr>
                            <w:rFonts w:ascii="宋体" w:hAnsi="宋体" w:cs="宋体" w:eastAsia="宋体" w:hint="default"/>
                            <w:sz w:val="16"/>
                            <w:szCs w:val="16"/>
                          </w:rPr>
                          <w:t>果为基础协商确定</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left="170" w:right="-1"/>
                          <w:jc w:val="center"/>
                          <w:rPr>
                            <w:rFonts w:ascii="Times New Roman" w:hAnsi="Times New Roman" w:cs="Times New Roman" w:eastAsia="Times New Roman" w:hint="default"/>
                            <w:sz w:val="16"/>
                            <w:szCs w:val="16"/>
                          </w:rPr>
                        </w:pPr>
                        <w:r>
                          <w:rPr>
                            <w:rFonts w:ascii="Times New Roman"/>
                            <w:spacing w:val="-1"/>
                            <w:sz w:val="16"/>
                          </w:rPr>
                          <w:t>2,269.86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4"/>
                          <w:jc w:val="right"/>
                          <w:rPr>
                            <w:rFonts w:ascii="Times New Roman" w:hAnsi="Times New Roman" w:cs="Times New Roman" w:eastAsia="Times New Roman" w:hint="default"/>
                            <w:sz w:val="16"/>
                            <w:szCs w:val="16"/>
                          </w:rPr>
                        </w:pPr>
                        <w:r>
                          <w:rPr>
                            <w:rFonts w:ascii="Times New Roman"/>
                            <w:spacing w:val="-1"/>
                            <w:sz w:val="16"/>
                          </w:rPr>
                          <w:t>9,800.96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1"/>
                          <w:jc w:val="right"/>
                          <w:rPr>
                            <w:rFonts w:ascii="Times New Roman" w:hAnsi="Times New Roman" w:cs="Times New Roman" w:eastAsia="Times New Roman" w:hint="default"/>
                            <w:sz w:val="16"/>
                            <w:szCs w:val="16"/>
                          </w:rPr>
                        </w:pPr>
                        <w:r>
                          <w:rPr>
                            <w:rFonts w:ascii="Times New Roman"/>
                            <w:spacing w:val="-1"/>
                            <w:sz w:val="16"/>
                          </w:rPr>
                          <w:t>9,800.96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6"/>
                            <w:szCs w:val="16"/>
                          </w:rPr>
                        </w:pPr>
                        <w:r>
                          <w:rPr>
                            <w:rFonts w:ascii="宋体" w:hAnsi="宋体" w:cs="宋体" w:eastAsia="宋体" w:hint="default"/>
                            <w:sz w:val="16"/>
                            <w:szCs w:val="16"/>
                          </w:rPr>
                          <w:t>自筹资金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1"/>
                          <w:jc w:val="right"/>
                          <w:rPr>
                            <w:rFonts w:ascii="Times New Roman" w:hAnsi="Times New Roman" w:cs="Times New Roman" w:eastAsia="Times New Roman" w:hint="default"/>
                            <w:sz w:val="16"/>
                            <w:szCs w:val="16"/>
                          </w:rPr>
                        </w:pPr>
                        <w:r>
                          <w:rPr>
                            <w:rFonts w:ascii="Times New Roman"/>
                            <w:spacing w:val="-1"/>
                            <w:sz w:val="16"/>
                          </w:rPr>
                          <w:t>2,426.33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5"/>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年</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月</w:t>
                        </w:r>
                      </w:p>
                      <w:p>
                        <w:pPr>
                          <w:pStyle w:val="TableParagraph"/>
                          <w:spacing w:line="240" w:lineRule="auto" w:before="90"/>
                          <w:ind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02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left"/>
                          <w:rPr>
                            <w:rFonts w:ascii="Times New Roman" w:hAnsi="Times New Roman" w:cs="Times New Roman" w:eastAsia="Times New Roman" w:hint="default"/>
                            <w:sz w:val="16"/>
                            <w:szCs w:val="16"/>
                          </w:rPr>
                        </w:pPr>
                        <w:r>
                          <w:rPr>
                            <w:rFonts w:ascii="Times New Roman"/>
                            <w:sz w:val="16"/>
                          </w:rPr>
                          <w:t>2019-085</w:t>
                        </w:r>
                      </w:p>
                      <w:p>
                        <w:pPr>
                          <w:pStyle w:val="TableParagraph"/>
                          <w:spacing w:line="240" w:lineRule="auto" w:before="90"/>
                          <w:ind w:left="2" w:right="0"/>
                          <w:jc w:val="left"/>
                          <w:rPr>
                            <w:rFonts w:ascii="宋体" w:hAnsi="宋体" w:cs="宋体" w:eastAsia="宋体" w:hint="default"/>
                            <w:sz w:val="16"/>
                            <w:szCs w:val="16"/>
                          </w:rPr>
                        </w:pPr>
                        <w:r>
                          <w:rPr>
                            <w:rFonts w:ascii="宋体" w:hAnsi="宋体" w:cs="宋体" w:eastAsia="宋体" w:hint="default"/>
                            <w:sz w:val="16"/>
                            <w:szCs w:val="16"/>
                          </w:rPr>
                          <w:t>号公告</w:t>
                        </w: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right="125"/>
                          <w:jc w:val="both"/>
                          <w:rPr>
                            <w:rFonts w:ascii="宋体" w:hAnsi="宋体" w:cs="宋体" w:eastAsia="宋体" w:hint="default"/>
                            <w:sz w:val="16"/>
                            <w:szCs w:val="16"/>
                          </w:rPr>
                        </w:pPr>
                        <w:r>
                          <w:rPr>
                            <w:rFonts w:ascii="宋体" w:hAnsi="宋体" w:cs="宋体" w:eastAsia="宋体" w:hint="default"/>
                            <w:sz w:val="16"/>
                            <w:szCs w:val="16"/>
                          </w:rPr>
                          <w:t>中国电子信息</w:t>
                        </w:r>
                        <w:r>
                          <w:rPr>
                            <w:rFonts w:ascii="宋体" w:hAnsi="宋体" w:cs="宋体" w:eastAsia="宋体" w:hint="default"/>
                            <w:w w:val="100"/>
                            <w:sz w:val="16"/>
                            <w:szCs w:val="16"/>
                          </w:rPr>
                          <w:t> </w:t>
                        </w:r>
                        <w:r>
                          <w:rPr>
                            <w:rFonts w:ascii="宋体" w:hAnsi="宋体" w:cs="宋体" w:eastAsia="宋体" w:hint="default"/>
                            <w:sz w:val="16"/>
                            <w:szCs w:val="16"/>
                          </w:rPr>
                          <w:t>产业集团有限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left"/>
                          <w:rPr>
                            <w:rFonts w:ascii="宋体" w:hAnsi="宋体" w:cs="宋体" w:eastAsia="宋体" w:hint="default"/>
                            <w:sz w:val="16"/>
                            <w:szCs w:val="16"/>
                          </w:rPr>
                        </w:pPr>
                        <w:r>
                          <w:rPr>
                            <w:rFonts w:ascii="宋体" w:hAnsi="宋体" w:cs="宋体" w:eastAsia="宋体" w:hint="default"/>
                            <w:sz w:val="16"/>
                            <w:szCs w:val="16"/>
                          </w:rPr>
                          <w:t>实际控制人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 w:right="0"/>
                          <w:jc w:val="left"/>
                          <w:rPr>
                            <w:rFonts w:ascii="宋体" w:hAnsi="宋体" w:cs="宋体" w:eastAsia="宋体" w:hint="default"/>
                            <w:sz w:val="16"/>
                            <w:szCs w:val="16"/>
                          </w:rPr>
                        </w:pPr>
                        <w:r>
                          <w:rPr>
                            <w:rFonts w:ascii="宋体" w:hAnsi="宋体" w:cs="宋体" w:eastAsia="宋体" w:hint="default"/>
                            <w:sz w:val="16"/>
                            <w:szCs w:val="16"/>
                          </w:rPr>
                          <w:t>资产出售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238"/>
                          <w:jc w:val="right"/>
                          <w:rPr>
                            <w:rFonts w:ascii="宋体" w:hAnsi="宋体" w:cs="宋体" w:eastAsia="宋体" w:hint="default"/>
                            <w:sz w:val="16"/>
                            <w:szCs w:val="16"/>
                          </w:rPr>
                        </w:pPr>
                        <w:r>
                          <w:rPr>
                            <w:rFonts w:ascii="宋体" w:hAnsi="宋体" w:cs="宋体" w:eastAsia="宋体" w:hint="default"/>
                            <w:spacing w:val="-1"/>
                            <w:sz w:val="16"/>
                            <w:szCs w:val="16"/>
                          </w:rPr>
                          <w:t>转让部分应收账款</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3"/>
                          <w:jc w:val="left"/>
                          <w:rPr>
                            <w:rFonts w:ascii="宋体" w:hAnsi="宋体" w:cs="宋体" w:eastAsia="宋体" w:hint="default"/>
                            <w:sz w:val="16"/>
                            <w:szCs w:val="16"/>
                          </w:rPr>
                        </w:pPr>
                        <w:r>
                          <w:rPr>
                            <w:rFonts w:ascii="宋体" w:hAnsi="宋体" w:cs="宋体" w:eastAsia="宋体" w:hint="default"/>
                            <w:sz w:val="16"/>
                            <w:szCs w:val="16"/>
                          </w:rPr>
                          <w:t>以基准日</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p>
                      <w:p>
                        <w:pPr>
                          <w:pStyle w:val="TableParagraph"/>
                          <w:spacing w:line="338" w:lineRule="auto" w:before="90"/>
                          <w:ind w:left="-1" w:right="24"/>
                          <w:jc w:val="left"/>
                          <w:rPr>
                            <w:rFonts w:ascii="宋体" w:hAnsi="宋体" w:cs="宋体" w:eastAsia="宋体" w:hint="default"/>
                            <w:sz w:val="16"/>
                            <w:szCs w:val="16"/>
                          </w:rPr>
                        </w:pPr>
                        <w:r>
                          <w:rPr>
                            <w:rFonts w:ascii="Times New Roman" w:hAnsi="Times New Roman" w:cs="Times New Roman" w:eastAsia="Times New Roman" w:hint="default"/>
                            <w:sz w:val="16"/>
                            <w:szCs w:val="16"/>
                          </w:rPr>
                          <w:t>30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日的评估结果为基</w:t>
                        </w:r>
                        <w:r>
                          <w:rPr>
                            <w:rFonts w:ascii="宋体" w:hAnsi="宋体" w:cs="宋体" w:eastAsia="宋体" w:hint="default"/>
                            <w:w w:val="100"/>
                            <w:sz w:val="16"/>
                            <w:szCs w:val="16"/>
                          </w:rPr>
                          <w:t> </w:t>
                        </w:r>
                        <w:r>
                          <w:rPr>
                            <w:rFonts w:ascii="宋体" w:hAnsi="宋体" w:cs="宋体" w:eastAsia="宋体" w:hint="default"/>
                            <w:sz w:val="16"/>
                            <w:szCs w:val="16"/>
                          </w:rPr>
                          <w:t>础协商确定</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1"/>
                          <w:jc w:val="center"/>
                          <w:rPr>
                            <w:rFonts w:ascii="Times New Roman" w:hAnsi="Times New Roman" w:cs="Times New Roman" w:eastAsia="Times New Roman" w:hint="default"/>
                            <w:sz w:val="16"/>
                            <w:szCs w:val="16"/>
                          </w:rPr>
                        </w:pPr>
                        <w:r>
                          <w:rPr>
                            <w:rFonts w:ascii="Times New Roman"/>
                            <w:spacing w:val="-1"/>
                            <w:sz w:val="16"/>
                          </w:rPr>
                          <w:t>5,404.43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spacing w:val="-1"/>
                            <w:sz w:val="16"/>
                          </w:rPr>
                          <w:t>5,208.45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1"/>
                            <w:sz w:val="16"/>
                          </w:rPr>
                          <w:t>5,208.45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4" w:right="0"/>
                          <w:jc w:val="center"/>
                          <w:rPr>
                            <w:rFonts w:ascii="宋体" w:hAnsi="宋体" w:cs="宋体" w:eastAsia="宋体" w:hint="default"/>
                            <w:sz w:val="16"/>
                            <w:szCs w:val="16"/>
                          </w:rPr>
                        </w:pPr>
                        <w:r>
                          <w:rPr>
                            <w:rFonts w:ascii="宋体" w:hAnsi="宋体" w:cs="宋体" w:eastAsia="宋体" w:hint="default"/>
                            <w:sz w:val="16"/>
                            <w:szCs w:val="16"/>
                          </w:rPr>
                          <w:t>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1"/>
                            <w:sz w:val="16"/>
                          </w:rPr>
                          <w:t>-383.61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年</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月</w:t>
                        </w:r>
                      </w:p>
                      <w:p>
                        <w:pPr>
                          <w:pStyle w:val="TableParagraph"/>
                          <w:spacing w:line="240" w:lineRule="auto" w:before="90"/>
                          <w:ind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07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6"/>
                            <w:szCs w:val="16"/>
                          </w:rPr>
                        </w:pPr>
                        <w:r>
                          <w:rPr>
                            <w:rFonts w:ascii="Times New Roman"/>
                            <w:sz w:val="16"/>
                          </w:rPr>
                          <w:t>2019-088</w:t>
                        </w:r>
                      </w:p>
                      <w:p>
                        <w:pPr>
                          <w:pStyle w:val="TableParagraph"/>
                          <w:spacing w:line="240" w:lineRule="auto" w:before="90"/>
                          <w:ind w:left="2" w:right="0"/>
                          <w:jc w:val="left"/>
                          <w:rPr>
                            <w:rFonts w:ascii="宋体" w:hAnsi="宋体" w:cs="宋体" w:eastAsia="宋体" w:hint="default"/>
                            <w:sz w:val="16"/>
                            <w:szCs w:val="16"/>
                          </w:rPr>
                        </w:pPr>
                        <w:r>
                          <w:rPr>
                            <w:rFonts w:ascii="宋体" w:hAnsi="宋体" w:cs="宋体" w:eastAsia="宋体" w:hint="default"/>
                            <w:sz w:val="16"/>
                            <w:szCs w:val="16"/>
                          </w:rPr>
                          <w:t>号公告</w:t>
                        </w: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right="-3"/>
                          <w:jc w:val="left"/>
                          <w:rPr>
                            <w:rFonts w:ascii="宋体" w:hAnsi="宋体" w:cs="宋体" w:eastAsia="宋体" w:hint="default"/>
                            <w:sz w:val="16"/>
                            <w:szCs w:val="16"/>
                          </w:rPr>
                        </w:pPr>
                        <w:r>
                          <w:rPr>
                            <w:rFonts w:ascii="宋体" w:hAnsi="宋体" w:cs="宋体" w:eastAsia="宋体" w:hint="default"/>
                            <w:sz w:val="16"/>
                            <w:szCs w:val="16"/>
                          </w:rPr>
                          <w:t>中电通商商业</w:t>
                        </w:r>
                        <w:r>
                          <w:rPr>
                            <w:rFonts w:ascii="宋体" w:hAnsi="宋体" w:cs="宋体" w:eastAsia="宋体" w:hint="default"/>
                            <w:w w:val="100"/>
                            <w:sz w:val="16"/>
                            <w:szCs w:val="16"/>
                          </w:rPr>
                          <w:t> </w:t>
                        </w:r>
                        <w:r>
                          <w:rPr>
                            <w:rFonts w:ascii="宋体" w:hAnsi="宋体" w:cs="宋体" w:eastAsia="宋体" w:hint="default"/>
                            <w:spacing w:val="-6"/>
                            <w:sz w:val="16"/>
                            <w:szCs w:val="16"/>
                          </w:rPr>
                          <w:t>保理（天津）有</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z w:val="16"/>
                            <w:szCs w:val="16"/>
                          </w:rPr>
                          <w:t>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right="24"/>
                          <w:jc w:val="left"/>
                          <w:rPr>
                            <w:rFonts w:ascii="宋体" w:hAnsi="宋体" w:cs="宋体" w:eastAsia="宋体" w:hint="default"/>
                            <w:sz w:val="16"/>
                            <w:szCs w:val="16"/>
                          </w:rPr>
                        </w:pPr>
                        <w:r>
                          <w:rPr>
                            <w:rFonts w:ascii="宋体" w:hAnsi="宋体" w:cs="宋体" w:eastAsia="宋体" w:hint="default"/>
                            <w:sz w:val="16"/>
                            <w:szCs w:val="16"/>
                          </w:rPr>
                          <w:t>上市公司规则</w:t>
                        </w:r>
                        <w:r>
                          <w:rPr>
                            <w:rFonts w:ascii="宋体" w:hAnsi="宋体" w:cs="宋体" w:eastAsia="宋体" w:hint="default"/>
                            <w:w w:val="100"/>
                            <w:sz w:val="16"/>
                            <w:szCs w:val="16"/>
                          </w:rPr>
                          <w:t> </w:t>
                        </w:r>
                        <w:r>
                          <w:rPr>
                            <w:rFonts w:ascii="宋体" w:hAnsi="宋体" w:cs="宋体" w:eastAsia="宋体" w:hint="default"/>
                            <w:sz w:val="16"/>
                            <w:szCs w:val="16"/>
                          </w:rPr>
                          <w:t>认定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 w:right="0"/>
                          <w:jc w:val="left"/>
                          <w:rPr>
                            <w:rFonts w:ascii="宋体" w:hAnsi="宋体" w:cs="宋体" w:eastAsia="宋体" w:hint="default"/>
                            <w:sz w:val="16"/>
                            <w:szCs w:val="16"/>
                          </w:rPr>
                        </w:pPr>
                        <w:r>
                          <w:rPr>
                            <w:rFonts w:ascii="宋体" w:hAnsi="宋体" w:cs="宋体" w:eastAsia="宋体" w:hint="default"/>
                            <w:sz w:val="16"/>
                            <w:szCs w:val="16"/>
                          </w:rPr>
                          <w:t>资产出售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2" w:right="77"/>
                          <w:jc w:val="left"/>
                          <w:rPr>
                            <w:rFonts w:ascii="宋体" w:hAnsi="宋体" w:cs="宋体" w:eastAsia="宋体" w:hint="default"/>
                            <w:sz w:val="16"/>
                            <w:szCs w:val="16"/>
                          </w:rPr>
                        </w:pPr>
                        <w:r>
                          <w:rPr>
                            <w:rFonts w:ascii="宋体" w:hAnsi="宋体" w:cs="宋体" w:eastAsia="宋体" w:hint="default"/>
                            <w:sz w:val="16"/>
                            <w:szCs w:val="16"/>
                          </w:rPr>
                          <w:t>无追索权的应收账款</w:t>
                        </w:r>
                        <w:r>
                          <w:rPr>
                            <w:rFonts w:ascii="宋体" w:hAnsi="宋体" w:cs="宋体" w:eastAsia="宋体" w:hint="default"/>
                            <w:w w:val="100"/>
                            <w:sz w:val="16"/>
                            <w:szCs w:val="16"/>
                          </w:rPr>
                          <w:t> </w:t>
                        </w:r>
                        <w:r>
                          <w:rPr>
                            <w:rFonts w:ascii="宋体" w:hAnsi="宋体" w:cs="宋体" w:eastAsia="宋体" w:hint="default"/>
                            <w:sz w:val="16"/>
                            <w:szCs w:val="16"/>
                          </w:rPr>
                          <w:t>保理</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1" w:right="65"/>
                          <w:jc w:val="left"/>
                          <w:rPr>
                            <w:rFonts w:ascii="宋体" w:hAnsi="宋体" w:cs="宋体" w:eastAsia="宋体" w:hint="default"/>
                            <w:sz w:val="16"/>
                            <w:szCs w:val="16"/>
                          </w:rPr>
                        </w:pPr>
                        <w:r>
                          <w:rPr>
                            <w:rFonts w:ascii="宋体" w:hAnsi="宋体" w:cs="宋体" w:eastAsia="宋体" w:hint="default"/>
                            <w:sz w:val="16"/>
                            <w:szCs w:val="16"/>
                          </w:rPr>
                          <w:t>保理业务费率参照市</w:t>
                        </w:r>
                        <w:r>
                          <w:rPr>
                            <w:rFonts w:ascii="宋体" w:hAnsi="宋体" w:cs="宋体" w:eastAsia="宋体" w:hint="default"/>
                            <w:w w:val="100"/>
                            <w:sz w:val="16"/>
                            <w:szCs w:val="16"/>
                          </w:rPr>
                          <w:t> </w:t>
                        </w:r>
                        <w:r>
                          <w:rPr>
                            <w:rFonts w:ascii="宋体" w:hAnsi="宋体" w:cs="宋体" w:eastAsia="宋体" w:hint="default"/>
                            <w:sz w:val="16"/>
                            <w:szCs w:val="16"/>
                          </w:rPr>
                          <w:t>场价格确定</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1" w:right="-1"/>
                          <w:jc w:val="center"/>
                          <w:rPr>
                            <w:rFonts w:ascii="Times New Roman" w:hAnsi="Times New Roman" w:cs="Times New Roman" w:eastAsia="Times New Roman" w:hint="default"/>
                            <w:sz w:val="16"/>
                            <w:szCs w:val="16"/>
                          </w:rPr>
                        </w:pPr>
                        <w:r>
                          <w:rPr>
                            <w:rFonts w:ascii="Times New Roman"/>
                            <w:spacing w:val="-2"/>
                            <w:sz w:val="16"/>
                          </w:rPr>
                          <w:t>26,000.00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spacing w:val="-1"/>
                            <w:sz w:val="16"/>
                          </w:rPr>
                          <w:t>25,987.90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6"/>
                            <w:szCs w:val="16"/>
                          </w:rPr>
                        </w:pPr>
                        <w:r>
                          <w:rPr>
                            <w:rFonts w:ascii="Times New Roman"/>
                            <w:spacing w:val="-1"/>
                            <w:sz w:val="16"/>
                          </w:rPr>
                          <w:t>25,987.90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4" w:right="0"/>
                          <w:jc w:val="center"/>
                          <w:rPr>
                            <w:rFonts w:ascii="宋体" w:hAnsi="宋体" w:cs="宋体" w:eastAsia="宋体" w:hint="default"/>
                            <w:sz w:val="16"/>
                            <w:szCs w:val="16"/>
                          </w:rPr>
                        </w:pPr>
                        <w:r>
                          <w:rPr>
                            <w:rFonts w:ascii="宋体" w:hAnsi="宋体" w:cs="宋体" w:eastAsia="宋体" w:hint="default"/>
                            <w:sz w:val="16"/>
                            <w:szCs w:val="16"/>
                          </w:rPr>
                          <w:t>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1"/>
                            <w:sz w:val="16"/>
                          </w:rPr>
                          <w:t>-1,037.24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年</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月</w:t>
                        </w:r>
                      </w:p>
                      <w:p>
                        <w:pPr>
                          <w:pStyle w:val="TableParagraph"/>
                          <w:spacing w:line="240" w:lineRule="auto" w:before="90"/>
                          <w:ind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6"/>
                            <w:szCs w:val="16"/>
                          </w:rPr>
                        </w:pPr>
                        <w:r>
                          <w:rPr>
                            <w:rFonts w:ascii="Times New Roman"/>
                            <w:sz w:val="16"/>
                          </w:rPr>
                          <w:t>2019-107</w:t>
                        </w:r>
                      </w:p>
                      <w:p>
                        <w:pPr>
                          <w:pStyle w:val="TableParagraph"/>
                          <w:spacing w:line="240" w:lineRule="auto" w:before="90"/>
                          <w:ind w:left="2" w:right="0"/>
                          <w:jc w:val="left"/>
                          <w:rPr>
                            <w:rFonts w:ascii="宋体" w:hAnsi="宋体" w:cs="宋体" w:eastAsia="宋体" w:hint="default"/>
                            <w:sz w:val="16"/>
                            <w:szCs w:val="16"/>
                          </w:rPr>
                        </w:pPr>
                        <w:r>
                          <w:rPr>
                            <w:rFonts w:ascii="宋体" w:hAnsi="宋体" w:cs="宋体" w:eastAsia="宋体" w:hint="default"/>
                            <w:sz w:val="16"/>
                            <w:szCs w:val="16"/>
                          </w:rPr>
                          <w:t>号公告</w:t>
                        </w:r>
                      </w:p>
                    </w:tc>
                  </w:tr>
                  <w:tr>
                    <w:trPr>
                      <w:trHeight w:val="3133" w:hRule="exact"/>
                    </w:trPr>
                    <w:tc>
                      <w:tcPr>
                        <w:tcW w:w="2799" w:type="dxa"/>
                        <w:gridSpan w:val="3"/>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right="-16"/>
                          <w:jc w:val="left"/>
                          <w:rPr>
                            <w:rFonts w:ascii="宋体" w:hAnsi="宋体" w:cs="宋体" w:eastAsia="宋体" w:hint="default"/>
                            <w:sz w:val="18"/>
                            <w:szCs w:val="18"/>
                          </w:rPr>
                        </w:pPr>
                        <w:r>
                          <w:rPr>
                            <w:rFonts w:ascii="宋体" w:hAnsi="宋体" w:cs="宋体" w:eastAsia="宋体" w:hint="default"/>
                            <w:spacing w:val="6"/>
                            <w:sz w:val="18"/>
                            <w:szCs w:val="18"/>
                          </w:rPr>
                          <w:t>转让价格与账面价值或评估价值差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异较大的原因（如有）</w:t>
                        </w:r>
                      </w:p>
                    </w:tc>
                    <w:tc>
                      <w:tcPr>
                        <w:tcW w:w="8767" w:type="dxa"/>
                        <w:gridSpan w:val="9"/>
                        <w:tcBorders>
                          <w:top w:val="single" w:sz="4" w:space="0" w:color="000000"/>
                          <w:left w:val="single" w:sz="5" w:space="0" w:color="000000"/>
                          <w:bottom w:val="single" w:sz="4" w:space="0" w:color="000000"/>
                          <w:right w:val="single" w:sz="4" w:space="0" w:color="000000"/>
                        </w:tcBorders>
                      </w:tcPr>
                      <w:p>
                        <w:pPr>
                          <w:pStyle w:val="TableParagraph"/>
                          <w:spacing w:line="309" w:lineRule="auto" w:before="10"/>
                          <w:ind w:left="5" w:right="-1" w:firstLine="360"/>
                          <w:jc w:val="both"/>
                          <w:rPr>
                            <w:rFonts w:ascii="宋体" w:hAnsi="宋体" w:cs="宋体" w:eastAsia="宋体" w:hint="default"/>
                            <w:sz w:val="18"/>
                            <w:szCs w:val="18"/>
                          </w:rPr>
                        </w:pPr>
                        <w:r>
                          <w:rPr>
                            <w:rFonts w:ascii="宋体" w:hAnsi="宋体" w:cs="宋体" w:eastAsia="宋体" w:hint="default"/>
                            <w:spacing w:val="-2"/>
                            <w:sz w:val="18"/>
                            <w:szCs w:val="18"/>
                          </w:rPr>
                          <w:t>除应收账款保理业务外，交易价格均是以评估价值作为协商定价基础。其中无形资产未申报账面价值，其主</w:t>
                        </w:r>
                        <w:r>
                          <w:rPr>
                            <w:rFonts w:ascii="宋体" w:hAnsi="宋体" w:cs="宋体" w:eastAsia="宋体" w:hint="default"/>
                            <w:sz w:val="18"/>
                            <w:szCs w:val="18"/>
                          </w:rPr>
                          <w:t> </w:t>
                        </w:r>
                        <w:r>
                          <w:rPr>
                            <w:rFonts w:ascii="宋体" w:hAnsi="宋体" w:cs="宋体" w:eastAsia="宋体" w:hint="default"/>
                            <w:spacing w:val="-2"/>
                            <w:sz w:val="18"/>
                            <w:szCs w:val="18"/>
                          </w:rPr>
                          <w:t>要运用于面向特殊领域市场，技术成果已投入生产应用，未来收益可进行合理预测，收益法评估结果合理；其中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中原电子收购中电财务</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股权是选用收益法作为评估结论，中电财务属金融企业，主要为关联企业及兄弟公司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提供贷款或者吸收存款，收益法综合考虑资源利用、组合贡献、要素协同等影响，能比较客观、全面的反映目前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企业的股东全部权益价值；其中中原电子收购中元股份</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4.98%</w:t>
                        </w:r>
                        <w:r>
                          <w:rPr>
                            <w:rFonts w:ascii="宋体" w:hAnsi="宋体" w:cs="宋体" w:eastAsia="宋体" w:hint="default"/>
                            <w:spacing w:val="-1"/>
                            <w:sz w:val="18"/>
                            <w:szCs w:val="18"/>
                          </w:rPr>
                          <w:t>股权是选用收益法作为评估结论，当前军工行业还</w:t>
                        </w:r>
                        <w:r>
                          <w:rPr>
                            <w:rFonts w:ascii="宋体" w:hAnsi="宋体" w:cs="宋体" w:eastAsia="宋体" w:hint="default"/>
                            <w:sz w:val="18"/>
                            <w:szCs w:val="18"/>
                          </w:rPr>
                          <w:t> </w:t>
                        </w:r>
                        <w:r>
                          <w:rPr>
                            <w:rFonts w:ascii="宋体" w:hAnsi="宋体" w:cs="宋体" w:eastAsia="宋体" w:hint="default"/>
                            <w:spacing w:val="-2"/>
                            <w:sz w:val="18"/>
                            <w:szCs w:val="18"/>
                          </w:rPr>
                          <w:t>在稳步发展与推进中，市场容量可以得到保证，中元股份收入和利润率相对稳定，收益法可以更好地体现其盈利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能力，本次交易与前次交易采用同一份资产评估报告的结论，定价政策及定价依据一致；其中收购天津飞腾</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2"/>
                            <w:sz w:val="18"/>
                            <w:szCs w:val="18"/>
                          </w:rPr>
                          <w:t>股权是选用资产基础法作为评估结论，结合天津飞腾的发展潜力、行业地位及公司自身业务需求，经友好协商确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定，较评估价值有一定程度的溢价；其中圣非凡收购轨道交通研究院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股权是选用收益法作为评估结论，随 </w:t>
                        </w:r>
                        <w:r>
                          <w:rPr>
                            <w:rFonts w:ascii="宋体" w:hAnsi="宋体" w:cs="宋体" w:eastAsia="宋体" w:hint="default"/>
                            <w:spacing w:val="-4"/>
                            <w:sz w:val="18"/>
                            <w:szCs w:val="18"/>
                          </w:rPr>
                          <w:t>着轨道交通研究院的持续研发及产品的成熟投产，将在工控安全领域形成一定的市场竞争力，可带来持续性收入</w:t>
                        </w:r>
                      </w:p>
                    </w:tc>
                  </w:tr>
                </w:tbl>
                <w:p>
                  <w:pPr/>
                </w:p>
              </w:txbxContent>
            </v:textbox>
            <w10:wrap type="none"/>
          </v:shape>
        </w:pict>
      </w:r>
    </w:p>
    <w:p>
      <w:pPr>
        <w:pStyle w:val="Heading5"/>
        <w:spacing w:line="240" w:lineRule="auto"/>
        <w:ind w:left="1072" w:right="679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17"/>
          <w:szCs w:val="17"/>
        </w:rPr>
      </w:pPr>
    </w:p>
    <w:p>
      <w:pPr>
        <w:spacing w:before="0"/>
        <w:ind w:left="1072" w:right="679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4"/>
        <w:ind w:left="0" w:right="8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89" w:footer="975" w:top="1100" w:bottom="1160" w:left="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44"/>
        <w:ind w:left="0" w:right="102" w:firstLine="0"/>
        <w:jc w:val="right"/>
        <w:rPr>
          <w:rFonts w:ascii="宋体" w:hAnsi="宋体" w:cs="宋体" w:eastAsia="宋体" w:hint="default"/>
          <w:sz w:val="18"/>
          <w:szCs w:val="18"/>
        </w:rPr>
      </w:pPr>
      <w:r>
        <w:rPr/>
        <w:pict>
          <v:shape style="position:absolute;margin-left:8.280pt;margin-top:-264.538269pt;width:579pt;height:470.1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6"/>
                    <w:gridCol w:w="8760"/>
                  </w:tblGrid>
                  <w:tr>
                    <w:trPr>
                      <w:trHeight w:val="946" w:hRule="exact"/>
                    </w:trPr>
                    <w:tc>
                      <w:tcPr>
                        <w:tcW w:w="28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360" w:right="1" w:hanging="360"/>
                          <w:jc w:val="left"/>
                          <w:rPr>
                            <w:rFonts w:ascii="宋体" w:hAnsi="宋体" w:cs="宋体" w:eastAsia="宋体" w:hint="default"/>
                            <w:sz w:val="18"/>
                            <w:szCs w:val="18"/>
                          </w:rPr>
                        </w:pPr>
                        <w:r>
                          <w:rPr>
                            <w:rFonts w:ascii="宋体" w:hAnsi="宋体" w:cs="宋体" w:eastAsia="宋体" w:hint="default"/>
                            <w:sz w:val="18"/>
                            <w:szCs w:val="18"/>
                          </w:rPr>
                          <w:t>营收规模随之提升，同时地方政府的研发资金支持作为有力保障对其未来收入规模的增长起到促进作用。 </w:t>
                        </w:r>
                        <w:r>
                          <w:rPr>
                            <w:rFonts w:ascii="宋体" w:hAnsi="宋体" w:cs="宋体" w:eastAsia="宋体" w:hint="default"/>
                            <w:spacing w:val="-2"/>
                            <w:sz w:val="18"/>
                            <w:szCs w:val="18"/>
                          </w:rPr>
                          <w:t>应收账款保理业务费率参照市场价格确定，不高于通商保理公司及商业银行或其他符合条件的机构为其他同</w:t>
                        </w:r>
                      </w:p>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等客户提供的同类业务服务收取标准。</w:t>
                        </w:r>
                      </w:p>
                    </w:tc>
                  </w:tr>
                  <w:tr>
                    <w:trPr>
                      <w:trHeight w:val="7811" w:hRule="exact"/>
                    </w:trPr>
                    <w:tc>
                      <w:tcPr>
                        <w:tcW w:w="2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right="-7"/>
                          <w:jc w:val="left"/>
                          <w:rPr>
                            <w:rFonts w:ascii="宋体" w:hAnsi="宋体" w:cs="宋体" w:eastAsia="宋体" w:hint="default"/>
                            <w:sz w:val="18"/>
                            <w:szCs w:val="18"/>
                          </w:rPr>
                        </w:pPr>
                        <w:r>
                          <w:rPr>
                            <w:rFonts w:ascii="宋体" w:hAnsi="宋体" w:cs="宋体" w:eastAsia="宋体" w:hint="default"/>
                            <w:spacing w:val="6"/>
                            <w:sz w:val="18"/>
                            <w:szCs w:val="18"/>
                          </w:rPr>
                          <w:t>对公司经营成果与财务状况的影响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情况</w:t>
                        </w:r>
                      </w:p>
                    </w:tc>
                    <w:tc>
                      <w:tcPr>
                        <w:tcW w:w="87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right="34"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）根据整合后公司资产管理的实际需要，为了更好清理退出</w:t>
                        </w:r>
                        <w:r>
                          <w:rPr>
                            <w:rFonts w:ascii="Times New Roman" w:hAnsi="Times New Roman" w:cs="Times New Roman" w:eastAsia="Times New Roman" w:hint="default"/>
                            <w:sz w:val="18"/>
                            <w:szCs w:val="18"/>
                          </w:rPr>
                          <w:t>“</w:t>
                        </w:r>
                        <w:r>
                          <w:rPr>
                            <w:rFonts w:ascii="宋体" w:hAnsi="宋体" w:cs="宋体" w:eastAsia="宋体" w:hint="default"/>
                            <w:sz w:val="18"/>
                            <w:szCs w:val="18"/>
                          </w:rPr>
                          <w:t>僵尸企业</w:t>
                        </w:r>
                        <w:r>
                          <w:rPr>
                            <w:rFonts w:ascii="Times New Roman" w:hAnsi="Times New Roman" w:cs="Times New Roman" w:eastAsia="Times New Roman" w:hint="default"/>
                            <w:sz w:val="18"/>
                            <w:szCs w:val="18"/>
                          </w:rPr>
                          <w:t>”</w:t>
                        </w:r>
                        <w:r>
                          <w:rPr>
                            <w:rFonts w:ascii="宋体" w:hAnsi="宋体" w:cs="宋体" w:eastAsia="宋体" w:hint="default"/>
                            <w:sz w:val="18"/>
                            <w:szCs w:val="18"/>
                          </w:rPr>
                          <w:t>，充分提升公司资产的整体利用 效率，公司转让凯杰科技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股权。参见第四节</w:t>
                        </w:r>
                        <w:r>
                          <w:rPr>
                            <w:rFonts w:ascii="Times New Roman" w:hAnsi="Times New Roman" w:cs="Times New Roman" w:eastAsia="Times New Roman" w:hint="default"/>
                            <w:sz w:val="18"/>
                            <w:szCs w:val="18"/>
                          </w:rPr>
                          <w:t>“</w:t>
                        </w:r>
                        <w:r>
                          <w:rPr>
                            <w:rFonts w:ascii="宋体" w:hAnsi="宋体" w:cs="宋体" w:eastAsia="宋体" w:hint="default"/>
                            <w:sz w:val="18"/>
                            <w:szCs w:val="18"/>
                          </w:rPr>
                          <w:t>出售重大股权情况说明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pStyle w:val="TableParagraph"/>
                          <w:spacing w:line="307" w:lineRule="auto" w:before="13"/>
                          <w:ind w:right="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）长城银河拥有业界领先的基于飞腾芯片的国产计算机核心技术和产品工程化设计能力，购买长城银河 </w:t>
                        </w:r>
                        <w:r>
                          <w:rPr>
                            <w:rFonts w:ascii="宋体" w:hAnsi="宋体" w:cs="宋体" w:eastAsia="宋体" w:hint="default"/>
                            <w:spacing w:val="-2"/>
                            <w:sz w:val="18"/>
                            <w:szCs w:val="18"/>
                          </w:rPr>
                          <w:t>该系列计算机产品的技术开发成果和专利，可有效提升长城信安的国产自主可控计算机研制生产水平，丰富产品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线，扩大业务布局，提升公司在自主可控业务板块的行业竞争力。参见第四节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重大非股权投资情况说明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中的相</w:t>
                        </w:r>
                        <w:r>
                          <w:rPr>
                            <w:rFonts w:ascii="宋体" w:hAnsi="宋体" w:cs="宋体" w:eastAsia="宋体" w:hint="default"/>
                            <w:spacing w:val="-42"/>
                            <w:sz w:val="18"/>
                            <w:szCs w:val="18"/>
                          </w:rPr>
                          <w:t> </w:t>
                        </w:r>
                        <w:r>
                          <w:rPr>
                            <w:rFonts w:ascii="宋体" w:hAnsi="宋体" w:cs="宋体" w:eastAsia="宋体" w:hint="default"/>
                            <w:sz w:val="18"/>
                            <w:szCs w:val="18"/>
                          </w:rPr>
                          <w:t>关介绍。</w:t>
                        </w:r>
                      </w:p>
                      <w:p>
                        <w:pPr>
                          <w:pStyle w:val="TableParagraph"/>
                          <w:spacing w:line="300" w:lineRule="auto" w:before="26"/>
                          <w:ind w:right="16"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）中电财务经营情况比较稳定，利润水平较好，本次收购将有利于公司增加利润来源，增加公司长期股 权投资收益。参见第四节</w:t>
                        </w:r>
                        <w:r>
                          <w:rPr>
                            <w:rFonts w:ascii="Times New Roman" w:hAnsi="Times New Roman" w:cs="Times New Roman" w:eastAsia="Times New Roman" w:hint="default"/>
                            <w:sz w:val="18"/>
                            <w:szCs w:val="18"/>
                          </w:rPr>
                          <w:t>“</w:t>
                        </w:r>
                        <w:r>
                          <w:rPr>
                            <w:rFonts w:ascii="宋体" w:hAnsi="宋体" w:cs="宋体" w:eastAsia="宋体" w:hint="default"/>
                            <w:sz w:val="18"/>
                            <w:szCs w:val="18"/>
                          </w:rPr>
                          <w:t>重大股权投资情况说明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pStyle w:val="TableParagraph"/>
                          <w:spacing w:line="312" w:lineRule="auto" w:before="13"/>
                          <w:ind w:right="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）中元股份为中原电子下属重要子企业，承担着军工科研生产任务，经营状况稳定，盈利能力较强。本 </w:t>
                        </w:r>
                        <w:r>
                          <w:rPr>
                            <w:rFonts w:ascii="宋体" w:hAnsi="宋体" w:cs="宋体" w:eastAsia="宋体" w:hint="default"/>
                            <w:spacing w:val="-2"/>
                            <w:sz w:val="18"/>
                            <w:szCs w:val="18"/>
                          </w:rPr>
                          <w:t>次股权收购是为了提升重大资产重组已注入上市公司资产的完整性、独立性，提高整体经营管理效率，提升公司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盈利能力，且有利于中原电子在高新电子板块的军工战略目标实现，保持优势行业的主导地位，符合公司战略发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展需要。参见第四节</w:t>
                        </w:r>
                        <w:r>
                          <w:rPr>
                            <w:rFonts w:ascii="Times New Roman" w:hAnsi="Times New Roman" w:cs="Times New Roman" w:eastAsia="Times New Roman" w:hint="default"/>
                            <w:sz w:val="18"/>
                            <w:szCs w:val="18"/>
                          </w:rPr>
                          <w:t>“</w:t>
                        </w:r>
                        <w:r>
                          <w:rPr>
                            <w:rFonts w:ascii="宋体" w:hAnsi="宋体" w:cs="宋体" w:eastAsia="宋体" w:hint="default"/>
                            <w:sz w:val="18"/>
                            <w:szCs w:val="18"/>
                          </w:rPr>
                          <w:t>重大股权投资情况说明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pStyle w:val="TableParagraph"/>
                          <w:spacing w:line="312" w:lineRule="auto" w:before="3"/>
                          <w:ind w:right="-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）天津飞腾是公司</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芯片的重要供应商，在信息化和云计算市场具有丰富的资源和用户基础，研发技 </w:t>
                        </w:r>
                        <w:r>
                          <w:rPr>
                            <w:rFonts w:ascii="宋体" w:hAnsi="宋体" w:cs="宋体" w:eastAsia="宋体" w:hint="default"/>
                            <w:spacing w:val="-2"/>
                            <w:sz w:val="18"/>
                            <w:szCs w:val="18"/>
                          </w:rPr>
                          <w:t>术积累雄厚，与公司业务具有显著互补及协同效应。本次股权收购是为了推进信息化领域专业化的整合，提升公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司在信息化生态体系建设中的整体实力和核心竞争力，进一步充实核心关键技术、完善业务结构和优化产业链</w:t>
                        </w:r>
                        <w:r>
                          <w:rPr>
                            <w:rFonts w:ascii="宋体" w:hAnsi="宋体" w:cs="宋体" w:eastAsia="宋体" w:hint="default"/>
                            <w:sz w:val="18"/>
                            <w:szCs w:val="18"/>
                          </w:rPr>
                          <w:t> 提升内涵价值进而提高盈利能力。参见第四节</w:t>
                        </w:r>
                        <w:r>
                          <w:rPr>
                            <w:rFonts w:ascii="Times New Roman" w:hAnsi="Times New Roman" w:cs="Times New Roman" w:eastAsia="Times New Roman" w:hint="default"/>
                            <w:sz w:val="18"/>
                            <w:szCs w:val="18"/>
                          </w:rPr>
                          <w:t>“</w:t>
                        </w:r>
                        <w:r>
                          <w:rPr>
                            <w:rFonts w:ascii="宋体" w:hAnsi="宋体" w:cs="宋体" w:eastAsia="宋体" w:hint="default"/>
                            <w:sz w:val="18"/>
                            <w:szCs w:val="18"/>
                          </w:rPr>
                          <w:t>重大股权投资情况说明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pStyle w:val="TableParagraph"/>
                          <w:spacing w:line="300" w:lineRule="auto" w:before="3"/>
                          <w:ind w:right="16"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）圣非凡通过收购轨道交通研究院，将具有自主知识产权的自动控制系统等产品与其核心业务领域系统 产品有机融合，有利于提升圣非凡市场营销规模和核心竞争力，以及培育公司新经济增长点。参见第四节</w:t>
                        </w:r>
                        <w:r>
                          <w:rPr>
                            <w:rFonts w:ascii="Times New Roman" w:hAnsi="Times New Roman" w:cs="Times New Roman" w:eastAsia="Times New Roman" w:hint="default"/>
                            <w:sz w:val="18"/>
                            <w:szCs w:val="18"/>
                          </w:rPr>
                          <w:t>“</w:t>
                        </w:r>
                        <w:r>
                          <w:rPr>
                            <w:rFonts w:ascii="宋体" w:hAnsi="宋体" w:cs="宋体" w:eastAsia="宋体" w:hint="default"/>
                            <w:sz w:val="18"/>
                            <w:szCs w:val="18"/>
                          </w:rPr>
                          <w:t>重大 股权投资情况说明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pStyle w:val="TableParagraph"/>
                          <w:spacing w:line="300" w:lineRule="auto" w:before="13"/>
                          <w:ind w:right="16"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）湘计海盾向中国电子转让部分应收账款，可优化子公司财务结构，减少应收账款对资金的占用，缓解 流动资金压力，同时进一步拓宽公司融资渠道，有效降低债务性融资成本，有利于公司发展。参见本节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其他重 大关联交易</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pStyle w:val="TableParagraph"/>
                          <w:spacing w:line="309" w:lineRule="auto" w:before="13"/>
                          <w:ind w:right="1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）公司及下属公司与通商保理公司开展应收账款保理业务，有利于缩短应收账款回笼时间，加速资金周 转，提高资金使用效率，降低应收账款管理成本，减少应收账款余额，改善资产负债结构及经营性现金流状况 </w:t>
                        </w:r>
                        <w:r>
                          <w:rPr>
                            <w:rFonts w:ascii="宋体" w:hAnsi="宋体" w:cs="宋体" w:eastAsia="宋体" w:hint="default"/>
                            <w:spacing w:val="-3"/>
                            <w:w w:val="100"/>
                            <w:sz w:val="18"/>
                            <w:szCs w:val="18"/>
                          </w:rPr>
                          <w:t>保障公司业务发展资金需求，符合公司经营发展规划和整体利益。参见本节</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其他重大事项的说明</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中的相关介绍</w:t>
                        </w:r>
                      </w:p>
                    </w:tc>
                  </w:tr>
                  <w:tr>
                    <w:trPr>
                      <w:trHeight w:val="636" w:hRule="exact"/>
                    </w:trPr>
                    <w:tc>
                      <w:tcPr>
                        <w:tcW w:w="2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right="0"/>
                          <w:jc w:val="left"/>
                          <w:rPr>
                            <w:rFonts w:ascii="宋体" w:hAnsi="宋体" w:cs="宋体" w:eastAsia="宋体" w:hint="default"/>
                            <w:sz w:val="18"/>
                            <w:szCs w:val="18"/>
                          </w:rPr>
                        </w:pPr>
                        <w:r>
                          <w:rPr>
                            <w:rFonts w:ascii="宋体" w:hAnsi="宋体" w:cs="宋体" w:eastAsia="宋体" w:hint="default"/>
                            <w:spacing w:val="-6"/>
                            <w:sz w:val="18"/>
                            <w:szCs w:val="18"/>
                          </w:rPr>
                          <w:t>如相关交易涉及业绩约定的，报告期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内的业绩实现情况</w:t>
                        </w:r>
                      </w:p>
                    </w:tc>
                    <w:tc>
                      <w:tcPr>
                        <w:tcW w:w="8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5"/>
        <w:spacing w:line="240" w:lineRule="auto"/>
        <w:ind w:left="1072" w:right="679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17"/>
          <w:szCs w:val="17"/>
        </w:rPr>
      </w:pPr>
    </w:p>
    <w:p>
      <w:pPr>
        <w:spacing w:line="357" w:lineRule="auto" w:before="0"/>
        <w:ind w:left="1433" w:right="679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公司报告期未发生共同对外投资的关联交易。</w:t>
      </w:r>
    </w:p>
    <w:p>
      <w:pPr>
        <w:pStyle w:val="Heading5"/>
        <w:spacing w:line="240" w:lineRule="auto" w:before="145"/>
        <w:ind w:left="1072" w:right="679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17"/>
          <w:szCs w:val="17"/>
        </w:rPr>
      </w:pPr>
    </w:p>
    <w:p>
      <w:pPr>
        <w:spacing w:line="360" w:lineRule="auto" w:before="0"/>
        <w:ind w:left="1072" w:right="78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是否存在非经营性关联债权债务往来</w:t>
      </w:r>
    </w:p>
    <w:p>
      <w:pPr>
        <w:spacing w:line="357" w:lineRule="auto" w:before="27"/>
        <w:ind w:left="1072" w:right="894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w:t>
      </w:r>
      <w:r>
        <w:rPr>
          <w:rFonts w:ascii="宋体" w:hAnsi="宋体" w:cs="宋体" w:eastAsia="宋体" w:hint="default"/>
          <w:b/>
          <w:bCs/>
          <w:sz w:val="18"/>
          <w:szCs w:val="18"/>
        </w:rPr>
        <w:t>关联债权债务往来说明</w:t>
      </w:r>
      <w:r>
        <w:rPr>
          <w:rFonts w:ascii="宋体" w:hAnsi="宋体" w:cs="宋体" w:eastAsia="宋体" w:hint="default"/>
          <w:sz w:val="18"/>
          <w:szCs w:val="18"/>
        </w:rPr>
      </w:r>
    </w:p>
    <w:p>
      <w:pPr>
        <w:spacing w:line="357" w:lineRule="auto" w:before="29"/>
        <w:ind w:left="1433" w:right="1671" w:firstLine="0"/>
        <w:jc w:val="left"/>
        <w:rPr>
          <w:rFonts w:ascii="宋体" w:hAnsi="宋体" w:cs="宋体" w:eastAsia="宋体" w:hint="default"/>
          <w:sz w:val="18"/>
          <w:szCs w:val="18"/>
        </w:rPr>
      </w:pPr>
      <w:r>
        <w:rPr>
          <w:rFonts w:ascii="宋体" w:hAnsi="宋体" w:cs="宋体" w:eastAsia="宋体" w:hint="default"/>
          <w:sz w:val="18"/>
          <w:szCs w:val="18"/>
        </w:rPr>
        <w:t>公司报告期不存在非经营性关联债权债务往来。 </w:t>
      </w:r>
      <w:r>
        <w:rPr>
          <w:rFonts w:ascii="宋体" w:hAnsi="宋体" w:cs="宋体" w:eastAsia="宋体" w:hint="default"/>
          <w:spacing w:val="-2"/>
          <w:sz w:val="18"/>
          <w:szCs w:val="18"/>
        </w:rPr>
        <w:t>因关联方存贷款所产生的关联债权债务往来请参见本节“关于与集团财务公司开展全面金融合作情况”。</w:t>
      </w:r>
      <w:r>
        <w:rPr>
          <w:rFonts w:ascii="宋体" w:hAnsi="宋体" w:cs="宋体" w:eastAsia="宋体" w:hint="default"/>
          <w:sz w:val="18"/>
          <w:szCs w:val="18"/>
        </w:rPr>
        <w:t> </w:t>
      </w:r>
      <w:r>
        <w:rPr>
          <w:rFonts w:ascii="宋体" w:hAnsi="宋体" w:cs="宋体" w:eastAsia="宋体" w:hint="default"/>
          <w:spacing w:val="-2"/>
          <w:sz w:val="18"/>
          <w:szCs w:val="18"/>
        </w:rPr>
        <w:t>其他因购销、物业租赁等经营业务所产生的关联债权债务往来请参见财务报表附注中“关联方应收应付款项”。</w:t>
      </w:r>
    </w:p>
    <w:p>
      <w:pPr>
        <w:spacing w:after="0" w:line="357" w:lineRule="auto"/>
        <w:jc w:val="left"/>
        <w:rPr>
          <w:rFonts w:ascii="宋体" w:hAnsi="宋体" w:cs="宋体" w:eastAsia="宋体" w:hint="default"/>
          <w:sz w:val="18"/>
          <w:szCs w:val="18"/>
        </w:rPr>
        <w:sectPr>
          <w:pgSz w:w="11910" w:h="16840"/>
          <w:pgMar w:header="789" w:footer="975" w:top="1100" w:bottom="1160" w:left="60" w:right="0"/>
        </w:sectPr>
      </w:pPr>
    </w:p>
    <w:p>
      <w:pPr>
        <w:spacing w:line="240" w:lineRule="auto" w:before="6"/>
        <w:rPr>
          <w:rFonts w:ascii="宋体" w:hAnsi="宋体" w:cs="宋体" w:eastAsia="宋体" w:hint="default"/>
          <w:sz w:val="21"/>
          <w:szCs w:val="21"/>
        </w:rPr>
      </w:pPr>
    </w:p>
    <w:p>
      <w:pPr>
        <w:pStyle w:val="Heading5"/>
        <w:spacing w:line="240" w:lineRule="auto"/>
        <w:ind w:left="152" w:right="1133"/>
        <w:jc w:val="left"/>
        <w:rPr>
          <w:b w:val="0"/>
          <w:bCs w:val="0"/>
        </w:rPr>
      </w:pPr>
      <w:r>
        <w:rPr>
          <w:rFonts w:ascii="Times New Roman" w:hAnsi="Times New Roman" w:cs="Times New Roman" w:eastAsia="Times New Roman" w:hint="default"/>
        </w:rPr>
        <w:t>5</w:t>
      </w:r>
      <w:r>
        <w:rPr/>
        <w:t>、关于与集团财务公司开展全面金融合作情况</w:t>
      </w:r>
      <w:r>
        <w:rPr>
          <w:b w:val="0"/>
          <w:bCs w:val="0"/>
        </w:rPr>
      </w:r>
    </w:p>
    <w:p>
      <w:pPr>
        <w:spacing w:line="240" w:lineRule="auto" w:before="2"/>
        <w:rPr>
          <w:rFonts w:ascii="宋体" w:hAnsi="宋体" w:cs="宋体" w:eastAsia="宋体" w:hint="default"/>
          <w:b/>
          <w:bCs/>
          <w:sz w:val="17"/>
          <w:szCs w:val="17"/>
        </w:rPr>
      </w:pPr>
    </w:p>
    <w:p>
      <w:pPr>
        <w:spacing w:line="314" w:lineRule="auto" w:before="0"/>
        <w:ind w:left="152" w:right="1034" w:firstLine="360"/>
        <w:jc w:val="left"/>
        <w:rPr>
          <w:rFonts w:ascii="宋体" w:hAnsi="宋体" w:cs="宋体" w:eastAsia="宋体" w:hint="default"/>
          <w:sz w:val="18"/>
          <w:szCs w:val="18"/>
        </w:rPr>
      </w:pPr>
      <w:r>
        <w:rPr>
          <w:rFonts w:ascii="宋体" w:hAnsi="宋体" w:cs="宋体" w:eastAsia="宋体" w:hint="default"/>
          <w:spacing w:val="-2"/>
          <w:sz w:val="18"/>
          <w:szCs w:val="18"/>
        </w:rPr>
        <w:t>为拓宽融资渠道，增加授信额度储备，并综合考虑公司及下属公司的财务状况、现金流状况及未来经营发展需要等实际</w:t>
      </w:r>
      <w:r>
        <w:rPr>
          <w:rFonts w:ascii="宋体" w:hAnsi="宋体" w:cs="宋体" w:eastAsia="宋体" w:hint="default"/>
          <w:sz w:val="18"/>
          <w:szCs w:val="18"/>
        </w:rPr>
        <w:t> </w:t>
      </w:r>
      <w:r>
        <w:rPr>
          <w:rFonts w:ascii="宋体" w:hAnsi="宋体" w:cs="宋体" w:eastAsia="宋体" w:hint="default"/>
          <w:spacing w:val="-5"/>
          <w:sz w:val="18"/>
          <w:szCs w:val="18"/>
        </w:rPr>
        <w:t>情况，经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日公司第七届董事会第二十二次会议、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年度第三次临时股东大会审议， </w:t>
      </w:r>
      <w:r>
        <w:rPr>
          <w:rFonts w:ascii="宋体" w:hAnsi="宋体" w:cs="宋体" w:eastAsia="宋体" w:hint="default"/>
          <w:spacing w:val="-2"/>
          <w:sz w:val="18"/>
          <w:szCs w:val="18"/>
        </w:rPr>
        <w:t>同意公司与中电财务就调整存贷款额度及延长协议期限事宜重新签订《全面金融合作协议》，由中电财务为公司及公司下属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公司提供资金结算、授信融资、资金管理、银行承兑汇票贴现等金融服务，其中办理资金结算日存款余额最高不超过人民币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亿元，以信用方式取得综合授信额度不超过人民币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亿元（具体内容详见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2019-061</w:t>
      </w:r>
      <w:r>
        <w:rPr>
          <w:rFonts w:ascii="Times New Roman" w:hAnsi="Times New Roman" w:cs="Times New Roman" w:eastAsia="Times New Roman" w:hint="default"/>
          <w:spacing w:val="7"/>
          <w:sz w:val="18"/>
          <w:szCs w:val="18"/>
        </w:rPr>
        <w:t> </w:t>
      </w:r>
      <w:r>
        <w:rPr>
          <w:rFonts w:ascii="宋体" w:hAnsi="宋体" w:cs="宋体" w:eastAsia="宋体" w:hint="default"/>
          <w:spacing w:val="-19"/>
          <w:sz w:val="18"/>
          <w:szCs w:val="18"/>
        </w:rPr>
        <w:t>号公告）。</w:t>
      </w:r>
    </w:p>
    <w:p>
      <w:pPr>
        <w:spacing w:before="42"/>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）存贷款情况</w:t>
      </w:r>
    </w:p>
    <w:p>
      <w:pPr>
        <w:spacing w:before="101"/>
        <w:ind w:left="513"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日，公司在中电财务办理存款余额为人民币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257,901.26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万元，贷款余额为人民币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107,085.80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委托贷款余额为人民币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116,500.00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万元，详见下表：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p>
      <w:pPr>
        <w:spacing w:line="2457" w:lineRule="exact"/>
        <w:ind w:left="153"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6119544" cy="156019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6119544" cy="1560195"/>
                    </a:xfrm>
                    <a:prstGeom prst="rect">
                      <a:avLst/>
                    </a:prstGeom>
                  </pic:spPr>
                </pic:pic>
              </a:graphicData>
            </a:graphic>
          </wp:inline>
        </w:drawing>
      </w:r>
      <w:r>
        <w:rPr>
          <w:rFonts w:ascii="宋体" w:hAnsi="宋体" w:cs="宋体" w:eastAsia="宋体" w:hint="default"/>
          <w:position w:val="-48"/>
          <w:sz w:val="20"/>
          <w:szCs w:val="20"/>
        </w:rPr>
      </w:r>
    </w:p>
    <w:p>
      <w:pPr>
        <w:spacing w:before="72"/>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）立信会计师事务所关于中国电子财务有限责任公司风险评估报告</w:t>
      </w:r>
    </w:p>
    <w:p>
      <w:pPr>
        <w:spacing w:line="300" w:lineRule="auto" w:before="101"/>
        <w:ind w:left="152" w:right="1032"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立信会计师事务所对中国电子财务有限责任公司截止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日与财务报表相关资金、信贷、中间业务、投资、</w:t>
      </w:r>
      <w:r>
        <w:rPr>
          <w:rFonts w:ascii="宋体" w:hAnsi="宋体" w:cs="宋体" w:eastAsia="宋体" w:hint="default"/>
          <w:sz w:val="18"/>
          <w:szCs w:val="18"/>
        </w:rPr>
        <w:t> 稽核、信息管理风险控制体系制定及实施情况进行了审核，并出具了信会师报字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ZG30056</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号《中国电子财务有限责</w:t>
      </w:r>
      <w:r>
        <w:rPr>
          <w:rFonts w:ascii="宋体" w:hAnsi="宋体" w:cs="宋体" w:eastAsia="宋体" w:hint="default"/>
          <w:sz w:val="18"/>
          <w:szCs w:val="18"/>
        </w:rPr>
        <w:t> </w:t>
      </w:r>
      <w:r>
        <w:rPr>
          <w:rFonts w:ascii="宋体" w:hAnsi="宋体" w:cs="宋体" w:eastAsia="宋体" w:hint="default"/>
          <w:spacing w:val="-4"/>
          <w:sz w:val="18"/>
          <w:szCs w:val="18"/>
        </w:rPr>
        <w:t>任公司风险评估报告》，认为：“中国电子财务有限责任公司严格按银监会《企业集团财务管理办法》（中国银监会令</w:t>
      </w:r>
      <w:r>
        <w:rPr>
          <w:rFonts w:ascii="Times New Roman" w:hAnsi="Times New Roman" w:cs="Times New Roman" w:eastAsia="Times New Roman" w:hint="default"/>
          <w:spacing w:val="-4"/>
          <w:sz w:val="18"/>
          <w:szCs w:val="18"/>
        </w:rPr>
        <w:t>[2004]</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宋体" w:hAnsi="宋体" w:cs="宋体" w:eastAsia="宋体" w:hint="default"/>
          <w:sz w:val="18"/>
          <w:szCs w:val="18"/>
        </w:rPr>
        <w:t>第 </w:t>
      </w:r>
      <w:r>
        <w:rPr>
          <w:rFonts w:ascii="Times New Roman" w:hAnsi="Times New Roman" w:cs="Times New Roman" w:eastAsia="Times New Roman" w:hint="default"/>
          <w:sz w:val="18"/>
          <w:szCs w:val="18"/>
        </w:rPr>
        <w:t>5 </w:t>
      </w:r>
      <w:r>
        <w:rPr>
          <w:rFonts w:ascii="宋体" w:hAnsi="宋体" w:cs="宋体" w:eastAsia="宋体" w:hint="default"/>
          <w:sz w:val="18"/>
          <w:szCs w:val="18"/>
        </w:rPr>
        <w:t>号）规定经营，经营业绩良好，根据我们对风险管理的了解和评价，我们未发现中国电子财务有限责任公司截止</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p>
    <w:p>
      <w:pPr>
        <w:spacing w:line="300" w:lineRule="auto" w:before="13"/>
        <w:ind w:left="152" w:right="1121"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日与财务报表相关资金、信贷、中间业务、投资、稽核、信息管理风险控制体系存在重大缺陷。”报告全文详见</w:t>
      </w:r>
      <w:r>
        <w:rPr>
          <w:rFonts w:ascii="宋体" w:hAnsi="宋体" w:cs="宋体" w:eastAsia="宋体" w:hint="default"/>
          <w:sz w:val="18"/>
          <w:szCs w:val="18"/>
        </w:rPr>
        <w:t> 巨潮资讯网。</w:t>
      </w:r>
    </w:p>
    <w:p>
      <w:pPr>
        <w:spacing w:line="240" w:lineRule="auto" w:before="13"/>
        <w:rPr>
          <w:rFonts w:ascii="宋体" w:hAnsi="宋体" w:cs="宋体" w:eastAsia="宋体" w:hint="default"/>
          <w:sz w:val="18"/>
          <w:szCs w:val="18"/>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0"/>
        <w:rPr>
          <w:rFonts w:ascii="宋体" w:hAnsi="宋体" w:cs="宋体" w:eastAsia="宋体" w:hint="default"/>
          <w:b/>
          <w:bCs/>
          <w:sz w:val="21"/>
          <w:szCs w:val="21"/>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9"/>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）利用自有闲置资金进行理财增效暨关联交易</w:t>
      </w:r>
    </w:p>
    <w:p>
      <w:pPr>
        <w:spacing w:line="309" w:lineRule="auto" w:before="101"/>
        <w:ind w:left="152" w:right="1130" w:firstLine="360"/>
        <w:jc w:val="both"/>
        <w:rPr>
          <w:rFonts w:ascii="宋体" w:hAnsi="宋体" w:cs="宋体" w:eastAsia="宋体" w:hint="default"/>
          <w:sz w:val="18"/>
          <w:szCs w:val="18"/>
        </w:rPr>
      </w:pPr>
      <w:r>
        <w:rPr>
          <w:rFonts w:ascii="宋体" w:hAnsi="宋体" w:cs="宋体" w:eastAsia="宋体" w:hint="default"/>
          <w:spacing w:val="-3"/>
          <w:sz w:val="18"/>
          <w:szCs w:val="18"/>
        </w:rPr>
        <w:t>公司利用自有闲置资金（不超过人民币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亿元）通过中国银行业监督管理委员会批准和监管的金融机构和中电财务购买 </w:t>
      </w:r>
      <w:r>
        <w:rPr>
          <w:rFonts w:ascii="宋体" w:hAnsi="宋体" w:cs="宋体" w:eastAsia="宋体" w:hint="default"/>
          <w:spacing w:val="-2"/>
          <w:sz w:val="18"/>
          <w:szCs w:val="18"/>
        </w:rPr>
        <w:t>理财产品，资金在授权有效期内可以循环使用。鉴于公司与中电财务的实际控制人均为中国电子，部分理财事项将构成关联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交易，具体内容详见本节“委托理财情况”中的相关介绍。</w:t>
      </w:r>
    </w:p>
    <w:p>
      <w:pPr>
        <w:spacing w:line="340" w:lineRule="auto" w:before="62"/>
        <w:ind w:left="51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）与中电金投就国有资本金的使用签署《借款合同》暨关联交易 </w:t>
      </w:r>
      <w:r>
        <w:rPr>
          <w:rFonts w:ascii="宋体" w:hAnsi="宋体" w:cs="宋体" w:eastAsia="宋体" w:hint="default"/>
          <w:spacing w:val="-5"/>
          <w:sz w:val="18"/>
          <w:szCs w:val="18"/>
        </w:rPr>
        <w:t>根据中电金投控股有限公司（简称“中电金投”）《关于下达中国长城科技集团股份有限公司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年中央国有资本经营</w:t>
      </w:r>
    </w:p>
    <w:p>
      <w:pPr>
        <w:spacing w:line="228"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预算的通知</w:t>
      </w:r>
      <w:r>
        <w:rPr>
          <w:rFonts w:ascii="宋体" w:hAnsi="宋体" w:cs="宋体" w:eastAsia="宋体" w:hint="default"/>
          <w:spacing w:val="-92"/>
          <w:sz w:val="18"/>
          <w:szCs w:val="18"/>
        </w:rPr>
        <w:t>》</w:t>
      </w:r>
      <w:r>
        <w:rPr>
          <w:rFonts w:ascii="宋体" w:hAnsi="宋体" w:cs="宋体" w:eastAsia="宋体" w:hint="default"/>
          <w:sz w:val="18"/>
          <w:szCs w:val="18"/>
        </w:rPr>
        <w:t>，中电金投向公</w:t>
      </w:r>
      <w:r>
        <w:rPr>
          <w:rFonts w:ascii="宋体" w:hAnsi="宋体" w:cs="宋体" w:eastAsia="宋体" w:hint="default"/>
          <w:spacing w:val="2"/>
          <w:sz w:val="18"/>
          <w:szCs w:val="18"/>
        </w:rPr>
        <w:t>司</w:t>
      </w:r>
      <w:r>
        <w:rPr>
          <w:rFonts w:ascii="宋体" w:hAnsi="宋体" w:cs="宋体" w:eastAsia="宋体" w:hint="default"/>
          <w:sz w:val="18"/>
          <w:szCs w:val="18"/>
        </w:rPr>
        <w:t>下达国有资本金</w:t>
      </w:r>
      <w:r>
        <w:rPr>
          <w:rFonts w:ascii="宋体" w:hAnsi="宋体" w:cs="宋体" w:eastAsia="宋体" w:hint="default"/>
          <w:spacing w:val="-17"/>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作</w:t>
      </w:r>
      <w:r>
        <w:rPr>
          <w:rFonts w:ascii="宋体" w:hAnsi="宋体" w:cs="宋体" w:eastAsia="宋体" w:hint="default"/>
          <w:sz w:val="18"/>
          <w:szCs w:val="18"/>
        </w:rPr>
        <w:t>为资本投资，用于“前瞻性战略性产业发展支出—飞腾中央处</w:t>
      </w:r>
    </w:p>
    <w:p>
      <w:pPr>
        <w:spacing w:line="316" w:lineRule="auto" w:before="63"/>
        <w:ind w:left="152" w:right="1117" w:firstLine="0"/>
        <w:jc w:val="left"/>
        <w:rPr>
          <w:rFonts w:ascii="宋体" w:hAnsi="宋体" w:cs="宋体" w:eastAsia="宋体" w:hint="default"/>
          <w:sz w:val="18"/>
          <w:szCs w:val="18"/>
        </w:rPr>
      </w:pPr>
      <w:r>
        <w:rPr>
          <w:rFonts w:ascii="宋体" w:hAnsi="宋体" w:cs="宋体" w:eastAsia="宋体" w:hint="default"/>
          <w:sz w:val="18"/>
          <w:szCs w:val="18"/>
        </w:rPr>
        <w:t>理器和麒麟操作系统产业体</w:t>
      </w:r>
      <w:r>
        <w:rPr>
          <w:rFonts w:ascii="宋体" w:hAnsi="宋体" w:cs="宋体" w:eastAsia="宋体" w:hint="default"/>
          <w:spacing w:val="2"/>
          <w:sz w:val="18"/>
          <w:szCs w:val="18"/>
        </w:rPr>
        <w:t>系</w:t>
      </w:r>
      <w:r>
        <w:rPr>
          <w:rFonts w:ascii="宋体" w:hAnsi="宋体" w:cs="宋体" w:eastAsia="宋体" w:hint="default"/>
          <w:sz w:val="18"/>
          <w:szCs w:val="18"/>
        </w:rPr>
        <w:t>建设工程</w:t>
      </w:r>
      <w:r>
        <w:rPr>
          <w:rFonts w:ascii="宋体" w:hAnsi="宋体" w:cs="宋体" w:eastAsia="宋体" w:hint="default"/>
          <w:spacing w:val="-89"/>
          <w:sz w:val="18"/>
          <w:szCs w:val="18"/>
        </w:rPr>
        <w:t>”</w:t>
      </w:r>
      <w:r>
        <w:rPr>
          <w:rFonts w:ascii="宋体" w:hAnsi="宋体" w:cs="宋体" w:eastAsia="宋体" w:hint="default"/>
          <w:sz w:val="18"/>
          <w:szCs w:val="18"/>
        </w:rPr>
        <w:t>。但因公司目前暂不具备国有资本金注资条件，</w:t>
      </w:r>
      <w:r>
        <w:rPr>
          <w:rFonts w:ascii="宋体" w:hAnsi="宋体" w:cs="宋体" w:eastAsia="宋体" w:hint="default"/>
          <w:spacing w:val="2"/>
          <w:sz w:val="18"/>
          <w:szCs w:val="18"/>
        </w:rPr>
        <w:t>中</w:t>
      </w:r>
      <w:r>
        <w:rPr>
          <w:rFonts w:ascii="宋体" w:hAnsi="宋体" w:cs="宋体" w:eastAsia="宋体" w:hint="default"/>
          <w:sz w:val="18"/>
          <w:szCs w:val="18"/>
        </w:rPr>
        <w:t>电金投以贷款方式提供给公</w:t>
      </w:r>
      <w:r>
        <w:rPr>
          <w:rFonts w:ascii="宋体" w:hAnsi="宋体" w:cs="宋体" w:eastAsia="宋体" w:hint="default"/>
          <w:spacing w:val="2"/>
          <w:sz w:val="18"/>
          <w:szCs w:val="18"/>
        </w:rPr>
        <w:t>司</w:t>
      </w:r>
      <w:r>
        <w:rPr>
          <w:rFonts w:ascii="宋体" w:hAnsi="宋体" w:cs="宋体" w:eastAsia="宋体" w:hint="default"/>
          <w:sz w:val="18"/>
          <w:szCs w:val="18"/>
        </w:rPr>
        <w:t>使</w:t>
      </w:r>
      <w:r>
        <w:rPr>
          <w:rFonts w:ascii="宋体" w:hAnsi="宋体" w:cs="宋体" w:eastAsia="宋体" w:hint="default"/>
          <w:sz w:val="18"/>
          <w:szCs w:val="18"/>
        </w:rPr>
        <w:t> 用，经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第七届董事会第二十六次会议审议，同意公司与中电金投签署《借款合同</w:t>
      </w:r>
      <w:r>
        <w:rPr>
          <w:rFonts w:ascii="宋体" w:hAnsi="宋体" w:cs="宋体" w:eastAsia="宋体" w:hint="default"/>
          <w:spacing w:val="-92"/>
          <w:sz w:val="18"/>
          <w:szCs w:val="18"/>
        </w:rPr>
        <w:t>》</w:t>
      </w:r>
      <w:r>
        <w:rPr>
          <w:rFonts w:ascii="宋体" w:hAnsi="宋体" w:cs="宋体" w:eastAsia="宋体" w:hint="default"/>
          <w:sz w:val="18"/>
          <w:szCs w:val="18"/>
        </w:rPr>
        <w:t>，利率为人民</w:t>
      </w:r>
      <w:r>
        <w:rPr>
          <w:rFonts w:ascii="宋体" w:hAnsi="宋体" w:cs="宋体" w:eastAsia="宋体" w:hint="default"/>
          <w:spacing w:val="2"/>
          <w:sz w:val="18"/>
          <w:szCs w:val="18"/>
        </w:rPr>
        <w:t>银</w:t>
      </w:r>
      <w:r>
        <w:rPr>
          <w:rFonts w:ascii="宋体" w:hAnsi="宋体" w:cs="宋体" w:eastAsia="宋体" w:hint="default"/>
          <w:sz w:val="18"/>
          <w:szCs w:val="18"/>
        </w:rPr>
        <w:t>行</w:t>
      </w:r>
    </w:p>
    <w:p>
      <w:pPr>
        <w:spacing w:line="248" w:lineRule="exact"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公布的一年期贷款基准利率，期限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338" w:lineRule="auto" w:before="103"/>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）湘计海盾向中国电子转让部分应收账款暨关联交易 </w:t>
      </w:r>
      <w:r>
        <w:rPr>
          <w:rFonts w:ascii="宋体" w:hAnsi="宋体" w:cs="宋体" w:eastAsia="宋体" w:hint="default"/>
          <w:spacing w:val="-2"/>
          <w:sz w:val="18"/>
          <w:szCs w:val="18"/>
        </w:rPr>
        <w:t>全资子公司长沙湘计海盾科技有限公司（简称“湘计海盾”）为了有效盘活资金，拓宽融资渠道，提高资产周转效率和</w:t>
      </w:r>
    </w:p>
    <w:p>
      <w:pPr>
        <w:spacing w:line="300" w:lineRule="auto" w:before="2"/>
        <w:ind w:left="152" w:right="1115" w:firstLine="0"/>
        <w:jc w:val="left"/>
        <w:rPr>
          <w:rFonts w:ascii="宋体" w:hAnsi="宋体" w:cs="宋体" w:eastAsia="宋体" w:hint="default"/>
          <w:sz w:val="18"/>
          <w:szCs w:val="18"/>
        </w:rPr>
      </w:pPr>
      <w:r>
        <w:rPr>
          <w:rFonts w:ascii="宋体" w:hAnsi="宋体" w:cs="宋体" w:eastAsia="宋体" w:hint="default"/>
          <w:sz w:val="18"/>
          <w:szCs w:val="18"/>
        </w:rPr>
        <w:t>压降“两金”占用余额，根据其业务需求，将账面价值不超过人民币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万元的一年内应收账款债权评估作价转让给中国 </w:t>
      </w:r>
      <w:r>
        <w:rPr>
          <w:rFonts w:ascii="宋体" w:hAnsi="宋体" w:cs="宋体" w:eastAsia="宋体" w:hint="default"/>
          <w:spacing w:val="-2"/>
          <w:sz w:val="18"/>
          <w:szCs w:val="18"/>
        </w:rPr>
        <w:t>电子。本次关联交易是中国电子受让湘计海盾部分应收账款后通过证券公司设立资产支持专项计划，向合格投资者发售资产</w:t>
      </w:r>
    </w:p>
    <w:p>
      <w:pPr>
        <w:spacing w:after="0" w:line="300" w:lineRule="auto"/>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line="300" w:lineRule="auto" w:before="44"/>
        <w:ind w:left="512" w:right="1120" w:firstLine="0"/>
        <w:jc w:val="left"/>
        <w:rPr>
          <w:rFonts w:ascii="宋体" w:hAnsi="宋体" w:cs="宋体" w:eastAsia="宋体" w:hint="default"/>
          <w:sz w:val="18"/>
          <w:szCs w:val="18"/>
        </w:rPr>
      </w:pPr>
      <w:r>
        <w:rPr>
          <w:rFonts w:ascii="宋体" w:hAnsi="宋体" w:cs="宋体" w:eastAsia="宋体" w:hint="default"/>
          <w:sz w:val="18"/>
          <w:szCs w:val="18"/>
        </w:rPr>
        <w:t>支持证券并在交易所挂牌的应收账款证券化业务。经</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日公司第七届董事会第二十六次会议审议，同意湘计海 </w:t>
      </w:r>
      <w:r>
        <w:rPr>
          <w:rFonts w:ascii="宋体" w:hAnsi="宋体" w:cs="宋体" w:eastAsia="宋体" w:hint="default"/>
          <w:spacing w:val="-5"/>
          <w:sz w:val="18"/>
          <w:szCs w:val="18"/>
        </w:rPr>
        <w:t>盾与中国电子签署《应收账款转让合同》。</w:t>
      </w:r>
    </w:p>
    <w:p>
      <w:pPr>
        <w:spacing w:line="338" w:lineRule="auto" w:before="72"/>
        <w:ind w:left="873" w:right="11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）与中国电子、中电财务就国有资本金的继续使用签署《委托贷款展期协议》暨关联交易 中国电子通过中电财务以委托贷款方式发放本公司使用的项目国有资本金 </w:t>
      </w:r>
      <w:r>
        <w:rPr>
          <w:rFonts w:ascii="Times New Roman" w:hAnsi="Times New Roman" w:cs="Times New Roman" w:eastAsia="Times New Roman" w:hint="default"/>
          <w:sz w:val="18"/>
          <w:szCs w:val="18"/>
        </w:rPr>
        <w:t>16,500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万元（项目均已按投向完成投入）目</w:t>
      </w:r>
    </w:p>
    <w:p>
      <w:pPr>
        <w:spacing w:line="230" w:lineRule="exact" w:before="0"/>
        <w:ind w:left="512" w:right="1034" w:firstLine="0"/>
        <w:jc w:val="left"/>
        <w:rPr>
          <w:rFonts w:ascii="宋体" w:hAnsi="宋体" w:cs="宋体" w:eastAsia="宋体" w:hint="default"/>
          <w:sz w:val="18"/>
          <w:szCs w:val="18"/>
        </w:rPr>
      </w:pPr>
      <w:r>
        <w:rPr>
          <w:rFonts w:ascii="宋体" w:hAnsi="宋体" w:cs="宋体" w:eastAsia="宋体" w:hint="default"/>
          <w:sz w:val="18"/>
          <w:szCs w:val="18"/>
        </w:rPr>
        <w:t>前仍暂不具备国有资本金注资条件，且原借款合同期限即将届满，为保证资金的继续使用，经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日公司第六</w:t>
      </w:r>
    </w:p>
    <w:p>
      <w:pPr>
        <w:spacing w:before="63"/>
        <w:ind w:left="512" w:right="1034" w:firstLine="0"/>
        <w:jc w:val="left"/>
        <w:rPr>
          <w:rFonts w:ascii="宋体" w:hAnsi="宋体" w:cs="宋体" w:eastAsia="宋体" w:hint="default"/>
          <w:sz w:val="18"/>
          <w:szCs w:val="18"/>
        </w:rPr>
      </w:pPr>
      <w:r>
        <w:rPr>
          <w:rFonts w:ascii="宋体" w:hAnsi="宋体" w:cs="宋体" w:eastAsia="宋体" w:hint="default"/>
          <w:sz w:val="18"/>
          <w:szCs w:val="18"/>
        </w:rPr>
        <w:t>届董事会</w:t>
      </w:r>
      <w:r>
        <w:rPr>
          <w:rFonts w:ascii="宋体" w:hAnsi="宋体" w:cs="宋体" w:eastAsia="宋体" w:hint="default"/>
          <w:spacing w:val="-1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年度第三次临时股东</w:t>
      </w:r>
      <w:r>
        <w:rPr>
          <w:rFonts w:ascii="宋体" w:hAnsi="宋体" w:cs="宋体" w:eastAsia="宋体" w:hint="default"/>
          <w:spacing w:val="-3"/>
          <w:sz w:val="18"/>
          <w:szCs w:val="18"/>
        </w:rPr>
        <w:t>大</w:t>
      </w:r>
      <w:r>
        <w:rPr>
          <w:rFonts w:ascii="宋体" w:hAnsi="宋体" w:cs="宋体" w:eastAsia="宋体" w:hint="default"/>
          <w:sz w:val="18"/>
          <w:szCs w:val="18"/>
        </w:rPr>
        <w:t>会审议</w:t>
      </w:r>
      <w:r>
        <w:rPr>
          <w:rFonts w:ascii="宋体" w:hAnsi="宋体" w:cs="宋体" w:eastAsia="宋体" w:hint="default"/>
          <w:spacing w:val="-13"/>
          <w:sz w:val="18"/>
          <w:szCs w:val="18"/>
        </w:rPr>
        <w:t>，</w:t>
      </w:r>
      <w:r>
        <w:rPr>
          <w:rFonts w:ascii="宋体" w:hAnsi="宋体" w:cs="宋体" w:eastAsia="宋体" w:hint="default"/>
          <w:sz w:val="18"/>
          <w:szCs w:val="18"/>
        </w:rPr>
        <w:t>同意公司与中电财务签</w:t>
      </w:r>
      <w:r>
        <w:rPr>
          <w:rFonts w:ascii="宋体" w:hAnsi="宋体" w:cs="宋体" w:eastAsia="宋体" w:hint="default"/>
          <w:spacing w:val="-13"/>
          <w:sz w:val="18"/>
          <w:szCs w:val="18"/>
        </w:rPr>
        <w:t>署</w:t>
      </w:r>
      <w:r>
        <w:rPr>
          <w:rFonts w:ascii="宋体" w:hAnsi="宋体" w:cs="宋体" w:eastAsia="宋体" w:hint="default"/>
          <w:sz w:val="18"/>
          <w:szCs w:val="18"/>
        </w:rPr>
        <w:t>《委托贷款借款展期协</w:t>
      </w:r>
      <w:r>
        <w:rPr>
          <w:rFonts w:ascii="宋体" w:hAnsi="宋体" w:cs="宋体" w:eastAsia="宋体" w:hint="default"/>
          <w:spacing w:val="1"/>
          <w:sz w:val="18"/>
          <w:szCs w:val="18"/>
        </w:rPr>
        <w:t>议</w:t>
      </w:r>
      <w:r>
        <w:rPr>
          <w:rFonts w:ascii="宋体" w:hAnsi="宋体" w:cs="宋体" w:eastAsia="宋体" w:hint="default"/>
          <w:spacing w:val="-92"/>
          <w:sz w:val="18"/>
          <w:szCs w:val="18"/>
        </w:rPr>
        <w:t>》，</w:t>
      </w:r>
      <w:r>
        <w:rPr>
          <w:rFonts w:ascii="宋体" w:hAnsi="宋体" w:cs="宋体" w:eastAsia="宋体" w:hint="default"/>
          <w:sz w:val="18"/>
          <w:szCs w:val="18"/>
        </w:rPr>
      </w:r>
    </w:p>
    <w:p>
      <w:pPr>
        <w:spacing w:before="63"/>
        <w:ind w:left="512" w:right="1034" w:firstLine="0"/>
        <w:jc w:val="left"/>
        <w:rPr>
          <w:rFonts w:ascii="宋体" w:hAnsi="宋体" w:cs="宋体" w:eastAsia="宋体" w:hint="default"/>
          <w:sz w:val="18"/>
          <w:szCs w:val="18"/>
        </w:rPr>
      </w:pPr>
      <w:r>
        <w:rPr>
          <w:rFonts w:ascii="宋体" w:hAnsi="宋体" w:cs="宋体" w:eastAsia="宋体" w:hint="default"/>
          <w:sz w:val="18"/>
          <w:szCs w:val="18"/>
        </w:rPr>
        <w:t>展期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pacing w:val="-87"/>
          <w:sz w:val="18"/>
          <w:szCs w:val="18"/>
        </w:rPr>
        <w:t>；</w:t>
      </w: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3"/>
          <w:sz w:val="18"/>
          <w:szCs w:val="18"/>
        </w:rPr>
        <w:t>第</w:t>
      </w:r>
      <w:r>
        <w:rPr>
          <w:rFonts w:ascii="宋体" w:hAnsi="宋体" w:cs="宋体" w:eastAsia="宋体" w:hint="default"/>
          <w:sz w:val="18"/>
          <w:szCs w:val="18"/>
        </w:rPr>
        <w:t>七届董事会第八次会议审议</w:t>
      </w:r>
      <w:r>
        <w:rPr>
          <w:rFonts w:ascii="宋体" w:hAnsi="宋体" w:cs="宋体" w:eastAsia="宋体" w:hint="default"/>
          <w:spacing w:val="-87"/>
          <w:sz w:val="18"/>
          <w:szCs w:val="18"/>
        </w:rPr>
        <w:t>，</w:t>
      </w:r>
      <w:r>
        <w:rPr>
          <w:rFonts w:ascii="宋体" w:hAnsi="宋体" w:cs="宋体" w:eastAsia="宋体" w:hint="default"/>
          <w:sz w:val="18"/>
          <w:szCs w:val="18"/>
        </w:rPr>
        <w:t>同意公司与中电财务继续签</w:t>
      </w:r>
      <w:r>
        <w:rPr>
          <w:rFonts w:ascii="宋体" w:hAnsi="宋体" w:cs="宋体" w:eastAsia="宋体" w:hint="default"/>
          <w:spacing w:val="-87"/>
          <w:sz w:val="18"/>
          <w:szCs w:val="18"/>
        </w:rPr>
        <w:t>署</w:t>
      </w:r>
      <w:r>
        <w:rPr>
          <w:rFonts w:ascii="宋体" w:hAnsi="宋体" w:cs="宋体" w:eastAsia="宋体" w:hint="default"/>
          <w:sz w:val="18"/>
          <w:szCs w:val="18"/>
        </w:rPr>
        <w:t>《委</w:t>
      </w:r>
    </w:p>
    <w:p>
      <w:pPr>
        <w:spacing w:before="63"/>
        <w:ind w:left="512" w:right="1034" w:firstLine="0"/>
        <w:jc w:val="left"/>
        <w:rPr>
          <w:rFonts w:ascii="宋体" w:hAnsi="宋体" w:cs="宋体" w:eastAsia="宋体" w:hint="default"/>
          <w:sz w:val="18"/>
          <w:szCs w:val="18"/>
        </w:rPr>
      </w:pPr>
      <w:r>
        <w:rPr>
          <w:rFonts w:ascii="宋体" w:hAnsi="宋体" w:cs="宋体" w:eastAsia="宋体" w:hint="default"/>
          <w:sz w:val="18"/>
          <w:szCs w:val="18"/>
        </w:rPr>
        <w:t>托贷款借款展期协议</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展期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pacing w:val="-13"/>
          <w:sz w:val="18"/>
          <w:szCs w:val="18"/>
        </w:rPr>
        <w:t>；</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w:t>
      </w:r>
      <w:r>
        <w:rPr>
          <w:rFonts w:ascii="宋体" w:hAnsi="宋体" w:cs="宋体" w:eastAsia="宋体" w:hint="default"/>
          <w:spacing w:val="-3"/>
          <w:sz w:val="18"/>
          <w:szCs w:val="18"/>
        </w:rPr>
        <w:t>届</w:t>
      </w:r>
      <w:r>
        <w:rPr>
          <w:rFonts w:ascii="宋体" w:hAnsi="宋体" w:cs="宋体" w:eastAsia="宋体" w:hint="default"/>
          <w:sz w:val="18"/>
          <w:szCs w:val="18"/>
        </w:rPr>
        <w:t>董事会第二十八次会议</w:t>
      </w:r>
      <w:r>
        <w:rPr>
          <w:rFonts w:ascii="宋体" w:hAnsi="宋体" w:cs="宋体" w:eastAsia="宋体" w:hint="default"/>
          <w:spacing w:val="-1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2" w:right="1034"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w:t>
      </w:r>
      <w:r>
        <w:rPr>
          <w:rFonts w:ascii="宋体" w:hAnsi="宋体" w:cs="宋体" w:eastAsia="宋体" w:hint="default"/>
          <w:spacing w:val="-3"/>
          <w:sz w:val="18"/>
          <w:szCs w:val="18"/>
        </w:rPr>
        <w:t>五</w:t>
      </w:r>
      <w:r>
        <w:rPr>
          <w:rFonts w:ascii="宋体" w:hAnsi="宋体" w:cs="宋体" w:eastAsia="宋体" w:hint="default"/>
          <w:sz w:val="18"/>
          <w:szCs w:val="18"/>
        </w:rPr>
        <w:t>次临时股东大会审议</w:t>
      </w:r>
      <w:r>
        <w:rPr>
          <w:rFonts w:ascii="宋体" w:hAnsi="宋体" w:cs="宋体" w:eastAsia="宋体" w:hint="default"/>
          <w:spacing w:val="-10"/>
          <w:sz w:val="18"/>
          <w:szCs w:val="18"/>
        </w:rPr>
        <w:t>，</w:t>
      </w:r>
      <w:r>
        <w:rPr>
          <w:rFonts w:ascii="宋体" w:hAnsi="宋体" w:cs="宋体" w:eastAsia="宋体" w:hint="default"/>
          <w:sz w:val="18"/>
          <w:szCs w:val="18"/>
        </w:rPr>
        <w:t>同意公司与中国电子</w:t>
      </w:r>
      <w:r>
        <w:rPr>
          <w:rFonts w:ascii="宋体" w:hAnsi="宋体" w:cs="宋体" w:eastAsia="宋体" w:hint="default"/>
          <w:spacing w:val="-10"/>
          <w:sz w:val="18"/>
          <w:szCs w:val="18"/>
        </w:rPr>
        <w:t>、</w:t>
      </w:r>
      <w:r>
        <w:rPr>
          <w:rFonts w:ascii="宋体" w:hAnsi="宋体" w:cs="宋体" w:eastAsia="宋体" w:hint="default"/>
          <w:sz w:val="18"/>
          <w:szCs w:val="18"/>
        </w:rPr>
        <w:t>中电财务继续签</w:t>
      </w:r>
      <w:r>
        <w:rPr>
          <w:rFonts w:ascii="宋体" w:hAnsi="宋体" w:cs="宋体" w:eastAsia="宋体" w:hint="default"/>
          <w:spacing w:val="-10"/>
          <w:sz w:val="18"/>
          <w:szCs w:val="18"/>
        </w:rPr>
        <w:t>署</w:t>
      </w:r>
      <w:r>
        <w:rPr>
          <w:rFonts w:ascii="宋体" w:hAnsi="宋体" w:cs="宋体" w:eastAsia="宋体" w:hint="default"/>
          <w:sz w:val="18"/>
          <w:szCs w:val="18"/>
        </w:rPr>
        <w:t>《委托贷款展期协议</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pacing w:val="2"/>
          <w:sz w:val="18"/>
          <w:szCs w:val="18"/>
        </w:rPr>
        <w:t>展</w:t>
      </w:r>
      <w:r>
        <w:rPr>
          <w:rFonts w:ascii="宋体" w:hAnsi="宋体" w:cs="宋体" w:eastAsia="宋体" w:hint="default"/>
          <w:sz w:val="18"/>
          <w:szCs w:val="18"/>
        </w:rPr>
        <w:t>期</w:t>
      </w:r>
    </w:p>
    <w:p>
      <w:pPr>
        <w:spacing w:before="63"/>
        <w:ind w:left="512" w:right="11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日，贷款基准利率保持不变，仍按人民银行公布的一年期贷款基准利率执行。</w:t>
      </w:r>
    </w:p>
    <w:p>
      <w:pPr>
        <w:spacing w:line="340" w:lineRule="auto" w:before="103"/>
        <w:ind w:left="873" w:right="11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）办理应收账款保理业务暨关联交易 </w:t>
      </w:r>
      <w:r>
        <w:rPr>
          <w:rFonts w:ascii="宋体" w:hAnsi="宋体" w:cs="宋体" w:eastAsia="宋体" w:hint="default"/>
          <w:spacing w:val="-2"/>
          <w:sz w:val="18"/>
          <w:szCs w:val="18"/>
        </w:rPr>
        <w:t>为盘活资产，加快资金周转，缩短公司整体应收账款回笼时间，优化财务结构，公司及下属公司与通商保理公司及商业</w:t>
      </w:r>
    </w:p>
    <w:p>
      <w:pPr>
        <w:spacing w:before="1"/>
        <w:ind w:left="512" w:right="1034" w:firstLine="0"/>
        <w:jc w:val="left"/>
        <w:rPr>
          <w:rFonts w:ascii="宋体" w:hAnsi="宋体" w:cs="宋体" w:eastAsia="宋体" w:hint="default"/>
          <w:sz w:val="18"/>
          <w:szCs w:val="18"/>
        </w:rPr>
      </w:pPr>
      <w:r>
        <w:rPr>
          <w:rFonts w:ascii="宋体" w:hAnsi="宋体" w:cs="宋体" w:eastAsia="宋体" w:hint="default"/>
          <w:sz w:val="18"/>
          <w:szCs w:val="18"/>
        </w:rPr>
        <w:t>银行或其他符合条件的机构开展总额不超过人民币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3"/>
          <w:sz w:val="18"/>
          <w:szCs w:val="18"/>
        </w:rPr>
        <w:t>的</w:t>
      </w:r>
      <w:r>
        <w:rPr>
          <w:rFonts w:ascii="宋体" w:hAnsi="宋体" w:cs="宋体" w:eastAsia="宋体" w:hint="default"/>
          <w:sz w:val="18"/>
          <w:szCs w:val="18"/>
        </w:rPr>
        <w:t>应收账款保理业</w:t>
      </w:r>
      <w:r>
        <w:rPr>
          <w:rFonts w:ascii="宋体" w:hAnsi="宋体" w:cs="宋体" w:eastAsia="宋体" w:hint="default"/>
          <w:spacing w:val="-82"/>
          <w:sz w:val="18"/>
          <w:szCs w:val="18"/>
        </w:rPr>
        <w:t>务</w:t>
      </w:r>
      <w:r>
        <w:rPr>
          <w:rFonts w:ascii="宋体" w:hAnsi="宋体" w:cs="宋体" w:eastAsia="宋体" w:hint="default"/>
          <w:sz w:val="18"/>
          <w:szCs w:val="18"/>
        </w:rPr>
        <w:t>（其中与通商保理公司的应收账款保理额度为</w:t>
      </w:r>
    </w:p>
    <w:p>
      <w:pPr>
        <w:spacing w:line="300" w:lineRule="auto" w:before="63"/>
        <w:ind w:left="512" w:right="1118" w:firstLine="0"/>
        <w:jc w:val="left"/>
        <w:rPr>
          <w:rFonts w:ascii="宋体" w:hAnsi="宋体" w:cs="宋体" w:eastAsia="宋体" w:hint="default"/>
          <w:sz w:val="18"/>
          <w:szCs w:val="18"/>
        </w:rPr>
      </w:pPr>
      <w:r>
        <w:rPr>
          <w:rFonts w:ascii="宋体" w:hAnsi="宋体" w:cs="宋体" w:eastAsia="宋体" w:hint="default"/>
          <w:sz w:val="18"/>
          <w:szCs w:val="18"/>
        </w:rPr>
        <w:t>不超过人民币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亿元），根据上市公司规则认定，与通商保理公司开展的应收账款保理业务构成关联交易，参见本节“其</w:t>
      </w:r>
      <w:r>
        <w:rPr>
          <w:rFonts w:ascii="宋体" w:hAnsi="宋体" w:cs="宋体" w:eastAsia="宋体" w:hint="default"/>
          <w:sz w:val="18"/>
          <w:szCs w:val="18"/>
        </w:rPr>
        <w:t> 他重大事项的说明”中的相关介绍。</w:t>
      </w:r>
    </w:p>
    <w:p>
      <w:pPr>
        <w:spacing w:line="340" w:lineRule="auto" w:before="70"/>
        <w:ind w:left="512" w:right="436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）持续到报告期或报告期内完成的其他重大关联交易请见下表披露索引。 重大关联交易临时报告披露网站相关查询</w:t>
      </w:r>
    </w:p>
    <w:tbl>
      <w:tblPr>
        <w:tblW w:w="0" w:type="auto"/>
        <w:jc w:val="left"/>
        <w:tblInd w:w="114" w:type="dxa"/>
        <w:tblLayout w:type="fixed"/>
        <w:tblCellMar>
          <w:top w:w="0" w:type="dxa"/>
          <w:left w:w="0" w:type="dxa"/>
          <w:bottom w:w="0" w:type="dxa"/>
          <w:right w:w="0" w:type="dxa"/>
        </w:tblCellMar>
        <w:tblLook w:val="01E0"/>
      </w:tblPr>
      <w:tblGrid>
        <w:gridCol w:w="6918"/>
        <w:gridCol w:w="1561"/>
        <w:gridCol w:w="1949"/>
      </w:tblGrid>
      <w:tr>
        <w:trPr>
          <w:trHeight w:val="322" w:hRule="exact"/>
        </w:trPr>
        <w:tc>
          <w:tcPr>
            <w:tcW w:w="6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324"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2017-114</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关于与冠捷科技签署《采购（供货）框架协议》暨日常关联交易的公告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关于与中电系统签署《中电长城大厦智能化工程施工合同》暨关联交易的公告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4"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2018-051 </w:t>
            </w:r>
            <w:r>
              <w:rPr>
                <w:rFonts w:ascii="宋体" w:hAnsi="宋体" w:cs="宋体" w:eastAsia="宋体" w:hint="default"/>
                <w:sz w:val="18"/>
                <w:szCs w:val="18"/>
              </w:rPr>
              <w:t>关于与天津麒麟、天津飞腾签署 </w:t>
            </w:r>
            <w:r>
              <w:rPr>
                <w:rFonts w:ascii="Times New Roman" w:hAnsi="Times New Roman" w:cs="Times New Roman" w:eastAsia="Times New Roman" w:hint="default"/>
                <w:sz w:val="18"/>
                <w:szCs w:val="18"/>
              </w:rPr>
              <w:t>2018-2020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年度关联交易框架协议暨日常关联 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4"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2018-078 </w:t>
            </w:r>
            <w:r>
              <w:rPr>
                <w:rFonts w:ascii="宋体" w:hAnsi="宋体" w:cs="宋体" w:eastAsia="宋体" w:hint="default"/>
                <w:sz w:val="18"/>
                <w:szCs w:val="18"/>
              </w:rPr>
              <w:t>关于与长城超云签署</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年度关联交易框架协议及《商标许可使用合同》暨 日常关联交易的公告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2018-090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关于变更银行贷款担保方式暨关联交易的公告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关于向控股股东申请委托贷款并涉及房产抵押担保暨关联交易的公告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关于下属公司购买土地使用权及地上房屋建（构）筑物暨关联交易的公告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2019-006  </w:t>
            </w:r>
            <w:r>
              <w:rPr>
                <w:rFonts w:ascii="宋体" w:hAnsi="宋体" w:cs="宋体" w:eastAsia="宋体" w:hint="default"/>
                <w:sz w:val="18"/>
                <w:szCs w:val="18"/>
              </w:rPr>
              <w:t>关于出售湖南凯杰科技有限责任公司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2019-014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关于全资子公司购买无形资产暨关联交易的公告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2019-020 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年度日常关联交易预计公告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2019-026 </w:t>
            </w:r>
            <w:r>
              <w:rPr>
                <w:rFonts w:ascii="宋体" w:hAnsi="宋体" w:cs="宋体" w:eastAsia="宋体" w:hint="default"/>
                <w:sz w:val="18"/>
                <w:szCs w:val="18"/>
              </w:rPr>
              <w:t>关于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年度计提资产减值准备及核销部分应收款、应付款的公告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2019-030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关于利用自有闲置资金进行理财增效暨关联交易的公告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2019-032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关于中原电子收购中电财务部分股权调整暨关联交易的公告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2019-048  </w:t>
            </w:r>
            <w:r>
              <w:rPr>
                <w:rFonts w:ascii="宋体" w:hAnsi="宋体" w:cs="宋体" w:eastAsia="宋体" w:hint="default"/>
                <w:sz w:val="18"/>
                <w:szCs w:val="18"/>
              </w:rPr>
              <w:t>关于收购下属控股子公司少数股东</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4.98%</w:t>
            </w:r>
            <w:r>
              <w:rPr>
                <w:rFonts w:ascii="宋体" w:hAnsi="宋体" w:cs="宋体" w:eastAsia="宋体" w:hint="default"/>
                <w:sz w:val="18"/>
                <w:szCs w:val="18"/>
              </w:rPr>
              <w:t>股权暨关联交易的公告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2019-058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关于收购天津飞腾部分股权暨关联交易的公告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关于《全面金融合作协议》调整存贷款额度及延长协议期限暨关联交易的公告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2019-085  </w:t>
            </w:r>
            <w:r>
              <w:rPr>
                <w:rFonts w:ascii="宋体" w:hAnsi="宋体" w:cs="宋体" w:eastAsia="宋体" w:hint="default"/>
                <w:sz w:val="18"/>
                <w:szCs w:val="18"/>
              </w:rPr>
              <w:t>关于收购轨道交通研究院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2019-087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关于国有资本金注资前转作提供给公司的贷款暨关联交易的公告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2019-088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关于子公司转让部分应收账款暨关联交易的公告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4"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 w:right="2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2019-094</w:t>
            </w:r>
            <w:r>
              <w:rPr>
                <w:rFonts w:ascii="Times New Roman" w:hAnsi="Times New Roman" w:cs="Times New Roman" w:eastAsia="Times New Roman" w:hint="default"/>
                <w:spacing w:val="20"/>
                <w:sz w:val="18"/>
                <w:szCs w:val="18"/>
              </w:rPr>
              <w:t> </w:t>
            </w:r>
            <w:r>
              <w:rPr>
                <w:rFonts w:ascii="宋体" w:hAnsi="宋体" w:cs="宋体" w:eastAsia="宋体" w:hint="default"/>
                <w:spacing w:val="-1"/>
                <w:sz w:val="18"/>
                <w:szCs w:val="18"/>
              </w:rPr>
              <w:t>关于与中国电子签署《</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年度日常关联交易框架协议（补充协议）》暨日常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2019-095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关于就国有资本金的继续使用签署展期协议暨关联交易的公告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2019-107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关于办理应收账款保理业务暨关联交易的公告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89" w:footer="975" w:top="1100" w:bottom="1160" w:left="620" w:right="0"/>
        </w:sectPr>
      </w:pPr>
    </w:p>
    <w:p>
      <w:pPr>
        <w:spacing w:line="240" w:lineRule="auto" w:before="4"/>
        <w:rPr>
          <w:rFonts w:ascii="宋体" w:hAnsi="宋体" w:cs="宋体" w:eastAsia="宋体" w:hint="default"/>
          <w:sz w:val="20"/>
          <w:szCs w:val="20"/>
        </w:rPr>
      </w:pPr>
    </w:p>
    <w:p>
      <w:pPr>
        <w:pStyle w:val="Heading4"/>
        <w:spacing w:line="240" w:lineRule="auto" w:before="26"/>
        <w:ind w:left="932" w:right="6794"/>
        <w:jc w:val="left"/>
        <w:rPr>
          <w:b w:val="0"/>
          <w:bCs w:val="0"/>
        </w:rPr>
      </w:pPr>
      <w:r>
        <w:rPr/>
        <w:t>十七、重大合同及其履行情况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left="932" w:right="679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3"/>
        <w:rPr>
          <w:rFonts w:ascii="宋体" w:hAnsi="宋体" w:cs="宋体" w:eastAsia="宋体" w:hint="default"/>
          <w:b/>
          <w:bCs/>
          <w:sz w:val="19"/>
          <w:szCs w:val="19"/>
        </w:rPr>
      </w:pPr>
    </w:p>
    <w:p>
      <w:pPr>
        <w:pStyle w:val="Heading5"/>
        <w:spacing w:line="240" w:lineRule="auto" w:before="0"/>
        <w:ind w:left="932" w:right="679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0"/>
        <w:rPr>
          <w:rFonts w:ascii="宋体" w:hAnsi="宋体" w:cs="宋体" w:eastAsia="宋体" w:hint="default"/>
          <w:b/>
          <w:bCs/>
          <w:sz w:val="21"/>
          <w:szCs w:val="21"/>
        </w:rPr>
      </w:pPr>
    </w:p>
    <w:p>
      <w:pPr>
        <w:spacing w:line="360" w:lineRule="auto" w:before="0"/>
        <w:ind w:left="93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托管情况说明</w:t>
      </w:r>
      <w:r>
        <w:rPr>
          <w:rFonts w:ascii="宋体" w:hAnsi="宋体" w:cs="宋体" w:eastAsia="宋体" w:hint="default"/>
          <w:sz w:val="18"/>
          <w:szCs w:val="18"/>
        </w:rPr>
      </w:r>
    </w:p>
    <w:p>
      <w:pPr>
        <w:spacing w:before="25"/>
        <w:ind w:left="1293"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重大资产重组前中国电子将武汉中元物业发展有限公司（中国电子下属公司）委托中原电子管理，委托管理费每年</w:t>
      </w:r>
      <w:r>
        <w:rPr>
          <w:rFonts w:ascii="宋体" w:hAnsi="宋体" w:cs="宋体" w:eastAsia="宋体" w:hint="default"/>
          <w:spacing w:val="-30"/>
          <w:sz w:val="18"/>
          <w:szCs w:val="18"/>
        </w:rPr>
        <w:t> </w:t>
      </w:r>
      <w:r>
        <w:rPr>
          <w:rFonts w:ascii="Times New Roman" w:hAnsi="Times New Roman" w:cs="Times New Roman" w:eastAsia="Times New Roman" w:hint="default"/>
          <w:spacing w:val="-1"/>
          <w:sz w:val="18"/>
          <w:szCs w:val="18"/>
        </w:rPr>
        <w:t>100</w:t>
      </w:r>
    </w:p>
    <w:p>
      <w:pPr>
        <w:spacing w:before="63"/>
        <w:ind w:left="932" w:right="6794" w:firstLine="0"/>
        <w:jc w:val="left"/>
        <w:rPr>
          <w:rFonts w:ascii="宋体" w:hAnsi="宋体" w:cs="宋体" w:eastAsia="宋体" w:hint="default"/>
          <w:sz w:val="18"/>
          <w:szCs w:val="18"/>
        </w:rPr>
      </w:pPr>
      <w:r>
        <w:rPr>
          <w:rFonts w:ascii="宋体" w:hAnsi="宋体" w:cs="宋体" w:eastAsia="宋体" w:hint="default"/>
          <w:sz w:val="18"/>
          <w:szCs w:val="18"/>
        </w:rPr>
        <w:t>万元。</w:t>
      </w:r>
    </w:p>
    <w:p>
      <w:pPr>
        <w:spacing w:before="117"/>
        <w:ind w:left="932" w:right="111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93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1293"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以上的托管项目。</w:t>
      </w:r>
    </w:p>
    <w:p>
      <w:pPr>
        <w:spacing w:line="240" w:lineRule="auto" w:before="6"/>
        <w:rPr>
          <w:rFonts w:ascii="宋体" w:hAnsi="宋体" w:cs="宋体" w:eastAsia="宋体" w:hint="default"/>
          <w:sz w:val="21"/>
          <w:szCs w:val="21"/>
        </w:rPr>
      </w:pPr>
    </w:p>
    <w:p>
      <w:pPr>
        <w:pStyle w:val="Heading5"/>
        <w:spacing w:line="240" w:lineRule="auto" w:before="0"/>
        <w:ind w:left="932" w:right="679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0"/>
        <w:rPr>
          <w:rFonts w:ascii="宋体" w:hAnsi="宋体" w:cs="宋体" w:eastAsia="宋体" w:hint="default"/>
          <w:b/>
          <w:bCs/>
          <w:sz w:val="21"/>
          <w:szCs w:val="21"/>
        </w:rPr>
      </w:pPr>
    </w:p>
    <w:p>
      <w:pPr>
        <w:spacing w:line="360" w:lineRule="auto" w:before="0"/>
        <w:ind w:left="1293" w:right="805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公司报告期不存在承包情况。</w:t>
      </w:r>
    </w:p>
    <w:p>
      <w:pPr>
        <w:spacing w:line="240" w:lineRule="auto" w:before="7"/>
        <w:rPr>
          <w:rFonts w:ascii="宋体" w:hAnsi="宋体" w:cs="宋体" w:eastAsia="宋体" w:hint="default"/>
          <w:sz w:val="15"/>
          <w:szCs w:val="15"/>
        </w:rPr>
      </w:pPr>
    </w:p>
    <w:p>
      <w:pPr>
        <w:pStyle w:val="Heading5"/>
        <w:spacing w:line="240" w:lineRule="auto" w:before="0"/>
        <w:ind w:left="932" w:right="679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0"/>
        <w:rPr>
          <w:rFonts w:ascii="宋体" w:hAnsi="宋体" w:cs="宋体" w:eastAsia="宋体" w:hint="default"/>
          <w:b/>
          <w:bCs/>
          <w:sz w:val="21"/>
          <w:szCs w:val="21"/>
        </w:rPr>
      </w:pPr>
    </w:p>
    <w:p>
      <w:pPr>
        <w:spacing w:line="360" w:lineRule="auto" w:before="0"/>
        <w:ind w:left="93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租赁情况说明</w:t>
      </w:r>
      <w:r>
        <w:rPr>
          <w:rFonts w:ascii="宋体" w:hAnsi="宋体" w:cs="宋体" w:eastAsia="宋体" w:hint="default"/>
          <w:sz w:val="18"/>
          <w:szCs w:val="18"/>
        </w:rPr>
      </w:r>
    </w:p>
    <w:p>
      <w:pPr>
        <w:spacing w:before="25"/>
        <w:ind w:left="12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）本公司历年来对外出租部分自有物业、设备，对关联方的出租详见财务报表附注中“关联交易情况”的相关介绍；</w:t>
      </w:r>
    </w:p>
    <w:p>
      <w:pPr>
        <w:spacing w:line="340" w:lineRule="auto" w:before="103"/>
        <w:ind w:left="93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）公司亦存在少量租赁厂房、宿舍的情况，向关联方承租的情况详见财务报表附注中“关联交易情况”的相关介绍。 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8"/>
        <w:ind w:left="93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1293"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5"/>
        <w:rPr>
          <w:rFonts w:ascii="宋体" w:hAnsi="宋体" w:cs="宋体" w:eastAsia="宋体" w:hint="default"/>
          <w:sz w:val="21"/>
          <w:szCs w:val="21"/>
        </w:rPr>
      </w:pPr>
    </w:p>
    <w:p>
      <w:pPr>
        <w:pStyle w:val="Heading5"/>
        <w:spacing w:line="240" w:lineRule="auto" w:before="0"/>
        <w:ind w:left="932" w:right="6794"/>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0"/>
        <w:rPr>
          <w:rFonts w:ascii="宋体" w:hAnsi="宋体" w:cs="宋体" w:eastAsia="宋体" w:hint="default"/>
          <w:b/>
          <w:bCs/>
          <w:sz w:val="21"/>
          <w:szCs w:val="21"/>
        </w:rPr>
      </w:pPr>
    </w:p>
    <w:p>
      <w:pPr>
        <w:spacing w:before="0"/>
        <w:ind w:left="93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2"/>
          <w:szCs w:val="22"/>
        </w:rPr>
      </w:pPr>
    </w:p>
    <w:p>
      <w:pPr>
        <w:pStyle w:val="Heading5"/>
        <w:spacing w:line="240" w:lineRule="auto" w:before="0"/>
        <w:ind w:left="932" w:right="6794"/>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616"/>
        <w:gridCol w:w="1558"/>
        <w:gridCol w:w="900"/>
        <w:gridCol w:w="1560"/>
        <w:gridCol w:w="943"/>
        <w:gridCol w:w="1275"/>
        <w:gridCol w:w="970"/>
        <w:gridCol w:w="720"/>
        <w:gridCol w:w="739"/>
      </w:tblGrid>
      <w:tr>
        <w:trPr>
          <w:trHeight w:val="322" w:hRule="exact"/>
        </w:trPr>
        <w:tc>
          <w:tcPr>
            <w:tcW w:w="1128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634"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6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12"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15" w:right="0" w:hanging="413"/>
              <w:jc w:val="left"/>
              <w:rPr>
                <w:rFonts w:ascii="宋体" w:hAnsi="宋体" w:cs="宋体" w:eastAsia="宋体" w:hint="default"/>
                <w:sz w:val="18"/>
                <w:szCs w:val="18"/>
              </w:rPr>
            </w:pPr>
            <w:r>
              <w:rPr>
                <w:rFonts w:ascii="宋体" w:hAnsi="宋体" w:cs="宋体" w:eastAsia="宋体" w:hint="default"/>
                <w:spacing w:val="-8"/>
                <w:sz w:val="18"/>
                <w:szCs w:val="18"/>
              </w:rPr>
              <w:t>实际发生日期（协议</w:t>
            </w:r>
            <w:r>
              <w:rPr>
                <w:rFonts w:ascii="宋体" w:hAnsi="宋体" w:cs="宋体" w:eastAsia="宋体" w:hint="default"/>
                <w:sz w:val="18"/>
                <w:szCs w:val="18"/>
              </w:rPr>
              <w:t> 签署日）</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76" w:right="1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6"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 w:right="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0" w:hRule="exact"/>
        </w:trPr>
        <w:tc>
          <w:tcPr>
            <w:tcW w:w="26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 w:right="82"/>
              <w:jc w:val="left"/>
              <w:rPr>
                <w:rFonts w:ascii="宋体" w:hAnsi="宋体" w:cs="宋体" w:eastAsia="宋体" w:hint="default"/>
                <w:sz w:val="18"/>
                <w:szCs w:val="18"/>
              </w:rPr>
            </w:pPr>
            <w:r>
              <w:rPr>
                <w:rFonts w:ascii="宋体" w:hAnsi="宋体" w:cs="宋体" w:eastAsia="宋体" w:hint="default"/>
                <w:sz w:val="18"/>
                <w:szCs w:val="18"/>
              </w:rPr>
              <w:t>“长沙中电软件园一期”项目按 揭贷款购房客户</w:t>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1" w:right="-3"/>
              <w:jc w:val="left"/>
              <w:rPr>
                <w:rFonts w:ascii="Times New Roman" w:hAnsi="Times New Roman" w:cs="Times New Roman" w:eastAsia="Times New Roman" w:hint="default"/>
                <w:sz w:val="18"/>
                <w:szCs w:val="18"/>
              </w:rPr>
            </w:pPr>
            <w:r>
              <w:rPr>
                <w:rFonts w:ascii="Times New Roman"/>
                <w:sz w:val="18"/>
              </w:rPr>
              <w:t>4,900.00</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2" w:right="-1"/>
              <w:jc w:val="left"/>
              <w:rPr>
                <w:rFonts w:ascii="Times New Roman" w:hAnsi="Times New Roman" w:cs="Times New Roman" w:eastAsia="Times New Roman" w:hint="default"/>
                <w:sz w:val="18"/>
                <w:szCs w:val="18"/>
              </w:rPr>
            </w:pPr>
            <w:r>
              <w:rPr>
                <w:rFonts w:ascii="Times New Roman"/>
                <w:sz w:val="18"/>
              </w:rPr>
              <w:t>2,382.00</w:t>
            </w:r>
          </w:p>
        </w:tc>
        <w:tc>
          <w:tcPr>
            <w:tcW w:w="127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1"/>
              <w:ind w:left="2" w:right="55"/>
              <w:jc w:val="both"/>
              <w:rPr>
                <w:rFonts w:ascii="宋体" w:hAnsi="宋体" w:cs="宋体" w:eastAsia="宋体" w:hint="default"/>
                <w:sz w:val="18"/>
                <w:szCs w:val="18"/>
              </w:rPr>
            </w:pPr>
            <w:r>
              <w:rPr>
                <w:rFonts w:ascii="宋体" w:hAnsi="宋体" w:cs="宋体" w:eastAsia="宋体" w:hint="default"/>
                <w:sz w:val="18"/>
                <w:szCs w:val="18"/>
              </w:rPr>
              <w:t>购房客户办 妥不动产证 后担保结束</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89" w:footer="975" w:top="1100" w:bottom="1160" w:left="20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616"/>
        <w:gridCol w:w="1558"/>
        <w:gridCol w:w="900"/>
        <w:gridCol w:w="1560"/>
        <w:gridCol w:w="943"/>
        <w:gridCol w:w="1275"/>
        <w:gridCol w:w="970"/>
        <w:gridCol w:w="720"/>
        <w:gridCol w:w="739"/>
      </w:tblGrid>
      <w:tr>
        <w:trPr>
          <w:trHeight w:val="1028"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 w:right="82"/>
              <w:jc w:val="left"/>
              <w:rPr>
                <w:rFonts w:ascii="宋体" w:hAnsi="宋体" w:cs="宋体" w:eastAsia="宋体" w:hint="default"/>
                <w:sz w:val="18"/>
                <w:szCs w:val="18"/>
              </w:rPr>
            </w:pPr>
            <w:r>
              <w:rPr>
                <w:rFonts w:ascii="宋体" w:hAnsi="宋体" w:cs="宋体" w:eastAsia="宋体" w:hint="default"/>
                <w:sz w:val="18"/>
                <w:szCs w:val="18"/>
              </w:rPr>
              <w:t>“中电长城大厦”项目按揭贷款 购房客户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 w:right="55"/>
              <w:jc w:val="both"/>
              <w:rPr>
                <w:rFonts w:ascii="宋体" w:hAnsi="宋体" w:cs="宋体" w:eastAsia="宋体" w:hint="default"/>
                <w:sz w:val="18"/>
                <w:szCs w:val="18"/>
              </w:rPr>
            </w:pPr>
            <w:r>
              <w:rPr>
                <w:rFonts w:ascii="宋体" w:hAnsi="宋体" w:cs="宋体" w:eastAsia="宋体" w:hint="default"/>
                <w:sz w:val="18"/>
                <w:szCs w:val="18"/>
              </w:rPr>
              <w:t>购房客户办 妥不动产证 后担保结束</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7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204,900.00</w:t>
            </w:r>
          </w:p>
        </w:tc>
        <w:tc>
          <w:tcPr>
            <w:tcW w:w="22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1" w:right="46"/>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2,382.00</w:t>
            </w:r>
          </w:p>
        </w:tc>
      </w:tr>
      <w:tr>
        <w:trPr>
          <w:trHeight w:val="638" w:hRule="exact"/>
        </w:trPr>
        <w:tc>
          <w:tcPr>
            <w:tcW w:w="417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204,900.00</w:t>
            </w:r>
          </w:p>
        </w:tc>
        <w:tc>
          <w:tcPr>
            <w:tcW w:w="22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1" w:right="46"/>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2,382.00</w:t>
            </w:r>
          </w:p>
        </w:tc>
      </w:tr>
      <w:tr>
        <w:trPr>
          <w:trHeight w:val="317" w:hRule="exact"/>
        </w:trPr>
        <w:tc>
          <w:tcPr>
            <w:tcW w:w="1128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634"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6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12"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76" w:right="1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86"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 w:right="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22" w:hRule="exact"/>
        </w:trPr>
        <w:tc>
          <w:tcPr>
            <w:tcW w:w="2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 w:right="82"/>
              <w:jc w:val="left"/>
              <w:rPr>
                <w:rFonts w:ascii="宋体" w:hAnsi="宋体" w:cs="宋体" w:eastAsia="宋体" w:hint="default"/>
                <w:sz w:val="18"/>
                <w:szCs w:val="18"/>
              </w:rPr>
            </w:pPr>
            <w:r>
              <w:rPr>
                <w:rFonts w:ascii="宋体" w:hAnsi="宋体" w:cs="宋体" w:eastAsia="宋体" w:hint="default"/>
                <w:sz w:val="18"/>
                <w:szCs w:val="18"/>
              </w:rPr>
              <w:t>湖南长城信息金融设备有限责任 公司</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5,832.44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16"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23,000.00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16"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w w:val="95"/>
                <w:sz w:val="18"/>
              </w:rPr>
              <w:t>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w w:val="95"/>
                <w:sz w:val="18"/>
              </w:rPr>
              <w:t>8,000.00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30,000.00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35,000.00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vMerge/>
            <w:tcBorders>
              <w:left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w w:val="95"/>
                <w:sz w:val="18"/>
              </w:rPr>
              <w:t>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w w:val="95"/>
                <w:sz w:val="18"/>
              </w:rPr>
              <w:t>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湖南长城医疗科技有限公司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w w:val="95"/>
                <w:sz w:val="18"/>
              </w:rPr>
              <w:t>8,000.00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left"/>
              <w:rPr>
                <w:rFonts w:ascii="宋体" w:hAnsi="宋体" w:cs="宋体" w:eastAsia="宋体" w:hint="default"/>
                <w:sz w:val="18"/>
                <w:szCs w:val="18"/>
              </w:rPr>
            </w:pPr>
            <w:r>
              <w:rPr>
                <w:rFonts w:ascii="宋体" w:hAnsi="宋体" w:cs="宋体" w:eastAsia="宋体" w:hint="default"/>
                <w:sz w:val="18"/>
                <w:szCs w:val="18"/>
              </w:rPr>
              <w:t>长沙湘计海盾科技有限公司</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3,218.85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16"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40,000.00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w w:val="95"/>
                <w:sz w:val="18"/>
              </w:rPr>
              <w:t>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长沙中电软件园有限公司</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w w:val="95"/>
                <w:sz w:val="18"/>
              </w:rPr>
              <w:t>7,000.00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7,000.00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1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15,750.00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湖南长城计算机系统有限公司</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w w:val="95"/>
                <w:sz w:val="18"/>
              </w:rPr>
              <w:t>2,162.69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16"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16" w:type="dxa"/>
            <w:vMerge/>
            <w:tcBorders>
              <w:left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16"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vMerge w:val="restart"/>
            <w:tcBorders>
              <w:top w:val="single" w:sz="4" w:space="0" w:color="000000"/>
              <w:left w:val="single" w:sz="4" w:space="0" w:color="000000"/>
              <w:right w:val="single" w:sz="4" w:space="0" w:color="000000"/>
            </w:tcBorders>
          </w:tcPr>
          <w:p>
            <w:pPr>
              <w:pStyle w:val="TableParagraph"/>
              <w:spacing w:line="316" w:lineRule="auto" w:before="15"/>
              <w:ind w:left="2" w:right="82"/>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 公司</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w w:val="95"/>
                <w:sz w:val="18"/>
              </w:rPr>
              <w:t>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w w:val="95"/>
                <w:sz w:val="18"/>
              </w:rPr>
              <w:t>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湖南长城海盾光纤科技有限公司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w w:val="95"/>
                <w:sz w:val="18"/>
              </w:rPr>
              <w:t>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40,000.00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311,750.00</w:t>
            </w:r>
          </w:p>
        </w:tc>
        <w:tc>
          <w:tcPr>
            <w:tcW w:w="22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 w:right="46"/>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33,213.98</w:t>
            </w:r>
          </w:p>
        </w:tc>
      </w:tr>
      <w:tr>
        <w:trPr>
          <w:trHeight w:val="639" w:hRule="exact"/>
        </w:trPr>
        <w:tc>
          <w:tcPr>
            <w:tcW w:w="4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311,750.00</w:t>
            </w:r>
          </w:p>
        </w:tc>
        <w:tc>
          <w:tcPr>
            <w:tcW w:w="22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 w:right="46"/>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33,213.98</w:t>
            </w:r>
          </w:p>
        </w:tc>
      </w:tr>
      <w:tr>
        <w:trPr>
          <w:trHeight w:val="317" w:hRule="exact"/>
        </w:trPr>
        <w:tc>
          <w:tcPr>
            <w:tcW w:w="1128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634"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6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12"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76" w:right="1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86"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 w:right="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24" w:hRule="exact"/>
        </w:trPr>
        <w:tc>
          <w:tcPr>
            <w:tcW w:w="2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 w:right="0"/>
              <w:jc w:val="left"/>
              <w:rPr>
                <w:rFonts w:ascii="宋体" w:hAnsi="宋体" w:cs="宋体" w:eastAsia="宋体" w:hint="default"/>
                <w:sz w:val="18"/>
                <w:szCs w:val="18"/>
              </w:rPr>
            </w:pPr>
            <w:r>
              <w:rPr>
                <w:rFonts w:ascii="宋体" w:hAnsi="宋体" w:cs="宋体" w:eastAsia="宋体" w:hint="default"/>
                <w:sz w:val="18"/>
                <w:szCs w:val="18"/>
              </w:rPr>
              <w:t>武汉中元通信股份有限公司</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31,000.00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20,317.00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5" w:hRule="exact"/>
        </w:trPr>
        <w:tc>
          <w:tcPr>
            <w:tcW w:w="2616"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right"/>
              <w:rPr>
                <w:rFonts w:ascii="Times New Roman" w:hAnsi="Times New Roman" w:cs="Times New Roman" w:eastAsia="Times New Roman" w:hint="default"/>
                <w:sz w:val="18"/>
                <w:szCs w:val="18"/>
              </w:rPr>
            </w:pPr>
            <w:r>
              <w:rPr>
                <w:rFonts w:ascii="Times New Roman"/>
                <w:spacing w:val="-1"/>
                <w:sz w:val="18"/>
              </w:rPr>
              <w:t>18,000.00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61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8"/>
                <w:szCs w:val="18"/>
              </w:rPr>
            </w:pPr>
            <w:r>
              <w:rPr>
                <w:rFonts w:ascii="Times New Roman"/>
                <w:spacing w:val="-1"/>
                <w:sz w:val="18"/>
              </w:rPr>
              <w:t>25,000.00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975" w:top="1100" w:bottom="1160" w:left="20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616"/>
        <w:gridCol w:w="1558"/>
        <w:gridCol w:w="900"/>
        <w:gridCol w:w="1560"/>
        <w:gridCol w:w="224"/>
        <w:gridCol w:w="719"/>
        <w:gridCol w:w="1275"/>
        <w:gridCol w:w="970"/>
        <w:gridCol w:w="720"/>
        <w:gridCol w:w="739"/>
      </w:tblGrid>
      <w:tr>
        <w:trPr>
          <w:trHeight w:val="358" w:hRule="exact"/>
        </w:trPr>
        <w:tc>
          <w:tcPr>
            <w:tcW w:w="2616" w:type="dxa"/>
            <w:vMerge w:val="restart"/>
            <w:tcBorders>
              <w:top w:val="nil" w:sz="6" w:space="0" w:color="auto"/>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武汉长光电源有限公司</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right"/>
              <w:rPr>
                <w:rFonts w:ascii="Times New Roman" w:hAnsi="Times New Roman" w:cs="Times New Roman" w:eastAsia="Times New Roman" w:hint="default"/>
                <w:sz w:val="18"/>
                <w:szCs w:val="18"/>
              </w:rPr>
            </w:pPr>
            <w:r>
              <w:rPr>
                <w:rFonts w:ascii="Times New Roman"/>
                <w:w w:val="95"/>
                <w:sz w:val="18"/>
              </w:rPr>
              <w:t>8,000.00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2" w:right="-1"/>
              <w:jc w:val="left"/>
              <w:rPr>
                <w:rFonts w:ascii="Times New Roman" w:hAnsi="Times New Roman" w:cs="Times New Roman" w:eastAsia="Times New Roman" w:hint="default"/>
                <w:sz w:val="18"/>
                <w:szCs w:val="18"/>
              </w:rPr>
            </w:pPr>
            <w:r>
              <w:rPr>
                <w:rFonts w:ascii="Times New Roman"/>
                <w:sz w:val="18"/>
              </w:rPr>
              <w:t>5,400.00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261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
              <w:jc w:val="right"/>
              <w:rPr>
                <w:rFonts w:ascii="Times New Roman" w:hAnsi="Times New Roman" w:cs="Times New Roman" w:eastAsia="Times New Roman" w:hint="default"/>
                <w:sz w:val="18"/>
                <w:szCs w:val="18"/>
              </w:rPr>
            </w:pPr>
            <w:r>
              <w:rPr>
                <w:rFonts w:ascii="Times New Roman"/>
                <w:w w:val="95"/>
                <w:sz w:val="18"/>
              </w:rPr>
              <w:t>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gridSpan w:val="2"/>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6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武汉中原电子信息有限公司</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right"/>
              <w:rPr>
                <w:rFonts w:ascii="Times New Roman" w:hAnsi="Times New Roman" w:cs="Times New Roman" w:eastAsia="Times New Roman" w:hint="default"/>
                <w:sz w:val="18"/>
                <w:szCs w:val="18"/>
              </w:rPr>
            </w:pPr>
            <w:r>
              <w:rPr>
                <w:rFonts w:ascii="Times New Roman"/>
                <w:w w:val="95"/>
                <w:sz w:val="18"/>
              </w:rPr>
              <w:t>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2" w:right="-1"/>
              <w:jc w:val="left"/>
              <w:rPr>
                <w:rFonts w:ascii="Times New Roman" w:hAnsi="Times New Roman" w:cs="Times New Roman" w:eastAsia="Times New Roman" w:hint="default"/>
                <w:sz w:val="18"/>
                <w:szCs w:val="18"/>
              </w:rPr>
            </w:pPr>
            <w:r>
              <w:rPr>
                <w:rFonts w:ascii="Times New Roman"/>
                <w:sz w:val="18"/>
              </w:rPr>
              <w:t>4,053.00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261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w w:val="95"/>
                <w:sz w:val="18"/>
              </w:rPr>
              <w:t>6,000.00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39" w:right="-1"/>
              <w:jc w:val="left"/>
              <w:rPr>
                <w:rFonts w:ascii="Times New Roman" w:hAnsi="Times New Roman" w:cs="Times New Roman" w:eastAsia="Times New Roman" w:hint="default"/>
                <w:sz w:val="18"/>
                <w:szCs w:val="18"/>
              </w:rPr>
            </w:pPr>
            <w:r>
              <w:rPr>
                <w:rFonts w:ascii="Times New Roman"/>
                <w:sz w:val="18"/>
              </w:rPr>
              <w:t>514.00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武汉中原长江科技发展有限公司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w w:val="95"/>
                <w:sz w:val="18"/>
              </w:rPr>
              <w:t>6,000.00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3" w:type="dxa"/>
            <w:gridSpan w:val="2"/>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柏怡电子有限公司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w w:val="95"/>
                <w:sz w:val="18"/>
              </w:rPr>
              <w:t>7,473.04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2" w:right="-1"/>
              <w:jc w:val="left"/>
              <w:rPr>
                <w:rFonts w:ascii="Times New Roman" w:hAnsi="Times New Roman" w:cs="Times New Roman" w:eastAsia="Times New Roman" w:hint="default"/>
                <w:sz w:val="18"/>
                <w:szCs w:val="18"/>
              </w:rPr>
            </w:pPr>
            <w:r>
              <w:rPr>
                <w:rFonts w:ascii="Times New Roman"/>
                <w:sz w:val="18"/>
              </w:rPr>
              <w:t>5,698.80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4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
                <w:sz w:val="18"/>
              </w:rPr>
              <w:t>111,473.04</w:t>
            </w:r>
          </w:p>
        </w:tc>
        <w:tc>
          <w:tcPr>
            <w:tcW w:w="22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3"/>
              <w:ind w:left="-1" w:right="46"/>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35,982.80</w:t>
            </w:r>
          </w:p>
        </w:tc>
      </w:tr>
      <w:tr>
        <w:trPr>
          <w:trHeight w:val="638" w:hRule="exact"/>
        </w:trPr>
        <w:tc>
          <w:tcPr>
            <w:tcW w:w="4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
                <w:sz w:val="18"/>
              </w:rPr>
              <w:t>111,473.04</w:t>
            </w:r>
          </w:p>
        </w:tc>
        <w:tc>
          <w:tcPr>
            <w:tcW w:w="22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 w:right="46"/>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35,982.80</w:t>
            </w:r>
          </w:p>
        </w:tc>
      </w:tr>
      <w:tr>
        <w:trPr>
          <w:trHeight w:val="312" w:hRule="exact"/>
        </w:trPr>
        <w:tc>
          <w:tcPr>
            <w:tcW w:w="1128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639" w:hRule="exact"/>
        </w:trPr>
        <w:tc>
          <w:tcPr>
            <w:tcW w:w="4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628,123.04</w:t>
            </w:r>
          </w:p>
        </w:tc>
        <w:tc>
          <w:tcPr>
            <w:tcW w:w="22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
              <w:ind w:left="-1" w:right="46"/>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71,578.78</w:t>
            </w:r>
          </w:p>
        </w:tc>
      </w:tr>
      <w:tr>
        <w:trPr>
          <w:trHeight w:val="634" w:hRule="exact"/>
        </w:trPr>
        <w:tc>
          <w:tcPr>
            <w:tcW w:w="4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628,123.04</w:t>
            </w:r>
          </w:p>
        </w:tc>
        <w:tc>
          <w:tcPr>
            <w:tcW w:w="22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71,578.78</w:t>
            </w:r>
          </w:p>
        </w:tc>
      </w:tr>
      <w:tr>
        <w:trPr>
          <w:trHeight w:val="326" w:hRule="exact"/>
        </w:trPr>
        <w:tc>
          <w:tcPr>
            <w:tcW w:w="66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6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8.63%</w:t>
            </w:r>
          </w:p>
        </w:tc>
      </w:tr>
      <w:tr>
        <w:trPr>
          <w:trHeight w:val="318" w:hRule="exact"/>
        </w:trPr>
        <w:tc>
          <w:tcPr>
            <w:tcW w:w="1128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3" w:hRule="exact"/>
        </w:trPr>
        <w:tc>
          <w:tcPr>
            <w:tcW w:w="66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66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22,861.49</w:t>
            </w:r>
          </w:p>
        </w:tc>
      </w:tr>
      <w:tr>
        <w:trPr>
          <w:trHeight w:val="322" w:hRule="exact"/>
        </w:trPr>
        <w:tc>
          <w:tcPr>
            <w:tcW w:w="66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6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66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6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22,861.49</w:t>
            </w:r>
          </w:p>
        </w:tc>
      </w:tr>
      <w:tr>
        <w:trPr>
          <w:trHeight w:val="322" w:hRule="exact"/>
        </w:trPr>
        <w:tc>
          <w:tcPr>
            <w:tcW w:w="66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4"/>
                <w:sz w:val="18"/>
                <w:szCs w:val="18"/>
              </w:rPr>
              <w:t>对未到期担保，报告期内已发生担保责任或可能承担连带清偿责任的情况说明（如有</w:t>
            </w:r>
          </w:p>
        </w:tc>
        <w:tc>
          <w:tcPr>
            <w:tcW w:w="224" w:type="dxa"/>
            <w:tcBorders>
              <w:top w:val="single" w:sz="4" w:space="0" w:color="000000"/>
              <w:left w:val="single" w:sz="4" w:space="0" w:color="000000"/>
              <w:bottom w:val="single" w:sz="4" w:space="0" w:color="000000"/>
              <w:right w:val="nil" w:sz="6" w:space="0" w:color="auto"/>
            </w:tcBorders>
          </w:tcPr>
          <w:p>
            <w:pPr/>
          </w:p>
        </w:tc>
        <w:tc>
          <w:tcPr>
            <w:tcW w:w="199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70" w:type="dxa"/>
            <w:tcBorders>
              <w:top w:val="single" w:sz="4" w:space="0" w:color="000000"/>
              <w:left w:val="nil" w:sz="6" w:space="0" w:color="auto"/>
              <w:bottom w:val="single" w:sz="4" w:space="0" w:color="000000"/>
              <w:right w:val="nil" w:sz="6" w:space="0" w:color="auto"/>
            </w:tcBorders>
          </w:tcPr>
          <w:p>
            <w:pPr/>
          </w:p>
        </w:tc>
        <w:tc>
          <w:tcPr>
            <w:tcW w:w="720" w:type="dxa"/>
            <w:tcBorders>
              <w:top w:val="single" w:sz="4" w:space="0" w:color="000000"/>
              <w:left w:val="nil" w:sz="6" w:space="0" w:color="auto"/>
              <w:bottom w:val="single" w:sz="4" w:space="0" w:color="000000"/>
              <w:right w:val="nil" w:sz="6" w:space="0" w:color="auto"/>
            </w:tcBorders>
          </w:tcPr>
          <w:p>
            <w:pPr/>
          </w:p>
        </w:tc>
        <w:tc>
          <w:tcPr>
            <w:tcW w:w="739" w:type="dxa"/>
            <w:tcBorders>
              <w:top w:val="single" w:sz="4" w:space="0" w:color="000000"/>
              <w:left w:val="nil" w:sz="6" w:space="0" w:color="auto"/>
              <w:bottom w:val="single" w:sz="4" w:space="0" w:color="000000"/>
              <w:right w:val="single" w:sz="4" w:space="0" w:color="000000"/>
            </w:tcBorders>
          </w:tcPr>
          <w:p>
            <w:pPr/>
          </w:p>
        </w:tc>
      </w:tr>
      <w:tr>
        <w:trPr>
          <w:trHeight w:val="324" w:hRule="exact"/>
        </w:trPr>
        <w:tc>
          <w:tcPr>
            <w:tcW w:w="66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6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293" w:right="0" w:firstLine="0"/>
        <w:jc w:val="left"/>
        <w:rPr>
          <w:rFonts w:ascii="Times New Roman" w:hAnsi="Times New Roman" w:cs="Times New Roman" w:eastAsia="Times New Roman" w:hint="default"/>
          <w:sz w:val="18"/>
          <w:szCs w:val="18"/>
        </w:rPr>
      </w:pPr>
      <w:r>
        <w:rPr/>
        <w:pict>
          <v:shape style="position:absolute;margin-left:342.480011pt;margin-top:-32.298267pt;width:237pt;height:15.6pt;mso-position-horizontal-relative:page;mso-position-vertical-relative:paragraph;z-index:-1629904"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z w:val="18"/>
          <w:szCs w:val="18"/>
        </w:rPr>
        <w:t>*</w:t>
      </w:r>
      <w:r>
        <w:rPr>
          <w:rFonts w:ascii="宋体" w:hAnsi="宋体" w:cs="宋体" w:eastAsia="宋体" w:hint="default"/>
          <w:sz w:val="18"/>
          <w:szCs w:val="18"/>
        </w:rPr>
        <w:t>担保事项已经</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日公司第七届董事会第十八次会议、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年度股东大会、</w:t>
      </w:r>
      <w:r>
        <w:rPr>
          <w:rFonts w:ascii="Times New Roman" w:hAnsi="Times New Roman" w:cs="Times New Roman" w:eastAsia="Times New Roman" w:hint="default"/>
          <w:sz w:val="18"/>
          <w:szCs w:val="18"/>
        </w:rPr>
        <w:t>2019</w:t>
      </w:r>
    </w:p>
    <w:p>
      <w:pPr>
        <w:spacing w:before="61"/>
        <w:ind w:left="932"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日公司第七届董事会第二十二次会议、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日公司第七届董事会第二十三次会议、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spacing w:before="63"/>
        <w:ind w:left="93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年度第三次临时股东大会审议通过。</w:t>
      </w:r>
    </w:p>
    <w:p>
      <w:pPr>
        <w:spacing w:before="103"/>
        <w:ind w:left="1293"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担保协议由公司按照审批额度，在有效期限内决定与银行签订的具体方式。</w:t>
      </w:r>
    </w:p>
    <w:p>
      <w:pPr>
        <w:spacing w:line="415" w:lineRule="auto" w:before="103"/>
        <w:ind w:left="932" w:right="526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子公司担保情况以是否按持股比例承担担保责任进行相应折算。 </w:t>
      </w:r>
      <w:r>
        <w:rPr>
          <w:rFonts w:ascii="宋体" w:hAnsi="宋体" w:cs="宋体" w:eastAsia="宋体" w:hint="default"/>
          <w:b/>
          <w:bCs/>
          <w:sz w:val="18"/>
          <w:szCs w:val="18"/>
        </w:rPr>
        <w:t>担保情况说明</w:t>
      </w:r>
      <w:r>
        <w:rPr>
          <w:rFonts w:ascii="宋体" w:hAnsi="宋体" w:cs="宋体" w:eastAsia="宋体" w:hint="default"/>
          <w:sz w:val="18"/>
          <w:szCs w:val="18"/>
        </w:rPr>
      </w:r>
    </w:p>
    <w:p>
      <w:pPr>
        <w:spacing w:line="338" w:lineRule="auto" w:before="65"/>
        <w:ind w:left="1293" w:right="52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）对外担保 </w:t>
      </w:r>
      <w:r>
        <w:rPr>
          <w:rFonts w:ascii="Times New Roman" w:hAnsi="Times New Roman" w:cs="Times New Roman" w:eastAsia="Times New Roman" w:hint="default"/>
          <w:sz w:val="18"/>
          <w:szCs w:val="18"/>
        </w:rPr>
        <w:t>A</w:t>
      </w:r>
      <w:r>
        <w:rPr>
          <w:rFonts w:ascii="宋体" w:hAnsi="宋体" w:cs="宋体" w:eastAsia="宋体" w:hint="default"/>
          <w:sz w:val="18"/>
          <w:szCs w:val="18"/>
        </w:rPr>
        <w:t>．中电软件园为购买其开发项目的按揭贷款客户提供阶段性担保</w:t>
      </w:r>
    </w:p>
    <w:p>
      <w:pPr>
        <w:spacing w:line="316" w:lineRule="auto" w:before="22"/>
        <w:ind w:left="932" w:right="0" w:firstLine="360"/>
        <w:jc w:val="left"/>
        <w:rPr>
          <w:rFonts w:ascii="宋体" w:hAnsi="宋体" w:cs="宋体" w:eastAsia="宋体" w:hint="default"/>
          <w:sz w:val="18"/>
          <w:szCs w:val="18"/>
        </w:rPr>
      </w:pPr>
      <w:r>
        <w:rPr>
          <w:rFonts w:ascii="宋体" w:hAnsi="宋体" w:cs="宋体" w:eastAsia="宋体" w:hint="default"/>
          <w:spacing w:val="-4"/>
          <w:sz w:val="18"/>
          <w:szCs w:val="18"/>
        </w:rPr>
        <w:t>中电软件园在每位贷款购买其房屋的购房人与贷款银行签订《固定资产借款合同》时与贷款银行签订相应的《保证合同》</w:t>
      </w:r>
      <w:r>
        <w:rPr>
          <w:rFonts w:ascii="宋体" w:hAnsi="宋体" w:cs="宋体" w:eastAsia="宋体" w:hint="default"/>
          <w:sz w:val="18"/>
          <w:szCs w:val="18"/>
        </w:rPr>
        <w:t> 为购房人（借款人）向贷款银行申请的按揭贷款提供阶段性担保，担保总额不超过人民币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338" w:lineRule="auto" w:before="40"/>
        <w:ind w:left="1293" w:right="29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．为购买中电长城大厦项目的按揭贷款客户提供阶段性担保 公司为购房客户向贷款银行申请的按揭贷款提供阶段性担保，担保总额不超过人民币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亿元。 </w:t>
      </w:r>
      <w:r>
        <w:rPr>
          <w:rFonts w:ascii="Times New Roman" w:hAnsi="Times New Roman" w:cs="Times New Roman" w:eastAsia="Times New Roman" w:hint="default"/>
          <w:sz w:val="18"/>
          <w:szCs w:val="18"/>
        </w:rPr>
        <w:t>2</w:t>
      </w:r>
      <w:r>
        <w:rPr>
          <w:rFonts w:ascii="宋体" w:hAnsi="宋体" w:cs="宋体" w:eastAsia="宋体" w:hint="default"/>
          <w:sz w:val="18"/>
          <w:szCs w:val="18"/>
        </w:rPr>
        <w:t>）为下属子公司提供担保及下属子公司之间的担保 </w:t>
      </w:r>
      <w:r>
        <w:rPr>
          <w:rFonts w:ascii="Times New Roman" w:hAnsi="Times New Roman" w:cs="Times New Roman" w:eastAsia="Times New Roman" w:hint="default"/>
          <w:sz w:val="18"/>
          <w:szCs w:val="18"/>
        </w:rPr>
        <w:t>A</w:t>
      </w:r>
      <w:r>
        <w:rPr>
          <w:rFonts w:ascii="宋体" w:hAnsi="宋体" w:cs="宋体" w:eastAsia="宋体" w:hint="default"/>
          <w:sz w:val="18"/>
          <w:szCs w:val="18"/>
        </w:rPr>
        <w:t>．因使用《全面金融合作协议》项下授信及贷款额度所涉及的担保</w:t>
      </w:r>
    </w:p>
    <w:p>
      <w:pPr>
        <w:spacing w:line="300" w:lineRule="auto" w:before="19"/>
        <w:ind w:left="93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z w:val="18"/>
          <w:szCs w:val="18"/>
        </w:rPr>
        <w:t>）中国长城为长城金融、长城医疗、湘计海盾、中电软件园、湖南长城、长城信安使用《全面金融合作协议》项下 的综合授信额度分别提供不超过人民币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万元的信用 </w:t>
      </w:r>
      <w:r>
        <w:rPr>
          <w:rFonts w:ascii="宋体" w:hAnsi="宋体" w:cs="宋体" w:eastAsia="宋体" w:hint="default"/>
          <w:spacing w:val="-4"/>
          <w:sz w:val="18"/>
          <w:szCs w:val="18"/>
        </w:rPr>
        <w:t>担保；（</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）中原电子为中元股份、长光电源、中原电子信息、长江科技使用《全面金融合作协议》项下的综合授信额度分别</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提供不超过人民币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万元的信用担保。</w:t>
      </w:r>
    </w:p>
    <w:p>
      <w:pPr>
        <w:spacing w:after="0" w:line="300" w:lineRule="auto"/>
        <w:jc w:val="both"/>
        <w:rPr>
          <w:rFonts w:ascii="宋体" w:hAnsi="宋体" w:cs="宋体" w:eastAsia="宋体" w:hint="default"/>
          <w:sz w:val="18"/>
          <w:szCs w:val="18"/>
        </w:rPr>
        <w:sectPr>
          <w:pgSz w:w="11910" w:h="16840"/>
          <w:pgMar w:header="789" w:footer="975" w:top="1100" w:bottom="1160" w:left="200" w:right="0"/>
        </w:sectPr>
      </w:pPr>
    </w:p>
    <w:p>
      <w:pPr>
        <w:spacing w:line="240" w:lineRule="auto" w:before="8"/>
        <w:rPr>
          <w:rFonts w:ascii="宋体" w:hAnsi="宋体" w:cs="宋体" w:eastAsia="宋体" w:hint="default"/>
          <w:sz w:val="22"/>
          <w:szCs w:val="22"/>
        </w:rPr>
      </w:pPr>
    </w:p>
    <w:p>
      <w:pPr>
        <w:spacing w:before="44"/>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．因向银行申请授信额度涉及的担保</w:t>
      </w:r>
    </w:p>
    <w:p>
      <w:pPr>
        <w:spacing w:line="300" w:lineRule="auto" w:before="104"/>
        <w:ind w:left="152" w:right="103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z w:val="18"/>
          <w:szCs w:val="18"/>
        </w:rPr>
        <w:t>）柏怡香港通过债券质押和信用担保的复合担保方式向香港汇丰银行申请综合授信额度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11,750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万港币，具体内容详 </w:t>
      </w:r>
      <w:r>
        <w:rPr>
          <w:rFonts w:ascii="宋体" w:hAnsi="宋体" w:cs="宋体" w:eastAsia="宋体" w:hint="default"/>
          <w:spacing w:val="-4"/>
          <w:sz w:val="18"/>
          <w:szCs w:val="18"/>
        </w:rPr>
        <w:t>见“采用复合方式担保的具体情况说明”中的相关介绍；（</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）湖南长城通过母公司信用担保的方式向农业银行、华融湘江银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行、交通银行分别申请人民币</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1"/>
          <w:sz w:val="18"/>
          <w:szCs w:val="18"/>
        </w:rPr>
        <w:t>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10,000</w:t>
      </w:r>
      <w:r>
        <w:rPr>
          <w:rFonts w:ascii="Times New Roman" w:hAnsi="Times New Roman" w:cs="Times New Roman" w:eastAsia="Times New Roman" w:hint="default"/>
          <w:spacing w:val="20"/>
          <w:sz w:val="18"/>
          <w:szCs w:val="18"/>
        </w:rPr>
        <w:t>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10,000</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万元的综合授信额度；（</w:t>
      </w: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）长城信安通过母公司信用担保</w:t>
      </w:r>
      <w:r>
        <w:rPr>
          <w:rFonts w:ascii="宋体" w:hAnsi="宋体" w:cs="宋体" w:eastAsia="宋体" w:hint="default"/>
          <w:spacing w:val="-83"/>
          <w:sz w:val="18"/>
          <w:szCs w:val="18"/>
        </w:rPr>
        <w:t> </w:t>
      </w:r>
      <w:r>
        <w:rPr>
          <w:rFonts w:ascii="宋体" w:hAnsi="宋体" w:cs="宋体" w:eastAsia="宋体" w:hint="default"/>
          <w:sz w:val="18"/>
          <w:szCs w:val="18"/>
        </w:rPr>
        <w:t>的方式向平安银行申请人民币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万元的综合授信额度；（</w:t>
      </w:r>
      <w:r>
        <w:rPr>
          <w:rFonts w:ascii="Times New Roman" w:hAnsi="Times New Roman" w:cs="Times New Roman" w:eastAsia="Times New Roman" w:hint="default"/>
          <w:spacing w:val="-6"/>
          <w:sz w:val="18"/>
          <w:szCs w:val="18"/>
        </w:rPr>
        <w:t>d</w:t>
      </w:r>
      <w:r>
        <w:rPr>
          <w:rFonts w:ascii="宋体" w:hAnsi="宋体" w:cs="宋体" w:eastAsia="宋体" w:hint="default"/>
          <w:spacing w:val="-6"/>
          <w:sz w:val="18"/>
          <w:szCs w:val="18"/>
        </w:rPr>
        <w:t>）长城金融通过母公司信用担保的方式向建设银行、中信银行、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招商银行、中国银行、交通银行、农业银行、建设银行分别申请人民币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pacing w:val="-1"/>
          <w:sz w:val="18"/>
          <w:szCs w:val="18"/>
        </w:rPr>
        <w:t>35,000</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5,000</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5,000</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万元的综合授信额度；（</w:t>
      </w:r>
      <w:r>
        <w:rPr>
          <w:rFonts w:ascii="Times New Roman" w:hAnsi="Times New Roman" w:cs="Times New Roman" w:eastAsia="Times New Roman" w:hint="default"/>
          <w:spacing w:val="-4"/>
          <w:sz w:val="18"/>
          <w:szCs w:val="18"/>
        </w:rPr>
        <w:t>e</w:t>
      </w:r>
      <w:r>
        <w:rPr>
          <w:rFonts w:ascii="宋体" w:hAnsi="宋体" w:cs="宋体" w:eastAsia="宋体" w:hint="default"/>
          <w:spacing w:val="-4"/>
          <w:sz w:val="18"/>
          <w:szCs w:val="18"/>
        </w:rPr>
        <w:t>）湘计海盾通过母公司信用担保的方式向国开行、招商银行分别申</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请人民币</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40,000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5,000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万元的综合授信额度；（</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）海盾光纤通过中国长城提供信用担保的方式向招商银行、国开行分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别申请人民币</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8"/>
          <w:sz w:val="18"/>
          <w:szCs w:val="18"/>
        </w:rPr>
        <w:t>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40,000</w:t>
      </w:r>
      <w:r>
        <w:rPr>
          <w:rFonts w:ascii="Times New Roman" w:hAnsi="Times New Roman" w:cs="Times New Roman" w:eastAsia="Times New Roman" w:hint="default"/>
          <w:spacing w:val="39"/>
          <w:sz w:val="18"/>
          <w:szCs w:val="18"/>
        </w:rPr>
        <w:t> </w:t>
      </w:r>
      <w:r>
        <w:rPr>
          <w:rFonts w:ascii="宋体" w:hAnsi="宋体" w:cs="宋体" w:eastAsia="宋体" w:hint="default"/>
          <w:spacing w:val="-4"/>
          <w:sz w:val="18"/>
          <w:szCs w:val="18"/>
        </w:rPr>
        <w:t>万元的综合授信额度；（</w:t>
      </w:r>
      <w:r>
        <w:rPr>
          <w:rFonts w:ascii="Times New Roman" w:hAnsi="Times New Roman" w:cs="Times New Roman" w:eastAsia="Times New Roman" w:hint="default"/>
          <w:spacing w:val="-4"/>
          <w:sz w:val="18"/>
          <w:szCs w:val="18"/>
        </w:rPr>
        <w:t>g</w:t>
      </w:r>
      <w:r>
        <w:rPr>
          <w:rFonts w:ascii="宋体" w:hAnsi="宋体" w:cs="宋体" w:eastAsia="宋体" w:hint="default"/>
          <w:spacing w:val="-4"/>
          <w:sz w:val="18"/>
          <w:szCs w:val="18"/>
        </w:rPr>
        <w:t>）中电软件园以其全部股东（公司持股</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、长沙软件园持股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）提供信用担保的方式向建设银行申请人民币 </w:t>
      </w:r>
      <w:r>
        <w:rPr>
          <w:rFonts w:ascii="Times New Roman" w:hAnsi="Times New Roman" w:cs="Times New Roman" w:eastAsia="Times New Roman" w:hint="default"/>
          <w:spacing w:val="-1"/>
          <w:sz w:val="18"/>
          <w:szCs w:val="18"/>
        </w:rPr>
        <w:t>22,500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万元的综合授信额度；（</w:t>
      </w:r>
      <w:r>
        <w:rPr>
          <w:rFonts w:ascii="Times New Roman" w:hAnsi="Times New Roman" w:cs="Times New Roman" w:eastAsia="Times New Roman" w:hint="default"/>
          <w:spacing w:val="-4"/>
          <w:sz w:val="18"/>
          <w:szCs w:val="18"/>
        </w:rPr>
        <w:t>h</w:t>
      </w:r>
      <w:r>
        <w:rPr>
          <w:rFonts w:ascii="宋体" w:hAnsi="宋体" w:cs="宋体" w:eastAsia="宋体" w:hint="default"/>
          <w:spacing w:val="-4"/>
          <w:sz w:val="18"/>
          <w:szCs w:val="18"/>
        </w:rPr>
        <w:t>）中原电子为中元股份、长光电源共用</w:t>
      </w:r>
    </w:p>
    <w:p>
      <w:pPr>
        <w:spacing w:before="13"/>
        <w:ind w:left="152" w:right="0" w:firstLine="0"/>
        <w:jc w:val="left"/>
        <w:rPr>
          <w:rFonts w:ascii="宋体" w:hAnsi="宋体" w:cs="宋体" w:eastAsia="宋体" w:hint="default"/>
          <w:sz w:val="18"/>
          <w:szCs w:val="18"/>
        </w:rPr>
      </w:pPr>
      <w:r>
        <w:rPr>
          <w:rFonts w:ascii="宋体" w:hAnsi="宋体" w:cs="宋体" w:eastAsia="宋体" w:hint="default"/>
          <w:sz w:val="18"/>
          <w:szCs w:val="18"/>
        </w:rPr>
        <w:t>其在招商银行申请的银行综合授信额度人民币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万元中的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万元提供信用担保；为中元股份在邮储银</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行申请的银行综合授信额度人民币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万元提供信用担</w:t>
      </w:r>
      <w:r>
        <w:rPr>
          <w:rFonts w:ascii="宋体" w:hAnsi="宋体" w:cs="宋体" w:eastAsia="宋体" w:hint="default"/>
          <w:spacing w:val="-3"/>
          <w:sz w:val="18"/>
          <w:szCs w:val="18"/>
        </w:rPr>
        <w:t>保</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i</w:t>
      </w:r>
      <w:r>
        <w:rPr>
          <w:rFonts w:ascii="宋体" w:hAnsi="宋体" w:cs="宋体" w:eastAsia="宋体" w:hint="default"/>
          <w:spacing w:val="-44"/>
          <w:sz w:val="18"/>
          <w:szCs w:val="18"/>
        </w:rPr>
        <w:t>）</w:t>
      </w:r>
      <w:r>
        <w:rPr>
          <w:rFonts w:ascii="宋体" w:hAnsi="宋体" w:cs="宋体" w:eastAsia="宋体" w:hint="default"/>
          <w:sz w:val="18"/>
          <w:szCs w:val="18"/>
        </w:rPr>
        <w:t>中元股份为中原电子信息共用其在民生银行申请的银行综</w:t>
      </w:r>
    </w:p>
    <w:p>
      <w:pPr>
        <w:spacing w:line="417" w:lineRule="auto" w:before="63"/>
        <w:ind w:left="152" w:right="7202" w:firstLine="0"/>
        <w:jc w:val="left"/>
        <w:rPr>
          <w:rFonts w:ascii="宋体" w:hAnsi="宋体" w:cs="宋体" w:eastAsia="宋体" w:hint="default"/>
          <w:sz w:val="18"/>
          <w:szCs w:val="18"/>
        </w:rPr>
      </w:pPr>
      <w:r>
        <w:rPr>
          <w:rFonts w:ascii="宋体" w:hAnsi="宋体" w:cs="宋体" w:eastAsia="宋体" w:hint="default"/>
          <w:sz w:val="18"/>
          <w:szCs w:val="18"/>
        </w:rPr>
        <w:t>合授信额度人民币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万元提供信用担保。 </w:t>
      </w:r>
      <w:r>
        <w:rPr>
          <w:rFonts w:ascii="宋体" w:hAnsi="宋体" w:cs="宋体" w:eastAsia="宋体" w:hint="default"/>
          <w:b/>
          <w:bCs/>
          <w:sz w:val="18"/>
          <w:szCs w:val="18"/>
        </w:rPr>
        <w:t>采用复合方式担保的具体情况说明</w:t>
      </w:r>
      <w:r>
        <w:rPr>
          <w:rFonts w:ascii="宋体" w:hAnsi="宋体" w:cs="宋体" w:eastAsia="宋体" w:hint="default"/>
          <w:sz w:val="18"/>
          <w:szCs w:val="18"/>
        </w:rPr>
      </w:r>
    </w:p>
    <w:p>
      <w:pPr>
        <w:spacing w:line="309" w:lineRule="auto" w:before="63"/>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基于柏怡香港正常经营业务的流动资金需求，柏怡香港拟通过债券质押和信用担保的复合担保方式向香港汇丰银行申请</w:t>
      </w:r>
      <w:r>
        <w:rPr>
          <w:rFonts w:ascii="宋体" w:hAnsi="宋体" w:cs="宋体" w:eastAsia="宋体" w:hint="default"/>
          <w:sz w:val="18"/>
          <w:szCs w:val="18"/>
        </w:rPr>
        <w:t> 综合授信额度 </w:t>
      </w:r>
      <w:r>
        <w:rPr>
          <w:rFonts w:ascii="Times New Roman" w:hAnsi="Times New Roman" w:cs="Times New Roman" w:eastAsia="Times New Roman" w:hint="default"/>
          <w:sz w:val="18"/>
          <w:szCs w:val="18"/>
        </w:rPr>
        <w:t>11,750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万港币，授信有效期自协议签署日起为期一年；除自身所持的债券质押外，柏怡国际为柏怡香港在授 </w:t>
      </w:r>
      <w:r>
        <w:rPr>
          <w:rFonts w:ascii="宋体" w:hAnsi="宋体" w:cs="宋体" w:eastAsia="宋体" w:hint="default"/>
          <w:spacing w:val="-3"/>
          <w:sz w:val="18"/>
          <w:szCs w:val="18"/>
        </w:rPr>
        <w:t>信范围内的贷款提供无限额的信用担保（担保范围为贷款本金、利息、违约金及其他相关费用）。</w:t>
      </w:r>
    </w:p>
    <w:p>
      <w:pPr>
        <w:spacing w:line="240" w:lineRule="auto" w:before="3"/>
        <w:rPr>
          <w:rFonts w:ascii="宋体" w:hAnsi="宋体" w:cs="宋体" w:eastAsia="宋体" w:hint="default"/>
          <w:sz w:val="18"/>
          <w:szCs w:val="18"/>
        </w:rPr>
      </w:pPr>
    </w:p>
    <w:p>
      <w:pPr>
        <w:pStyle w:val="Heading5"/>
        <w:spacing w:line="240" w:lineRule="auto" w:before="0"/>
        <w:ind w:left="152"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12"/>
        <w:rPr>
          <w:rFonts w:ascii="宋体" w:hAnsi="宋体" w:cs="宋体" w:eastAsia="宋体" w:hint="default"/>
          <w:b/>
          <w:bCs/>
          <w:sz w:val="21"/>
          <w:szCs w:val="21"/>
        </w:rPr>
      </w:pPr>
    </w:p>
    <w:p>
      <w:pPr>
        <w:spacing w:line="357" w:lineRule="auto" w:before="0"/>
        <w:ind w:left="513" w:right="769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公司报告期无违规对外担保情况。</w:t>
      </w:r>
    </w:p>
    <w:p>
      <w:pPr>
        <w:spacing w:line="240" w:lineRule="auto" w:before="9"/>
        <w:rPr>
          <w:rFonts w:ascii="宋体" w:hAnsi="宋体" w:cs="宋体" w:eastAsia="宋体" w:hint="default"/>
          <w:sz w:val="15"/>
          <w:szCs w:val="15"/>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3"/>
        <w:rPr>
          <w:rFonts w:ascii="宋体" w:hAnsi="宋体" w:cs="宋体" w:eastAsia="宋体" w:hint="default"/>
          <w:b/>
          <w:bCs/>
          <w:sz w:val="19"/>
          <w:szCs w:val="19"/>
        </w:rPr>
      </w:pPr>
    </w:p>
    <w:p>
      <w:pPr>
        <w:pStyle w:val="Heading5"/>
        <w:spacing w:line="240" w:lineRule="auto" w:before="0"/>
        <w:ind w:left="152"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89" w:footer="975" w:top="110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100" w:bottom="700" w:left="980" w:right="0"/>
          <w:cols w:num="2" w:equalWidth="0">
            <w:col w:w="1953" w:space="6787"/>
            <w:col w:w="2190"/>
          </w:cols>
        </w:sectPr>
      </w:pP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868"/>
        <w:gridCol w:w="1959"/>
        <w:gridCol w:w="1983"/>
        <w:gridCol w:w="1908"/>
        <w:gridCol w:w="1851"/>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62,500.00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1"/>
        <w:ind w:left="152" w:right="0" w:firstLine="0"/>
        <w:jc w:val="both"/>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60" w:lineRule="auto" w:before="115"/>
        <w:ind w:left="152" w:right="57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委托理财出现预期无法收回本金或存在其他可能导致减值的情形</w:t>
      </w:r>
    </w:p>
    <w:p>
      <w:pPr>
        <w:spacing w:line="439" w:lineRule="auto" w:before="28"/>
        <w:ind w:left="15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委托理财情况说明</w:t>
      </w:r>
      <w:r>
        <w:rPr>
          <w:rFonts w:ascii="宋体" w:hAnsi="宋体" w:cs="宋体" w:eastAsia="宋体" w:hint="default"/>
          <w:sz w:val="18"/>
          <w:szCs w:val="18"/>
        </w:rPr>
      </w:r>
    </w:p>
    <w:p>
      <w:pPr>
        <w:spacing w:before="47"/>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为提高公司资金使用效率，增加公司投资收益，经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日公司第七届董事会第十八次会议、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spacing w:line="300" w:lineRule="auto" w:before="63"/>
        <w:ind w:left="152" w:right="1131" w:firstLine="0"/>
        <w:jc w:val="both"/>
        <w:rPr>
          <w:rFonts w:ascii="宋体" w:hAnsi="宋体" w:cs="宋体" w:eastAsia="宋体" w:hint="default"/>
          <w:sz w:val="18"/>
          <w:szCs w:val="18"/>
        </w:rPr>
      </w:pP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年度股东大会审议，同意公司把合计不超过人民币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亿元的自有闲置资金通过中国银行业监督管理委员会批准 和监管的金融机构及中电财务购买理财产品进行理财；在前述额度范围内，资金可以循环使用，期限壹年。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年度实现 资金增效约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2,178 </w:t>
      </w:r>
      <w:r>
        <w:rPr>
          <w:rFonts w:ascii="宋体" w:hAnsi="宋体" w:cs="宋体" w:eastAsia="宋体" w:hint="default"/>
          <w:sz w:val="18"/>
          <w:szCs w:val="18"/>
        </w:rPr>
        <w:t>万元。</w:t>
      </w:r>
    </w:p>
    <w:p>
      <w:pPr>
        <w:spacing w:after="0" w:line="300" w:lineRule="auto"/>
        <w:jc w:val="both"/>
        <w:rPr>
          <w:rFonts w:ascii="宋体" w:hAnsi="宋体" w:cs="宋体" w:eastAsia="宋体" w:hint="default"/>
          <w:sz w:val="18"/>
          <w:szCs w:val="18"/>
        </w:rPr>
        <w:sectPr>
          <w:type w:val="continuous"/>
          <w:pgSz w:w="11910" w:h="16840"/>
          <w:pgMar w:top="1100" w:bottom="700" w:left="980" w:right="0"/>
        </w:sectPr>
      </w:pPr>
    </w:p>
    <w:p>
      <w:pPr>
        <w:spacing w:line="240" w:lineRule="auto" w:before="6"/>
        <w:rPr>
          <w:rFonts w:ascii="宋体" w:hAnsi="宋体" w:cs="宋体" w:eastAsia="宋体" w:hint="default"/>
          <w:sz w:val="21"/>
          <w:szCs w:val="21"/>
        </w:rPr>
      </w:pPr>
    </w:p>
    <w:p>
      <w:pPr>
        <w:pStyle w:val="Heading5"/>
        <w:spacing w:line="240" w:lineRule="auto"/>
        <w:ind w:left="152"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0"/>
        <w:rPr>
          <w:rFonts w:ascii="宋体" w:hAnsi="宋体" w:cs="宋体" w:eastAsia="宋体" w:hint="default"/>
          <w:b/>
          <w:bCs/>
          <w:sz w:val="21"/>
          <w:szCs w:val="21"/>
        </w:rPr>
      </w:pPr>
    </w:p>
    <w:p>
      <w:pPr>
        <w:spacing w:line="360" w:lineRule="auto" w:before="0"/>
        <w:ind w:left="513" w:right="769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公司报告期不存在发放委托贷款。</w:t>
      </w:r>
    </w:p>
    <w:p>
      <w:pPr>
        <w:spacing w:before="106"/>
        <w:ind w:left="152" w:right="1133" w:firstLine="0"/>
        <w:jc w:val="left"/>
        <w:rPr>
          <w:rFonts w:ascii="宋体" w:hAnsi="宋体" w:cs="宋体" w:eastAsia="宋体" w:hint="default"/>
          <w:sz w:val="18"/>
          <w:szCs w:val="18"/>
        </w:rPr>
      </w:pPr>
      <w:r>
        <w:rPr>
          <w:rFonts w:ascii="宋体" w:hAnsi="宋体" w:cs="宋体" w:eastAsia="宋体" w:hint="default"/>
          <w:b/>
          <w:bCs/>
          <w:sz w:val="18"/>
          <w:szCs w:val="18"/>
        </w:rPr>
        <w:t>取得委托贷款的说明</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309" w:lineRule="auto" w:before="0"/>
        <w:ind w:left="152" w:right="1131" w:firstLine="360"/>
        <w:jc w:val="both"/>
        <w:rPr>
          <w:rFonts w:ascii="宋体" w:hAnsi="宋体" w:cs="宋体" w:eastAsia="宋体" w:hint="default"/>
          <w:sz w:val="18"/>
          <w:szCs w:val="18"/>
        </w:rPr>
      </w:pPr>
      <w:r>
        <w:rPr>
          <w:rFonts w:ascii="宋体" w:hAnsi="宋体" w:cs="宋体" w:eastAsia="宋体" w:hint="default"/>
          <w:sz w:val="18"/>
          <w:szCs w:val="18"/>
        </w:rPr>
        <w:t>中国电子拨付公司先行使用的国有资本金 </w:t>
      </w:r>
      <w:r>
        <w:rPr>
          <w:rFonts w:ascii="Times New Roman" w:hAnsi="Times New Roman" w:cs="Times New Roman" w:eastAsia="Times New Roman" w:hint="default"/>
          <w:sz w:val="18"/>
          <w:szCs w:val="18"/>
        </w:rPr>
        <w:t>16,500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万元，目前暂不具备注资条件，根据财政部《关于印发加强企业财务 </w:t>
      </w:r>
      <w:r>
        <w:rPr>
          <w:rFonts w:ascii="宋体" w:hAnsi="宋体" w:cs="宋体" w:eastAsia="宋体" w:hint="default"/>
          <w:spacing w:val="-2"/>
          <w:sz w:val="18"/>
          <w:szCs w:val="18"/>
        </w:rPr>
        <w:t>信息管理暂行规定的通知》、国资委《中央企业国有资本经营预算支出执行监督管理暂行办法》等的要求，中国电子通过中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电财务以委托贷款的方式继续提供给公司使用，具体内容详见本节“其他重大关联交易”中的相关介绍。</w:t>
      </w:r>
    </w:p>
    <w:p>
      <w:pPr>
        <w:spacing w:line="300" w:lineRule="auto" w:before="62"/>
        <w:ind w:left="152"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月公司向中国电子以自有房产抵押担保的方式申请</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亿元委托贷款；中国电子委托中电财务向公司分批发 放委托贷款，贷款期限三年。</w:t>
      </w:r>
    </w:p>
    <w:p>
      <w:pPr>
        <w:spacing w:line="240" w:lineRule="auto" w:before="13"/>
        <w:rPr>
          <w:rFonts w:ascii="宋体" w:hAnsi="宋体" w:cs="宋体" w:eastAsia="宋体" w:hint="default"/>
          <w:sz w:val="18"/>
          <w:szCs w:val="18"/>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0"/>
        <w:rPr>
          <w:rFonts w:ascii="宋体" w:hAnsi="宋体" w:cs="宋体" w:eastAsia="宋体" w:hint="default"/>
          <w:b/>
          <w:bCs/>
          <w:sz w:val="21"/>
          <w:szCs w:val="21"/>
        </w:rPr>
      </w:pPr>
    </w:p>
    <w:p>
      <w:pPr>
        <w:spacing w:line="360" w:lineRule="auto" w:before="0"/>
        <w:ind w:left="513" w:right="769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公司报告期不存在其他重大合同。</w:t>
      </w:r>
    </w:p>
    <w:p>
      <w:pPr>
        <w:spacing w:line="240" w:lineRule="auto" w:before="7"/>
        <w:rPr>
          <w:rFonts w:ascii="宋体" w:hAnsi="宋体" w:cs="宋体" w:eastAsia="宋体" w:hint="default"/>
          <w:sz w:val="15"/>
          <w:szCs w:val="15"/>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5</w:t>
      </w:r>
      <w:r>
        <w:rPr/>
        <w:t>、报告期内获得金融机构综合授信及贷款的情况</w:t>
      </w:r>
      <w:r>
        <w:rPr>
          <w:b w:val="0"/>
          <w:bCs w:val="0"/>
        </w:rPr>
      </w:r>
    </w:p>
    <w:p>
      <w:pPr>
        <w:spacing w:line="240" w:lineRule="auto" w:before="4"/>
        <w:rPr>
          <w:rFonts w:ascii="宋体" w:hAnsi="宋体" w:cs="宋体" w:eastAsia="宋体" w:hint="default"/>
          <w:b/>
          <w:bCs/>
          <w:sz w:val="18"/>
          <w:szCs w:val="18"/>
        </w:rPr>
      </w:pPr>
    </w:p>
    <w:p>
      <w:pPr>
        <w:spacing w:before="44"/>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与中电财务签订《借款合同</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以信用担保方式获得流动资金借款人民币</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亿元，期限</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before="76"/>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与中电财务签订《借款合同</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以信用担保方式获得流动资金借款人民币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before="76"/>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7"/>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7"/>
          <w:sz w:val="18"/>
          <w:szCs w:val="18"/>
        </w:rPr>
        <w:t>，</w:t>
      </w:r>
      <w:r>
        <w:rPr>
          <w:rFonts w:ascii="宋体" w:hAnsi="宋体" w:cs="宋体" w:eastAsia="宋体" w:hint="default"/>
          <w:sz w:val="18"/>
          <w:szCs w:val="18"/>
        </w:rPr>
        <w:t>公</w:t>
      </w:r>
      <w:r>
        <w:rPr>
          <w:rFonts w:ascii="宋体" w:hAnsi="宋体" w:cs="宋体" w:eastAsia="宋体" w:hint="default"/>
          <w:spacing w:val="-3"/>
          <w:sz w:val="18"/>
          <w:szCs w:val="18"/>
        </w:rPr>
        <w:t>司</w:t>
      </w:r>
      <w:r>
        <w:rPr>
          <w:rFonts w:ascii="宋体" w:hAnsi="宋体" w:cs="宋体" w:eastAsia="宋体" w:hint="default"/>
          <w:sz w:val="18"/>
          <w:szCs w:val="18"/>
        </w:rPr>
        <w:t>与中电财务签</w:t>
      </w:r>
      <w:r>
        <w:rPr>
          <w:rFonts w:ascii="宋体" w:hAnsi="宋体" w:cs="宋体" w:eastAsia="宋体" w:hint="default"/>
          <w:spacing w:val="-17"/>
          <w:sz w:val="18"/>
          <w:szCs w:val="18"/>
        </w:rPr>
        <w:t>订</w:t>
      </w:r>
      <w:r>
        <w:rPr>
          <w:rFonts w:ascii="宋体" w:hAnsi="宋体" w:cs="宋体" w:eastAsia="宋体" w:hint="default"/>
          <w:sz w:val="18"/>
          <w:szCs w:val="18"/>
        </w:rPr>
        <w:t>《借款合同</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以信用担保方式获得流动资金借款人民币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17"/>
          <w:sz w:val="18"/>
          <w:szCs w:val="18"/>
        </w:rPr>
        <w:t>，</w:t>
      </w:r>
      <w:r>
        <w:rPr>
          <w:rFonts w:ascii="宋体" w:hAnsi="宋体" w:cs="宋体" w:eastAsia="宋体" w:hint="default"/>
          <w:sz w:val="18"/>
          <w:szCs w:val="18"/>
        </w:rPr>
        <w:t>期限</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个月。</w:t>
      </w:r>
    </w:p>
    <w:p>
      <w:pPr>
        <w:spacing w:before="76"/>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公</w:t>
      </w:r>
      <w:r>
        <w:rPr>
          <w:rFonts w:ascii="宋体" w:hAnsi="宋体" w:cs="宋体" w:eastAsia="宋体" w:hint="default"/>
          <w:spacing w:val="-3"/>
          <w:sz w:val="18"/>
          <w:szCs w:val="18"/>
        </w:rPr>
        <w:t>司</w:t>
      </w:r>
      <w:r>
        <w:rPr>
          <w:rFonts w:ascii="宋体" w:hAnsi="宋体" w:cs="宋体" w:eastAsia="宋体" w:hint="default"/>
          <w:sz w:val="18"/>
          <w:szCs w:val="18"/>
        </w:rPr>
        <w:t>与进出口银行深圳分行签</w:t>
      </w:r>
      <w:r>
        <w:rPr>
          <w:rFonts w:ascii="宋体" w:hAnsi="宋体" w:cs="宋体" w:eastAsia="宋体" w:hint="default"/>
          <w:spacing w:val="-10"/>
          <w:sz w:val="18"/>
          <w:szCs w:val="18"/>
        </w:rPr>
        <w:t>订</w:t>
      </w:r>
      <w:r>
        <w:rPr>
          <w:rFonts w:ascii="宋体" w:hAnsi="宋体" w:cs="宋体" w:eastAsia="宋体" w:hint="default"/>
          <w:sz w:val="18"/>
          <w:szCs w:val="18"/>
        </w:rPr>
        <w:t>《借款合同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以信用担保方式</w:t>
      </w:r>
      <w:r>
        <w:rPr>
          <w:rFonts w:ascii="宋体" w:hAnsi="宋体" w:cs="宋体" w:eastAsia="宋体" w:hint="default"/>
          <w:spacing w:val="2"/>
          <w:sz w:val="18"/>
          <w:szCs w:val="18"/>
        </w:rPr>
        <w:t>获</w:t>
      </w:r>
      <w:r>
        <w:rPr>
          <w:rFonts w:ascii="宋体" w:hAnsi="宋体" w:cs="宋体" w:eastAsia="宋体" w:hint="default"/>
          <w:sz w:val="18"/>
          <w:szCs w:val="18"/>
        </w:rPr>
        <w:t>得流动资金借款人民币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元，期限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与中电财务签订《借款合同</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以信用担保方式获得流动资金借款人民币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亿元，期限</w:t>
      </w:r>
    </w:p>
    <w:p>
      <w:pPr>
        <w:spacing w:before="6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公</w:t>
      </w:r>
      <w:r>
        <w:rPr>
          <w:rFonts w:ascii="宋体" w:hAnsi="宋体" w:cs="宋体" w:eastAsia="宋体" w:hint="default"/>
          <w:spacing w:val="-3"/>
          <w:sz w:val="18"/>
          <w:szCs w:val="18"/>
        </w:rPr>
        <w:t>司</w:t>
      </w:r>
      <w:r>
        <w:rPr>
          <w:rFonts w:ascii="宋体" w:hAnsi="宋体" w:cs="宋体" w:eastAsia="宋体" w:hint="default"/>
          <w:sz w:val="18"/>
          <w:szCs w:val="18"/>
        </w:rPr>
        <w:t>与中国银行深圳高新区支行签</w:t>
      </w:r>
      <w:r>
        <w:rPr>
          <w:rFonts w:ascii="宋体" w:hAnsi="宋体" w:cs="宋体" w:eastAsia="宋体" w:hint="default"/>
          <w:spacing w:val="-10"/>
          <w:sz w:val="18"/>
          <w:szCs w:val="18"/>
        </w:rPr>
        <w:t>订</w:t>
      </w:r>
      <w:r>
        <w:rPr>
          <w:rFonts w:ascii="宋体" w:hAnsi="宋体" w:cs="宋体" w:eastAsia="宋体" w:hint="default"/>
          <w:sz w:val="18"/>
          <w:szCs w:val="18"/>
        </w:rPr>
        <w:t>《流动资金借款合同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w:t>
      </w:r>
      <w:r>
        <w:rPr>
          <w:rFonts w:ascii="宋体" w:hAnsi="宋体" w:cs="宋体" w:eastAsia="宋体" w:hint="default"/>
          <w:spacing w:val="2"/>
          <w:sz w:val="18"/>
          <w:szCs w:val="18"/>
        </w:rPr>
        <w:t>信</w:t>
      </w:r>
      <w:r>
        <w:rPr>
          <w:rFonts w:ascii="宋体" w:hAnsi="宋体" w:cs="宋体" w:eastAsia="宋体" w:hint="default"/>
          <w:sz w:val="18"/>
          <w:szCs w:val="18"/>
        </w:rPr>
        <w:t>用担保方式获得流动资金借</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款人民币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与中电财务签订《借款合同</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以信用担保方式获得流动资金借款人民币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亿元，期限</w:t>
      </w:r>
    </w:p>
    <w:p>
      <w:pPr>
        <w:spacing w:before="6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与中电财务签订《借款合同</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以信用担保方式获得流动资金借款人民币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亿元，期限</w:t>
      </w:r>
    </w:p>
    <w:p>
      <w:pPr>
        <w:spacing w:before="6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9</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公</w:t>
      </w:r>
      <w:r>
        <w:rPr>
          <w:rFonts w:ascii="宋体" w:hAnsi="宋体" w:cs="宋体" w:eastAsia="宋体" w:hint="default"/>
          <w:spacing w:val="-3"/>
          <w:sz w:val="18"/>
          <w:szCs w:val="18"/>
        </w:rPr>
        <w:t>司</w:t>
      </w:r>
      <w:r>
        <w:rPr>
          <w:rFonts w:ascii="宋体" w:hAnsi="宋体" w:cs="宋体" w:eastAsia="宋体" w:hint="default"/>
          <w:sz w:val="18"/>
          <w:szCs w:val="18"/>
        </w:rPr>
        <w:t>与中国银行深圳高新区支行签</w:t>
      </w:r>
      <w:r>
        <w:rPr>
          <w:rFonts w:ascii="宋体" w:hAnsi="宋体" w:cs="宋体" w:eastAsia="宋体" w:hint="default"/>
          <w:spacing w:val="-10"/>
          <w:sz w:val="18"/>
          <w:szCs w:val="18"/>
        </w:rPr>
        <w:t>订</w:t>
      </w:r>
      <w:r>
        <w:rPr>
          <w:rFonts w:ascii="宋体" w:hAnsi="宋体" w:cs="宋体" w:eastAsia="宋体" w:hint="default"/>
          <w:sz w:val="18"/>
          <w:szCs w:val="18"/>
        </w:rPr>
        <w:t>《流动资金借款合同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w:t>
      </w:r>
      <w:r>
        <w:rPr>
          <w:rFonts w:ascii="宋体" w:hAnsi="宋体" w:cs="宋体" w:eastAsia="宋体" w:hint="default"/>
          <w:spacing w:val="2"/>
          <w:sz w:val="18"/>
          <w:szCs w:val="18"/>
        </w:rPr>
        <w:t>信</w:t>
      </w:r>
      <w:r>
        <w:rPr>
          <w:rFonts w:ascii="宋体" w:hAnsi="宋体" w:cs="宋体" w:eastAsia="宋体" w:hint="default"/>
          <w:sz w:val="18"/>
          <w:szCs w:val="18"/>
        </w:rPr>
        <w:t>用担保方式获得流动资金借</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款人民币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司与邮储银行深圳南山区支行签订《流动资金借款合同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以</w:t>
      </w:r>
      <w:r>
        <w:rPr>
          <w:rFonts w:ascii="宋体" w:hAnsi="宋体" w:cs="宋体" w:eastAsia="宋体" w:hint="default"/>
          <w:sz w:val="18"/>
          <w:szCs w:val="18"/>
        </w:rPr>
        <w:t>信用担保方式获得流动资金</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借款人民币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与中电财务签订《综合授信合同</w:t>
      </w:r>
      <w:r>
        <w:rPr>
          <w:rFonts w:ascii="宋体" w:hAnsi="宋体" w:cs="宋体" w:eastAsia="宋体" w:hint="default"/>
          <w:spacing w:val="-92"/>
          <w:sz w:val="18"/>
          <w:szCs w:val="18"/>
        </w:rPr>
        <w:t>》</w:t>
      </w:r>
      <w:r>
        <w:rPr>
          <w:rFonts w:ascii="宋体" w:hAnsi="宋体" w:cs="宋体" w:eastAsia="宋体" w:hint="default"/>
          <w:sz w:val="18"/>
          <w:szCs w:val="18"/>
        </w:rPr>
        <w:t>，以信用担保方式获得综</w:t>
      </w:r>
      <w:r>
        <w:rPr>
          <w:rFonts w:ascii="宋体" w:hAnsi="宋体" w:cs="宋体" w:eastAsia="宋体" w:hint="default"/>
          <w:spacing w:val="2"/>
          <w:sz w:val="18"/>
          <w:szCs w:val="18"/>
        </w:rPr>
        <w:t>合</w:t>
      </w:r>
      <w:r>
        <w:rPr>
          <w:rFonts w:ascii="宋体" w:hAnsi="宋体" w:cs="宋体" w:eastAsia="宋体" w:hint="default"/>
          <w:sz w:val="18"/>
          <w:szCs w:val="18"/>
        </w:rPr>
        <w:t>授信额度人民币</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亿元，</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司与中国银行深圳高新区支行签订《流动资金借款合同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以</w:t>
      </w:r>
      <w:r>
        <w:rPr>
          <w:rFonts w:ascii="宋体" w:hAnsi="宋体" w:cs="宋体" w:eastAsia="宋体" w:hint="default"/>
          <w:sz w:val="18"/>
          <w:szCs w:val="18"/>
        </w:rPr>
        <w:t>信用担保方式获得流动资金</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借款人民币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r>
    </w:p>
    <w:p>
      <w:pPr>
        <w:spacing w:before="63"/>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司与进出口银行深圳分行签订《借款合同</w:t>
      </w:r>
      <w:r>
        <w:rPr>
          <w:rFonts w:ascii="宋体" w:hAnsi="宋体" w:cs="宋体" w:eastAsia="宋体" w:hint="default"/>
          <w:spacing w:val="-92"/>
          <w:sz w:val="18"/>
          <w:szCs w:val="18"/>
        </w:rPr>
        <w:t>》</w:t>
      </w:r>
      <w:r>
        <w:rPr>
          <w:rFonts w:ascii="宋体" w:hAnsi="宋体" w:cs="宋体" w:eastAsia="宋体" w:hint="default"/>
          <w:sz w:val="18"/>
          <w:szCs w:val="18"/>
        </w:rPr>
        <w:t>，以信用担保方</w:t>
      </w:r>
      <w:r>
        <w:rPr>
          <w:rFonts w:ascii="宋体" w:hAnsi="宋体" w:cs="宋体" w:eastAsia="宋体" w:hint="default"/>
          <w:spacing w:val="2"/>
          <w:sz w:val="18"/>
          <w:szCs w:val="18"/>
        </w:rPr>
        <w:t>式</w:t>
      </w:r>
      <w:r>
        <w:rPr>
          <w:rFonts w:ascii="宋体" w:hAnsi="宋体" w:cs="宋体" w:eastAsia="宋体" w:hint="default"/>
          <w:sz w:val="18"/>
          <w:szCs w:val="18"/>
        </w:rPr>
        <w:t>获得流动资金借款人民币</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w:t>
      </w:r>
    </w:p>
    <w:p>
      <w:pPr>
        <w:spacing w:before="62"/>
        <w:ind w:left="152" w:right="1133" w:firstLine="0"/>
        <w:jc w:val="left"/>
        <w:rPr>
          <w:rFonts w:ascii="宋体" w:hAnsi="宋体" w:cs="宋体" w:eastAsia="宋体" w:hint="default"/>
          <w:sz w:val="18"/>
          <w:szCs w:val="18"/>
        </w:rPr>
      </w:pPr>
      <w:r>
        <w:rPr>
          <w:rFonts w:ascii="宋体" w:hAnsi="宋体" w:cs="宋体" w:eastAsia="宋体" w:hint="default"/>
          <w:sz w:val="18"/>
          <w:szCs w:val="18"/>
        </w:rPr>
        <w:t>亿元，期限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司与农业银行签订《流动资金借款合同</w:t>
      </w:r>
      <w:r>
        <w:rPr>
          <w:rFonts w:ascii="宋体" w:hAnsi="宋体" w:cs="宋体" w:eastAsia="宋体" w:hint="default"/>
          <w:spacing w:val="-92"/>
          <w:sz w:val="18"/>
          <w:szCs w:val="18"/>
        </w:rPr>
        <w:t>》</w:t>
      </w:r>
      <w:r>
        <w:rPr>
          <w:rFonts w:ascii="宋体" w:hAnsi="宋体" w:cs="宋体" w:eastAsia="宋体" w:hint="default"/>
          <w:sz w:val="18"/>
          <w:szCs w:val="18"/>
        </w:rPr>
        <w:t>，以信用担保方式</w:t>
      </w:r>
      <w:r>
        <w:rPr>
          <w:rFonts w:ascii="宋体" w:hAnsi="宋体" w:cs="宋体" w:eastAsia="宋体" w:hint="default"/>
          <w:spacing w:val="2"/>
          <w:sz w:val="18"/>
          <w:szCs w:val="18"/>
        </w:rPr>
        <w:t>获</w:t>
      </w:r>
      <w:r>
        <w:rPr>
          <w:rFonts w:ascii="宋体" w:hAnsi="宋体" w:cs="宋体" w:eastAsia="宋体" w:hint="default"/>
          <w:sz w:val="18"/>
          <w:szCs w:val="18"/>
        </w:rPr>
        <w:t>得流动资金借款人民币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亿</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元，期限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15</w:t>
      </w:r>
      <w:r>
        <w:rPr>
          <w:rFonts w:ascii="宋体" w:hAnsi="宋体" w:cs="宋体" w:eastAsia="宋体" w:hint="default"/>
          <w:spacing w:val="-17"/>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7"/>
          <w:sz w:val="18"/>
          <w:szCs w:val="18"/>
        </w:rPr>
        <w:t>，</w:t>
      </w:r>
      <w:r>
        <w:rPr>
          <w:rFonts w:ascii="宋体" w:hAnsi="宋体" w:cs="宋体" w:eastAsia="宋体" w:hint="default"/>
          <w:sz w:val="18"/>
          <w:szCs w:val="18"/>
        </w:rPr>
        <w:t>公司与中电财务签</w:t>
      </w:r>
      <w:r>
        <w:rPr>
          <w:rFonts w:ascii="宋体" w:hAnsi="宋体" w:cs="宋体" w:eastAsia="宋体" w:hint="default"/>
          <w:spacing w:val="-17"/>
          <w:sz w:val="18"/>
          <w:szCs w:val="18"/>
        </w:rPr>
        <w:t>订</w:t>
      </w:r>
      <w:r>
        <w:rPr>
          <w:rFonts w:ascii="宋体" w:hAnsi="宋体" w:cs="宋体" w:eastAsia="宋体" w:hint="default"/>
          <w:sz w:val="18"/>
          <w:szCs w:val="18"/>
        </w:rPr>
        <w:t>《借款合同</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以信用担保方式获得流动资金借款人民币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17"/>
          <w:sz w:val="18"/>
          <w:szCs w:val="18"/>
        </w:rPr>
        <w:t>，</w:t>
      </w:r>
      <w:r>
        <w:rPr>
          <w:rFonts w:ascii="宋体" w:hAnsi="宋体" w:cs="宋体" w:eastAsia="宋体" w:hint="default"/>
          <w:sz w:val="18"/>
          <w:szCs w:val="18"/>
        </w:rPr>
        <w:t>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before="76"/>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司与招商银行长沙分行签订《授信协议</w:t>
      </w:r>
      <w:r>
        <w:rPr>
          <w:rFonts w:ascii="宋体" w:hAnsi="宋体" w:cs="宋体" w:eastAsia="宋体" w:hint="default"/>
          <w:spacing w:val="-92"/>
          <w:sz w:val="18"/>
          <w:szCs w:val="18"/>
        </w:rPr>
        <w:t>》</w:t>
      </w:r>
      <w:r>
        <w:rPr>
          <w:rFonts w:ascii="宋体" w:hAnsi="宋体" w:cs="宋体" w:eastAsia="宋体" w:hint="default"/>
          <w:sz w:val="18"/>
          <w:szCs w:val="18"/>
        </w:rPr>
        <w:t>，以信用担保方式</w:t>
      </w:r>
      <w:r>
        <w:rPr>
          <w:rFonts w:ascii="宋体" w:hAnsi="宋体" w:cs="宋体" w:eastAsia="宋体" w:hint="default"/>
          <w:spacing w:val="2"/>
          <w:sz w:val="18"/>
          <w:szCs w:val="18"/>
        </w:rPr>
        <w:t>获</w:t>
      </w:r>
      <w:r>
        <w:rPr>
          <w:rFonts w:ascii="宋体" w:hAnsi="宋体" w:cs="宋体" w:eastAsia="宋体" w:hint="default"/>
          <w:sz w:val="18"/>
          <w:szCs w:val="18"/>
        </w:rPr>
        <w:t>得授信额度人民币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亿元，</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司与进出口银行深圳分行签订《借款合同</w:t>
      </w:r>
      <w:r>
        <w:rPr>
          <w:rFonts w:ascii="宋体" w:hAnsi="宋体" w:cs="宋体" w:eastAsia="宋体" w:hint="default"/>
          <w:spacing w:val="-92"/>
          <w:sz w:val="18"/>
          <w:szCs w:val="18"/>
        </w:rPr>
        <w:t>》</w:t>
      </w:r>
      <w:r>
        <w:rPr>
          <w:rFonts w:ascii="宋体" w:hAnsi="宋体" w:cs="宋体" w:eastAsia="宋体" w:hint="default"/>
          <w:sz w:val="18"/>
          <w:szCs w:val="18"/>
        </w:rPr>
        <w:t>，以信用担保方</w:t>
      </w:r>
      <w:r>
        <w:rPr>
          <w:rFonts w:ascii="宋体" w:hAnsi="宋体" w:cs="宋体" w:eastAsia="宋体" w:hint="default"/>
          <w:spacing w:val="2"/>
          <w:sz w:val="18"/>
          <w:szCs w:val="18"/>
        </w:rPr>
        <w:t>式</w:t>
      </w:r>
      <w:r>
        <w:rPr>
          <w:rFonts w:ascii="宋体" w:hAnsi="宋体" w:cs="宋体" w:eastAsia="宋体" w:hint="default"/>
          <w:sz w:val="18"/>
          <w:szCs w:val="18"/>
        </w:rPr>
        <w:t>获得流动资金借款人民币</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3</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亿元，期限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司与中国银行深圳高新区支行签订《流动资金借款合同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以</w:t>
      </w:r>
      <w:r>
        <w:rPr>
          <w:rFonts w:ascii="宋体" w:hAnsi="宋体" w:cs="宋体" w:eastAsia="宋体" w:hint="default"/>
          <w:sz w:val="18"/>
          <w:szCs w:val="18"/>
        </w:rPr>
        <w:t>信用担保方式获得流动资金</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亿元，期限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19</w:t>
      </w:r>
      <w:r>
        <w:rPr>
          <w:rFonts w:ascii="宋体" w:hAnsi="宋体" w:cs="宋体" w:eastAsia="宋体" w:hint="default"/>
          <w:spacing w:val="-10"/>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司与农业银行深圳华侨城支行签</w:t>
      </w:r>
      <w:r>
        <w:rPr>
          <w:rFonts w:ascii="宋体" w:hAnsi="宋体" w:cs="宋体" w:eastAsia="宋体" w:hint="default"/>
          <w:spacing w:val="-10"/>
          <w:sz w:val="18"/>
          <w:szCs w:val="18"/>
        </w:rPr>
        <w:t>订</w:t>
      </w:r>
      <w:r>
        <w:rPr>
          <w:rFonts w:ascii="宋体" w:hAnsi="宋体" w:cs="宋体" w:eastAsia="宋体" w:hint="default"/>
          <w:sz w:val="18"/>
          <w:szCs w:val="18"/>
        </w:rPr>
        <w:t>《流动资金借款合同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pacing w:val="2"/>
          <w:sz w:val="18"/>
          <w:szCs w:val="18"/>
        </w:rPr>
        <w:t>以</w:t>
      </w:r>
      <w:r>
        <w:rPr>
          <w:rFonts w:ascii="宋体" w:hAnsi="宋体" w:cs="宋体" w:eastAsia="宋体" w:hint="default"/>
          <w:sz w:val="18"/>
          <w:szCs w:val="18"/>
        </w:rPr>
        <w:t>信用担保方式获得流动资金</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亿元，期限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3"/>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宋体" w:hAnsi="宋体" w:cs="宋体" w:eastAsia="宋体" w:hint="default"/>
          <w:spacing w:val="-34"/>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pacing w:val="-32"/>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司与进出口银行深圳分行签</w:t>
      </w:r>
      <w:r>
        <w:rPr>
          <w:rFonts w:ascii="宋体" w:hAnsi="宋体" w:cs="宋体" w:eastAsia="宋体" w:hint="default"/>
          <w:spacing w:val="-32"/>
          <w:sz w:val="18"/>
          <w:szCs w:val="18"/>
        </w:rPr>
        <w:t>订</w:t>
      </w:r>
      <w:r>
        <w:rPr>
          <w:rFonts w:ascii="宋体" w:hAnsi="宋体" w:cs="宋体" w:eastAsia="宋体" w:hint="default"/>
          <w:sz w:val="18"/>
          <w:szCs w:val="18"/>
        </w:rPr>
        <w:t>《借款合同</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以信用担保方式获得流动资金借款人民币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亿元，期限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21</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w:t>
      </w:r>
      <w:r>
        <w:rPr>
          <w:rFonts w:ascii="宋体" w:hAnsi="宋体" w:cs="宋体" w:eastAsia="宋体" w:hint="default"/>
          <w:sz w:val="18"/>
          <w:szCs w:val="18"/>
        </w:rPr>
        <w:t>公司与中电财务签订《综合授信额度合同</w:t>
      </w:r>
      <w:r>
        <w:rPr>
          <w:rFonts w:ascii="宋体" w:hAnsi="宋体" w:cs="宋体" w:eastAsia="宋体" w:hint="default"/>
          <w:spacing w:val="-92"/>
          <w:sz w:val="18"/>
          <w:szCs w:val="18"/>
        </w:rPr>
        <w:t>》</w:t>
      </w:r>
      <w:r>
        <w:rPr>
          <w:rFonts w:ascii="宋体" w:hAnsi="宋体" w:cs="宋体" w:eastAsia="宋体" w:hint="default"/>
          <w:sz w:val="18"/>
          <w:szCs w:val="18"/>
        </w:rPr>
        <w:t>，以信用担保方</w:t>
      </w:r>
      <w:r>
        <w:rPr>
          <w:rFonts w:ascii="宋体" w:hAnsi="宋体" w:cs="宋体" w:eastAsia="宋体" w:hint="default"/>
          <w:spacing w:val="2"/>
          <w:sz w:val="18"/>
          <w:szCs w:val="18"/>
        </w:rPr>
        <w:t>式</w:t>
      </w:r>
      <w:r>
        <w:rPr>
          <w:rFonts w:ascii="宋体" w:hAnsi="宋体" w:cs="宋体" w:eastAsia="宋体" w:hint="default"/>
          <w:sz w:val="18"/>
          <w:szCs w:val="18"/>
        </w:rPr>
        <w:t>获得综合授信额度人民币</w:t>
      </w:r>
      <w:r>
        <w:rPr>
          <w:rFonts w:ascii="宋体" w:hAnsi="宋体" w:cs="宋体" w:eastAsia="宋体" w:hint="default"/>
          <w:spacing w:val="-26"/>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z w:val="18"/>
          <w:szCs w:val="18"/>
        </w:rPr>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亿元，期限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22</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司与平安银行深圳分行签</w:t>
      </w:r>
      <w:r>
        <w:rPr>
          <w:rFonts w:ascii="宋体" w:hAnsi="宋体" w:cs="宋体" w:eastAsia="宋体" w:hint="default"/>
          <w:spacing w:val="-8"/>
          <w:sz w:val="18"/>
          <w:szCs w:val="18"/>
        </w:rPr>
        <w:t>订</w:t>
      </w:r>
      <w:r>
        <w:rPr>
          <w:rFonts w:ascii="宋体" w:hAnsi="宋体" w:cs="宋体" w:eastAsia="宋体" w:hint="default"/>
          <w:sz w:val="18"/>
          <w:szCs w:val="18"/>
        </w:rPr>
        <w:t>《综合授信额度合同</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以信用担保方式获得综合授信额度人</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23</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司与中国银行深圳高新区支行签</w:t>
      </w:r>
      <w:r>
        <w:rPr>
          <w:rFonts w:ascii="宋体" w:hAnsi="宋体" w:cs="宋体" w:eastAsia="宋体" w:hint="default"/>
          <w:spacing w:val="-8"/>
          <w:sz w:val="18"/>
          <w:szCs w:val="18"/>
        </w:rPr>
        <w:t>订</w:t>
      </w:r>
      <w:r>
        <w:rPr>
          <w:rFonts w:ascii="宋体" w:hAnsi="宋体" w:cs="宋体" w:eastAsia="宋体" w:hint="default"/>
          <w:sz w:val="18"/>
          <w:szCs w:val="18"/>
        </w:rPr>
        <w:t>《流动资金借款合同</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以信用担保方式获得流动资金</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亿元，期限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24</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司与农业银行深圳华侨城支行签</w:t>
      </w:r>
      <w:r>
        <w:rPr>
          <w:rFonts w:ascii="宋体" w:hAnsi="宋体" w:cs="宋体" w:eastAsia="宋体" w:hint="default"/>
          <w:spacing w:val="-8"/>
          <w:sz w:val="18"/>
          <w:szCs w:val="18"/>
        </w:rPr>
        <w:t>订</w:t>
      </w:r>
      <w:r>
        <w:rPr>
          <w:rFonts w:ascii="宋体" w:hAnsi="宋体" w:cs="宋体" w:eastAsia="宋体" w:hint="default"/>
          <w:sz w:val="18"/>
          <w:szCs w:val="18"/>
        </w:rPr>
        <w:t>《流动资金借款合同</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以信用担保方式获得流动资金</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3"/>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25</w:t>
      </w:r>
      <w:r>
        <w:rPr>
          <w:rFonts w:ascii="宋体" w:hAnsi="宋体" w:cs="宋体" w:eastAsia="宋体" w:hint="default"/>
          <w:spacing w:val="-3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2"/>
          <w:sz w:val="18"/>
          <w:szCs w:val="18"/>
        </w:rPr>
        <w:t>，</w:t>
      </w:r>
      <w:r>
        <w:rPr>
          <w:rFonts w:ascii="宋体" w:hAnsi="宋体" w:cs="宋体" w:eastAsia="宋体" w:hint="default"/>
          <w:sz w:val="18"/>
          <w:szCs w:val="18"/>
        </w:rPr>
        <w:t>公司与进出口银行深圳分行签</w:t>
      </w:r>
      <w:r>
        <w:rPr>
          <w:rFonts w:ascii="宋体" w:hAnsi="宋体" w:cs="宋体" w:eastAsia="宋体" w:hint="default"/>
          <w:spacing w:val="-32"/>
          <w:sz w:val="18"/>
          <w:szCs w:val="18"/>
        </w:rPr>
        <w:t>订</w:t>
      </w:r>
      <w:r>
        <w:rPr>
          <w:rFonts w:ascii="宋体" w:hAnsi="宋体" w:cs="宋体" w:eastAsia="宋体" w:hint="default"/>
          <w:sz w:val="18"/>
          <w:szCs w:val="18"/>
        </w:rPr>
        <w:t>《借款合同</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以信用</w:t>
      </w:r>
      <w:r>
        <w:rPr>
          <w:rFonts w:ascii="宋体" w:hAnsi="宋体" w:cs="宋体" w:eastAsia="宋体" w:hint="default"/>
          <w:spacing w:val="2"/>
          <w:sz w:val="18"/>
          <w:szCs w:val="18"/>
        </w:rPr>
        <w:t>担</w:t>
      </w:r>
      <w:r>
        <w:rPr>
          <w:rFonts w:ascii="宋体" w:hAnsi="宋体" w:cs="宋体" w:eastAsia="宋体" w:hint="default"/>
          <w:sz w:val="18"/>
          <w:szCs w:val="18"/>
        </w:rPr>
        <w:t>保方</w:t>
      </w:r>
      <w:r>
        <w:rPr>
          <w:rFonts w:ascii="宋体" w:hAnsi="宋体" w:cs="宋体" w:eastAsia="宋体" w:hint="default"/>
          <w:spacing w:val="2"/>
          <w:sz w:val="18"/>
          <w:szCs w:val="18"/>
        </w:rPr>
        <w:t>式</w:t>
      </w:r>
      <w:r>
        <w:rPr>
          <w:rFonts w:ascii="宋体" w:hAnsi="宋体" w:cs="宋体" w:eastAsia="宋体" w:hint="default"/>
          <w:spacing w:val="1"/>
          <w:sz w:val="18"/>
          <w:szCs w:val="18"/>
        </w:rPr>
        <w:t>获</w:t>
      </w:r>
      <w:r>
        <w:rPr>
          <w:rFonts w:ascii="宋体" w:hAnsi="宋体" w:cs="宋体" w:eastAsia="宋体" w:hint="default"/>
          <w:sz w:val="18"/>
          <w:szCs w:val="18"/>
        </w:rPr>
        <w:t>得流动资金借款人民币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亿元，期限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26</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司与进出口银行签</w:t>
      </w:r>
      <w:r>
        <w:rPr>
          <w:rFonts w:ascii="宋体" w:hAnsi="宋体" w:cs="宋体" w:eastAsia="宋体" w:hint="default"/>
          <w:spacing w:val="-8"/>
          <w:sz w:val="18"/>
          <w:szCs w:val="18"/>
        </w:rPr>
        <w:t>订</w:t>
      </w:r>
      <w:r>
        <w:rPr>
          <w:rFonts w:ascii="宋体" w:hAnsi="宋体" w:cs="宋体" w:eastAsia="宋体" w:hint="default"/>
          <w:sz w:val="18"/>
          <w:szCs w:val="18"/>
        </w:rPr>
        <w:t>《借款合同</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以信用担保方式获得流动资金借款人民币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8"/>
          <w:sz w:val="18"/>
          <w:szCs w:val="18"/>
        </w:rPr>
        <w:t>，</w:t>
      </w:r>
      <w:r>
        <w:rPr>
          <w:rFonts w:ascii="宋体" w:hAnsi="宋体" w:cs="宋体" w:eastAsia="宋体" w:hint="default"/>
          <w:sz w:val="18"/>
          <w:szCs w:val="18"/>
        </w:rPr>
        <w:t>期</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长</w:t>
      </w:r>
      <w:r>
        <w:rPr>
          <w:rFonts w:ascii="宋体" w:hAnsi="宋体" w:cs="宋体" w:eastAsia="宋体" w:hint="default"/>
          <w:sz w:val="18"/>
          <w:szCs w:val="18"/>
        </w:rPr>
        <w:t>沙中电软件园有限公司与中电财务签订《借款合同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，以按</w:t>
      </w:r>
      <w:r>
        <w:rPr>
          <w:rFonts w:ascii="宋体" w:hAnsi="宋体" w:cs="宋体" w:eastAsia="宋体" w:hint="default"/>
          <w:spacing w:val="2"/>
          <w:sz w:val="18"/>
          <w:szCs w:val="18"/>
        </w:rPr>
        <w:t>股</w:t>
      </w:r>
      <w:r>
        <w:rPr>
          <w:rFonts w:ascii="宋体" w:hAnsi="宋体" w:cs="宋体" w:eastAsia="宋体" w:hint="default"/>
          <w:sz w:val="18"/>
          <w:szCs w:val="18"/>
        </w:rPr>
        <w:t>东出资比例提供信用担保的</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方式获得流动资金借款人民币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28</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湖</w:t>
      </w:r>
      <w:r>
        <w:rPr>
          <w:rFonts w:ascii="宋体" w:hAnsi="宋体" w:cs="宋体" w:eastAsia="宋体" w:hint="default"/>
          <w:sz w:val="18"/>
          <w:szCs w:val="18"/>
        </w:rPr>
        <w:t>南长城计算机系统有限公司与华融湘江银行株洲泰山支行签订《流动资金贷款合同</w:t>
      </w:r>
      <w:r>
        <w:rPr>
          <w:rFonts w:ascii="宋体" w:hAnsi="宋体" w:cs="宋体" w:eastAsia="宋体" w:hint="default"/>
          <w:spacing w:val="-92"/>
          <w:sz w:val="18"/>
          <w:szCs w:val="18"/>
        </w:rPr>
        <w:t>》</w:t>
      </w:r>
      <w:r>
        <w:rPr>
          <w:rFonts w:ascii="宋体" w:hAnsi="宋体" w:cs="宋体" w:eastAsia="宋体" w:hint="default"/>
          <w:sz w:val="18"/>
          <w:szCs w:val="18"/>
        </w:rPr>
        <w:t>，以</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公司提供信用担保方式获得流动资金借款人民币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湖</w:t>
      </w:r>
      <w:r>
        <w:rPr>
          <w:rFonts w:ascii="宋体" w:hAnsi="宋体" w:cs="宋体" w:eastAsia="宋体" w:hint="default"/>
          <w:sz w:val="18"/>
          <w:szCs w:val="18"/>
        </w:rPr>
        <w:t>南长城计算机系统有限公司与建设银行株洲城西支行签订《流动资金贷款合同</w:t>
      </w:r>
      <w:r>
        <w:rPr>
          <w:rFonts w:ascii="宋体" w:hAnsi="宋体" w:cs="宋体" w:eastAsia="宋体" w:hint="default"/>
          <w:spacing w:val="-92"/>
          <w:sz w:val="18"/>
          <w:szCs w:val="18"/>
        </w:rPr>
        <w:t>》</w:t>
      </w:r>
      <w:r>
        <w:rPr>
          <w:rFonts w:ascii="宋体" w:hAnsi="宋体" w:cs="宋体" w:eastAsia="宋体" w:hint="default"/>
          <w:sz w:val="18"/>
          <w:szCs w:val="18"/>
        </w:rPr>
        <w:t>，以信用</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担保方式获得流动资金借款人民币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湖</w:t>
      </w:r>
      <w:r>
        <w:rPr>
          <w:rFonts w:ascii="宋体" w:hAnsi="宋体" w:cs="宋体" w:eastAsia="宋体" w:hint="default"/>
          <w:sz w:val="18"/>
          <w:szCs w:val="18"/>
        </w:rPr>
        <w:t>南长城计算机系统有限公司与农业银行株洲分行签订《流动资金贷款合同</w:t>
      </w:r>
      <w:r>
        <w:rPr>
          <w:rFonts w:ascii="宋体" w:hAnsi="宋体" w:cs="宋体" w:eastAsia="宋体" w:hint="default"/>
          <w:spacing w:val="-92"/>
          <w:sz w:val="18"/>
          <w:szCs w:val="18"/>
        </w:rPr>
        <w:t>》</w:t>
      </w:r>
      <w:r>
        <w:rPr>
          <w:rFonts w:ascii="宋体" w:hAnsi="宋体" w:cs="宋体" w:eastAsia="宋体" w:hint="default"/>
          <w:sz w:val="18"/>
          <w:szCs w:val="18"/>
        </w:rPr>
        <w:t>，以公司提供</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信用担保方式获得流动资金借款人民币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湖</w:t>
      </w:r>
      <w:r>
        <w:rPr>
          <w:rFonts w:ascii="宋体" w:hAnsi="宋体" w:cs="宋体" w:eastAsia="宋体" w:hint="default"/>
          <w:sz w:val="18"/>
          <w:szCs w:val="18"/>
        </w:rPr>
        <w:t>南长城计算机系统有限公司与华融湘江银行株洲泰山支行签订《流动资金贷款合同</w:t>
      </w:r>
      <w:r>
        <w:rPr>
          <w:rFonts w:ascii="宋体" w:hAnsi="宋体" w:cs="宋体" w:eastAsia="宋体" w:hint="default"/>
          <w:spacing w:val="-92"/>
          <w:sz w:val="18"/>
          <w:szCs w:val="18"/>
        </w:rPr>
        <w:t>》</w:t>
      </w:r>
      <w:r>
        <w:rPr>
          <w:rFonts w:ascii="宋体" w:hAnsi="宋体" w:cs="宋体" w:eastAsia="宋体" w:hint="default"/>
          <w:sz w:val="18"/>
          <w:szCs w:val="18"/>
        </w:rPr>
        <w:t>，以</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公司提供信用担保方式获得流动资金借款人民币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32</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湖</w:t>
      </w:r>
      <w:r>
        <w:rPr>
          <w:rFonts w:ascii="宋体" w:hAnsi="宋体" w:cs="宋体" w:eastAsia="宋体" w:hint="default"/>
          <w:sz w:val="18"/>
          <w:szCs w:val="18"/>
        </w:rPr>
        <w:t>南长城计算机系统有限公司与华融湘江银行株洲泰山支行签订《流动资金贷款合同</w:t>
      </w:r>
      <w:r>
        <w:rPr>
          <w:rFonts w:ascii="宋体" w:hAnsi="宋体" w:cs="宋体" w:eastAsia="宋体" w:hint="default"/>
          <w:spacing w:val="-92"/>
          <w:sz w:val="18"/>
          <w:szCs w:val="18"/>
        </w:rPr>
        <w:t>》</w:t>
      </w:r>
      <w:r>
        <w:rPr>
          <w:rFonts w:ascii="宋体" w:hAnsi="宋体" w:cs="宋体" w:eastAsia="宋体" w:hint="default"/>
          <w:sz w:val="18"/>
          <w:szCs w:val="18"/>
        </w:rPr>
        <w:t>，以</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公司提供信用担保方式获得流动资金借款人民币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1,900 </w:t>
      </w:r>
      <w:r>
        <w:rPr>
          <w:rFonts w:ascii="宋体" w:hAnsi="宋体" w:cs="宋体" w:eastAsia="宋体" w:hint="default"/>
          <w:sz w:val="18"/>
          <w:szCs w:val="18"/>
        </w:rPr>
        <w:t>万元，期限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月，湖南长城计算机系统有限公司与建设银行株洲城西支行签订《出口商业发票融资业务合作</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协议书</w:t>
      </w:r>
      <w:r>
        <w:rPr>
          <w:rFonts w:ascii="宋体" w:hAnsi="宋体" w:cs="宋体" w:eastAsia="宋体" w:hint="default"/>
          <w:spacing w:val="-92"/>
          <w:sz w:val="18"/>
          <w:szCs w:val="18"/>
        </w:rPr>
        <w:t>》</w:t>
      </w:r>
      <w:r>
        <w:rPr>
          <w:rFonts w:ascii="宋体" w:hAnsi="宋体" w:cs="宋体" w:eastAsia="宋体" w:hint="default"/>
          <w:sz w:val="18"/>
          <w:szCs w:val="18"/>
        </w:rPr>
        <w:t>，以信用方式获得出</w:t>
      </w:r>
      <w:r>
        <w:rPr>
          <w:rFonts w:ascii="宋体" w:hAnsi="宋体" w:cs="宋体" w:eastAsia="宋体" w:hint="default"/>
          <w:spacing w:val="2"/>
          <w:sz w:val="18"/>
          <w:szCs w:val="18"/>
        </w:rPr>
        <w:t>口</w:t>
      </w:r>
      <w:r>
        <w:rPr>
          <w:rFonts w:ascii="宋体" w:hAnsi="宋体" w:cs="宋体" w:eastAsia="宋体" w:hint="default"/>
          <w:sz w:val="18"/>
          <w:szCs w:val="18"/>
        </w:rPr>
        <w:t>商业发票融资贷款</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r>
        <w:rPr>
          <w:rFonts w:ascii="宋体" w:hAnsi="宋体" w:cs="宋体" w:eastAsia="宋体" w:hint="default"/>
          <w:spacing w:val="-3"/>
          <w:sz w:val="18"/>
          <w:szCs w:val="18"/>
        </w:rPr>
        <w:t>元</w:t>
      </w:r>
      <w:r>
        <w:rPr>
          <w:rFonts w:ascii="宋体" w:hAnsi="宋体" w:cs="宋体" w:eastAsia="宋体" w:hint="default"/>
          <w:sz w:val="18"/>
          <w:szCs w:val="18"/>
        </w:rPr>
        <w:t>，期限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34</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深</w:t>
      </w:r>
      <w:r>
        <w:rPr>
          <w:rFonts w:ascii="宋体" w:hAnsi="宋体" w:cs="宋体" w:eastAsia="宋体" w:hint="default"/>
          <w:sz w:val="18"/>
          <w:szCs w:val="18"/>
        </w:rPr>
        <w:t>圳中电长城信息安全系统有限公司与中电财务签订《综合授信合同</w:t>
      </w:r>
      <w:r>
        <w:rPr>
          <w:rFonts w:ascii="宋体" w:hAnsi="宋体" w:cs="宋体" w:eastAsia="宋体" w:hint="default"/>
          <w:spacing w:val="-92"/>
          <w:sz w:val="18"/>
          <w:szCs w:val="18"/>
        </w:rPr>
        <w:t>》</w:t>
      </w:r>
      <w:r>
        <w:rPr>
          <w:rFonts w:ascii="宋体" w:hAnsi="宋体" w:cs="宋体" w:eastAsia="宋体" w:hint="default"/>
          <w:sz w:val="18"/>
          <w:szCs w:val="18"/>
        </w:rPr>
        <w:t>，以公司提供信用担</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保方式获得综合授信额度人民币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35</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湖</w:t>
      </w:r>
      <w:r>
        <w:rPr>
          <w:rFonts w:ascii="宋体" w:hAnsi="宋体" w:cs="宋体" w:eastAsia="宋体" w:hint="default"/>
          <w:sz w:val="18"/>
          <w:szCs w:val="18"/>
        </w:rPr>
        <w:t>南长城信息金融设备有限责任公司与光大银行签订《综合授信合同</w:t>
      </w:r>
      <w:r>
        <w:rPr>
          <w:rFonts w:ascii="宋体" w:hAnsi="宋体" w:cs="宋体" w:eastAsia="宋体" w:hint="default"/>
          <w:spacing w:val="-92"/>
          <w:sz w:val="18"/>
          <w:szCs w:val="18"/>
        </w:rPr>
        <w:t>》</w:t>
      </w:r>
      <w:r>
        <w:rPr>
          <w:rFonts w:ascii="宋体" w:hAnsi="宋体" w:cs="宋体" w:eastAsia="宋体" w:hint="default"/>
          <w:sz w:val="18"/>
          <w:szCs w:val="18"/>
        </w:rPr>
        <w:t>，以信用担保方式获</w:t>
      </w:r>
    </w:p>
    <w:p>
      <w:pPr>
        <w:spacing w:before="62"/>
        <w:ind w:left="152" w:right="1133" w:firstLine="0"/>
        <w:jc w:val="left"/>
        <w:rPr>
          <w:rFonts w:ascii="宋体" w:hAnsi="宋体" w:cs="宋体" w:eastAsia="宋体" w:hint="default"/>
          <w:sz w:val="18"/>
          <w:szCs w:val="18"/>
        </w:rPr>
      </w:pPr>
      <w:r>
        <w:rPr>
          <w:rFonts w:ascii="宋体" w:hAnsi="宋体" w:cs="宋体" w:eastAsia="宋体" w:hint="default"/>
          <w:sz w:val="18"/>
          <w:szCs w:val="18"/>
        </w:rPr>
        <w:t>得综合授信额度人民币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36</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湖</w:t>
      </w:r>
      <w:r>
        <w:rPr>
          <w:rFonts w:ascii="宋体" w:hAnsi="宋体" w:cs="宋体" w:eastAsia="宋体" w:hint="default"/>
          <w:sz w:val="18"/>
          <w:szCs w:val="18"/>
        </w:rPr>
        <w:t>南长城信息金融设备有限责任公司与中国银行天心支行签订《综合授信合同</w:t>
      </w:r>
      <w:r>
        <w:rPr>
          <w:rFonts w:ascii="宋体" w:hAnsi="宋体" w:cs="宋体" w:eastAsia="宋体" w:hint="default"/>
          <w:spacing w:val="-92"/>
          <w:sz w:val="18"/>
          <w:szCs w:val="18"/>
        </w:rPr>
        <w:t>》</w:t>
      </w:r>
      <w:r>
        <w:rPr>
          <w:rFonts w:ascii="宋体" w:hAnsi="宋体" w:cs="宋体" w:eastAsia="宋体" w:hint="default"/>
          <w:sz w:val="18"/>
          <w:szCs w:val="18"/>
        </w:rPr>
        <w:t>，以公司提</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供信用担保方式获得综合授信额度人民币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亿元，期限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37</w:t>
      </w:r>
      <w:r>
        <w:rPr>
          <w:rFonts w:ascii="宋体" w:hAnsi="宋体" w:cs="宋体" w:eastAsia="宋体" w:hint="default"/>
          <w:spacing w:val="-10"/>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pacing w:val="-3"/>
          <w:sz w:val="18"/>
          <w:szCs w:val="18"/>
        </w:rPr>
        <w:t>湖</w:t>
      </w:r>
      <w:r>
        <w:rPr>
          <w:rFonts w:ascii="宋体" w:hAnsi="宋体" w:cs="宋体" w:eastAsia="宋体" w:hint="default"/>
          <w:sz w:val="18"/>
          <w:szCs w:val="18"/>
        </w:rPr>
        <w:t>南长城信息金融设备有限责任公司与中电财务签</w:t>
      </w:r>
      <w:r>
        <w:rPr>
          <w:rFonts w:ascii="宋体" w:hAnsi="宋体" w:cs="宋体" w:eastAsia="宋体" w:hint="default"/>
          <w:spacing w:val="-10"/>
          <w:sz w:val="18"/>
          <w:szCs w:val="18"/>
        </w:rPr>
        <w:t>订</w:t>
      </w:r>
      <w:r>
        <w:rPr>
          <w:rFonts w:ascii="宋体" w:hAnsi="宋体" w:cs="宋体" w:eastAsia="宋体" w:hint="default"/>
          <w:sz w:val="18"/>
          <w:szCs w:val="18"/>
        </w:rPr>
        <w:t>《综合授信合同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以公司提供信用担</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保的方式获得综合授信额度人民币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38</w:t>
      </w:r>
      <w:r>
        <w:rPr>
          <w:rFonts w:ascii="宋体" w:hAnsi="宋体" w:cs="宋体" w:eastAsia="宋体" w:hint="default"/>
          <w:spacing w:val="-10"/>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pacing w:val="-3"/>
          <w:sz w:val="18"/>
          <w:szCs w:val="18"/>
        </w:rPr>
        <w:t>湖</w:t>
      </w:r>
      <w:r>
        <w:rPr>
          <w:rFonts w:ascii="宋体" w:hAnsi="宋体" w:cs="宋体" w:eastAsia="宋体" w:hint="default"/>
          <w:sz w:val="18"/>
          <w:szCs w:val="18"/>
        </w:rPr>
        <w:t>南长城信息金融设备有限责任公司与交通银行长沙车站南路支</w:t>
      </w:r>
      <w:r>
        <w:rPr>
          <w:rFonts w:ascii="宋体" w:hAnsi="宋体" w:cs="宋体" w:eastAsia="宋体" w:hint="default"/>
          <w:spacing w:val="-10"/>
          <w:sz w:val="18"/>
          <w:szCs w:val="18"/>
        </w:rPr>
        <w:t>行</w:t>
      </w:r>
      <w:r>
        <w:rPr>
          <w:rFonts w:ascii="宋体" w:hAnsi="宋体" w:cs="宋体" w:eastAsia="宋体" w:hint="default"/>
          <w:sz w:val="18"/>
          <w:szCs w:val="18"/>
        </w:rPr>
        <w:t>《综合授信合同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以公</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司提供信用担保的方式获得综合授信额度人民币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亿元，期限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39</w:t>
      </w:r>
      <w:r>
        <w:rPr>
          <w:rFonts w:ascii="宋体" w:hAnsi="宋体" w:cs="宋体" w:eastAsia="宋体" w:hint="default"/>
          <w:spacing w:val="-10"/>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湖</w:t>
      </w:r>
      <w:r>
        <w:rPr>
          <w:rFonts w:ascii="宋体" w:hAnsi="宋体" w:cs="宋体" w:eastAsia="宋体" w:hint="default"/>
          <w:spacing w:val="-3"/>
          <w:sz w:val="18"/>
          <w:szCs w:val="18"/>
        </w:rPr>
        <w:t>南</w:t>
      </w:r>
      <w:r>
        <w:rPr>
          <w:rFonts w:ascii="宋体" w:hAnsi="宋体" w:cs="宋体" w:eastAsia="宋体" w:hint="default"/>
          <w:sz w:val="18"/>
          <w:szCs w:val="18"/>
        </w:rPr>
        <w:t>长城医疗科技有限公司与中电财务签</w:t>
      </w:r>
      <w:r>
        <w:rPr>
          <w:rFonts w:ascii="宋体" w:hAnsi="宋体" w:cs="宋体" w:eastAsia="宋体" w:hint="default"/>
          <w:spacing w:val="-10"/>
          <w:sz w:val="18"/>
          <w:szCs w:val="18"/>
        </w:rPr>
        <w:t>订</w:t>
      </w:r>
      <w:r>
        <w:rPr>
          <w:rFonts w:ascii="宋体" w:hAnsi="宋体" w:cs="宋体" w:eastAsia="宋体" w:hint="default"/>
          <w:sz w:val="18"/>
          <w:szCs w:val="18"/>
        </w:rPr>
        <w:t>《综合授信合同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pacing w:val="2"/>
          <w:sz w:val="18"/>
          <w:szCs w:val="18"/>
        </w:rPr>
        <w:t>以</w:t>
      </w:r>
      <w:r>
        <w:rPr>
          <w:rFonts w:ascii="宋体" w:hAnsi="宋体" w:cs="宋体" w:eastAsia="宋体" w:hint="default"/>
          <w:sz w:val="18"/>
          <w:szCs w:val="18"/>
        </w:rPr>
        <w:t>公司提供信用担保方式获得</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综合授信额度人民币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40</w:t>
      </w:r>
      <w:r>
        <w:rPr>
          <w:rFonts w:ascii="宋体" w:hAnsi="宋体" w:cs="宋体" w:eastAsia="宋体" w:hint="default"/>
          <w:spacing w:val="-10"/>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北</w:t>
      </w:r>
      <w:r>
        <w:rPr>
          <w:rFonts w:ascii="宋体" w:hAnsi="宋体" w:cs="宋体" w:eastAsia="宋体" w:hint="default"/>
          <w:spacing w:val="-3"/>
          <w:sz w:val="18"/>
          <w:szCs w:val="18"/>
        </w:rPr>
        <w:t>京</w:t>
      </w:r>
      <w:r>
        <w:rPr>
          <w:rFonts w:ascii="宋体" w:hAnsi="宋体" w:cs="宋体" w:eastAsia="宋体" w:hint="default"/>
          <w:sz w:val="18"/>
          <w:szCs w:val="18"/>
        </w:rPr>
        <w:t>圣非凡电子系统技术开发有限公司与中电财务签</w:t>
      </w:r>
      <w:r>
        <w:rPr>
          <w:rFonts w:ascii="宋体" w:hAnsi="宋体" w:cs="宋体" w:eastAsia="宋体" w:hint="default"/>
          <w:spacing w:val="-10"/>
          <w:sz w:val="18"/>
          <w:szCs w:val="18"/>
        </w:rPr>
        <w:t>订</w:t>
      </w:r>
      <w:r>
        <w:rPr>
          <w:rFonts w:ascii="宋体" w:hAnsi="宋体" w:cs="宋体" w:eastAsia="宋体" w:hint="default"/>
          <w:sz w:val="18"/>
          <w:szCs w:val="18"/>
        </w:rPr>
        <w:t>《借款合同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以信用担保的方式获得</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流动资金借款人民币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41</w:t>
      </w:r>
      <w:r>
        <w:rPr>
          <w:rFonts w:ascii="宋体" w:hAnsi="宋体" w:cs="宋体" w:eastAsia="宋体" w:hint="default"/>
          <w:spacing w:val="-10"/>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北</w:t>
      </w:r>
      <w:r>
        <w:rPr>
          <w:rFonts w:ascii="宋体" w:hAnsi="宋体" w:cs="宋体" w:eastAsia="宋体" w:hint="default"/>
          <w:spacing w:val="-3"/>
          <w:sz w:val="18"/>
          <w:szCs w:val="18"/>
        </w:rPr>
        <w:t>京</w:t>
      </w:r>
      <w:r>
        <w:rPr>
          <w:rFonts w:ascii="宋体" w:hAnsi="宋体" w:cs="宋体" w:eastAsia="宋体" w:hint="default"/>
          <w:sz w:val="18"/>
          <w:szCs w:val="18"/>
        </w:rPr>
        <w:t>圣非凡电子系统技术开发有限公司与中电财务签</w:t>
      </w:r>
      <w:r>
        <w:rPr>
          <w:rFonts w:ascii="宋体" w:hAnsi="宋体" w:cs="宋体" w:eastAsia="宋体" w:hint="default"/>
          <w:spacing w:val="-10"/>
          <w:sz w:val="18"/>
          <w:szCs w:val="18"/>
        </w:rPr>
        <w:t>订</w:t>
      </w:r>
      <w:r>
        <w:rPr>
          <w:rFonts w:ascii="宋体" w:hAnsi="宋体" w:cs="宋体" w:eastAsia="宋体" w:hint="default"/>
          <w:sz w:val="18"/>
          <w:szCs w:val="18"/>
        </w:rPr>
        <w:t>《综合授信合同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以信用担保方式获</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得综合授信额度人民币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42</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北</w:t>
      </w:r>
      <w:r>
        <w:rPr>
          <w:rFonts w:ascii="宋体" w:hAnsi="宋体" w:cs="宋体" w:eastAsia="宋体" w:hint="default"/>
          <w:sz w:val="18"/>
          <w:szCs w:val="18"/>
        </w:rPr>
        <w:t>京圣非凡电子系统技术开发有限公司与中电财务签订《综合授信合同</w:t>
      </w:r>
      <w:r>
        <w:rPr>
          <w:rFonts w:ascii="宋体" w:hAnsi="宋体" w:cs="宋体" w:eastAsia="宋体" w:hint="default"/>
          <w:spacing w:val="-92"/>
          <w:sz w:val="18"/>
          <w:szCs w:val="18"/>
        </w:rPr>
        <w:t>》</w:t>
      </w:r>
      <w:r>
        <w:rPr>
          <w:rFonts w:ascii="宋体" w:hAnsi="宋体" w:cs="宋体" w:eastAsia="宋体" w:hint="default"/>
          <w:sz w:val="18"/>
          <w:szCs w:val="18"/>
        </w:rPr>
        <w:t>，以信用担保方式</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获得综合授信额度人民币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line="300" w:lineRule="auto" w:before="63"/>
        <w:ind w:left="152" w:right="113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月，北京圣非凡电子系统技术开发有限公司与中电财务签订《借款合同》，以信用担保的方式获</w:t>
      </w:r>
      <w:r>
        <w:rPr>
          <w:rFonts w:ascii="宋体" w:hAnsi="宋体" w:cs="宋体" w:eastAsia="宋体" w:hint="default"/>
          <w:sz w:val="18"/>
          <w:szCs w:val="18"/>
        </w:rPr>
        <w:t> 得流动资金借款人民币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1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44</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汉中原长江科技发展有限公司与中电财务签订《借款合同</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以中原电子提供信用担保的</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方式获得流动资金借款人民币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45</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子提供信用担保的方式获得</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流动资金借款人民币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46</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子提供信用担保的方式获得</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流动资金借款人民币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47</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子提供信用担保方式获得流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48</w:t>
      </w:r>
      <w:r>
        <w:rPr>
          <w:rFonts w:ascii="宋体" w:hAnsi="宋体" w:cs="宋体" w:eastAsia="宋体" w:hint="default"/>
          <w:spacing w:val="-10"/>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武</w:t>
      </w:r>
      <w:r>
        <w:rPr>
          <w:rFonts w:ascii="宋体" w:hAnsi="宋体" w:cs="宋体" w:eastAsia="宋体" w:hint="default"/>
          <w:spacing w:val="-3"/>
          <w:sz w:val="18"/>
          <w:szCs w:val="18"/>
        </w:rPr>
        <w:t>汉</w:t>
      </w:r>
      <w:r>
        <w:rPr>
          <w:rFonts w:ascii="宋体" w:hAnsi="宋体" w:cs="宋体" w:eastAsia="宋体" w:hint="default"/>
          <w:sz w:val="18"/>
          <w:szCs w:val="18"/>
        </w:rPr>
        <w:t>长光电源有限公司与中电财务签</w:t>
      </w:r>
      <w:r>
        <w:rPr>
          <w:rFonts w:ascii="宋体" w:hAnsi="宋体" w:cs="宋体" w:eastAsia="宋体" w:hint="default"/>
          <w:spacing w:val="-10"/>
          <w:sz w:val="18"/>
          <w:szCs w:val="18"/>
        </w:rPr>
        <w:t>订</w:t>
      </w:r>
      <w:r>
        <w:rPr>
          <w:rFonts w:ascii="宋体" w:hAnsi="宋体" w:cs="宋体" w:eastAsia="宋体" w:hint="default"/>
          <w:sz w:val="18"/>
          <w:szCs w:val="18"/>
        </w:rPr>
        <w:t>《借款合同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以中原电</w:t>
      </w:r>
      <w:r>
        <w:rPr>
          <w:rFonts w:ascii="宋体" w:hAnsi="宋体" w:cs="宋体" w:eastAsia="宋体" w:hint="default"/>
          <w:spacing w:val="2"/>
          <w:sz w:val="18"/>
          <w:szCs w:val="18"/>
        </w:rPr>
        <w:t>子</w:t>
      </w:r>
      <w:r>
        <w:rPr>
          <w:rFonts w:ascii="宋体" w:hAnsi="宋体" w:cs="宋体" w:eastAsia="宋体" w:hint="default"/>
          <w:sz w:val="18"/>
          <w:szCs w:val="18"/>
        </w:rPr>
        <w:t>提供信用担保方式获得流动</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49</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子提供信用担保方式获得流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50</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子提供信用担保方式获得流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51</w:t>
      </w:r>
      <w:r>
        <w:rPr>
          <w:rFonts w:ascii="宋体" w:hAnsi="宋体" w:cs="宋体" w:eastAsia="宋体" w:hint="default"/>
          <w:spacing w:val="-10"/>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pacing w:val="-1"/>
          <w:sz w:val="18"/>
          <w:szCs w:val="18"/>
        </w:rPr>
        <w:t>武</w:t>
      </w:r>
      <w:r>
        <w:rPr>
          <w:rFonts w:ascii="宋体" w:hAnsi="宋体" w:cs="宋体" w:eastAsia="宋体" w:hint="default"/>
          <w:spacing w:val="-3"/>
          <w:sz w:val="18"/>
          <w:szCs w:val="18"/>
        </w:rPr>
        <w:t>汉</w:t>
      </w:r>
      <w:r>
        <w:rPr>
          <w:rFonts w:ascii="宋体" w:hAnsi="宋体" w:cs="宋体" w:eastAsia="宋体" w:hint="default"/>
          <w:sz w:val="18"/>
          <w:szCs w:val="18"/>
        </w:rPr>
        <w:t>长光电源有限公司与中电财务签</w:t>
      </w:r>
      <w:r>
        <w:rPr>
          <w:rFonts w:ascii="宋体" w:hAnsi="宋体" w:cs="宋体" w:eastAsia="宋体" w:hint="default"/>
          <w:spacing w:val="-10"/>
          <w:sz w:val="18"/>
          <w:szCs w:val="18"/>
        </w:rPr>
        <w:t>订</w:t>
      </w:r>
      <w:r>
        <w:rPr>
          <w:rFonts w:ascii="宋体" w:hAnsi="宋体" w:cs="宋体" w:eastAsia="宋体" w:hint="default"/>
          <w:sz w:val="18"/>
          <w:szCs w:val="18"/>
        </w:rPr>
        <w:t>《借款合同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以中原电</w:t>
      </w:r>
      <w:r>
        <w:rPr>
          <w:rFonts w:ascii="宋体" w:hAnsi="宋体" w:cs="宋体" w:eastAsia="宋体" w:hint="default"/>
          <w:spacing w:val="2"/>
          <w:sz w:val="18"/>
          <w:szCs w:val="18"/>
        </w:rPr>
        <w:t>子</w:t>
      </w:r>
      <w:r>
        <w:rPr>
          <w:rFonts w:ascii="宋体" w:hAnsi="宋体" w:cs="宋体" w:eastAsia="宋体" w:hint="default"/>
          <w:sz w:val="18"/>
          <w:szCs w:val="18"/>
        </w:rPr>
        <w:t>提供信用担保方式获得流动</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52</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子提供信用担保方式获得流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53</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子提供信用担保方式获得流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54</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w:t>
      </w:r>
      <w:r>
        <w:rPr>
          <w:rFonts w:ascii="宋体" w:hAnsi="宋体" w:cs="宋体" w:eastAsia="宋体" w:hint="default"/>
          <w:spacing w:val="1"/>
          <w:sz w:val="18"/>
          <w:szCs w:val="18"/>
        </w:rPr>
        <w:t>供</w:t>
      </w:r>
      <w:r>
        <w:rPr>
          <w:rFonts w:ascii="宋体" w:hAnsi="宋体" w:cs="宋体" w:eastAsia="宋体" w:hint="default"/>
          <w:sz w:val="18"/>
          <w:szCs w:val="18"/>
        </w:rPr>
        <w:t>信用担保方式获得流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55</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子提供信用担保方式获得流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56</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子提供信用担保方式获得流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个月。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57</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子提供信用担保方式获得流</w:t>
      </w:r>
    </w:p>
    <w:p>
      <w:pPr>
        <w:spacing w:before="62"/>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个月。</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58</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汉长光电源有限公司与中电财务签订《借款合同</w:t>
      </w:r>
      <w:r>
        <w:rPr>
          <w:rFonts w:ascii="宋体" w:hAnsi="宋体" w:cs="宋体" w:eastAsia="宋体" w:hint="default"/>
          <w:spacing w:val="-92"/>
          <w:sz w:val="18"/>
          <w:szCs w:val="18"/>
        </w:rPr>
        <w:t>》</w:t>
      </w:r>
      <w:r>
        <w:rPr>
          <w:rFonts w:ascii="宋体" w:hAnsi="宋体" w:cs="宋体" w:eastAsia="宋体" w:hint="default"/>
          <w:sz w:val="18"/>
          <w:szCs w:val="18"/>
        </w:rPr>
        <w:t>，以中原</w:t>
      </w:r>
      <w:r>
        <w:rPr>
          <w:rFonts w:ascii="宋体" w:hAnsi="宋体" w:cs="宋体" w:eastAsia="宋体" w:hint="default"/>
          <w:spacing w:val="2"/>
          <w:sz w:val="18"/>
          <w:szCs w:val="18"/>
        </w:rPr>
        <w:t>电</w:t>
      </w:r>
      <w:r>
        <w:rPr>
          <w:rFonts w:ascii="宋体" w:hAnsi="宋体" w:cs="宋体" w:eastAsia="宋体" w:hint="default"/>
          <w:sz w:val="18"/>
          <w:szCs w:val="18"/>
        </w:rPr>
        <w:t>子提供信用担保方式获得流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个月。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59</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w:t>
      </w:r>
      <w:r>
        <w:rPr>
          <w:rFonts w:ascii="宋体" w:hAnsi="宋体" w:cs="宋体" w:eastAsia="宋体" w:hint="default"/>
          <w:spacing w:val="-8"/>
          <w:sz w:val="18"/>
          <w:szCs w:val="18"/>
        </w:rPr>
        <w:t>订</w:t>
      </w:r>
      <w:r>
        <w:rPr>
          <w:rFonts w:ascii="宋体" w:hAnsi="宋体" w:cs="宋体" w:eastAsia="宋体" w:hint="default"/>
          <w:sz w:val="18"/>
          <w:szCs w:val="18"/>
        </w:rPr>
        <w:t>《借款合同</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以中原电子提供信用担保方式获得流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60</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pacing w:val="-3"/>
          <w:sz w:val="18"/>
          <w:szCs w:val="18"/>
        </w:rPr>
        <w:t>武</w:t>
      </w:r>
      <w:r>
        <w:rPr>
          <w:rFonts w:ascii="宋体" w:hAnsi="宋体" w:cs="宋体" w:eastAsia="宋体" w:hint="default"/>
          <w:sz w:val="18"/>
          <w:szCs w:val="18"/>
        </w:rPr>
        <w:t>汉长光电源有限公司与中电财务签</w:t>
      </w:r>
      <w:r>
        <w:rPr>
          <w:rFonts w:ascii="宋体" w:hAnsi="宋体" w:cs="宋体" w:eastAsia="宋体" w:hint="default"/>
          <w:spacing w:val="-8"/>
          <w:sz w:val="18"/>
          <w:szCs w:val="18"/>
        </w:rPr>
        <w:t>订</w:t>
      </w:r>
      <w:r>
        <w:rPr>
          <w:rFonts w:ascii="宋体" w:hAnsi="宋体" w:cs="宋体" w:eastAsia="宋体" w:hint="default"/>
          <w:sz w:val="18"/>
          <w:szCs w:val="18"/>
        </w:rPr>
        <w:t>《借款合同</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以中原电子提供信用担保方式获得流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动资金借款人民币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8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61</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长</w:t>
      </w:r>
      <w:r>
        <w:rPr>
          <w:rFonts w:ascii="宋体" w:hAnsi="宋体" w:cs="宋体" w:eastAsia="宋体" w:hint="default"/>
          <w:sz w:val="18"/>
          <w:szCs w:val="18"/>
        </w:rPr>
        <w:t>沙湘计海盾科技有限公司与中电财务签订《综合授信合同</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以公司提供信用担保方式获</w:t>
      </w:r>
    </w:p>
    <w:p>
      <w:pPr>
        <w:spacing w:before="60"/>
        <w:ind w:left="152" w:right="1133" w:firstLine="0"/>
        <w:jc w:val="left"/>
        <w:rPr>
          <w:rFonts w:ascii="宋体" w:hAnsi="宋体" w:cs="宋体" w:eastAsia="宋体" w:hint="default"/>
          <w:sz w:val="18"/>
          <w:szCs w:val="18"/>
        </w:rPr>
      </w:pPr>
      <w:r>
        <w:rPr>
          <w:rFonts w:ascii="宋体" w:hAnsi="宋体" w:cs="宋体" w:eastAsia="宋体" w:hint="default"/>
          <w:sz w:val="18"/>
          <w:szCs w:val="18"/>
        </w:rPr>
        <w:t>得综合授信额度人民币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亿元，期限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line="240" w:lineRule="auto" w:before="8"/>
        <w:rPr>
          <w:rFonts w:ascii="宋体" w:hAnsi="宋体" w:cs="宋体" w:eastAsia="宋体" w:hint="default"/>
          <w:sz w:val="19"/>
          <w:szCs w:val="19"/>
        </w:rPr>
      </w:pPr>
    </w:p>
    <w:p>
      <w:pPr>
        <w:pStyle w:val="Heading4"/>
        <w:spacing w:line="240" w:lineRule="auto"/>
        <w:ind w:right="1133"/>
        <w:jc w:val="left"/>
        <w:rPr>
          <w:b w:val="0"/>
          <w:bCs w:val="0"/>
        </w:rPr>
      </w:pPr>
      <w:r>
        <w:rPr/>
        <w:t>十八、社会责任情况</w:t>
      </w:r>
      <w:r>
        <w:rPr>
          <w:b w:val="0"/>
          <w:bCs w:val="0"/>
        </w:rPr>
      </w:r>
    </w:p>
    <w:p>
      <w:pPr>
        <w:spacing w:line="240" w:lineRule="auto" w:before="12"/>
        <w:rPr>
          <w:rFonts w:ascii="宋体" w:hAnsi="宋体" w:cs="宋体" w:eastAsia="宋体" w:hint="default"/>
          <w:b/>
          <w:bCs/>
          <w:sz w:val="19"/>
          <w:szCs w:val="19"/>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0"/>
        <w:rPr>
          <w:rFonts w:ascii="宋体" w:hAnsi="宋体" w:cs="宋体" w:eastAsia="宋体" w:hint="default"/>
          <w:b/>
          <w:bCs/>
          <w:sz w:val="21"/>
          <w:szCs w:val="21"/>
        </w:rPr>
      </w:pPr>
    </w:p>
    <w:p>
      <w:pPr>
        <w:spacing w:line="319" w:lineRule="auto" w:before="0"/>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报告期内，公司广大干部员工的社会责任意识普遍增强，公司在利益相关方的权益保护、环境保护以及公益事业等方面</w:t>
      </w:r>
      <w:r>
        <w:rPr>
          <w:rFonts w:ascii="宋体" w:hAnsi="宋体" w:cs="宋体" w:eastAsia="宋体" w:hint="default"/>
          <w:sz w:val="18"/>
          <w:szCs w:val="18"/>
        </w:rPr>
        <w:t> </w:t>
      </w:r>
      <w:r>
        <w:rPr>
          <w:rFonts w:ascii="宋体" w:hAnsi="宋体" w:cs="宋体" w:eastAsia="宋体" w:hint="default"/>
          <w:spacing w:val="-4"/>
          <w:sz w:val="18"/>
          <w:szCs w:val="18"/>
        </w:rPr>
        <w:t>切实履行了自身责任，得到了社会与公众的肯定。作为一家有志于做优、做强的大型国有控股上市公司，公司将以“高质量”</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发展为遵循，更加积极地履行社会责任，高标准地建立可持续发展管理体系，更加重视经济发展、社会进步、环境保护、资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源利用四者的和谐统一，为国家建设环境友好型、资源节约型社会，大力发展循环经济承担更大责任，为电子信息产业的发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展做出更大的贡献。</w:t>
      </w:r>
    </w:p>
    <w:p>
      <w:pPr>
        <w:spacing w:before="58"/>
        <w:ind w:left="513" w:right="0" w:firstLine="0"/>
        <w:jc w:val="left"/>
        <w:rPr>
          <w:rFonts w:ascii="宋体" w:hAnsi="宋体" w:cs="宋体" w:eastAsia="宋体" w:hint="default"/>
          <w:sz w:val="18"/>
          <w:szCs w:val="18"/>
        </w:rPr>
      </w:pPr>
      <w:r>
        <w:rPr>
          <w:rFonts w:ascii="宋体" w:hAnsi="宋体" w:cs="宋体" w:eastAsia="宋体" w:hint="default"/>
          <w:sz w:val="18"/>
          <w:szCs w:val="18"/>
        </w:rPr>
        <w:t>社会责任报告全文具体详见公司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日在巨潮资讯网（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）披露的《中国长城科技集</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年度社</w:t>
      </w:r>
      <w:r>
        <w:rPr>
          <w:rFonts w:ascii="宋体" w:hAnsi="宋体" w:cs="宋体" w:eastAsia="宋体" w:hint="default"/>
          <w:spacing w:val="-3"/>
          <w:sz w:val="18"/>
          <w:szCs w:val="18"/>
        </w:rPr>
        <w:t>会</w:t>
      </w:r>
      <w:r>
        <w:rPr>
          <w:rFonts w:ascii="宋体" w:hAnsi="宋体" w:cs="宋体" w:eastAsia="宋体" w:hint="default"/>
          <w:sz w:val="18"/>
          <w:szCs w:val="18"/>
        </w:rPr>
        <w:t>责任报告</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5"/>
        <w:rPr>
          <w:rFonts w:ascii="宋体" w:hAnsi="宋体" w:cs="宋体" w:eastAsia="宋体" w:hint="default"/>
          <w:sz w:val="21"/>
          <w:szCs w:val="21"/>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3"/>
        <w:rPr>
          <w:rFonts w:ascii="宋体" w:hAnsi="宋体" w:cs="宋体" w:eastAsia="宋体" w:hint="default"/>
          <w:b/>
          <w:bCs/>
          <w:sz w:val="19"/>
          <w:szCs w:val="19"/>
        </w:rPr>
      </w:pPr>
    </w:p>
    <w:p>
      <w:pPr>
        <w:pStyle w:val="Heading5"/>
        <w:spacing w:line="240" w:lineRule="auto" w:before="0"/>
        <w:ind w:left="152" w:right="1133"/>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319" w:lineRule="auto" w:before="164"/>
        <w:ind w:left="152" w:right="0" w:firstLine="360"/>
        <w:jc w:val="left"/>
        <w:rPr>
          <w:rFonts w:ascii="宋体" w:hAnsi="宋体" w:cs="宋体" w:eastAsia="宋体" w:hint="default"/>
          <w:sz w:val="18"/>
          <w:szCs w:val="18"/>
        </w:rPr>
      </w:pPr>
      <w:r>
        <w:rPr>
          <w:rFonts w:ascii="宋体" w:hAnsi="宋体" w:cs="宋体" w:eastAsia="宋体" w:hint="default"/>
          <w:spacing w:val="-6"/>
          <w:sz w:val="18"/>
          <w:szCs w:val="18"/>
        </w:rPr>
        <w:t>充分发挥企业优势，聚焦信息化扶贫，依托网信资源优势，以“云教室”、“七彩小屋”为抓手，助力贫困地区提升教育</w:t>
      </w:r>
      <w:r>
        <w:rPr>
          <w:rFonts w:ascii="宋体" w:hAnsi="宋体" w:cs="宋体" w:eastAsia="宋体" w:hint="default"/>
          <w:sz w:val="18"/>
          <w:szCs w:val="18"/>
        </w:rPr>
        <w:t> </w:t>
      </w:r>
      <w:r>
        <w:rPr>
          <w:rFonts w:ascii="宋体" w:hAnsi="宋体" w:cs="宋体" w:eastAsia="宋体" w:hint="default"/>
          <w:spacing w:val="-2"/>
          <w:sz w:val="18"/>
          <w:szCs w:val="18"/>
        </w:rPr>
        <w:t>信息化水平。通过爱心捐助、志愿服务、主题党日等活动，持续打造“点亮爱•七彩小屋”品牌志愿服务，展形象，勇担当，</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为打赢脱贫攻坚战贡献力量。</w:t>
      </w:r>
    </w:p>
    <w:p>
      <w:pPr>
        <w:spacing w:line="240" w:lineRule="auto" w:before="12"/>
        <w:rPr>
          <w:rFonts w:ascii="宋体" w:hAnsi="宋体" w:cs="宋体" w:eastAsia="宋体" w:hint="default"/>
          <w:sz w:val="17"/>
          <w:szCs w:val="17"/>
        </w:rPr>
      </w:pPr>
    </w:p>
    <w:p>
      <w:pPr>
        <w:pStyle w:val="Heading5"/>
        <w:spacing w:line="240" w:lineRule="auto" w:before="0"/>
        <w:ind w:left="152" w:right="1133"/>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300" w:lineRule="auto" w:before="164"/>
        <w:ind w:left="152" w:right="11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年，中国长城累计捐赠约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84.66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万元，其中上拨给中国电子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w:t>
      </w:r>
      <w:r>
        <w:rPr>
          <w:rFonts w:ascii="宋体" w:hAnsi="宋体" w:cs="宋体" w:eastAsia="宋体" w:hint="default"/>
          <w:sz w:val="18"/>
          <w:szCs w:val="18"/>
        </w:rPr>
        <w:t>万元扶贫专项资金（中国电子统筹统支开展定点帮 </w:t>
      </w:r>
      <w:r>
        <w:rPr>
          <w:rFonts w:ascii="宋体" w:hAnsi="宋体" w:cs="宋体" w:eastAsia="宋体" w:hint="default"/>
          <w:spacing w:val="-5"/>
          <w:sz w:val="18"/>
          <w:szCs w:val="18"/>
        </w:rPr>
        <w:t>扶工作），以实际行动支持扶贫工作的开展。</w:t>
      </w:r>
    </w:p>
    <w:p>
      <w:pPr>
        <w:spacing w:line="300" w:lineRule="auto" w:before="72"/>
        <w:ind w:left="152" w:right="11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日，海盾光纤为湖南长沙“慢天使”（脑瘫儿童）送去大米、书籍等爱心物资，并和“慢天使”一起阅</w:t>
      </w:r>
      <w:r>
        <w:rPr>
          <w:rFonts w:ascii="宋体" w:hAnsi="宋体" w:cs="宋体" w:eastAsia="宋体" w:hint="default"/>
          <w:sz w:val="18"/>
          <w:szCs w:val="18"/>
        </w:rPr>
        <w:t> 读，一起做互动游戏。</w:t>
      </w:r>
    </w:p>
    <w:p>
      <w:pPr>
        <w:spacing w:line="300" w:lineRule="auto" w:before="70"/>
        <w:ind w:left="152" w:right="11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日，湘计海盾</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多名爱心志愿者走进“长沙县光荣院”，开展公益活动。志愿者们为老前辈们精心准备</w:t>
      </w:r>
      <w:r>
        <w:rPr>
          <w:rFonts w:ascii="宋体" w:hAnsi="宋体" w:cs="宋体" w:eastAsia="宋体" w:hint="default"/>
          <w:sz w:val="18"/>
          <w:szCs w:val="18"/>
        </w:rPr>
        <w:t> 了舞蹈、诗歌朗诵，以及单口相声等节目，精彩纷呈的节目给老人们带去许多欢乐。</w:t>
      </w:r>
    </w:p>
    <w:p>
      <w:pPr>
        <w:spacing w:before="72"/>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月，湖南省株洲市受长时间持续暴雨影响，多地出现灾情，汛情十分严重。三门镇</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个村庄受灾严重，受灾</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群众达</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余人。湖南长城迅速召开紧急会议，迅速组成了一支</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人的应急抢险队参与抗洪战备值班，并将矿泉水、方 便面、牛奶、面包等应急物资送达三门镇。一箱一箱的物资，承载着长城人满满的爱心和社会责任感。</w:t>
      </w:r>
    </w:p>
    <w:p>
      <w:pPr>
        <w:spacing w:before="7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8"/>
          <w:sz w:val="18"/>
          <w:szCs w:val="18"/>
        </w:rPr>
        <w:t>，</w:t>
      </w:r>
      <w:r>
        <w:rPr>
          <w:rFonts w:ascii="宋体" w:hAnsi="宋体" w:cs="宋体" w:eastAsia="宋体" w:hint="default"/>
          <w:sz w:val="18"/>
          <w:szCs w:val="18"/>
        </w:rPr>
        <w:t>长城金融发起</w:t>
      </w:r>
      <w:r>
        <w:rPr>
          <w:rFonts w:ascii="宋体" w:hAnsi="宋体" w:cs="宋体" w:eastAsia="宋体" w:hint="default"/>
          <w:spacing w:val="-10"/>
          <w:sz w:val="18"/>
          <w:szCs w:val="18"/>
        </w:rPr>
        <w:t>了</w:t>
      </w:r>
      <w:r>
        <w:rPr>
          <w:rFonts w:ascii="宋体" w:hAnsi="宋体" w:cs="宋体" w:eastAsia="宋体" w:hint="default"/>
          <w:sz w:val="18"/>
          <w:szCs w:val="18"/>
        </w:rPr>
        <w:t>“向重病员工张先兵献爱心募捐活动</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公司领导带头捐款</w:t>
      </w:r>
      <w:r>
        <w:rPr>
          <w:rFonts w:ascii="宋体" w:hAnsi="宋体" w:cs="宋体" w:eastAsia="宋体" w:hint="default"/>
          <w:spacing w:val="-8"/>
          <w:sz w:val="18"/>
          <w:szCs w:val="18"/>
        </w:rPr>
        <w:t>，</w:t>
      </w:r>
      <w:r>
        <w:rPr>
          <w:rFonts w:ascii="宋体" w:hAnsi="宋体" w:cs="宋体" w:eastAsia="宋体" w:hint="default"/>
          <w:sz w:val="18"/>
          <w:szCs w:val="18"/>
        </w:rPr>
        <w:t>各部门员工积极响应</w:t>
      </w:r>
      <w:r>
        <w:rPr>
          <w:rFonts w:ascii="宋体" w:hAnsi="宋体" w:cs="宋体" w:eastAsia="宋体" w:hint="default"/>
          <w:spacing w:val="-8"/>
          <w:sz w:val="18"/>
          <w:szCs w:val="18"/>
        </w:rPr>
        <w:t>，</w:t>
      </w:r>
      <w:r>
        <w:rPr>
          <w:rFonts w:ascii="宋体" w:hAnsi="宋体" w:cs="宋体" w:eastAsia="宋体" w:hint="default"/>
          <w:sz w:val="18"/>
          <w:szCs w:val="18"/>
        </w:rPr>
        <w:t>纷纷</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伸出援助之手，经过短短一周的募捐，共收到爱心捐款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105,708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日将这份善款送到张先兵手中。</w:t>
      </w:r>
    </w:p>
    <w:p>
      <w:pPr>
        <w:spacing w:before="101"/>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日，中国长城第七党支部、第八党支部联合组织开展“长龙青年手拉手•走进华塘学校”爱心捐赠主题</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党日活动。青年志愿者们在湖南湘西龙山华塘学校开展“三个一”活动，即一份鼓励，为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名孩子送上书包和文具；一份</w:t>
      </w:r>
    </w:p>
    <w:p>
      <w:pPr>
        <w:spacing w:before="63"/>
        <w:ind w:left="152" w:right="0" w:firstLine="0"/>
        <w:jc w:val="left"/>
        <w:rPr>
          <w:rFonts w:ascii="宋体" w:hAnsi="宋体" w:cs="宋体" w:eastAsia="宋体" w:hint="default"/>
          <w:sz w:val="18"/>
          <w:szCs w:val="18"/>
        </w:rPr>
      </w:pPr>
      <w:r>
        <w:rPr>
          <w:rFonts w:ascii="宋体" w:hAnsi="宋体" w:cs="宋体" w:eastAsia="宋体" w:hint="default"/>
          <w:spacing w:val="-6"/>
          <w:sz w:val="18"/>
          <w:szCs w:val="18"/>
        </w:rPr>
        <w:t>温暖，为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名孩子送上暖冬的棉衣；一份关怀，为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名孩子每人缴纳一个月的生活费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元。并将公司长沙地区员工捐赠</w:t>
      </w:r>
    </w:p>
    <w:p>
      <w:pPr>
        <w:spacing w:before="62"/>
        <w:ind w:left="152" w:right="1133" w:firstLine="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2,140 </w:t>
      </w:r>
      <w:r>
        <w:rPr>
          <w:rFonts w:ascii="宋体" w:hAnsi="宋体" w:cs="宋体" w:eastAsia="宋体" w:hint="default"/>
          <w:sz w:val="18"/>
          <w:szCs w:val="18"/>
        </w:rPr>
        <w:t>册图书送到学校。</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before="44"/>
        <w:ind w:left="1053" w:right="10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日，中国长城团委组织长沙、深圳、武汉、海南四地青年志愿者赴海南临高县带笏日松希望小学开展“点</w:t>
      </w:r>
    </w:p>
    <w:p>
      <w:pPr>
        <w:spacing w:line="309" w:lineRule="auto" w:before="63"/>
        <w:ind w:left="692" w:right="1131" w:firstLine="0"/>
        <w:jc w:val="both"/>
        <w:rPr>
          <w:rFonts w:ascii="宋体" w:hAnsi="宋体" w:cs="宋体" w:eastAsia="宋体" w:hint="default"/>
          <w:sz w:val="18"/>
          <w:szCs w:val="18"/>
        </w:rPr>
      </w:pPr>
      <w:r>
        <w:rPr>
          <w:rFonts w:ascii="宋体" w:hAnsi="宋体" w:cs="宋体" w:eastAsia="宋体" w:hint="default"/>
          <w:sz w:val="18"/>
          <w:szCs w:val="18"/>
        </w:rPr>
        <w:t>亮爱•七彩小屋”品牌志愿服务活动，为学校送去电脑、办公桌、书籍、体育器材等物资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万余元。当天，志愿者们还为孩 </w:t>
      </w:r>
      <w:r>
        <w:rPr>
          <w:rFonts w:ascii="宋体" w:hAnsi="宋体" w:cs="宋体" w:eastAsia="宋体" w:hint="default"/>
          <w:spacing w:val="-4"/>
          <w:sz w:val="18"/>
          <w:szCs w:val="18"/>
        </w:rPr>
        <w:t>子们开展电脑知识培训，与师生共唱《我和我的祖国》。拳拳爱心点亮希望之光，片片真情描绘七彩梦想，“点亮爱•七彩小</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屋”活动传递长城温情、彰显央企担当。</w:t>
      </w:r>
    </w:p>
    <w:p>
      <w:pPr>
        <w:spacing w:line="240" w:lineRule="auto" w:before="6"/>
        <w:rPr>
          <w:rFonts w:ascii="宋体" w:hAnsi="宋体" w:cs="宋体" w:eastAsia="宋体" w:hint="default"/>
          <w:sz w:val="18"/>
          <w:szCs w:val="18"/>
        </w:rPr>
      </w:pPr>
    </w:p>
    <w:p>
      <w:pPr>
        <w:pStyle w:val="Heading5"/>
        <w:spacing w:line="240" w:lineRule="auto" w:before="0"/>
        <w:ind w:left="692" w:right="0"/>
        <w:jc w:val="both"/>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2"/>
        <w:rPr>
          <w:rFonts w:ascii="宋体" w:hAnsi="宋体" w:cs="宋体" w:eastAsia="宋体" w:hint="default"/>
          <w:b/>
          <w:bCs/>
          <w:sz w:val="20"/>
          <w:szCs w:val="20"/>
        </w:rPr>
      </w:pPr>
    </w:p>
    <w:tbl>
      <w:tblPr>
        <w:tblW w:w="0" w:type="auto"/>
        <w:jc w:val="left"/>
        <w:tblInd w:w="724" w:type="dxa"/>
        <w:tblLayout w:type="fixed"/>
        <w:tblCellMar>
          <w:top w:w="0" w:type="dxa"/>
          <w:left w:w="0" w:type="dxa"/>
          <w:bottom w:w="0" w:type="dxa"/>
          <w:right w:w="0" w:type="dxa"/>
        </w:tblCellMar>
        <w:tblLook w:val="01E0"/>
      </w:tblPr>
      <w:tblGrid>
        <w:gridCol w:w="3935"/>
        <w:gridCol w:w="1560"/>
        <w:gridCol w:w="4073"/>
      </w:tblGrid>
      <w:tr>
        <w:trPr>
          <w:trHeight w:val="362"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358"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6"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84.66</w:t>
            </w:r>
          </w:p>
        </w:tc>
      </w:tr>
      <w:tr>
        <w:trPr>
          <w:trHeight w:val="366"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18"/>
                <w:szCs w:val="18"/>
              </w:rPr>
            </w:pPr>
            <w:r>
              <w:rPr>
                <w:rFonts w:ascii="Times New Roman"/>
                <w:sz w:val="18"/>
              </w:rPr>
              <w:t>13.49</w:t>
            </w:r>
          </w:p>
        </w:tc>
      </w:tr>
      <w:tr>
        <w:trPr>
          <w:trHeight w:val="358"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3"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3"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2"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1"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6"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18"/>
                <w:szCs w:val="18"/>
              </w:rPr>
            </w:pPr>
            <w:r>
              <w:rPr>
                <w:rFonts w:ascii="Times New Roman"/>
                <w:sz w:val="18"/>
              </w:rPr>
              <w:t>12.44</w:t>
            </w:r>
          </w:p>
        </w:tc>
      </w:tr>
      <w:tr>
        <w:trPr>
          <w:trHeight w:val="358"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2"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2"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58"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72"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8.2 </w:t>
            </w:r>
            <w:r>
              <w:rPr>
                <w:rFonts w:ascii="宋体" w:hAnsi="宋体" w:cs="宋体" w:eastAsia="宋体" w:hint="default"/>
                <w:sz w:val="18"/>
                <w:szCs w:val="18"/>
              </w:rPr>
              <w:t>定点扶贫工作投入金额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70.00</w:t>
            </w:r>
          </w:p>
        </w:tc>
      </w:tr>
      <w:tr>
        <w:trPr>
          <w:trHeight w:val="350"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8"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7</w:t>
            </w:r>
          </w:p>
        </w:tc>
      </w:tr>
      <w:tr>
        <w:trPr>
          <w:trHeight w:val="367"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15.71</w:t>
            </w:r>
          </w:p>
        </w:tc>
      </w:tr>
      <w:tr>
        <w:trPr>
          <w:trHeight w:val="358" w:hRule="exact"/>
        </w:trPr>
        <w:tc>
          <w:tcPr>
            <w:tcW w:w="3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8"/>
        <w:rPr>
          <w:rFonts w:ascii="宋体" w:hAnsi="宋体" w:cs="宋体" w:eastAsia="宋体" w:hint="default"/>
          <w:b/>
          <w:bCs/>
          <w:sz w:val="14"/>
          <w:szCs w:val="14"/>
        </w:rPr>
      </w:pPr>
    </w:p>
    <w:p>
      <w:pPr>
        <w:pStyle w:val="Heading5"/>
        <w:spacing w:line="240" w:lineRule="auto"/>
        <w:ind w:left="692" w:right="1025"/>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1"/>
          <w:szCs w:val="21"/>
        </w:rPr>
      </w:pPr>
    </w:p>
    <w:p>
      <w:pPr>
        <w:spacing w:line="309" w:lineRule="auto" w:before="0"/>
        <w:ind w:left="69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公司将继续积极响应党中央、国务院脱贫攻坚号召，根据上级党组织的部署，始终坚持将精准扶贫作为一项政治任务和</w:t>
      </w:r>
      <w:r>
        <w:rPr>
          <w:rFonts w:ascii="宋体" w:hAnsi="宋体" w:cs="宋体" w:eastAsia="宋体" w:hint="default"/>
          <w:sz w:val="18"/>
          <w:szCs w:val="18"/>
        </w:rPr>
        <w:t> 责任使命，充分利用好企业资源，做好精准扶贫、专项扶贫工作，为党中央制定“到</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年现行标准下的农村贫困人口全 部脱贫”的目标积极贡献。</w:t>
      </w:r>
    </w:p>
    <w:p>
      <w:pPr>
        <w:spacing w:line="240" w:lineRule="auto" w:before="6"/>
        <w:rPr>
          <w:rFonts w:ascii="宋体" w:hAnsi="宋体" w:cs="宋体" w:eastAsia="宋体" w:hint="default"/>
          <w:sz w:val="18"/>
          <w:szCs w:val="18"/>
        </w:rPr>
      </w:pPr>
    </w:p>
    <w:p>
      <w:pPr>
        <w:pStyle w:val="Heading5"/>
        <w:spacing w:line="240" w:lineRule="auto" w:before="0"/>
        <w:ind w:left="692" w:right="1025"/>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10"/>
        <w:rPr>
          <w:rFonts w:ascii="宋体" w:hAnsi="宋体" w:cs="宋体" w:eastAsia="宋体" w:hint="default"/>
          <w:b/>
          <w:bCs/>
          <w:sz w:val="21"/>
          <w:szCs w:val="21"/>
        </w:rPr>
      </w:pPr>
    </w:p>
    <w:p>
      <w:pPr>
        <w:spacing w:line="360" w:lineRule="auto" w:before="0"/>
        <w:ind w:left="1053" w:right="5714" w:hanging="361"/>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是</w:t>
      </w:r>
    </w:p>
    <w:tbl>
      <w:tblPr>
        <w:tblW w:w="0" w:type="auto"/>
        <w:jc w:val="left"/>
        <w:tblInd w:w="119" w:type="dxa"/>
        <w:tblLayout w:type="fixed"/>
        <w:tblCellMar>
          <w:top w:w="0" w:type="dxa"/>
          <w:left w:w="0" w:type="dxa"/>
          <w:bottom w:w="0" w:type="dxa"/>
          <w:right w:w="0" w:type="dxa"/>
        </w:tblCellMar>
        <w:tblLook w:val="01E0"/>
      </w:tblPr>
      <w:tblGrid>
        <w:gridCol w:w="994"/>
        <w:gridCol w:w="991"/>
        <w:gridCol w:w="994"/>
        <w:gridCol w:w="709"/>
        <w:gridCol w:w="1985"/>
        <w:gridCol w:w="1133"/>
        <w:gridCol w:w="1135"/>
        <w:gridCol w:w="994"/>
        <w:gridCol w:w="991"/>
        <w:gridCol w:w="850"/>
      </w:tblGrid>
      <w:tr>
        <w:trPr>
          <w:trHeight w:val="98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2"/>
              <w:ind w:left="40" w:right="38"/>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排放方式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排放口 数量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排放口分布情况</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排放浓度</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12" w:right="110"/>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排放总量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338" w:lineRule="auto"/>
              <w:ind w:left="132" w:right="127" w:firstLine="88"/>
              <w:jc w:val="left"/>
              <w:rPr>
                <w:rFonts w:ascii="宋体" w:hAnsi="宋体" w:cs="宋体" w:eastAsia="宋体" w:hint="default"/>
                <w:sz w:val="18"/>
                <w:szCs w:val="18"/>
              </w:rPr>
            </w:pPr>
            <w:r>
              <w:rPr>
                <w:rFonts w:ascii="宋体" w:hAnsi="宋体" w:cs="宋体" w:eastAsia="宋体" w:hint="default"/>
                <w:sz w:val="18"/>
                <w:szCs w:val="18"/>
              </w:rPr>
              <w:t>核定的 排放总量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超标排放 情况</w:t>
            </w:r>
          </w:p>
        </w:tc>
      </w:tr>
      <w:tr>
        <w:trPr>
          <w:trHeight w:val="362" w:hRule="exact"/>
        </w:trPr>
        <w:tc>
          <w:tcPr>
            <w:tcW w:w="994" w:type="dxa"/>
            <w:vMerge w:val="restart"/>
            <w:tcBorders>
              <w:top w:val="single" w:sz="4" w:space="0" w:color="000000"/>
              <w:left w:val="single" w:sz="4" w:space="0" w:color="000000"/>
              <w:right w:val="single" w:sz="4" w:space="0" w:color="000000"/>
            </w:tcBorders>
          </w:tcPr>
          <w:p>
            <w:pPr>
              <w:pStyle w:val="TableParagraph"/>
              <w:spacing w:line="314" w:lineRule="auto" w:before="58"/>
              <w:ind w:left="23" w:right="58"/>
              <w:jc w:val="left"/>
              <w:rPr>
                <w:rFonts w:ascii="宋体" w:hAnsi="宋体" w:cs="宋体" w:eastAsia="宋体" w:hint="default"/>
                <w:sz w:val="18"/>
                <w:szCs w:val="18"/>
              </w:rPr>
            </w:pPr>
            <w:r>
              <w:rPr>
                <w:rFonts w:ascii="宋体" w:hAnsi="宋体" w:cs="宋体" w:eastAsia="宋体" w:hint="default"/>
                <w:sz w:val="18"/>
                <w:szCs w:val="18"/>
              </w:rPr>
              <w:t>武汉长光电 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COD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厂区东面</w:t>
            </w:r>
          </w:p>
          <w:p>
            <w:pPr>
              <w:pStyle w:val="TableParagraph"/>
              <w:spacing w:line="240" w:lineRule="auto" w:before="93"/>
              <w:ind w:left="23" w:right="0"/>
              <w:jc w:val="left"/>
              <w:rPr>
                <w:rFonts w:ascii="宋体" w:hAnsi="宋体" w:cs="宋体" w:eastAsia="宋体" w:hint="default"/>
                <w:sz w:val="18"/>
                <w:szCs w:val="18"/>
              </w:rPr>
            </w:pPr>
            <w:r>
              <w:rPr>
                <w:rFonts w:ascii="宋体" w:hAnsi="宋体" w:cs="宋体" w:eastAsia="宋体" w:hint="default"/>
                <w:sz w:val="18"/>
                <w:szCs w:val="18"/>
              </w:rPr>
              <w:t>（经度</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114</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18.8mg/L</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150mg/L</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1,414kg</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99" w:right="0"/>
              <w:jc w:val="left"/>
              <w:rPr>
                <w:rFonts w:ascii="Times New Roman" w:hAnsi="Times New Roman" w:cs="Times New Roman" w:eastAsia="Times New Roman" w:hint="default"/>
                <w:sz w:val="18"/>
                <w:szCs w:val="18"/>
              </w:rPr>
            </w:pPr>
            <w:r>
              <w:rPr>
                <w:rFonts w:ascii="Times New Roman"/>
                <w:sz w:val="18"/>
              </w:rPr>
              <w:t>5,490kg</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2" w:hRule="exact"/>
        </w:trPr>
        <w:tc>
          <w:tcPr>
            <w:tcW w:w="994" w:type="dxa"/>
            <w:vMerge/>
            <w:tcBorders>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总铅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9" w:type="dxa"/>
            <w:vMerge/>
            <w:tcBorders>
              <w:left w:val="single" w:sz="4" w:space="0" w:color="000000"/>
              <w:bottom w:val="nil" w:sz="6" w:space="0" w:color="auto"/>
              <w:right w:val="single" w:sz="4" w:space="0" w:color="000000"/>
            </w:tcBorders>
          </w:tcPr>
          <w:p>
            <w:pPr/>
          </w:p>
        </w:tc>
        <w:tc>
          <w:tcPr>
            <w:tcW w:w="1985" w:type="dxa"/>
            <w:vMerge/>
            <w:tcBorders>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0.15mg/L</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0.5mg/L</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11.2kg</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4" w:right="0"/>
              <w:jc w:val="left"/>
              <w:rPr>
                <w:rFonts w:ascii="Times New Roman" w:hAnsi="Times New Roman" w:cs="Times New Roman" w:eastAsia="Times New Roman" w:hint="default"/>
                <w:sz w:val="18"/>
                <w:szCs w:val="18"/>
              </w:rPr>
            </w:pPr>
            <w:r>
              <w:rPr>
                <w:rFonts w:ascii="Times New Roman"/>
                <w:sz w:val="18"/>
              </w:rPr>
              <w:t>12.4kg</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89" w:footer="975" w:top="1100" w:bottom="1160" w:left="440" w:right="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994"/>
        <w:gridCol w:w="991"/>
        <w:gridCol w:w="994"/>
        <w:gridCol w:w="709"/>
        <w:gridCol w:w="1985"/>
        <w:gridCol w:w="1133"/>
        <w:gridCol w:w="1135"/>
        <w:gridCol w:w="994"/>
        <w:gridCol w:w="991"/>
        <w:gridCol w:w="852"/>
      </w:tblGrid>
      <w:tr>
        <w:trPr>
          <w:trHeight w:val="362" w:hRule="exact"/>
        </w:trPr>
        <w:tc>
          <w:tcPr>
            <w:tcW w:w="994" w:type="dxa"/>
            <w:vMerge w:val="restart"/>
            <w:tcBorders>
              <w:top w:val="nil" w:sz="6" w:space="0" w:color="auto"/>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SS</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9" w:type="dxa"/>
            <w:vMerge w:val="restart"/>
            <w:tcBorders>
              <w:top w:val="nil" w:sz="6" w:space="0" w:color="auto"/>
              <w:left w:val="single" w:sz="4" w:space="0" w:color="000000"/>
              <w:right w:val="single" w:sz="4" w:space="0" w:color="000000"/>
            </w:tcBorders>
          </w:tcPr>
          <w:p>
            <w:pPr/>
          </w:p>
        </w:tc>
        <w:tc>
          <w:tcPr>
            <w:tcW w:w="1985" w:type="dxa"/>
            <w:vMerge w:val="restart"/>
            <w:tcBorders>
              <w:top w:val="single" w:sz="4" w:space="0" w:color="FFFFFF"/>
              <w:left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纬度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7.9mg/L</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140mg/L</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674.5kg</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无核定总量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3" w:hRule="exact"/>
        </w:trPr>
        <w:tc>
          <w:tcPr>
            <w:tcW w:w="994"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氨氮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9"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1mg/L</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30mg/L</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76.6kg</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732kg</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994"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硫酸雾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4</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位于厂区内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Times New Roman" w:hAnsi="Times New Roman"/>
                <w:sz w:val="18"/>
              </w:rPr>
              <w:t>2.7mg/m</w:t>
            </w:r>
            <w:r>
              <w:rPr>
                <w:rFonts w:ascii="宋体" w:hAnsi="宋体"/>
                <w:sz w:val="18"/>
              </w:rPr>
              <w:t>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Times New Roman" w:hAnsi="Times New Roman"/>
                <w:sz w:val="18"/>
              </w:rPr>
              <w:t>5mg/m</w:t>
            </w:r>
            <w:r>
              <w:rPr>
                <w:rFonts w:ascii="宋体" w:hAnsi="宋体"/>
                <w:sz w:val="18"/>
              </w:rPr>
              <w:t>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793.2kg</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无核定总量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2" w:hRule="exact"/>
        </w:trPr>
        <w:tc>
          <w:tcPr>
            <w:tcW w:w="994"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铅及化合物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9</w:t>
            </w:r>
          </w:p>
        </w:tc>
        <w:tc>
          <w:tcPr>
            <w:tcW w:w="1985"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Times New Roman" w:hAnsi="Times New Roman"/>
                <w:sz w:val="18"/>
              </w:rPr>
              <w:t>0.12mg/m</w:t>
            </w:r>
            <w:r>
              <w:rPr>
                <w:rFonts w:ascii="宋体" w:hAnsi="宋体"/>
                <w:sz w:val="18"/>
              </w:rPr>
              <w:t>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Times New Roman" w:hAnsi="Times New Roman"/>
                <w:sz w:val="18"/>
              </w:rPr>
              <w:t>0.5mg/m</w:t>
            </w:r>
            <w:r>
              <w:rPr>
                <w:rFonts w:ascii="宋体" w:hAnsi="宋体"/>
                <w:sz w:val="18"/>
              </w:rPr>
              <w:t>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37.2kg</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56.62kg</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340" w:lineRule="auto" w:before="51"/>
        <w:ind w:left="1053" w:right="1025"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）防治污染设施的建设和运行情况 </w:t>
      </w:r>
      <w:r>
        <w:rPr>
          <w:rFonts w:ascii="宋体" w:hAnsi="宋体" w:cs="宋体" w:eastAsia="宋体" w:hint="default"/>
          <w:spacing w:val="-2"/>
          <w:sz w:val="18"/>
          <w:szCs w:val="18"/>
        </w:rPr>
        <w:t>武汉长光电源有限公司（简称“长光电源”）根据环评等要求，配套建设了各项环保治理设施，对生产过程中产生的废</w:t>
      </w:r>
    </w:p>
    <w:p>
      <w:pPr>
        <w:spacing w:line="316" w:lineRule="auto" w:before="1"/>
        <w:ind w:left="692" w:right="1025" w:firstLine="0"/>
        <w:jc w:val="left"/>
        <w:rPr>
          <w:rFonts w:ascii="宋体" w:hAnsi="宋体" w:cs="宋体" w:eastAsia="宋体" w:hint="default"/>
          <w:sz w:val="18"/>
          <w:szCs w:val="18"/>
        </w:rPr>
      </w:pPr>
      <w:r>
        <w:rPr>
          <w:rFonts w:ascii="宋体" w:hAnsi="宋体" w:cs="宋体" w:eastAsia="宋体" w:hint="default"/>
          <w:spacing w:val="-2"/>
          <w:sz w:val="18"/>
          <w:szCs w:val="18"/>
        </w:rPr>
        <w:t>气、废水、固废等污染物进行有效处理，并按规定进行了环保设施竣工验收；同时，长光电源加大了环保投入，对环保治污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设施和工艺进行了升级改造，努力提升环保水平。</w:t>
      </w:r>
    </w:p>
    <w:p>
      <w:pPr>
        <w:spacing w:line="300" w:lineRule="auto" w:before="57"/>
        <w:ind w:left="692" w:right="1128" w:firstLine="360"/>
        <w:jc w:val="both"/>
        <w:rPr>
          <w:rFonts w:ascii="宋体" w:hAnsi="宋体" w:cs="宋体" w:eastAsia="宋体" w:hint="default"/>
          <w:sz w:val="18"/>
          <w:szCs w:val="18"/>
        </w:rPr>
      </w:pPr>
      <w:r>
        <w:rPr>
          <w:rFonts w:ascii="宋体" w:hAnsi="宋体" w:cs="宋体" w:eastAsia="宋体" w:hint="default"/>
          <w:sz w:val="18"/>
          <w:szCs w:val="18"/>
        </w:rPr>
        <w:t>长光电源不断加强环保管理、落实环保责任；有专人负责环保治污设施的运行、巡查、维护保养等工作。</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年，长 光电源各类环保设施稳定运行，污染物实现达标排放。</w:t>
      </w:r>
    </w:p>
    <w:p>
      <w:pPr>
        <w:spacing w:line="340" w:lineRule="auto" w:before="72"/>
        <w:ind w:left="1053" w:right="1025"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）建设项目环境影响评价及其他环境保护行政许可情况 </w:t>
      </w:r>
      <w:r>
        <w:rPr>
          <w:rFonts w:ascii="宋体" w:hAnsi="宋体" w:cs="宋体" w:eastAsia="宋体" w:hint="default"/>
          <w:spacing w:val="-2"/>
          <w:sz w:val="18"/>
          <w:szCs w:val="18"/>
        </w:rPr>
        <w:t>一直以来，长光电源都严格按照环保有关法律法规要求做好建设项目环境影响评价；项目竣工后，严格按照要求进行环</w:t>
      </w:r>
    </w:p>
    <w:p>
      <w:pPr>
        <w:spacing w:before="1"/>
        <w:ind w:left="692" w:right="1025" w:firstLine="0"/>
        <w:jc w:val="left"/>
        <w:rPr>
          <w:rFonts w:ascii="宋体" w:hAnsi="宋体" w:cs="宋体" w:eastAsia="宋体" w:hint="default"/>
          <w:sz w:val="18"/>
          <w:szCs w:val="18"/>
        </w:rPr>
      </w:pPr>
      <w:r>
        <w:rPr>
          <w:rFonts w:ascii="宋体" w:hAnsi="宋体" w:cs="宋体" w:eastAsia="宋体" w:hint="default"/>
          <w:sz w:val="18"/>
          <w:szCs w:val="18"/>
        </w:rPr>
        <w:t>保设施的竣工验收工作。</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年，长光电源的建设项目环境影响评价和有关环境保护行政许可申请等均按规定严格执行。</w:t>
      </w:r>
    </w:p>
    <w:p>
      <w:pPr>
        <w:spacing w:before="101"/>
        <w:ind w:left="692" w:right="102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）突发环境事件应急预案</w:t>
      </w:r>
    </w:p>
    <w:p>
      <w:pPr>
        <w:spacing w:line="300" w:lineRule="auto" w:before="103"/>
        <w:ind w:left="692" w:right="1129" w:firstLine="451"/>
        <w:jc w:val="both"/>
        <w:rPr>
          <w:rFonts w:ascii="宋体" w:hAnsi="宋体" w:cs="宋体" w:eastAsia="宋体" w:hint="default"/>
          <w:sz w:val="18"/>
          <w:szCs w:val="18"/>
        </w:rPr>
      </w:pPr>
      <w:r>
        <w:rPr>
          <w:rFonts w:ascii="宋体" w:hAnsi="宋体" w:cs="宋体" w:eastAsia="宋体" w:hint="default"/>
          <w:spacing w:val="-4"/>
          <w:sz w:val="18"/>
          <w:szCs w:val="18"/>
        </w:rPr>
        <w:t>长光电源编制了《突发环境事件应急预案》，</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年组织了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次环保相关事件应急演练，并对演练情况进行了总结评 价，以提高处理突发环境事故的能力。</w:t>
      </w:r>
    </w:p>
    <w:p>
      <w:pPr>
        <w:spacing w:line="338" w:lineRule="auto" w:before="72"/>
        <w:ind w:left="1053" w:right="1640"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）环境自行监测方案 每年委托第三方对长光电源进行环境监测，安装在线监测系统，对污水中总铅、</w:t>
      </w:r>
      <w:r>
        <w:rPr>
          <w:rFonts w:ascii="Times New Roman" w:hAnsi="Times New Roman" w:cs="Times New Roman" w:eastAsia="Times New Roman" w:hint="default"/>
          <w:sz w:val="18"/>
          <w:szCs w:val="18"/>
        </w:rPr>
        <w:t>COD</w:t>
      </w:r>
      <w:r>
        <w:rPr>
          <w:rFonts w:ascii="宋体" w:hAnsi="宋体" w:cs="宋体" w:eastAsia="宋体" w:hint="default"/>
          <w:sz w:val="18"/>
          <w:szCs w:val="18"/>
        </w:rPr>
        <w:t>、氨氮、</w:t>
      </w:r>
      <w:r>
        <w:rPr>
          <w:rFonts w:ascii="Times New Roman" w:hAnsi="Times New Roman" w:cs="Times New Roman" w:eastAsia="Times New Roman" w:hint="default"/>
          <w:sz w:val="18"/>
          <w:szCs w:val="18"/>
        </w:rPr>
        <w:t>PH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值进行监测。</w:t>
      </w:r>
    </w:p>
    <w:p>
      <w:pPr>
        <w:spacing w:line="340" w:lineRule="auto" w:before="22"/>
        <w:ind w:left="1053" w:right="409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）其他应当公开的环境信息 长光电源环境信息在其官网及湖北省环保厅企业自行监测信息发布平台上披露。</w:t>
      </w:r>
    </w:p>
    <w:p>
      <w:pPr>
        <w:spacing w:line="340" w:lineRule="auto" w:before="39"/>
        <w:ind w:left="1053" w:right="1025"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）其他环保相关信息 </w:t>
      </w:r>
      <w:r>
        <w:rPr>
          <w:rFonts w:ascii="宋体" w:hAnsi="宋体" w:cs="宋体" w:eastAsia="宋体" w:hint="default"/>
          <w:spacing w:val="-2"/>
          <w:sz w:val="18"/>
          <w:szCs w:val="18"/>
        </w:rPr>
        <w:t>公司已通过环境管理体系认证，在日常生产经营过程中按照体系管理要求对公司各事业部环境保护情况进行监督，对公</w:t>
      </w:r>
    </w:p>
    <w:p>
      <w:pPr>
        <w:spacing w:line="319" w:lineRule="auto" w:before="1"/>
        <w:ind w:left="692" w:right="1025" w:firstLine="0"/>
        <w:jc w:val="left"/>
        <w:rPr>
          <w:rFonts w:ascii="宋体" w:hAnsi="宋体" w:cs="宋体" w:eastAsia="宋体" w:hint="default"/>
          <w:sz w:val="18"/>
          <w:szCs w:val="18"/>
        </w:rPr>
      </w:pPr>
      <w:r>
        <w:rPr>
          <w:rFonts w:ascii="宋体" w:hAnsi="宋体" w:cs="宋体" w:eastAsia="宋体" w:hint="default"/>
          <w:spacing w:val="-2"/>
          <w:sz w:val="18"/>
          <w:szCs w:val="18"/>
        </w:rPr>
        <w:t>司在废水处理，废气检测，噪音控制，危险废弃物处理等方面的情况进行督察，发现问题及时解决处理，确保环境管理体系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的正常运作。中国长城集团仅下属公司长光电源涉及铅酸蓄电池生产属于环保部门公布的重点排污单位。</w:t>
      </w:r>
    </w:p>
    <w:p>
      <w:pPr>
        <w:spacing w:line="240" w:lineRule="auto" w:before="1"/>
        <w:rPr>
          <w:rFonts w:ascii="宋体" w:hAnsi="宋体" w:cs="宋体" w:eastAsia="宋体" w:hint="default"/>
          <w:sz w:val="25"/>
          <w:szCs w:val="25"/>
        </w:rPr>
      </w:pPr>
    </w:p>
    <w:p>
      <w:pPr>
        <w:pStyle w:val="Heading4"/>
        <w:spacing w:line="240" w:lineRule="auto"/>
        <w:ind w:left="692" w:right="1025"/>
        <w:jc w:val="left"/>
        <w:rPr>
          <w:b w:val="0"/>
          <w:bCs w:val="0"/>
        </w:rPr>
      </w:pPr>
      <w:r>
        <w:rPr/>
        <w:t>十九、其他重大事项的说明</w:t>
      </w:r>
      <w:r>
        <w:rPr>
          <w:b w:val="0"/>
          <w:bCs w:val="0"/>
        </w:rPr>
      </w:r>
    </w:p>
    <w:p>
      <w:pPr>
        <w:spacing w:line="240" w:lineRule="auto" w:before="1"/>
        <w:rPr>
          <w:rFonts w:ascii="宋体" w:hAnsi="宋体" w:cs="宋体" w:eastAsia="宋体" w:hint="default"/>
          <w:b/>
          <w:bCs/>
          <w:sz w:val="31"/>
          <w:szCs w:val="31"/>
        </w:rPr>
      </w:pPr>
    </w:p>
    <w:p>
      <w:pPr>
        <w:spacing w:before="0"/>
        <w:ind w:left="692" w:right="102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38" w:lineRule="auto" w:before="117"/>
        <w:ind w:left="1053" w:right="112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、总部基地及产业化项目（北地块） 为满足公司信息安全自主研发体系以及军民融合等新兴业务的建设和发展的场地需要，经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p>
    <w:p>
      <w:pPr>
        <w:spacing w:line="230" w:lineRule="exact" w:before="0"/>
        <w:ind w:left="692" w:right="1025"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日公司第七届董事会审议，同意公司在湖南省长沙市岳麓区麓谷产业基地自有地块投资建设“总部基地及产业化项目</w:t>
      </w:r>
    </w:p>
    <w:p>
      <w:pPr>
        <w:spacing w:before="63"/>
        <w:ind w:left="692" w:right="0" w:firstLine="0"/>
        <w:jc w:val="left"/>
        <w:rPr>
          <w:rFonts w:ascii="宋体" w:hAnsi="宋体" w:cs="宋体" w:eastAsia="宋体" w:hint="default"/>
          <w:sz w:val="18"/>
          <w:szCs w:val="18"/>
        </w:rPr>
      </w:pPr>
      <w:r>
        <w:rPr>
          <w:rFonts w:ascii="宋体" w:hAnsi="宋体" w:cs="宋体" w:eastAsia="宋体" w:hint="default"/>
          <w:sz w:val="18"/>
          <w:szCs w:val="18"/>
        </w:rPr>
        <w:t>（北地块</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建设内容为中</w:t>
      </w:r>
      <w:r>
        <w:rPr>
          <w:rFonts w:ascii="宋体" w:hAnsi="宋体" w:cs="宋体" w:eastAsia="宋体" w:hint="default"/>
          <w:spacing w:val="2"/>
          <w:sz w:val="18"/>
          <w:szCs w:val="18"/>
        </w:rPr>
        <w:t>国</w:t>
      </w:r>
      <w:r>
        <w:rPr>
          <w:rFonts w:ascii="宋体" w:hAnsi="宋体" w:cs="宋体" w:eastAsia="宋体" w:hint="default"/>
          <w:sz w:val="18"/>
          <w:szCs w:val="18"/>
        </w:rPr>
        <w:t>长城集团总部基地</w:t>
      </w:r>
      <w:r>
        <w:rPr>
          <w:rFonts w:ascii="宋体" w:hAnsi="宋体" w:cs="宋体" w:eastAsia="宋体" w:hint="default"/>
          <w:spacing w:val="-15"/>
          <w:sz w:val="18"/>
          <w:szCs w:val="18"/>
        </w:rPr>
        <w:t>、</w:t>
      </w:r>
      <w:r>
        <w:rPr>
          <w:rFonts w:ascii="宋体" w:hAnsi="宋体" w:cs="宋体" w:eastAsia="宋体" w:hint="default"/>
          <w:sz w:val="18"/>
          <w:szCs w:val="18"/>
        </w:rPr>
        <w:t>研发</w:t>
      </w:r>
      <w:r>
        <w:rPr>
          <w:rFonts w:ascii="宋体" w:hAnsi="宋体" w:cs="宋体" w:eastAsia="宋体" w:hint="default"/>
          <w:spacing w:val="-15"/>
          <w:sz w:val="18"/>
          <w:szCs w:val="18"/>
        </w:rPr>
        <w:t>、</w:t>
      </w:r>
      <w:r>
        <w:rPr>
          <w:rFonts w:ascii="宋体" w:hAnsi="宋体" w:cs="宋体" w:eastAsia="宋体" w:hint="default"/>
          <w:spacing w:val="2"/>
          <w:sz w:val="18"/>
          <w:szCs w:val="18"/>
        </w:rPr>
        <w:t>办</w:t>
      </w:r>
      <w:r>
        <w:rPr>
          <w:rFonts w:ascii="宋体" w:hAnsi="宋体" w:cs="宋体" w:eastAsia="宋体" w:hint="default"/>
          <w:sz w:val="18"/>
          <w:szCs w:val="18"/>
        </w:rPr>
        <w:t>公及配套</w:t>
      </w:r>
      <w:r>
        <w:rPr>
          <w:rFonts w:ascii="宋体" w:hAnsi="宋体" w:cs="宋体" w:eastAsia="宋体" w:hint="default"/>
          <w:spacing w:val="-15"/>
          <w:sz w:val="18"/>
          <w:szCs w:val="18"/>
        </w:rPr>
        <w:t>，</w:t>
      </w:r>
      <w:r>
        <w:rPr>
          <w:rFonts w:ascii="宋体" w:hAnsi="宋体" w:cs="宋体" w:eastAsia="宋体" w:hint="default"/>
          <w:sz w:val="18"/>
          <w:szCs w:val="18"/>
        </w:rPr>
        <w:t>计划建设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栋研</w:t>
      </w:r>
      <w:r>
        <w:rPr>
          <w:rFonts w:ascii="宋体" w:hAnsi="宋体" w:cs="宋体" w:eastAsia="宋体" w:hint="default"/>
          <w:spacing w:val="-3"/>
          <w:sz w:val="18"/>
          <w:szCs w:val="18"/>
        </w:rPr>
        <w:t>发</w:t>
      </w:r>
      <w:r>
        <w:rPr>
          <w:rFonts w:ascii="宋体" w:hAnsi="宋体" w:cs="宋体" w:eastAsia="宋体" w:hint="default"/>
          <w:sz w:val="18"/>
          <w:szCs w:val="18"/>
        </w:rPr>
        <w:t>楼</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栋食堂</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栋会议活动</w:t>
      </w:r>
      <w:r>
        <w:rPr>
          <w:rFonts w:ascii="宋体" w:hAnsi="宋体" w:cs="宋体" w:eastAsia="宋体" w:hint="default"/>
          <w:spacing w:val="-3"/>
          <w:sz w:val="18"/>
          <w:szCs w:val="18"/>
        </w:rPr>
        <w:t>中</w:t>
      </w:r>
      <w:r>
        <w:rPr>
          <w:rFonts w:ascii="宋体" w:hAnsi="宋体" w:cs="宋体" w:eastAsia="宋体" w:hint="default"/>
          <w:sz w:val="18"/>
          <w:szCs w:val="18"/>
        </w:rPr>
        <w:t>心、</w:t>
      </w:r>
    </w:p>
    <w:p>
      <w:pPr>
        <w:spacing w:before="63"/>
        <w:ind w:left="692" w:right="10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栋总部大楼和地下车库，</w:t>
      </w:r>
      <w:r>
        <w:rPr>
          <w:rFonts w:ascii="宋体" w:hAnsi="宋体" w:cs="宋体" w:eastAsia="宋体" w:hint="default"/>
          <w:spacing w:val="-3"/>
          <w:sz w:val="18"/>
          <w:szCs w:val="18"/>
        </w:rPr>
        <w:t>建</w:t>
      </w:r>
      <w:r>
        <w:rPr>
          <w:rFonts w:ascii="宋体" w:hAnsi="宋体" w:cs="宋体" w:eastAsia="宋体" w:hint="default"/>
          <w:sz w:val="18"/>
          <w:szCs w:val="18"/>
        </w:rPr>
        <w:t>筑总面积约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宋体" w:hAnsi="宋体" w:cs="宋体" w:eastAsia="宋体" w:hint="default"/>
          <w:spacing w:val="-3"/>
          <w:sz w:val="18"/>
          <w:szCs w:val="18"/>
        </w:rPr>
        <w:t>其</w:t>
      </w:r>
      <w:r>
        <w:rPr>
          <w:rFonts w:ascii="宋体" w:hAnsi="宋体" w:cs="宋体" w:eastAsia="宋体" w:hint="default"/>
          <w:sz w:val="18"/>
          <w:szCs w:val="18"/>
        </w:rPr>
        <w:t>中地上建筑面积约</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w:t>
      </w:r>
      <w:r>
        <w:rPr>
          <w:rFonts w:ascii="宋体" w:hAnsi="宋体" w:cs="宋体" w:eastAsia="宋体" w:hint="default"/>
          <w:spacing w:val="-3"/>
          <w:sz w:val="18"/>
          <w:szCs w:val="18"/>
        </w:rPr>
        <w:t>方</w:t>
      </w:r>
      <w:r>
        <w:rPr>
          <w:rFonts w:ascii="宋体" w:hAnsi="宋体" w:cs="宋体" w:eastAsia="宋体" w:hint="default"/>
          <w:sz w:val="18"/>
          <w:szCs w:val="18"/>
        </w:rPr>
        <w:t>米，地下建筑面积约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w:t>
      </w:r>
      <w:r>
        <w:rPr>
          <w:rFonts w:ascii="宋体" w:hAnsi="宋体" w:cs="宋体" w:eastAsia="宋体" w:hint="default"/>
          <w:spacing w:val="-3"/>
          <w:sz w:val="18"/>
          <w:szCs w:val="18"/>
        </w:rPr>
        <w:t>方</w:t>
      </w:r>
      <w:r>
        <w:rPr>
          <w:rFonts w:ascii="宋体" w:hAnsi="宋体" w:cs="宋体" w:eastAsia="宋体" w:hint="default"/>
          <w:sz w:val="18"/>
          <w:szCs w:val="18"/>
        </w:rPr>
        <w:t>米</w:t>
      </w:r>
      <w:r>
        <w:rPr>
          <w:rFonts w:ascii="宋体" w:hAnsi="宋体" w:cs="宋体" w:eastAsia="宋体" w:hint="default"/>
          <w:spacing w:val="-92"/>
          <w:sz w:val="18"/>
          <w:szCs w:val="18"/>
        </w:rPr>
        <w:t>）</w:t>
      </w:r>
      <w:r>
        <w:rPr>
          <w:rFonts w:ascii="宋体" w:hAnsi="宋体" w:cs="宋体" w:eastAsia="宋体" w:hint="default"/>
          <w:sz w:val="18"/>
          <w:szCs w:val="18"/>
        </w:rPr>
        <w:t>，</w:t>
      </w:r>
    </w:p>
    <w:p>
      <w:pPr>
        <w:spacing w:before="63"/>
        <w:ind w:left="692" w:right="1025" w:firstLine="0"/>
        <w:jc w:val="left"/>
        <w:rPr>
          <w:rFonts w:ascii="宋体" w:hAnsi="宋体" w:cs="宋体" w:eastAsia="宋体" w:hint="default"/>
          <w:sz w:val="18"/>
          <w:szCs w:val="18"/>
        </w:rPr>
      </w:pPr>
      <w:r>
        <w:rPr>
          <w:rFonts w:ascii="宋体" w:hAnsi="宋体" w:cs="宋体" w:eastAsia="宋体" w:hint="default"/>
          <w:sz w:val="18"/>
          <w:szCs w:val="18"/>
        </w:rPr>
        <w:t>预计项目建设总投资约人民币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spacing w:before="104"/>
        <w:ind w:left="1053" w:right="10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、变更法定代表人修订《公司章程》</w:t>
      </w:r>
    </w:p>
    <w:p>
      <w:pPr>
        <w:spacing w:line="300" w:lineRule="auto" w:before="103"/>
        <w:ind w:left="692" w:right="1126" w:firstLine="360"/>
        <w:jc w:val="both"/>
        <w:rPr>
          <w:rFonts w:ascii="宋体" w:hAnsi="宋体" w:cs="宋体" w:eastAsia="宋体" w:hint="default"/>
          <w:sz w:val="18"/>
          <w:szCs w:val="18"/>
        </w:rPr>
      </w:pPr>
      <w:r>
        <w:rPr>
          <w:rFonts w:ascii="宋体" w:hAnsi="宋体" w:cs="宋体" w:eastAsia="宋体" w:hint="default"/>
          <w:sz w:val="18"/>
          <w:szCs w:val="18"/>
        </w:rPr>
        <w:t>因公司经营及管理的需要，经</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日公司第七届董事会第十四次会议、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 </w:t>
      </w:r>
      <w:r>
        <w:rPr>
          <w:rFonts w:ascii="宋体" w:hAnsi="宋体" w:cs="宋体" w:eastAsia="宋体" w:hint="default"/>
          <w:spacing w:val="-3"/>
          <w:sz w:val="18"/>
          <w:szCs w:val="18"/>
        </w:rPr>
        <w:t>二次临时股东大会审议，同意法定代表人由总裁变更为董事长并相应修订《公司章程》。</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月，公司法定代表人变更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为董事长宋黎定先生。</w:t>
      </w:r>
    </w:p>
    <w:p>
      <w:pPr>
        <w:spacing w:before="70"/>
        <w:ind w:left="1053" w:right="10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、重大资产重组之年度业绩补偿方案实施情况</w:t>
      </w:r>
    </w:p>
    <w:p>
      <w:pPr>
        <w:spacing w:line="300" w:lineRule="auto" w:before="103"/>
        <w:ind w:left="692" w:right="1132" w:firstLine="360"/>
        <w:jc w:val="both"/>
        <w:rPr>
          <w:rFonts w:ascii="宋体" w:hAnsi="宋体" w:cs="宋体" w:eastAsia="宋体" w:hint="default"/>
          <w:sz w:val="18"/>
          <w:szCs w:val="18"/>
        </w:rPr>
      </w:pPr>
      <w:r>
        <w:rPr>
          <w:rFonts w:ascii="宋体" w:hAnsi="宋体" w:cs="宋体" w:eastAsia="宋体" w:hint="default"/>
          <w:sz w:val="18"/>
          <w:szCs w:val="18"/>
        </w:rPr>
        <w:t>因公司重大资产重组购入资产圣非凡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年度扣除非经常性损益归属于母公司所有者的净利润未达业绩承诺，资产注 </w:t>
      </w:r>
      <w:r>
        <w:rPr>
          <w:rFonts w:ascii="宋体" w:hAnsi="宋体" w:cs="宋体" w:eastAsia="宋体" w:hint="default"/>
          <w:spacing w:val="-5"/>
          <w:sz w:val="18"/>
          <w:szCs w:val="18"/>
        </w:rPr>
        <w:t>入方中国电子需向公司进行股份补偿，根据双方签署的《盈利预测补偿协议》、《盈利预测补偿协议之补充协议》约定，公司</w:t>
      </w:r>
    </w:p>
    <w:p>
      <w:pPr>
        <w:spacing w:after="0" w:line="300" w:lineRule="auto"/>
        <w:jc w:val="both"/>
        <w:rPr>
          <w:rFonts w:ascii="宋体" w:hAnsi="宋体" w:cs="宋体" w:eastAsia="宋体" w:hint="default"/>
          <w:sz w:val="18"/>
          <w:szCs w:val="18"/>
        </w:rPr>
        <w:sectPr>
          <w:pgSz w:w="11910" w:h="16840"/>
          <w:pgMar w:header="789" w:footer="975" w:top="1100" w:bottom="1160" w:left="440" w:right="0"/>
        </w:sectPr>
      </w:pPr>
    </w:p>
    <w:p>
      <w:pPr>
        <w:spacing w:line="240" w:lineRule="auto" w:before="8"/>
        <w:rPr>
          <w:rFonts w:ascii="宋体" w:hAnsi="宋体" w:cs="宋体" w:eastAsia="宋体" w:hint="default"/>
          <w:sz w:val="22"/>
          <w:szCs w:val="22"/>
        </w:rPr>
      </w:pPr>
    </w:p>
    <w:p>
      <w:pPr>
        <w:spacing w:before="44"/>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元的价格回购中国电子</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股并注销</w:t>
      </w:r>
      <w:r>
        <w:rPr>
          <w:rFonts w:ascii="宋体" w:hAnsi="宋体" w:cs="宋体" w:eastAsia="宋体" w:hint="default"/>
          <w:spacing w:val="-87"/>
          <w:sz w:val="18"/>
          <w:szCs w:val="18"/>
        </w:rPr>
        <w:t>。</w:t>
      </w:r>
      <w:r>
        <w:rPr>
          <w:rFonts w:ascii="宋体" w:hAnsi="宋体" w:cs="宋体" w:eastAsia="宋体" w:hint="default"/>
          <w:sz w:val="18"/>
          <w:szCs w:val="18"/>
        </w:rPr>
        <w:t>业绩补偿方</w:t>
      </w:r>
      <w:r>
        <w:rPr>
          <w:rFonts w:ascii="宋体" w:hAnsi="宋体" w:cs="宋体" w:eastAsia="宋体" w:hint="default"/>
          <w:spacing w:val="-3"/>
          <w:sz w:val="18"/>
          <w:szCs w:val="18"/>
        </w:rPr>
        <w:t>案</w:t>
      </w:r>
      <w:r>
        <w:rPr>
          <w:rFonts w:ascii="宋体" w:hAnsi="宋体" w:cs="宋体" w:eastAsia="宋体" w:hint="default"/>
          <w:sz w:val="18"/>
          <w:szCs w:val="18"/>
        </w:rPr>
        <w:t>已经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3"/>
          <w:sz w:val="18"/>
          <w:szCs w:val="18"/>
        </w:rPr>
        <w:t>第</w:t>
      </w:r>
      <w:r>
        <w:rPr>
          <w:rFonts w:ascii="宋体" w:hAnsi="宋体" w:cs="宋体" w:eastAsia="宋体" w:hint="default"/>
          <w:sz w:val="18"/>
          <w:szCs w:val="18"/>
        </w:rPr>
        <w:t>七届董事会第十八次会议</w:t>
      </w:r>
      <w:r>
        <w:rPr>
          <w:rFonts w:ascii="宋体" w:hAnsi="宋体" w:cs="宋体" w:eastAsia="宋体" w:hint="default"/>
          <w:spacing w:val="-86"/>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年度股东大会审议通过。</w:t>
      </w:r>
    </w:p>
    <w:p>
      <w:pPr>
        <w:spacing w:before="103"/>
        <w:ind w:left="513" w:right="0" w:firstLine="0"/>
        <w:jc w:val="left"/>
        <w:rPr>
          <w:rFonts w:ascii="宋体" w:hAnsi="宋体" w:cs="宋体" w:eastAsia="宋体" w:hint="default"/>
          <w:sz w:val="18"/>
          <w:szCs w:val="18"/>
        </w:rPr>
      </w:pPr>
      <w:r>
        <w:rPr>
          <w:rFonts w:ascii="宋体" w:hAnsi="宋体" w:cs="宋体" w:eastAsia="宋体" w:hint="default"/>
          <w:sz w:val="18"/>
          <w:szCs w:val="18"/>
        </w:rPr>
        <w:t>业绩补偿股份于</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日在中国证券登记结算有限责任公司深圳分公司完成注销手续，公司股本总额变更为</w:t>
      </w:r>
    </w:p>
    <w:p>
      <w:pPr>
        <w:spacing w:before="6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2,928,182,053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股，中国电子持有公司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1,188,482,503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股，占公司股本总额的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40.59%</w:t>
      </w:r>
      <w:r>
        <w:rPr>
          <w:rFonts w:ascii="宋体" w:hAnsi="宋体" w:cs="宋体" w:eastAsia="宋体" w:hint="default"/>
          <w:sz w:val="18"/>
          <w:szCs w:val="18"/>
        </w:rPr>
        <w:t>，仍为公司控股股东及实际控制人。</w:t>
      </w:r>
    </w:p>
    <w:p>
      <w:pPr>
        <w:spacing w:before="101"/>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日公司实施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年度权益分派，以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2,936,165,560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w:t>
      </w:r>
    </w:p>
    <w:p>
      <w:pPr>
        <w:spacing w:line="300" w:lineRule="auto" w:before="63"/>
        <w:ind w:left="152" w:right="1131" w:firstLine="0"/>
        <w:jc w:val="both"/>
        <w:rPr>
          <w:rFonts w:ascii="宋体" w:hAnsi="宋体" w:cs="宋体" w:eastAsia="宋体" w:hint="default"/>
          <w:sz w:val="18"/>
          <w:szCs w:val="18"/>
        </w:rPr>
      </w:pPr>
      <w:r>
        <w:rPr>
          <w:rFonts w:ascii="宋体" w:hAnsi="宋体" w:cs="宋体" w:eastAsia="宋体" w:hint="default"/>
          <w:sz w:val="18"/>
          <w:szCs w:val="18"/>
        </w:rPr>
        <w:t>现金股利人民币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0.50</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元（含税）。根据《盈利预测补偿协议》、《盈利预测补偿协议之补充协议》约定，公司在补偿期限内实</w:t>
      </w:r>
      <w:r>
        <w:rPr>
          <w:rFonts w:ascii="宋体" w:hAnsi="宋体" w:cs="宋体" w:eastAsia="宋体" w:hint="default"/>
          <w:sz w:val="18"/>
          <w:szCs w:val="18"/>
        </w:rPr>
        <w:t> 施现金分配，现金分配的部分应作相应返还，计算公式为：返还金额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每股已分配现金股利×应回购注销或无偿划转的股份 数量。据此，业绩补偿股份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7,983,507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股对应返还金额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399,175.35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元，公司在向中国电子派发现金红利时已经直接扣减应返 还部分。</w:t>
      </w:r>
    </w:p>
    <w:p>
      <w:pPr>
        <w:spacing w:before="72"/>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、公开发行公司债券</w:t>
      </w:r>
    </w:p>
    <w:p>
      <w:pPr>
        <w:spacing w:before="103"/>
        <w:ind w:left="513" w:right="0" w:firstLine="0"/>
        <w:jc w:val="left"/>
        <w:rPr>
          <w:rFonts w:ascii="宋体" w:hAnsi="宋体" w:cs="宋体" w:eastAsia="宋体" w:hint="default"/>
          <w:sz w:val="18"/>
          <w:szCs w:val="18"/>
        </w:rPr>
      </w:pPr>
      <w:r>
        <w:rPr>
          <w:rFonts w:ascii="宋体" w:hAnsi="宋体" w:cs="宋体" w:eastAsia="宋体" w:hint="default"/>
          <w:sz w:val="18"/>
          <w:szCs w:val="18"/>
        </w:rPr>
        <w:t>为实现公司的可持续发展，优化债务结构，降低融资成本，经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日公司第七届董事会第二十四次会议、</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年度第四次临时股东大会审议，公司具备向合格投资者公开发行公司债券的条件和资格，同意</w:t>
      </w:r>
    </w:p>
    <w:p>
      <w:pPr>
        <w:spacing w:before="63"/>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公司公开发行公司债券，主要方案如下</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）公司债券面值为</w:t>
      </w:r>
      <w:r>
        <w:rPr>
          <w:rFonts w:ascii="宋体" w:hAnsi="宋体" w:cs="宋体" w:eastAsia="宋体" w:hint="default"/>
          <w:spacing w:val="-28"/>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元，按面值发行；公</w:t>
      </w:r>
      <w:r>
        <w:rPr>
          <w:rFonts w:ascii="宋体" w:hAnsi="宋体" w:cs="宋体" w:eastAsia="宋体" w:hint="default"/>
          <w:spacing w:val="-3"/>
          <w:sz w:val="18"/>
          <w:szCs w:val="18"/>
        </w:rPr>
        <w:t>司</w:t>
      </w:r>
      <w:r>
        <w:rPr>
          <w:rFonts w:ascii="宋体" w:hAnsi="宋体" w:cs="宋体" w:eastAsia="宋体" w:hint="default"/>
          <w:sz w:val="18"/>
          <w:szCs w:val="18"/>
        </w:rPr>
        <w:t>债券的票面总额不超过人民币</w:t>
      </w:r>
      <w:r>
        <w:rPr>
          <w:rFonts w:ascii="宋体" w:hAnsi="宋体" w:cs="宋体" w:eastAsia="宋体" w:hint="default"/>
          <w:spacing w:val="-27"/>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亿</w:t>
      </w:r>
      <w:r>
        <w:rPr>
          <w:rFonts w:ascii="宋体" w:hAnsi="宋体" w:cs="宋体" w:eastAsia="宋体" w:hint="default"/>
          <w:spacing w:val="-22"/>
          <w:sz w:val="18"/>
          <w:szCs w:val="18"/>
        </w:rPr>
        <w:t>元</w:t>
      </w:r>
      <w:r>
        <w:rPr>
          <w:rFonts w:ascii="宋体" w:hAnsi="宋体" w:cs="宋体" w:eastAsia="宋体" w:hint="default"/>
          <w:sz w:val="18"/>
          <w:szCs w:val="18"/>
        </w:rPr>
        <w:t>（含</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且本次发行后累计公司债券余额不超过发行前公司最近一期末净资产的百分之四十</w:t>
      </w:r>
      <w:r>
        <w:rPr>
          <w:rFonts w:ascii="宋体" w:hAnsi="宋体" w:cs="宋体" w:eastAsia="宋体" w:hint="default"/>
          <w:spacing w:val="-113"/>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2"/>
          <w:sz w:val="18"/>
          <w:szCs w:val="18"/>
        </w:rPr>
        <w:t>）</w:t>
      </w:r>
      <w:r>
        <w:rPr>
          <w:rFonts w:ascii="宋体" w:hAnsi="宋体" w:cs="宋体" w:eastAsia="宋体" w:hint="default"/>
          <w:sz w:val="18"/>
          <w:szCs w:val="18"/>
        </w:rPr>
        <w:t>公司债</w:t>
      </w:r>
      <w:r>
        <w:rPr>
          <w:rFonts w:ascii="宋体" w:hAnsi="宋体" w:cs="宋体" w:eastAsia="宋体" w:hint="default"/>
          <w:spacing w:val="2"/>
          <w:sz w:val="18"/>
          <w:szCs w:val="18"/>
        </w:rPr>
        <w:t>券</w:t>
      </w:r>
      <w:r>
        <w:rPr>
          <w:rFonts w:ascii="宋体" w:hAnsi="宋体" w:cs="宋体" w:eastAsia="宋体" w:hint="default"/>
          <w:sz w:val="18"/>
          <w:szCs w:val="18"/>
        </w:rPr>
        <w:t>的期</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限为不超过</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年（含</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可以为单一期限品种，也可以是多种期限的混合品种</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）公司债券不向公司股东优先配售。</w:t>
      </w:r>
    </w:p>
    <w:p>
      <w:pPr>
        <w:spacing w:line="302" w:lineRule="auto" w:before="63"/>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）公司债券发行采取无担保方式发行。（</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）公司债券所募集资金拟用于偿还公司及子公司债务、补充流动资金或法律法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规允许的其他用途。（</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）公司债券发行采取向符合《公司债券发行与交易管理办法》规定的合格投资者公开发行的方式，可</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以一次发行或分期发行。（</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）公司债券为固定利率债券，票面利率区间由公司和主承销商根据网下询价结果协商一致确定，</w:t>
      </w:r>
      <w:r>
        <w:rPr>
          <w:rFonts w:ascii="宋体" w:hAnsi="宋体" w:cs="宋体" w:eastAsia="宋体" w:hint="default"/>
          <w:spacing w:val="-71"/>
          <w:sz w:val="18"/>
          <w:szCs w:val="18"/>
        </w:rPr>
        <w:t> </w:t>
      </w:r>
      <w:r>
        <w:rPr>
          <w:rFonts w:ascii="宋体" w:hAnsi="宋体" w:cs="宋体" w:eastAsia="宋体" w:hint="default"/>
          <w:spacing w:val="-4"/>
          <w:sz w:val="18"/>
          <w:szCs w:val="18"/>
        </w:rPr>
        <w:t>最终利率由簿记建档发行决定，且票面利率不超过国务院或其他有权机构限定的利率水平。债券票面利率采取单利按年计息，</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不计复利。（</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）公司债券发行结束后，在满足上市条件的前提下，公司将尽快向深圳证券交易所提出关于公司债券上市交易</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2"/>
          <w:sz w:val="18"/>
          <w:szCs w:val="18"/>
        </w:rPr>
        <w:t>的申请。（</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）公司债券出现预计不能按期偿付债券本息或者到期未能按期偿付债券本息情况时，将至少采取偿债保障措施：</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）不向股东分配利润；</w:t>
      </w:r>
      <w:r>
        <w:rPr>
          <w:rFonts w:ascii="Times New Roman" w:hAnsi="Times New Roman" w:cs="Times New Roman" w:eastAsia="Times New Roman" w:hint="default"/>
          <w:sz w:val="18"/>
          <w:szCs w:val="18"/>
        </w:rPr>
        <w:t>B</w:t>
      </w:r>
      <w:r>
        <w:rPr>
          <w:rFonts w:ascii="宋体" w:hAnsi="宋体" w:cs="宋体" w:eastAsia="宋体" w:hint="default"/>
          <w:sz w:val="18"/>
          <w:szCs w:val="18"/>
        </w:rPr>
        <w:t>）暂缓重大对外投资、收购兼并等资本性支出项目的实施；</w:t>
      </w:r>
      <w:r>
        <w:rPr>
          <w:rFonts w:ascii="Times New Roman" w:hAnsi="Times New Roman" w:cs="Times New Roman" w:eastAsia="Times New Roman" w:hint="default"/>
          <w:sz w:val="18"/>
          <w:szCs w:val="18"/>
        </w:rPr>
        <w:t>C</w:t>
      </w:r>
      <w:r>
        <w:rPr>
          <w:rFonts w:ascii="宋体" w:hAnsi="宋体" w:cs="宋体" w:eastAsia="宋体" w:hint="default"/>
          <w:sz w:val="18"/>
          <w:szCs w:val="18"/>
        </w:rPr>
        <w:t>）调减或停发董事和高级管理人员</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4"/>
          <w:w w:val="99"/>
          <w:sz w:val="18"/>
          <w:szCs w:val="18"/>
        </w:rPr>
        <w:t>的工资和奖金；</w:t>
      </w:r>
      <w:r>
        <w:rPr>
          <w:rFonts w:ascii="Times New Roman" w:hAnsi="Times New Roman" w:cs="Times New Roman" w:eastAsia="Times New Roman" w:hint="default"/>
          <w:spacing w:val="-4"/>
          <w:w w:val="99"/>
          <w:sz w:val="18"/>
          <w:szCs w:val="18"/>
        </w:rPr>
        <w:t>D</w:t>
      </w:r>
      <w:r>
        <w:rPr>
          <w:rFonts w:ascii="宋体" w:hAnsi="宋体" w:cs="宋体" w:eastAsia="宋体" w:hint="default"/>
          <w:spacing w:val="-4"/>
          <w:w w:val="99"/>
          <w:sz w:val="18"/>
          <w:szCs w:val="18"/>
        </w:rPr>
        <w:t>）公司主要责任人不得调离。（</w:t>
      </w:r>
      <w:r>
        <w:rPr>
          <w:rFonts w:ascii="Times New Roman" w:hAnsi="Times New Roman" w:cs="Times New Roman" w:eastAsia="Times New Roman" w:hint="default"/>
          <w:spacing w:val="-4"/>
          <w:w w:val="99"/>
          <w:sz w:val="18"/>
          <w:szCs w:val="18"/>
        </w:rPr>
        <w:t>10</w:t>
      </w:r>
      <w:r>
        <w:rPr>
          <w:rFonts w:ascii="宋体" w:hAnsi="宋体" w:cs="宋体" w:eastAsia="宋体" w:hint="default"/>
          <w:spacing w:val="-4"/>
          <w:w w:val="99"/>
          <w:sz w:val="18"/>
          <w:szCs w:val="18"/>
        </w:rPr>
        <w:t>）公司债券由主承销商负责组建承销团，以余额包销的方式承销。（</w:t>
      </w:r>
      <w:r>
        <w:rPr>
          <w:rFonts w:ascii="Times New Roman" w:hAnsi="Times New Roman" w:cs="Times New Roman" w:eastAsia="Times New Roman" w:hint="default"/>
          <w:spacing w:val="-4"/>
          <w:w w:val="99"/>
          <w:sz w:val="18"/>
          <w:szCs w:val="18"/>
        </w:rPr>
        <w:t>11</w:t>
      </w:r>
      <w:r>
        <w:rPr>
          <w:rFonts w:ascii="宋体" w:hAnsi="宋体" w:cs="宋体" w:eastAsia="宋体" w:hint="default"/>
          <w:spacing w:val="-4"/>
          <w:w w:val="99"/>
          <w:sz w:val="18"/>
          <w:szCs w:val="18"/>
        </w:rPr>
        <w:t>）</w:t>
      </w:r>
      <w:r>
        <w:rPr>
          <w:rFonts w:ascii="宋体" w:hAnsi="宋体" w:cs="宋体" w:eastAsia="宋体" w:hint="default"/>
          <w:spacing w:val="-49"/>
          <w:w w:val="99"/>
          <w:sz w:val="18"/>
          <w:szCs w:val="18"/>
        </w:rPr>
        <w:t> </w:t>
      </w:r>
      <w:r>
        <w:rPr>
          <w:rFonts w:ascii="宋体" w:hAnsi="宋体" w:cs="宋体" w:eastAsia="宋体" w:hint="default"/>
          <w:sz w:val="18"/>
          <w:szCs w:val="18"/>
        </w:rPr>
        <w:t>本次发行公司债券的股东大会决议有效期为自股东大会审议通过之日起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line="300" w:lineRule="auto" w:before="49"/>
        <w:ind w:left="152" w:right="111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月，公司收到中国证券监督管理委员会出具的《关于核准中国长城科技集团股份有限公司向合格投资者公开 </w:t>
      </w:r>
      <w:r>
        <w:rPr>
          <w:rFonts w:ascii="宋体" w:hAnsi="宋体" w:cs="宋体" w:eastAsia="宋体" w:hint="default"/>
          <w:spacing w:val="-4"/>
          <w:sz w:val="18"/>
          <w:szCs w:val="18"/>
        </w:rPr>
        <w:t>发行公司债券的批复》（证监许可</w:t>
      </w:r>
      <w:r>
        <w:rPr>
          <w:rFonts w:ascii="Times New Roman" w:hAnsi="Times New Roman" w:cs="Times New Roman" w:eastAsia="Times New Roman" w:hint="default"/>
          <w:spacing w:val="-4"/>
          <w:sz w:val="18"/>
          <w:szCs w:val="18"/>
        </w:rPr>
        <w:t>[2020]260</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号），公司将在批复有效期内适时公开发行公司债券。</w:t>
      </w:r>
    </w:p>
    <w:p>
      <w:pPr>
        <w:spacing w:before="53"/>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、发行中期票据</w:t>
      </w:r>
    </w:p>
    <w:p>
      <w:pPr>
        <w:spacing w:before="103"/>
        <w:ind w:left="513" w:right="0" w:firstLine="0"/>
        <w:jc w:val="left"/>
        <w:rPr>
          <w:rFonts w:ascii="宋体" w:hAnsi="宋体" w:cs="宋体" w:eastAsia="宋体" w:hint="default"/>
          <w:sz w:val="18"/>
          <w:szCs w:val="18"/>
        </w:rPr>
      </w:pPr>
      <w:r>
        <w:rPr>
          <w:rFonts w:ascii="宋体" w:hAnsi="宋体" w:cs="宋体" w:eastAsia="宋体" w:hint="default"/>
          <w:sz w:val="18"/>
          <w:szCs w:val="18"/>
        </w:rPr>
        <w:t>为进一步拓宽公司融资渠道、优化债务结构，降低融资成本，满足公司发展需要，经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日公司第七届董</w:t>
      </w:r>
    </w:p>
    <w:p>
      <w:pPr>
        <w:spacing w:before="6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事会第二十四次会议、</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年度第四次临时股东大会审议，同意公司发行中期票据，主要方案如下：</w:t>
      </w:r>
    </w:p>
    <w:p>
      <w:pPr>
        <w:spacing w:line="300" w:lineRule="auto" w:before="63"/>
        <w:ind w:left="152" w:right="10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）发行规模不超过人民币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亿元（含</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）票据期限不超过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）在中国银行间市场交易商协 会核定的有效期内</w:t>
      </w:r>
      <w:r>
        <w:rPr>
          <w:rFonts w:ascii="宋体" w:hAnsi="宋体" w:cs="宋体" w:eastAsia="宋体" w:hint="default"/>
          <w:spacing w:val="-22"/>
          <w:sz w:val="18"/>
          <w:szCs w:val="18"/>
        </w:rPr>
        <w:t>，</w:t>
      </w:r>
      <w:r>
        <w:rPr>
          <w:rFonts w:ascii="宋体" w:hAnsi="宋体" w:cs="宋体" w:eastAsia="宋体" w:hint="default"/>
          <w:sz w:val="18"/>
          <w:szCs w:val="18"/>
        </w:rPr>
        <w:t>采取分</w:t>
      </w:r>
      <w:r>
        <w:rPr>
          <w:rFonts w:ascii="宋体" w:hAnsi="宋体" w:cs="宋体" w:eastAsia="宋体" w:hint="default"/>
          <w:spacing w:val="2"/>
          <w:sz w:val="18"/>
          <w:szCs w:val="18"/>
        </w:rPr>
        <w:t>期</w:t>
      </w:r>
      <w:r>
        <w:rPr>
          <w:rFonts w:ascii="宋体" w:hAnsi="宋体" w:cs="宋体" w:eastAsia="宋体" w:hint="default"/>
          <w:sz w:val="18"/>
          <w:szCs w:val="18"/>
        </w:rPr>
        <w:t>发行或一次性发行的方式发行中期票据</w:t>
      </w:r>
      <w:r>
        <w:rPr>
          <w:rFonts w:ascii="宋体" w:hAnsi="宋体" w:cs="宋体" w:eastAsia="宋体" w:hint="default"/>
          <w:spacing w:val="-113"/>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22"/>
          <w:sz w:val="18"/>
          <w:szCs w:val="18"/>
        </w:rPr>
        <w:t>）</w:t>
      </w:r>
      <w:r>
        <w:rPr>
          <w:rFonts w:ascii="宋体" w:hAnsi="宋体" w:cs="宋体" w:eastAsia="宋体" w:hint="default"/>
          <w:sz w:val="18"/>
          <w:szCs w:val="18"/>
        </w:rPr>
        <w:t>发行利率根</w:t>
      </w:r>
      <w:r>
        <w:rPr>
          <w:rFonts w:ascii="宋体" w:hAnsi="宋体" w:cs="宋体" w:eastAsia="宋体" w:hint="default"/>
          <w:spacing w:val="2"/>
          <w:sz w:val="18"/>
          <w:szCs w:val="18"/>
        </w:rPr>
        <w:t>据</w:t>
      </w:r>
      <w:r>
        <w:rPr>
          <w:rFonts w:ascii="宋体" w:hAnsi="宋体" w:cs="宋体" w:eastAsia="宋体" w:hint="default"/>
          <w:sz w:val="18"/>
          <w:szCs w:val="18"/>
        </w:rPr>
        <w:t>发行时市场情况确定</w:t>
      </w:r>
      <w:r>
        <w:rPr>
          <w:rFonts w:ascii="宋体" w:hAnsi="宋体" w:cs="宋体" w:eastAsia="宋体" w:hint="default"/>
          <w:spacing w:val="-22"/>
          <w:sz w:val="18"/>
          <w:szCs w:val="18"/>
        </w:rPr>
        <w:t>，</w:t>
      </w:r>
      <w:r>
        <w:rPr>
          <w:rFonts w:ascii="宋体" w:hAnsi="宋体" w:cs="宋体" w:eastAsia="宋体" w:hint="default"/>
          <w:sz w:val="18"/>
          <w:szCs w:val="18"/>
        </w:rPr>
        <w:t>并遵</w:t>
      </w:r>
      <w:r>
        <w:rPr>
          <w:rFonts w:ascii="宋体" w:hAnsi="宋体" w:cs="宋体" w:eastAsia="宋体" w:hint="default"/>
          <w:spacing w:val="2"/>
          <w:sz w:val="18"/>
          <w:szCs w:val="18"/>
        </w:rPr>
        <w:t>循</w:t>
      </w:r>
      <w:r>
        <w:rPr>
          <w:rFonts w:ascii="宋体" w:hAnsi="宋体" w:cs="宋体" w:eastAsia="宋体" w:hint="default"/>
          <w:sz w:val="18"/>
          <w:szCs w:val="18"/>
        </w:rPr>
        <w:t>相关</w:t>
      </w:r>
      <w:r>
        <w:rPr>
          <w:rFonts w:ascii="宋体" w:hAnsi="宋体" w:cs="宋体" w:eastAsia="宋体" w:hint="default"/>
          <w:sz w:val="18"/>
          <w:szCs w:val="18"/>
        </w:rPr>
        <w:t> 管理部门的有关规定</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29"/>
          <w:sz w:val="18"/>
          <w:szCs w:val="18"/>
        </w:rPr>
        <w:t>）</w:t>
      </w:r>
      <w:r>
        <w:rPr>
          <w:rFonts w:ascii="宋体" w:hAnsi="宋体" w:cs="宋体" w:eastAsia="宋体" w:hint="default"/>
          <w:sz w:val="18"/>
          <w:szCs w:val="18"/>
        </w:rPr>
        <w:t>发行对象为全国银行间债券市场机构投资者</w:t>
      </w:r>
      <w:r>
        <w:rPr>
          <w:rFonts w:ascii="宋体" w:hAnsi="宋体" w:cs="宋体" w:eastAsia="宋体" w:hint="default"/>
          <w:spacing w:val="-12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29"/>
          <w:sz w:val="18"/>
          <w:szCs w:val="18"/>
        </w:rPr>
        <w:t>）</w:t>
      </w:r>
      <w:r>
        <w:rPr>
          <w:rFonts w:ascii="宋体" w:hAnsi="宋体" w:cs="宋体" w:eastAsia="宋体" w:hint="default"/>
          <w:sz w:val="18"/>
          <w:szCs w:val="18"/>
        </w:rPr>
        <w:t>还本付息方式为按年付息</w:t>
      </w:r>
      <w:r>
        <w:rPr>
          <w:rFonts w:ascii="宋体" w:hAnsi="宋体" w:cs="宋体" w:eastAsia="宋体" w:hint="default"/>
          <w:spacing w:val="-29"/>
          <w:sz w:val="18"/>
          <w:szCs w:val="18"/>
        </w:rPr>
        <w:t>，</w:t>
      </w:r>
      <w:r>
        <w:rPr>
          <w:rFonts w:ascii="宋体" w:hAnsi="宋体" w:cs="宋体" w:eastAsia="宋体" w:hint="default"/>
          <w:sz w:val="18"/>
          <w:szCs w:val="18"/>
        </w:rPr>
        <w:t>到期一次还本</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 所获得的资金将按照中期票据规定允许的用途进行使用</w:t>
      </w:r>
      <w:r>
        <w:rPr>
          <w:rFonts w:ascii="宋体" w:hAnsi="宋体" w:cs="宋体" w:eastAsia="宋体" w:hint="default"/>
          <w:spacing w:val="-113"/>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3"/>
          <w:sz w:val="18"/>
          <w:szCs w:val="18"/>
        </w:rPr>
        <w:t>8</w:t>
      </w:r>
      <w:r>
        <w:rPr>
          <w:rFonts w:ascii="宋体" w:hAnsi="宋体" w:cs="宋体" w:eastAsia="宋体" w:hint="default"/>
          <w:spacing w:val="-22"/>
          <w:sz w:val="18"/>
          <w:szCs w:val="18"/>
        </w:rPr>
        <w:t>）</w:t>
      </w:r>
      <w:r>
        <w:rPr>
          <w:rFonts w:ascii="宋体" w:hAnsi="宋体" w:cs="宋体" w:eastAsia="宋体" w:hint="default"/>
          <w:sz w:val="18"/>
          <w:szCs w:val="18"/>
        </w:rPr>
        <w:t>中期票据发行采取无担保</w:t>
      </w:r>
      <w:r>
        <w:rPr>
          <w:rFonts w:ascii="宋体" w:hAnsi="宋体" w:cs="宋体" w:eastAsia="宋体" w:hint="default"/>
          <w:spacing w:val="2"/>
          <w:sz w:val="18"/>
          <w:szCs w:val="18"/>
        </w:rPr>
        <w:t>方</w:t>
      </w:r>
      <w:r>
        <w:rPr>
          <w:rFonts w:ascii="宋体" w:hAnsi="宋体" w:cs="宋体" w:eastAsia="宋体" w:hint="default"/>
          <w:sz w:val="18"/>
          <w:szCs w:val="18"/>
        </w:rPr>
        <w:t>式</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9</w:t>
      </w:r>
      <w:r>
        <w:rPr>
          <w:rFonts w:ascii="宋体" w:hAnsi="宋体" w:cs="宋体" w:eastAsia="宋体" w:hint="default"/>
          <w:spacing w:val="-22"/>
          <w:sz w:val="18"/>
          <w:szCs w:val="18"/>
        </w:rPr>
        <w:t>）</w:t>
      </w:r>
      <w:r>
        <w:rPr>
          <w:rFonts w:ascii="宋体" w:hAnsi="宋体" w:cs="宋体" w:eastAsia="宋体" w:hint="default"/>
          <w:sz w:val="18"/>
          <w:szCs w:val="18"/>
        </w:rPr>
        <w:t>决议有效期在发行</w:t>
      </w:r>
      <w:r>
        <w:rPr>
          <w:rFonts w:ascii="宋体" w:hAnsi="宋体" w:cs="宋体" w:eastAsia="宋体" w:hint="default"/>
          <w:spacing w:val="2"/>
          <w:sz w:val="18"/>
          <w:szCs w:val="18"/>
        </w:rPr>
        <w:t>中</w:t>
      </w:r>
      <w:r>
        <w:rPr>
          <w:rFonts w:ascii="宋体" w:hAnsi="宋体" w:cs="宋体" w:eastAsia="宋体" w:hint="default"/>
          <w:sz w:val="18"/>
          <w:szCs w:val="18"/>
        </w:rPr>
        <w:t>期票</w:t>
      </w:r>
      <w:r>
        <w:rPr>
          <w:rFonts w:ascii="宋体" w:hAnsi="宋体" w:cs="宋体" w:eastAsia="宋体" w:hint="default"/>
          <w:sz w:val="18"/>
          <w:szCs w:val="18"/>
        </w:rPr>
        <w:t> 据的注册及存续有效期内持续有效</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10</w:t>
      </w:r>
      <w:r>
        <w:rPr>
          <w:rFonts w:ascii="宋体" w:hAnsi="宋体" w:cs="宋体" w:eastAsia="宋体" w:hint="default"/>
          <w:sz w:val="18"/>
          <w:szCs w:val="18"/>
        </w:rPr>
        <w:t>）承销方式为主承销商承诺余额包销。</w:t>
      </w:r>
    </w:p>
    <w:p>
      <w:pPr>
        <w:spacing w:before="51"/>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w:t>
      </w:r>
      <w:r>
        <w:rPr>
          <w:rFonts w:ascii="宋体" w:hAnsi="宋体" w:cs="宋体" w:eastAsia="宋体" w:hint="default"/>
          <w:sz w:val="18"/>
          <w:szCs w:val="18"/>
        </w:rPr>
        <w:t>公司收到中国</w:t>
      </w:r>
      <w:r>
        <w:rPr>
          <w:rFonts w:ascii="宋体" w:hAnsi="宋体" w:cs="宋体" w:eastAsia="宋体" w:hint="default"/>
          <w:spacing w:val="-3"/>
          <w:sz w:val="18"/>
          <w:szCs w:val="18"/>
        </w:rPr>
        <w:t>银</w:t>
      </w:r>
      <w:r>
        <w:rPr>
          <w:rFonts w:ascii="宋体" w:hAnsi="宋体" w:cs="宋体" w:eastAsia="宋体" w:hint="default"/>
          <w:sz w:val="18"/>
          <w:szCs w:val="18"/>
        </w:rPr>
        <w:t>行间市场交易商协会发出</w:t>
      </w:r>
      <w:r>
        <w:rPr>
          <w:rFonts w:ascii="宋体" w:hAnsi="宋体" w:cs="宋体" w:eastAsia="宋体" w:hint="default"/>
          <w:spacing w:val="-51"/>
          <w:sz w:val="18"/>
          <w:szCs w:val="18"/>
        </w:rPr>
        <w:t>的</w:t>
      </w:r>
      <w:r>
        <w:rPr>
          <w:rFonts w:ascii="宋体" w:hAnsi="宋体" w:cs="宋体" w:eastAsia="宋体" w:hint="default"/>
          <w:spacing w:val="2"/>
          <w:sz w:val="18"/>
          <w:szCs w:val="18"/>
        </w:rPr>
        <w:t>《</w:t>
      </w:r>
      <w:r>
        <w:rPr>
          <w:rFonts w:ascii="宋体" w:hAnsi="宋体" w:cs="宋体" w:eastAsia="宋体" w:hint="default"/>
          <w:sz w:val="18"/>
          <w:szCs w:val="18"/>
        </w:rPr>
        <w:t>接受注册通知书</w:t>
      </w:r>
      <w:r>
        <w:rPr>
          <w:rFonts w:ascii="宋体" w:hAnsi="宋体" w:cs="宋体" w:eastAsia="宋体" w:hint="default"/>
          <w:spacing w:val="-142"/>
          <w:sz w:val="18"/>
          <w:szCs w:val="18"/>
        </w:rPr>
        <w:t>》</w:t>
      </w:r>
      <w:r>
        <w:rPr>
          <w:rFonts w:ascii="宋体" w:hAnsi="宋体" w:cs="宋体" w:eastAsia="宋体" w:hint="default"/>
          <w:sz w:val="18"/>
          <w:szCs w:val="18"/>
        </w:rPr>
        <w:t>（中市协</w:t>
      </w:r>
      <w:r>
        <w:rPr>
          <w:rFonts w:ascii="宋体" w:hAnsi="宋体" w:cs="宋体" w:eastAsia="宋体" w:hint="default"/>
          <w:spacing w:val="1"/>
          <w:sz w:val="18"/>
          <w:szCs w:val="18"/>
        </w:rPr>
        <w:t>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2020</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M</w:t>
      </w:r>
      <w:r>
        <w:rPr>
          <w:rFonts w:ascii="Times New Roman" w:hAnsi="Times New Roman" w:cs="Times New Roman" w:eastAsia="Times New Roman" w:hint="default"/>
          <w:w w:val="99"/>
          <w:sz w:val="18"/>
          <w:szCs w:val="18"/>
        </w:rPr>
        <w:t>TN</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p>
    <w:p>
      <w:pPr>
        <w:spacing w:line="340" w:lineRule="auto" w:before="63"/>
        <w:ind w:left="513" w:right="1120" w:hanging="36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日发行了“中国长城科技集团股份有限公司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年度第一期中期票据”</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亿元，票面利率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3.68%</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、办理应收账款保理业务暨关联交易 为盘活资产，加快资金周转，缩短公司整体应收账款回笼时间，优化财务结构，经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日公司第七届董事</w:t>
      </w:r>
    </w:p>
    <w:p>
      <w:pPr>
        <w:spacing w:line="215"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会第三十次会议审议，同意</w:t>
      </w:r>
      <w:r>
        <w:rPr>
          <w:rFonts w:ascii="宋体" w:hAnsi="宋体" w:cs="宋体" w:eastAsia="宋体" w:hint="default"/>
          <w:spacing w:val="2"/>
          <w:sz w:val="18"/>
          <w:szCs w:val="18"/>
        </w:rPr>
        <w:t>公</w:t>
      </w:r>
      <w:r>
        <w:rPr>
          <w:rFonts w:ascii="宋体" w:hAnsi="宋体" w:cs="宋体" w:eastAsia="宋体" w:hint="default"/>
          <w:sz w:val="18"/>
          <w:szCs w:val="18"/>
        </w:rPr>
        <w:t>司及下属公司与中电通商商</w:t>
      </w:r>
      <w:r>
        <w:rPr>
          <w:rFonts w:ascii="宋体" w:hAnsi="宋体" w:cs="宋体" w:eastAsia="宋体" w:hint="default"/>
          <w:spacing w:val="2"/>
          <w:sz w:val="18"/>
          <w:szCs w:val="18"/>
        </w:rPr>
        <w:t>业</w:t>
      </w:r>
      <w:r>
        <w:rPr>
          <w:rFonts w:ascii="宋体" w:hAnsi="宋体" w:cs="宋体" w:eastAsia="宋体" w:hint="default"/>
          <w:sz w:val="18"/>
          <w:szCs w:val="18"/>
        </w:rPr>
        <w:t>保理（天津）有限公司（简</w:t>
      </w:r>
      <w:r>
        <w:rPr>
          <w:rFonts w:ascii="宋体" w:hAnsi="宋体" w:cs="宋体" w:eastAsia="宋体" w:hint="default"/>
          <w:spacing w:val="2"/>
          <w:sz w:val="18"/>
          <w:szCs w:val="18"/>
        </w:rPr>
        <w:t>称</w:t>
      </w:r>
      <w:r>
        <w:rPr>
          <w:rFonts w:ascii="宋体" w:hAnsi="宋体" w:cs="宋体" w:eastAsia="宋体" w:hint="default"/>
          <w:sz w:val="18"/>
          <w:szCs w:val="18"/>
        </w:rPr>
        <w:t>“通商保理公司</w:t>
      </w:r>
      <w:r>
        <w:rPr>
          <w:rFonts w:ascii="宋体" w:hAnsi="宋体" w:cs="宋体" w:eastAsia="宋体" w:hint="default"/>
          <w:spacing w:val="-89"/>
          <w:sz w:val="18"/>
          <w:szCs w:val="18"/>
        </w:rPr>
        <w:t>”</w:t>
      </w:r>
      <w:r>
        <w:rPr>
          <w:rFonts w:ascii="宋体" w:hAnsi="宋体" w:cs="宋体" w:eastAsia="宋体" w:hint="default"/>
          <w:sz w:val="18"/>
          <w:szCs w:val="18"/>
        </w:rPr>
        <w:t>）及商业银行或</w:t>
      </w:r>
    </w:p>
    <w:p>
      <w:pPr>
        <w:spacing w:before="76"/>
        <w:ind w:left="152" w:right="0" w:firstLine="0"/>
        <w:jc w:val="left"/>
        <w:rPr>
          <w:rFonts w:ascii="宋体" w:hAnsi="宋体" w:cs="宋体" w:eastAsia="宋体" w:hint="default"/>
          <w:sz w:val="18"/>
          <w:szCs w:val="18"/>
        </w:rPr>
      </w:pPr>
      <w:r>
        <w:rPr>
          <w:rFonts w:ascii="宋体" w:hAnsi="宋体" w:cs="宋体" w:eastAsia="宋体" w:hint="default"/>
          <w:sz w:val="18"/>
          <w:szCs w:val="18"/>
        </w:rPr>
        <w:t>其他符合条件的机构开展总额不超过人民币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亿元的应收账款保理业务，根据上市公司规则认定，其中与通商保理公司开展</w:t>
      </w:r>
    </w:p>
    <w:p>
      <w:pPr>
        <w:spacing w:line="309" w:lineRule="auto" w:before="63"/>
        <w:ind w:left="152" w:right="1130" w:firstLine="0"/>
        <w:jc w:val="both"/>
        <w:rPr>
          <w:rFonts w:ascii="宋体" w:hAnsi="宋体" w:cs="宋体" w:eastAsia="宋体" w:hint="default"/>
          <w:sz w:val="18"/>
          <w:szCs w:val="18"/>
        </w:rPr>
      </w:pPr>
      <w:r>
        <w:rPr>
          <w:rFonts w:ascii="宋体" w:hAnsi="宋体" w:cs="宋体" w:eastAsia="宋体" w:hint="default"/>
          <w:sz w:val="18"/>
          <w:szCs w:val="18"/>
        </w:rPr>
        <w:t>的不超过人民币 </w:t>
      </w:r>
      <w:r>
        <w:rPr>
          <w:rFonts w:ascii="Times New Roman" w:hAnsi="Times New Roman" w:cs="Times New Roman" w:eastAsia="Times New Roman" w:hint="default"/>
          <w:sz w:val="18"/>
          <w:szCs w:val="18"/>
        </w:rPr>
        <w:t>2.6 </w:t>
      </w:r>
      <w:r>
        <w:rPr>
          <w:rFonts w:ascii="宋体" w:hAnsi="宋体" w:cs="宋体" w:eastAsia="宋体" w:hint="default"/>
          <w:sz w:val="18"/>
          <w:szCs w:val="18"/>
        </w:rPr>
        <w:t>亿元的应收账款保理业务构成关联交易，保理方式为无追索权的应收账款保理；其余不超过人民币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2"/>
          <w:sz w:val="18"/>
          <w:szCs w:val="18"/>
        </w:rPr>
        <w:t>亿元的应收账款保理业务，公司将结合业务实际情况和各应收账款保理商的优势，选择最优的保理方式。公司办理保理业务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的费率参照市场价格确定，不高于通商保理公司及商业银行或其他符合条件的机构为其他同等客户提供的同类业务服务收取</w:t>
      </w:r>
    </w:p>
    <w:p>
      <w:pPr>
        <w:spacing w:after="0" w:line="309" w:lineRule="auto"/>
        <w:jc w:val="both"/>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标准。</w:t>
      </w:r>
    </w:p>
    <w:p>
      <w:pPr>
        <w:spacing w:before="117"/>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、独立董事关于控股股东及其他关联方占用公司资金、公司对外担保情况的专项说明和独立意见</w:t>
      </w:r>
    </w:p>
    <w:p>
      <w:pPr>
        <w:spacing w:line="309" w:lineRule="auto" w:before="101"/>
        <w:ind w:left="152" w:right="1131"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）在防范资金占用方面，公司定有《防范控股股东及关联方资金占用管理办法》，严格防范控股股东及关联方资金占</w:t>
      </w:r>
      <w:r>
        <w:rPr>
          <w:rFonts w:ascii="宋体" w:hAnsi="宋体" w:cs="宋体" w:eastAsia="宋体" w:hint="default"/>
          <w:sz w:val="18"/>
          <w:szCs w:val="18"/>
        </w:rPr>
        <w:t> </w:t>
      </w:r>
      <w:r>
        <w:rPr>
          <w:rFonts w:ascii="宋体" w:hAnsi="宋体" w:cs="宋体" w:eastAsia="宋体" w:hint="default"/>
          <w:spacing w:val="-2"/>
          <w:sz w:val="18"/>
          <w:szCs w:val="18"/>
        </w:rPr>
        <w:t>用的风险，目前不存在因控股股东及其关联方占用或转移公司资金、资产或其他资源而给公司造成损失或可能造成损失的情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形。</w:t>
      </w:r>
    </w:p>
    <w:p>
      <w:pPr>
        <w:spacing w:line="309" w:lineRule="auto" w:before="65"/>
        <w:ind w:left="152" w:right="1132"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）在公司对外担保方面，公司定有《对外担保管理制度》，严格按照有关规定规范公司对外担保行为，控制公司对外</w:t>
      </w:r>
      <w:r>
        <w:rPr>
          <w:rFonts w:ascii="宋体" w:hAnsi="宋体" w:cs="宋体" w:eastAsia="宋体" w:hint="default"/>
          <w:sz w:val="18"/>
          <w:szCs w:val="18"/>
        </w:rPr>
        <w:t> </w:t>
      </w:r>
      <w:r>
        <w:rPr>
          <w:rFonts w:ascii="宋体" w:hAnsi="宋体" w:cs="宋体" w:eastAsia="宋体" w:hint="default"/>
          <w:spacing w:val="-2"/>
          <w:sz w:val="18"/>
          <w:szCs w:val="18"/>
        </w:rPr>
        <w:t>担保风险，没有违反《关于规范上市公司对外担保行为的通知》的事项发生，目前未有明显迹象表明公司可能因对外担保中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的被担保方违约而需承担担保责任。</w:t>
      </w:r>
    </w:p>
    <w:p>
      <w:pPr>
        <w:spacing w:before="65"/>
        <w:ind w:left="513"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日，公司及控股子公司没有为公司控股股东及其他关联方、任何个人提供担保的情况，公司对外</w:t>
      </w:r>
    </w:p>
    <w:p>
      <w:pPr>
        <w:spacing w:line="300" w:lineRule="auto" w:before="63"/>
        <w:ind w:left="152" w:right="1034" w:firstLine="0"/>
        <w:jc w:val="left"/>
        <w:rPr>
          <w:rFonts w:ascii="宋体" w:hAnsi="宋体" w:cs="宋体" w:eastAsia="宋体" w:hint="default"/>
          <w:sz w:val="18"/>
          <w:szCs w:val="18"/>
        </w:rPr>
      </w:pPr>
      <w:r>
        <w:rPr>
          <w:rFonts w:ascii="宋体" w:hAnsi="宋体" w:cs="宋体" w:eastAsia="宋体" w:hint="default"/>
          <w:sz w:val="18"/>
          <w:szCs w:val="18"/>
        </w:rPr>
        <w:t>担保余额约为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2,382.00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万元（不含公司为子公司提供的担保、下属子公司之间或子公司为其下属公司提供的担保），约占公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司报告期末净资产的比例</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0.29%</w:t>
      </w:r>
      <w:r>
        <w:rPr>
          <w:rFonts w:ascii="宋体" w:hAnsi="宋体" w:cs="宋体" w:eastAsia="宋体" w:hint="default"/>
          <w:spacing w:val="-5"/>
          <w:sz w:val="18"/>
          <w:szCs w:val="18"/>
        </w:rPr>
        <w:t>；公司为子公司提供的担保余额约为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33,213.98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万元，约占公司报告期末净资产的比例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下属子公司之间或子公司为其下属公司提供的担保余额约为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35,982.80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万元，约占公司报告期末净资产的比例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4.34%</w:t>
      </w:r>
      <w:r>
        <w:rPr>
          <w:rFonts w:ascii="宋体" w:hAnsi="宋体" w:cs="宋体" w:eastAsia="宋体" w:hint="default"/>
          <w:sz w:val="18"/>
          <w:szCs w:val="18"/>
        </w:rPr>
        <w:t>。</w:t>
      </w:r>
    </w:p>
    <w:p>
      <w:pPr>
        <w:spacing w:line="300" w:lineRule="auto" w:before="51"/>
        <w:ind w:left="152" w:right="11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）综上，我们认为公司能够按照有关规定控制对外担保及资金占用的风险，没有损害公司及公司股东尤其是中小股 东的利益。</w:t>
      </w:r>
    </w:p>
    <w:p>
      <w:pPr>
        <w:spacing w:line="240" w:lineRule="auto" w:before="3"/>
        <w:rPr>
          <w:rFonts w:ascii="宋体" w:hAnsi="宋体" w:cs="宋体" w:eastAsia="宋体" w:hint="default"/>
          <w:sz w:val="26"/>
          <w:szCs w:val="26"/>
        </w:rPr>
      </w:pPr>
    </w:p>
    <w:p>
      <w:pPr>
        <w:pStyle w:val="Heading4"/>
        <w:spacing w:line="240" w:lineRule="auto"/>
        <w:ind w:right="1133"/>
        <w:jc w:val="left"/>
        <w:rPr>
          <w:b w:val="0"/>
          <w:bCs w:val="0"/>
        </w:rPr>
      </w:pPr>
      <w:r>
        <w:rPr/>
        <w:t>二十、公司子公司重大事项</w:t>
      </w:r>
      <w:r>
        <w:rPr>
          <w:b w:val="0"/>
          <w:bCs w:val="0"/>
        </w:rPr>
      </w:r>
    </w:p>
    <w:p>
      <w:pPr>
        <w:spacing w:line="240" w:lineRule="auto" w:before="1"/>
        <w:rPr>
          <w:rFonts w:ascii="宋体" w:hAnsi="宋体" w:cs="宋体" w:eastAsia="宋体" w:hint="default"/>
          <w:b/>
          <w:bCs/>
          <w:sz w:val="31"/>
          <w:szCs w:val="31"/>
        </w:rPr>
      </w:pPr>
    </w:p>
    <w:p>
      <w:pPr>
        <w:spacing w:line="350" w:lineRule="auto" w:before="0"/>
        <w:ind w:left="513" w:right="589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、长江科技购买土地使用权及地上房屋建（构）筑物 参见第四节“重大非股权投资情况说明”中的相关介绍。</w:t>
      </w:r>
    </w:p>
    <w:p>
      <w:pPr>
        <w:spacing w:before="32"/>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、湖南长城科技与麓谷创服、中电朝云共同组建长沙军民融合先进技术研究院</w:t>
      </w:r>
    </w:p>
    <w:p>
      <w:pPr>
        <w:spacing w:line="307" w:lineRule="auto" w:before="103"/>
        <w:ind w:left="152" w:right="1128" w:firstLine="360"/>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日公司第七届董事会审议，同意湖南长城科技与长沙高新开发区麓谷创业服务有限公司（简称“麓 </w:t>
      </w:r>
      <w:r>
        <w:rPr>
          <w:rFonts w:ascii="宋体" w:hAnsi="宋体" w:cs="宋体" w:eastAsia="宋体" w:hint="default"/>
          <w:spacing w:val="-8"/>
          <w:sz w:val="18"/>
          <w:szCs w:val="18"/>
        </w:rPr>
        <w:t>谷创服”，代表长沙市政府出资）、嘉兴中电朝云投资管理有限公司（简称“中电朝云”，为社会资本）签署《出资协议》，在</w:t>
      </w:r>
      <w:r>
        <w:rPr>
          <w:rFonts w:ascii="宋体" w:hAnsi="宋体" w:cs="宋体" w:eastAsia="宋体" w:hint="default"/>
          <w:sz w:val="18"/>
          <w:szCs w:val="18"/>
        </w:rPr>
        <w:t> </w:t>
      </w:r>
      <w:r>
        <w:rPr>
          <w:rFonts w:ascii="宋体" w:hAnsi="宋体" w:cs="宋体" w:eastAsia="宋体" w:hint="default"/>
          <w:spacing w:val="-2"/>
          <w:sz w:val="18"/>
          <w:szCs w:val="18"/>
        </w:rPr>
        <w:t>湖南省长沙市共同投资设立“长沙军民先进技术研究有限公司”。主要从事于军民融合领域协同创新、成果转化和产业孵化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等，注册资本为人民币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万元，其中湖南长城科技出资人民币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万元，持股比例为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；麓谷创服出资人民币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元，持股比例为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；中电朝云出资人民币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万元，持股比例为</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日，合资公司长沙军民先进技术研 究有限公司成立。</w:t>
      </w:r>
    </w:p>
    <w:p>
      <w:pPr>
        <w:spacing w:before="67"/>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、柏怡国际投资建设“柏怡越南生产项目一期”</w:t>
      </w:r>
    </w:p>
    <w:p>
      <w:pPr>
        <w:spacing w:before="101"/>
        <w:ind w:left="513" w:right="0" w:firstLine="0"/>
        <w:jc w:val="left"/>
        <w:rPr>
          <w:rFonts w:ascii="宋体" w:hAnsi="宋体" w:cs="宋体" w:eastAsia="宋体" w:hint="default"/>
          <w:sz w:val="18"/>
          <w:szCs w:val="18"/>
        </w:rPr>
      </w:pPr>
      <w:r>
        <w:rPr>
          <w:rFonts w:ascii="宋体" w:hAnsi="宋体" w:cs="宋体" w:eastAsia="宋体" w:hint="default"/>
          <w:sz w:val="18"/>
          <w:szCs w:val="18"/>
        </w:rPr>
        <w:t>为降低中美贸易摩擦影响，避免国际客户流失，经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日公司第七届董事会审议，同意柏怡国际在越南北</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江省分期投资建设境外生产基地，</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月柏怡科技（越南）有限公司成立，注册资本为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万美元。</w:t>
      </w:r>
    </w:p>
    <w:p>
      <w:pPr>
        <w:spacing w:line="348" w:lineRule="auto" w:before="103"/>
        <w:ind w:left="513" w:right="5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、长城信安购买长城银河无形资产 参见第四节“重大非股权投资情况说明”中的相关介绍。 </w:t>
      </w:r>
      <w:r>
        <w:rPr>
          <w:rFonts w:ascii="Times New Roman" w:hAnsi="Times New Roman" w:cs="Times New Roman" w:eastAsia="Times New Roman" w:hint="default"/>
          <w:sz w:val="18"/>
          <w:szCs w:val="18"/>
        </w:rPr>
        <w:t>5</w:t>
      </w:r>
      <w:r>
        <w:rPr>
          <w:rFonts w:ascii="宋体" w:hAnsi="宋体" w:cs="宋体" w:eastAsia="宋体" w:hint="default"/>
          <w:sz w:val="18"/>
          <w:szCs w:val="18"/>
        </w:rPr>
        <w:t>、中原电子收购中电财务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 参见第四节“重大股权投资情况说明”中的相关介绍。 </w:t>
      </w:r>
      <w:r>
        <w:rPr>
          <w:rFonts w:ascii="Times New Roman" w:hAnsi="Times New Roman" w:cs="Times New Roman" w:eastAsia="Times New Roman" w:hint="default"/>
          <w:sz w:val="18"/>
          <w:szCs w:val="18"/>
        </w:rPr>
        <w:t>6</w:t>
      </w:r>
      <w:r>
        <w:rPr>
          <w:rFonts w:ascii="宋体" w:hAnsi="宋体" w:cs="宋体" w:eastAsia="宋体" w:hint="default"/>
          <w:sz w:val="18"/>
          <w:szCs w:val="18"/>
        </w:rPr>
        <w:t>、中原电子收购中元股份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4.98%</w:t>
      </w:r>
      <w:r>
        <w:rPr>
          <w:rFonts w:ascii="宋体" w:hAnsi="宋体" w:cs="宋体" w:eastAsia="宋体" w:hint="default"/>
          <w:sz w:val="18"/>
          <w:szCs w:val="18"/>
        </w:rPr>
        <w:t>股权 参见第四节“重大股权投资情况说明”中的相关介绍。 </w:t>
      </w:r>
      <w:r>
        <w:rPr>
          <w:rFonts w:ascii="Times New Roman" w:hAnsi="Times New Roman" w:cs="Times New Roman" w:eastAsia="Times New Roman" w:hint="default"/>
          <w:sz w:val="18"/>
          <w:szCs w:val="18"/>
        </w:rPr>
        <w:t>7</w:t>
      </w:r>
      <w:r>
        <w:rPr>
          <w:rFonts w:ascii="宋体" w:hAnsi="宋体" w:cs="宋体" w:eastAsia="宋体" w:hint="default"/>
          <w:sz w:val="18"/>
          <w:szCs w:val="18"/>
        </w:rPr>
        <w:t>、对下属公司股权结构调整</w:t>
      </w:r>
    </w:p>
    <w:p>
      <w:pPr>
        <w:spacing w:line="316" w:lineRule="auto" w:before="14"/>
        <w:ind w:left="152" w:right="0" w:firstLine="360"/>
        <w:jc w:val="left"/>
        <w:rPr>
          <w:rFonts w:ascii="宋体" w:hAnsi="宋体" w:cs="宋体" w:eastAsia="宋体" w:hint="default"/>
          <w:sz w:val="18"/>
          <w:szCs w:val="18"/>
        </w:rPr>
      </w:pPr>
      <w:r>
        <w:rPr>
          <w:rFonts w:ascii="宋体" w:hAnsi="宋体" w:cs="宋体" w:eastAsia="宋体" w:hint="default"/>
          <w:spacing w:val="-4"/>
          <w:sz w:val="18"/>
          <w:szCs w:val="18"/>
        </w:rPr>
        <w:t>为进一步优化公司重大资产重组中原长城信息的资产及其下属公司股权管理，提高经营效率，公司从战略发展角度出发，</w:t>
      </w:r>
      <w:r>
        <w:rPr>
          <w:rFonts w:ascii="宋体" w:hAnsi="宋体" w:cs="宋体" w:eastAsia="宋体" w:hint="default"/>
          <w:sz w:val="18"/>
          <w:szCs w:val="18"/>
        </w:rPr>
        <w:t> </w:t>
      </w:r>
      <w:r>
        <w:rPr>
          <w:rFonts w:ascii="宋体" w:hAnsi="宋体" w:cs="宋体" w:eastAsia="宋体" w:hint="default"/>
          <w:spacing w:val="-2"/>
          <w:sz w:val="18"/>
          <w:szCs w:val="18"/>
        </w:rPr>
        <w:t>将持有的子公司湖南长城信息金融设备有限责任公司、湖南长城医疗科技有限公司、长沙湘计海盾科技有限公司、长沙中电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软件园有限公司，参股公司湖南长城博天信息科技有限公司、湖南艾邦信息技术有限公司、湘财证券股份有限公司、东方证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券股份有限公司全部股权转让给湖南长城科技，为公司内部资产整合，将以股权划转方式进行。</w:t>
      </w:r>
    </w:p>
    <w:p>
      <w:pPr>
        <w:spacing w:after="0" w:line="316" w:lineRule="auto"/>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line="340" w:lineRule="auto" w:before="44"/>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、仿真工程技术中心一期项目 为满足公司未来在自主安全整机一体化设计的需求，缩短产品研发周期，形成仿真服务能力，推动“</w:t>
      </w:r>
      <w:r>
        <w:rPr>
          <w:rFonts w:ascii="Times New Roman" w:hAnsi="Times New Roman" w:cs="Times New Roman" w:eastAsia="Times New Roman" w:hint="default"/>
          <w:sz w:val="18"/>
          <w:szCs w:val="18"/>
        </w:rPr>
        <w:t>PK</w:t>
      </w:r>
      <w:r>
        <w:rPr>
          <w:rFonts w:ascii="宋体" w:hAnsi="宋体" w:cs="宋体" w:eastAsia="宋体" w:hint="default"/>
          <w:sz w:val="18"/>
          <w:szCs w:val="18"/>
        </w:rPr>
        <w:t>”体系产业链</w:t>
      </w:r>
    </w:p>
    <w:p>
      <w:pPr>
        <w:spacing w:line="228"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发展，经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日公司第七届董事会审议，同意湖南长城科技成立“长城</w:t>
      </w:r>
      <w:r>
        <w:rPr>
          <w:rFonts w:ascii="Times New Roman" w:hAnsi="Times New Roman" w:cs="Times New Roman" w:eastAsia="Times New Roman" w:hint="default"/>
          <w:sz w:val="18"/>
          <w:szCs w:val="18"/>
        </w:rPr>
        <w:t>-</w:t>
      </w:r>
      <w:r>
        <w:rPr>
          <w:rFonts w:ascii="宋体" w:hAnsi="宋体" w:cs="宋体" w:eastAsia="宋体" w:hint="default"/>
          <w:sz w:val="18"/>
          <w:szCs w:val="18"/>
        </w:rPr>
        <w:t>飞腾”</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架构仿真工程技术中心，一</w:t>
      </w:r>
    </w:p>
    <w:p>
      <w:pPr>
        <w:spacing w:line="338" w:lineRule="auto" w:before="63"/>
        <w:ind w:left="513" w:right="1133" w:hanging="361"/>
        <w:jc w:val="left"/>
        <w:rPr>
          <w:rFonts w:ascii="宋体" w:hAnsi="宋体" w:cs="宋体" w:eastAsia="宋体" w:hint="default"/>
          <w:sz w:val="18"/>
          <w:szCs w:val="18"/>
        </w:rPr>
      </w:pPr>
      <w:r>
        <w:rPr>
          <w:rFonts w:ascii="宋体" w:hAnsi="宋体" w:cs="宋体" w:eastAsia="宋体" w:hint="default"/>
          <w:sz w:val="18"/>
          <w:szCs w:val="18"/>
        </w:rPr>
        <w:t>期项目投资约人民币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亿元，主要用于基础设施建设、固定资产投入等。 </w:t>
      </w:r>
      <w:r>
        <w:rPr>
          <w:rFonts w:ascii="Times New Roman" w:hAnsi="Times New Roman" w:cs="Times New Roman" w:eastAsia="Times New Roman" w:hint="default"/>
          <w:sz w:val="18"/>
          <w:szCs w:val="18"/>
        </w:rPr>
        <w:t>9</w:t>
      </w:r>
      <w:r>
        <w:rPr>
          <w:rFonts w:ascii="宋体" w:hAnsi="宋体" w:cs="宋体" w:eastAsia="宋体" w:hint="default"/>
          <w:sz w:val="18"/>
          <w:szCs w:val="18"/>
        </w:rPr>
        <w:t>、山西长城与晨宇泰安、永信科技共同投资设立公司 </w:t>
      </w:r>
      <w:r>
        <w:rPr>
          <w:rFonts w:ascii="宋体" w:hAnsi="宋体" w:cs="宋体" w:eastAsia="宋体" w:hint="default"/>
          <w:spacing w:val="-6"/>
          <w:sz w:val="18"/>
          <w:szCs w:val="18"/>
        </w:rPr>
        <w:t>为推进中国长城智能制造（山西）基地建设，充分利用山西晨宇泰安科技有限公司（简称“晨宇泰安”）、北京永信国际</w:t>
      </w:r>
    </w:p>
    <w:p>
      <w:pPr>
        <w:spacing w:line="312" w:lineRule="auto" w:before="2"/>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科技有限公司（简称“永信科技”）的市场渠道资源、技术储备和集成资质共同推动公司在山西省的适配中心和专用数据中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心建设及市场业务，打造区域自主安全生态圈，经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日公司第七届董事会审议，同意山西长城计算机系统有限 </w:t>
      </w:r>
      <w:r>
        <w:rPr>
          <w:rFonts w:ascii="宋体" w:hAnsi="宋体" w:cs="宋体" w:eastAsia="宋体" w:hint="default"/>
          <w:spacing w:val="-7"/>
          <w:sz w:val="18"/>
          <w:szCs w:val="18"/>
        </w:rPr>
        <w:t>公司（简称“山西长城”）与晨宇泰安、永信科技签署《投资协议》，在太原市共同投资设立“山西长城科技信息有限公司”。</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合资公司主要负责自主研发计算机适配中心的研发、建设及运营工作，注册资本为人民币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万元，其中山西长城出资人</w:t>
      </w:r>
    </w:p>
    <w:p>
      <w:pPr>
        <w:spacing w:line="343" w:lineRule="auto" w:before="3"/>
        <w:ind w:left="513" w:right="3460" w:hanging="361"/>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日，合资公司山西长城科技信息有限公司成立。 </w:t>
      </w:r>
      <w:r>
        <w:rPr>
          <w:rFonts w:ascii="Times New Roman" w:hAnsi="Times New Roman" w:cs="Times New Roman" w:eastAsia="Times New Roman" w:hint="default"/>
          <w:sz w:val="18"/>
          <w:szCs w:val="18"/>
        </w:rPr>
        <w:t>10</w:t>
      </w:r>
      <w:r>
        <w:rPr>
          <w:rFonts w:ascii="宋体" w:hAnsi="宋体" w:cs="宋体" w:eastAsia="宋体" w:hint="default"/>
          <w:sz w:val="18"/>
          <w:szCs w:val="18"/>
        </w:rPr>
        <w:t>、圣非凡收购轨道交通研究院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参见第四节“重大股权投资情况说明”中的相关介绍。 </w:t>
      </w:r>
      <w:r>
        <w:rPr>
          <w:rFonts w:ascii="Times New Roman" w:hAnsi="Times New Roman" w:cs="Times New Roman" w:eastAsia="Times New Roman" w:hint="default"/>
          <w:sz w:val="18"/>
          <w:szCs w:val="18"/>
        </w:rPr>
        <w:t>11</w:t>
      </w:r>
      <w:r>
        <w:rPr>
          <w:rFonts w:ascii="宋体" w:hAnsi="宋体" w:cs="宋体" w:eastAsia="宋体" w:hint="default"/>
          <w:sz w:val="18"/>
          <w:szCs w:val="18"/>
        </w:rPr>
        <w:t>、湘计海盾向中国电子转让部分应收账款 参见第五节“其他重大关联交易”中的相关介绍。</w:t>
      </w:r>
    </w:p>
    <w:p>
      <w:pPr>
        <w:spacing w:line="340" w:lineRule="auto" w:before="37"/>
        <w:ind w:left="51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、下属公司担保 参见本节“担保情况说明”中的相关介绍。</w:t>
      </w:r>
    </w:p>
    <w:p>
      <w:pPr>
        <w:spacing w:after="0" w:line="340" w:lineRule="auto"/>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1"/>
        <w:spacing w:line="240" w:lineRule="auto"/>
        <w:ind w:left="338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Heading4"/>
        <w:spacing w:line="240" w:lineRule="auto" w:before="26"/>
        <w:ind w:left="572"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before="0"/>
        <w:ind w:left="572"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20"/>
        <w:gridCol w:w="1135"/>
        <w:gridCol w:w="821"/>
        <w:gridCol w:w="1157"/>
        <w:gridCol w:w="720"/>
        <w:gridCol w:w="1040"/>
        <w:gridCol w:w="854"/>
        <w:gridCol w:w="941"/>
        <w:gridCol w:w="1155"/>
        <w:gridCol w:w="1111"/>
      </w:tblGrid>
      <w:tr>
        <w:trPr>
          <w:trHeight w:val="401" w:hRule="exact"/>
        </w:trPr>
        <w:tc>
          <w:tcPr>
            <w:tcW w:w="1620" w:type="dxa"/>
            <w:vMerge w:val="restart"/>
            <w:tcBorders>
              <w:top w:val="single" w:sz="4" w:space="0" w:color="000000"/>
              <w:left w:val="single" w:sz="4" w:space="0" w:color="000000"/>
              <w:right w:val="single" w:sz="4" w:space="0" w:color="000000"/>
            </w:tcBorders>
            <w:shd w:val="clear" w:color="auto" w:fill="D2D2D2"/>
          </w:tcPr>
          <w:p>
            <w:pPr/>
          </w:p>
        </w:tc>
        <w:tc>
          <w:tcPr>
            <w:tcW w:w="19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7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3" w:hRule="exact"/>
        </w:trPr>
        <w:tc>
          <w:tcPr>
            <w:tcW w:w="1620"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发行新股</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7"/>
                <w:sz w:val="18"/>
                <w:szCs w:val="18"/>
              </w:rPr>
              <w:t>一、有限售条件股份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445,448,251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15.171%</w:t>
            </w:r>
          </w:p>
        </w:tc>
        <w:tc>
          <w:tcPr>
            <w:tcW w:w="115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-7,983,507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-7,983,507</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437,464,744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14.940%</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445,113,991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15.160%</w:t>
            </w:r>
          </w:p>
        </w:tc>
        <w:tc>
          <w:tcPr>
            <w:tcW w:w="115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-7,983,507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-7,983,507</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437,130,484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14.928%</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334,260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0.011%</w:t>
            </w:r>
          </w:p>
        </w:tc>
        <w:tc>
          <w:tcPr>
            <w:tcW w:w="115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334,260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0.011%</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334,260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0.011%</w:t>
            </w:r>
          </w:p>
        </w:tc>
        <w:tc>
          <w:tcPr>
            <w:tcW w:w="115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334,260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0.011%</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7"/>
                <w:sz w:val="18"/>
                <w:szCs w:val="18"/>
              </w:rPr>
              <w:t>二、无限售条件股份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2,490,717,309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84.829%</w:t>
            </w:r>
          </w:p>
        </w:tc>
        <w:tc>
          <w:tcPr>
            <w:tcW w:w="115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2,490,717,309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85.060%</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2,490,717,309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84.829%</w:t>
            </w:r>
          </w:p>
        </w:tc>
        <w:tc>
          <w:tcPr>
            <w:tcW w:w="115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2,490,717,309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85.060%</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2,936,165,560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-7,983,507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-7,983,507</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2,928,182,053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w:t>
            </w:r>
          </w:p>
        </w:tc>
      </w:tr>
    </w:tbl>
    <w:p>
      <w:pPr>
        <w:spacing w:before="70"/>
        <w:ind w:left="57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36"/>
        <w:ind w:left="57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09" w:lineRule="auto" w:before="136"/>
        <w:ind w:left="572" w:right="1132" w:firstLine="360"/>
        <w:jc w:val="both"/>
        <w:rPr>
          <w:rFonts w:ascii="宋体" w:hAnsi="宋体" w:cs="宋体" w:eastAsia="宋体" w:hint="default"/>
          <w:sz w:val="18"/>
          <w:szCs w:val="18"/>
        </w:rPr>
      </w:pPr>
      <w:r>
        <w:rPr>
          <w:rFonts w:ascii="宋体" w:hAnsi="宋体" w:cs="宋体" w:eastAsia="宋体" w:hint="default"/>
          <w:sz w:val="18"/>
          <w:szCs w:val="18"/>
        </w:rPr>
        <w:t>因公司重大资产重组购入资产圣非凡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年度扣除非经常性损益归属于母公司所有者的净利润未达业绩承诺，资产注 </w:t>
      </w:r>
      <w:r>
        <w:rPr>
          <w:rFonts w:ascii="宋体" w:hAnsi="宋体" w:cs="宋体" w:eastAsia="宋体" w:hint="default"/>
          <w:spacing w:val="-5"/>
          <w:sz w:val="18"/>
          <w:szCs w:val="18"/>
        </w:rPr>
        <w:t>入方中国电子需向公司进行股份补偿，根据双方签署的《盈利预测补偿协议》、《盈利预测补偿协议之补充协议》约定，公司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元的价格回购中国电子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7,983,507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股并注销。</w:t>
      </w:r>
    </w:p>
    <w:p>
      <w:pPr>
        <w:spacing w:before="65"/>
        <w:ind w:left="57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36"/>
        <w:ind w:left="57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36"/>
        <w:ind w:left="933" w:right="0" w:firstLine="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日公司第七届董事会第十八次会议、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年度股东大会审议，通过《重大资</w:t>
      </w:r>
    </w:p>
    <w:p>
      <w:pPr>
        <w:spacing w:line="300" w:lineRule="auto" w:before="63"/>
        <w:ind w:left="572" w:right="1117" w:firstLine="0"/>
        <w:jc w:val="left"/>
        <w:rPr>
          <w:rFonts w:ascii="宋体" w:hAnsi="宋体" w:cs="宋体" w:eastAsia="宋体" w:hint="default"/>
          <w:sz w:val="18"/>
          <w:szCs w:val="18"/>
        </w:rPr>
      </w:pPr>
      <w:r>
        <w:rPr>
          <w:rFonts w:ascii="宋体" w:hAnsi="宋体" w:cs="宋体" w:eastAsia="宋体" w:hint="default"/>
          <w:sz w:val="18"/>
          <w:szCs w:val="18"/>
        </w:rPr>
        <w:t>产重组购入资产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年度业绩承诺实现情况及业绩补偿方案》和《提请股东大会授权董事会全权办理补偿股份回购、注销 </w:t>
      </w:r>
      <w:r>
        <w:rPr>
          <w:rFonts w:ascii="宋体" w:hAnsi="宋体" w:cs="宋体" w:eastAsia="宋体" w:hint="default"/>
          <w:spacing w:val="-9"/>
          <w:sz w:val="18"/>
          <w:szCs w:val="18"/>
        </w:rPr>
        <w:t>相关事宜并因注册资本变更修订</w:t>
      </w:r>
      <w:r>
        <w:rPr>
          <w:rFonts w:ascii="Times New Roman" w:hAnsi="Times New Roman" w:cs="Times New Roman" w:eastAsia="Times New Roman" w:hint="default"/>
          <w:spacing w:val="-9"/>
          <w:sz w:val="18"/>
          <w:szCs w:val="18"/>
        </w:rPr>
        <w:t>&lt;</w:t>
      </w:r>
      <w:r>
        <w:rPr>
          <w:rFonts w:ascii="宋体" w:hAnsi="宋体" w:cs="宋体" w:eastAsia="宋体" w:hint="default"/>
          <w:spacing w:val="-9"/>
          <w:sz w:val="18"/>
          <w:szCs w:val="18"/>
        </w:rPr>
        <w:t>公司章程</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w:t>
      </w:r>
      <w:r>
        <w:rPr>
          <w:rFonts w:ascii="宋体" w:hAnsi="宋体" w:cs="宋体" w:eastAsia="宋体" w:hint="default"/>
          <w:sz w:val="18"/>
          <w:szCs w:val="18"/>
        </w:rPr>
      </w:r>
    </w:p>
    <w:p>
      <w:pPr>
        <w:spacing w:before="73"/>
        <w:ind w:left="57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36"/>
        <w:ind w:left="57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36"/>
        <w:ind w:left="933" w:right="0" w:firstLine="0"/>
        <w:jc w:val="left"/>
        <w:rPr>
          <w:rFonts w:ascii="宋体" w:hAnsi="宋体" w:cs="宋体" w:eastAsia="宋体" w:hint="default"/>
          <w:sz w:val="18"/>
          <w:szCs w:val="18"/>
        </w:rPr>
      </w:pPr>
      <w:r>
        <w:rPr>
          <w:rFonts w:ascii="宋体" w:hAnsi="宋体" w:cs="宋体" w:eastAsia="宋体" w:hint="default"/>
          <w:sz w:val="18"/>
          <w:szCs w:val="18"/>
        </w:rPr>
        <w:t>业绩补偿股份于</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日在中国证券登记结算有限责任公司深圳分公司完成注销手续，公司股本总额变更为</w:t>
      </w:r>
    </w:p>
    <w:p>
      <w:pPr>
        <w:spacing w:before="63"/>
        <w:ind w:left="5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2,928,182,053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w:t>
      </w:r>
    </w:p>
    <w:p>
      <w:pPr>
        <w:spacing w:before="123"/>
        <w:ind w:left="572" w:right="0"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79" w:lineRule="auto" w:before="136"/>
        <w:ind w:left="572" w:right="69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采用集中竞价方式减持回购股份的实施进展情况</w:t>
      </w:r>
    </w:p>
    <w:p>
      <w:pPr>
        <w:spacing w:line="379" w:lineRule="auto" w:before="32"/>
        <w:ind w:left="572" w:right="13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股份变动对最近一年和最近一期基本每股收益和稀释每股收益、归属于公司普通股股东的每股净资产等财务指标的影响</w:t>
      </w:r>
    </w:p>
    <w:p>
      <w:pPr>
        <w:spacing w:before="32"/>
        <w:ind w:left="57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89" w:footer="975" w:top="1100" w:bottom="1160" w:left="560" w:right="0"/>
        </w:sectPr>
      </w:pPr>
    </w:p>
    <w:p>
      <w:pPr>
        <w:spacing w:line="240" w:lineRule="auto" w:before="8"/>
        <w:rPr>
          <w:rFonts w:ascii="宋体" w:hAnsi="宋体" w:cs="宋体" w:eastAsia="宋体" w:hint="default"/>
          <w:sz w:val="22"/>
          <w:szCs w:val="22"/>
        </w:rPr>
      </w:pPr>
    </w:p>
    <w:p>
      <w:pPr>
        <w:spacing w:line="307" w:lineRule="auto" w:before="44"/>
        <w:ind w:left="272" w:right="1128" w:firstLine="360"/>
        <w:jc w:val="both"/>
        <w:rPr>
          <w:rFonts w:ascii="宋体" w:hAnsi="宋体" w:cs="宋体" w:eastAsia="宋体" w:hint="default"/>
          <w:sz w:val="18"/>
          <w:szCs w:val="18"/>
        </w:rPr>
      </w:pPr>
      <w:r>
        <w:rPr>
          <w:rFonts w:ascii="宋体" w:hAnsi="宋体" w:cs="宋体" w:eastAsia="宋体" w:hint="default"/>
          <w:sz w:val="18"/>
          <w:szCs w:val="18"/>
        </w:rPr>
        <w:t>报告期内，因完成回购并注销业绩补偿股份，公司的总股本由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2,936,165,560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股减至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2,928,182,053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股。为使数据具有可 比性，根据《公开发行证券的公司信息披露编报规则第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净资产收益率和每股收益的计算及披露》（</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年修订）的相 </w:t>
      </w:r>
      <w:r>
        <w:rPr>
          <w:rFonts w:ascii="宋体" w:hAnsi="宋体" w:cs="宋体" w:eastAsia="宋体" w:hint="default"/>
          <w:spacing w:val="15"/>
          <w:sz w:val="18"/>
          <w:szCs w:val="18"/>
        </w:rPr>
        <w:t>关规定，公司需按照新股本重新计算各比较期的每股收益，因此上年同期每股收益计算的股本基础已相应调整为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2,928,182,053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67"/>
        <w:ind w:left="633" w:right="0" w:firstLine="0"/>
        <w:jc w:val="left"/>
        <w:rPr>
          <w:rFonts w:ascii="宋体" w:hAnsi="宋体" w:cs="宋体" w:eastAsia="宋体" w:hint="default"/>
          <w:sz w:val="18"/>
          <w:szCs w:val="18"/>
        </w:rPr>
      </w:pPr>
      <w:r>
        <w:rPr>
          <w:rFonts w:ascii="宋体" w:hAnsi="宋体" w:cs="宋体" w:eastAsia="宋体" w:hint="default"/>
          <w:sz w:val="18"/>
          <w:szCs w:val="18"/>
        </w:rPr>
        <w:t>按照新股本计算后的上年同期每股收益调整前为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0.336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元、调整后为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元，每股净资产调整前为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元、调整后为</w:t>
      </w:r>
    </w:p>
    <w:p>
      <w:pPr>
        <w:spacing w:line="357" w:lineRule="auto" w:before="63"/>
        <w:ind w:left="27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公司认为必要或证券监管机构要求披露的其他内容</w:t>
      </w:r>
    </w:p>
    <w:p>
      <w:pPr>
        <w:spacing w:before="48"/>
        <w:ind w:left="27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left="272"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27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368"/>
        <w:gridCol w:w="1154"/>
        <w:gridCol w:w="1049"/>
        <w:gridCol w:w="1140"/>
        <w:gridCol w:w="1246"/>
        <w:gridCol w:w="1934"/>
        <w:gridCol w:w="2074"/>
      </w:tblGrid>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49" w:right="6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88" w:right="19"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5"/>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63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4" w:right="72"/>
              <w:jc w:val="left"/>
              <w:rPr>
                <w:rFonts w:ascii="宋体" w:hAnsi="宋体" w:cs="宋体" w:eastAsia="宋体" w:hint="default"/>
                <w:sz w:val="18"/>
                <w:szCs w:val="18"/>
              </w:rPr>
            </w:pPr>
            <w:r>
              <w:rPr>
                <w:rFonts w:ascii="宋体" w:hAnsi="宋体" w:cs="宋体" w:eastAsia="宋体" w:hint="default"/>
                <w:sz w:val="18"/>
                <w:szCs w:val="18"/>
              </w:rPr>
              <w:t>中国电子信息产 业集团有限公司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328,580,158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328,580,158</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4" w:right="96"/>
              <w:jc w:val="left"/>
              <w:rPr>
                <w:rFonts w:ascii="宋体" w:hAnsi="宋体" w:cs="宋体" w:eastAsia="宋体" w:hint="default"/>
                <w:sz w:val="18"/>
                <w:szCs w:val="18"/>
              </w:rPr>
            </w:pPr>
            <w:r>
              <w:rPr>
                <w:rFonts w:ascii="宋体" w:hAnsi="宋体" w:cs="宋体" w:eastAsia="宋体" w:hint="default"/>
                <w:sz w:val="18"/>
                <w:szCs w:val="18"/>
              </w:rPr>
              <w:t>换股合并长城信息锁定 期三年，并延长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2"/>
              <w:jc w:val="left"/>
              <w:rPr>
                <w:rFonts w:ascii="宋体" w:hAnsi="宋体" w:cs="宋体" w:eastAsia="宋体" w:hint="default"/>
                <w:sz w:val="18"/>
                <w:szCs w:val="18"/>
              </w:rPr>
            </w:pPr>
            <w:r>
              <w:rPr>
                <w:rFonts w:ascii="宋体" w:hAnsi="宋体" w:cs="宋体" w:eastAsia="宋体" w:hint="default"/>
                <w:sz w:val="18"/>
                <w:szCs w:val="18"/>
              </w:rPr>
              <w:t>中国电子信息产 业集团有限公司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110,406,085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-7,983,507</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102,422,578</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96"/>
              <w:jc w:val="left"/>
              <w:rPr>
                <w:rFonts w:ascii="宋体" w:hAnsi="宋体" w:cs="宋体" w:eastAsia="宋体" w:hint="default"/>
                <w:sz w:val="18"/>
                <w:szCs w:val="18"/>
              </w:rPr>
            </w:pPr>
            <w:r>
              <w:rPr>
                <w:rFonts w:ascii="宋体" w:hAnsi="宋体" w:cs="宋体" w:eastAsia="宋体" w:hint="default"/>
                <w:sz w:val="18"/>
                <w:szCs w:val="18"/>
              </w:rPr>
              <w:t>发行股份购买资产锁定 期三年，并延长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2"/>
              <w:jc w:val="left"/>
              <w:rPr>
                <w:rFonts w:ascii="宋体" w:hAnsi="宋体" w:cs="宋体" w:eastAsia="宋体" w:hint="default"/>
                <w:sz w:val="18"/>
                <w:szCs w:val="18"/>
              </w:rPr>
            </w:pPr>
            <w:r>
              <w:rPr>
                <w:rFonts w:ascii="宋体" w:hAnsi="宋体" w:cs="宋体" w:eastAsia="宋体" w:hint="default"/>
                <w:sz w:val="18"/>
                <w:szCs w:val="18"/>
              </w:rPr>
              <w:t>湖南计算机厂有 限公司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6,127,748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6,127,748</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96"/>
              <w:jc w:val="left"/>
              <w:rPr>
                <w:rFonts w:ascii="宋体" w:hAnsi="宋体" w:cs="宋体" w:eastAsia="宋体" w:hint="default"/>
                <w:sz w:val="18"/>
                <w:szCs w:val="18"/>
              </w:rPr>
            </w:pPr>
            <w:r>
              <w:rPr>
                <w:rFonts w:ascii="宋体" w:hAnsi="宋体" w:cs="宋体" w:eastAsia="宋体" w:hint="default"/>
                <w:sz w:val="18"/>
                <w:szCs w:val="18"/>
              </w:rPr>
              <w:t>换股合并长城信息锁定 期三年，并延长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徐刚</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按高管持股相关规定解限</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戴湘桃</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9"/>
              <w:jc w:val="center"/>
              <w:rPr>
                <w:rFonts w:ascii="宋体" w:hAnsi="宋体" w:cs="宋体" w:eastAsia="宋体" w:hint="default"/>
                <w:sz w:val="18"/>
                <w:szCs w:val="18"/>
              </w:rPr>
            </w:pPr>
            <w:r>
              <w:rPr>
                <w:rFonts w:ascii="宋体" w:hAnsi="宋体" w:cs="宋体" w:eastAsia="宋体" w:hint="default"/>
                <w:sz w:val="18"/>
                <w:szCs w:val="18"/>
              </w:rPr>
              <w:t>按高管持股相关规定解限</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段军</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按高管持股相关规定解限</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陈小军</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9"/>
              <w:jc w:val="center"/>
              <w:rPr>
                <w:rFonts w:ascii="宋体" w:hAnsi="宋体" w:cs="宋体" w:eastAsia="宋体" w:hint="default"/>
                <w:sz w:val="18"/>
                <w:szCs w:val="18"/>
              </w:rPr>
            </w:pPr>
            <w:r>
              <w:rPr>
                <w:rFonts w:ascii="宋体" w:hAnsi="宋体" w:cs="宋体" w:eastAsia="宋体" w:hint="default"/>
                <w:sz w:val="18"/>
                <w:szCs w:val="18"/>
              </w:rPr>
              <w:t>按高管持股相关规定解限</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73,260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73,260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按高管持股相关规定解限</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刘文彬</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9"/>
              <w:jc w:val="center"/>
              <w:rPr>
                <w:rFonts w:ascii="宋体" w:hAnsi="宋体" w:cs="宋体" w:eastAsia="宋体" w:hint="default"/>
                <w:sz w:val="18"/>
                <w:szCs w:val="18"/>
              </w:rPr>
            </w:pPr>
            <w:r>
              <w:rPr>
                <w:rFonts w:ascii="宋体" w:hAnsi="宋体" w:cs="宋体" w:eastAsia="宋体" w:hint="default"/>
                <w:sz w:val="18"/>
                <w:szCs w:val="18"/>
              </w:rPr>
              <w:t>按高管持股相关规定解限</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周在龙</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按高管持股相关规定解限</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9"/>
              <w:jc w:val="center"/>
              <w:rPr>
                <w:rFonts w:ascii="宋体" w:hAnsi="宋体" w:cs="宋体" w:eastAsia="宋体" w:hint="default"/>
                <w:sz w:val="18"/>
                <w:szCs w:val="18"/>
              </w:rPr>
            </w:pPr>
            <w:r>
              <w:rPr>
                <w:rFonts w:ascii="宋体" w:hAnsi="宋体" w:cs="宋体" w:eastAsia="宋体" w:hint="default"/>
                <w:sz w:val="18"/>
                <w:szCs w:val="18"/>
              </w:rPr>
              <w:t>按高管持股相关规定解限</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445,448,251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-7,983,507</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437,464,744</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before="70"/>
        <w:ind w:left="272" w:right="0" w:firstLine="0"/>
        <w:jc w:val="left"/>
        <w:rPr>
          <w:rFonts w:ascii="宋体" w:hAnsi="宋体" w:cs="宋体" w:eastAsia="宋体" w:hint="default"/>
          <w:sz w:val="18"/>
          <w:szCs w:val="18"/>
        </w:rPr>
      </w:pPr>
      <w:r>
        <w:rPr>
          <w:rFonts w:ascii="宋体" w:hAnsi="宋体" w:cs="宋体" w:eastAsia="宋体" w:hint="default"/>
          <w:sz w:val="18"/>
          <w:szCs w:val="18"/>
        </w:rPr>
        <w:t>限售股份的补充说明</w:t>
      </w:r>
    </w:p>
    <w:p>
      <w:pPr>
        <w:spacing w:before="136"/>
        <w:ind w:left="6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日，陈小军先生因工作调整变动原因辞去公司董事长职务，不再担任公司任何职务；陈小军先生持有本</w:t>
      </w:r>
    </w:p>
    <w:p>
      <w:pPr>
        <w:spacing w:line="300" w:lineRule="auto" w:before="63"/>
        <w:ind w:left="272" w:right="1118" w:firstLine="0"/>
        <w:jc w:val="left"/>
        <w:rPr>
          <w:rFonts w:ascii="宋体" w:hAnsi="宋体" w:cs="宋体" w:eastAsia="宋体" w:hint="default"/>
          <w:sz w:val="18"/>
          <w:szCs w:val="18"/>
        </w:rPr>
      </w:pPr>
      <w:r>
        <w:rPr>
          <w:rFonts w:ascii="宋体" w:hAnsi="宋体" w:cs="宋体" w:eastAsia="宋体" w:hint="default"/>
          <w:sz w:val="18"/>
          <w:szCs w:val="18"/>
        </w:rPr>
        <w:t>公司股份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股，根据《深圳证券交易所上市公司股东及董事、监事、高级管理人员减持股份实施细则》的规定“董监 高在任期届满前离职的，应当在其就任时确定的任期内和任期届满后六个月内，继续遵守限制性规定”。</w:t>
      </w:r>
    </w:p>
    <w:p>
      <w:pPr>
        <w:spacing w:before="92"/>
        <w:ind w:left="633" w:right="0" w:firstLine="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日公司第七届董事会第三十二次会议审议，解聘周庚申先生和刘文彬先生的高级管理人员职务；周庚</w:t>
      </w:r>
    </w:p>
    <w:p>
      <w:pPr>
        <w:spacing w:line="300" w:lineRule="auto" w:before="63"/>
        <w:ind w:left="272" w:right="1124" w:firstLine="0"/>
        <w:jc w:val="left"/>
        <w:rPr>
          <w:rFonts w:ascii="宋体" w:hAnsi="宋体" w:cs="宋体" w:eastAsia="宋体" w:hint="default"/>
          <w:sz w:val="18"/>
          <w:szCs w:val="18"/>
        </w:rPr>
      </w:pPr>
      <w:r>
        <w:rPr>
          <w:rFonts w:ascii="宋体" w:hAnsi="宋体" w:cs="宋体" w:eastAsia="宋体" w:hint="default"/>
          <w:sz w:val="18"/>
          <w:szCs w:val="18"/>
        </w:rPr>
        <w:t>申先生持有本公司股份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97,680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股、刘文彬先生持有本公司股份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股，根据《深圳证券交易所上市公司股东及董事、监 事、高级管理人员减持股份实施细则》的规定“离职后半年内，不得转让其所持本公司股份”自动予以全部锁定。</w:t>
      </w:r>
    </w:p>
    <w:p>
      <w:pPr>
        <w:spacing w:line="300" w:lineRule="auto" w:before="91"/>
        <w:ind w:left="272" w:right="1120" w:firstLine="36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日公司第七届董事会第三十二次会议审议，聘任李璇先生为公司高级副总裁；李璇先生任职前持有本 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股，根据《深圳证券交易所上市公司规范运作指引》的规定自动予以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p>
      <w:pPr>
        <w:spacing w:before="73"/>
        <w:ind w:left="6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日，郭镇先生因个人原因不再担任公司董事会秘书及其他职务；郭镇先生持有本公司股份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股，根</w:t>
      </w:r>
    </w:p>
    <w:p>
      <w:pPr>
        <w:spacing w:after="0"/>
        <w:jc w:val="left"/>
        <w:rPr>
          <w:rFonts w:ascii="宋体" w:hAnsi="宋体" w:cs="宋体" w:eastAsia="宋体" w:hint="default"/>
          <w:sz w:val="18"/>
          <w:szCs w:val="18"/>
        </w:rPr>
        <w:sectPr>
          <w:pgSz w:w="11910" w:h="16840"/>
          <w:pgMar w:header="789" w:footer="975" w:top="1100" w:bottom="1160" w:left="860" w:right="0"/>
        </w:sectPr>
      </w:pPr>
    </w:p>
    <w:p>
      <w:pPr>
        <w:spacing w:line="240" w:lineRule="auto" w:before="8"/>
        <w:rPr>
          <w:rFonts w:ascii="宋体" w:hAnsi="宋体" w:cs="宋体" w:eastAsia="宋体" w:hint="default"/>
          <w:sz w:val="22"/>
          <w:szCs w:val="22"/>
        </w:rPr>
      </w:pPr>
    </w:p>
    <w:p>
      <w:pPr>
        <w:spacing w:line="319" w:lineRule="auto" w:before="44"/>
        <w:ind w:left="512" w:right="1034" w:firstLine="0"/>
        <w:jc w:val="left"/>
        <w:rPr>
          <w:rFonts w:ascii="宋体" w:hAnsi="宋体" w:cs="宋体" w:eastAsia="宋体" w:hint="default"/>
          <w:sz w:val="18"/>
          <w:szCs w:val="18"/>
        </w:rPr>
      </w:pPr>
      <w:r>
        <w:rPr>
          <w:rFonts w:ascii="宋体" w:hAnsi="宋体" w:cs="宋体" w:eastAsia="宋体" w:hint="default"/>
          <w:sz w:val="18"/>
          <w:szCs w:val="18"/>
        </w:rPr>
        <w:t>据《深圳证券交易所上市公司股东及董事、监事、高级管理人员减持股份实施细则》的规定“董监高在任期届满前离职的， 应当在其就任时确定的任期内和任期届满后六个月内，继续遵守限制性规定”。</w:t>
      </w:r>
    </w:p>
    <w:p>
      <w:pPr>
        <w:spacing w:line="309" w:lineRule="auto" w:before="77"/>
        <w:ind w:left="512" w:right="10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日，周在龙先生因工作调动原因不再担任公司高级副总裁职务；周在龙先生持有公司股票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股，根</w:t>
      </w:r>
      <w:r>
        <w:rPr>
          <w:rFonts w:ascii="宋体" w:hAnsi="宋体" w:cs="宋体" w:eastAsia="宋体" w:hint="default"/>
          <w:sz w:val="18"/>
          <w:szCs w:val="18"/>
        </w:rPr>
        <w:t> 据《深圳证券交易所上市公司股东及董事、监事、高级管理人员减持股份实施细则》的规定“董监高在任期届满前离职的， 应当在其就任时确定的任期内和任期届满后六个月内，继续遵守限制性规定”。</w:t>
      </w:r>
    </w:p>
    <w:p>
      <w:pPr>
        <w:spacing w:line="240" w:lineRule="auto" w:before="1"/>
        <w:rPr>
          <w:rFonts w:ascii="宋体" w:hAnsi="宋体" w:cs="宋体" w:eastAsia="宋体" w:hint="default"/>
          <w:sz w:val="21"/>
          <w:szCs w:val="21"/>
        </w:rPr>
      </w:pPr>
    </w:p>
    <w:p>
      <w:pPr>
        <w:pStyle w:val="Heading4"/>
        <w:spacing w:line="240" w:lineRule="auto"/>
        <w:ind w:left="512" w:right="112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before="0"/>
        <w:ind w:left="512" w:right="112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512" w:right="11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left="512" w:right="112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spacing w:line="360" w:lineRule="auto" w:before="0"/>
        <w:ind w:left="873" w:right="481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股份总数及股东结构的变动参见本节“股份变动情况”中的相关介绍；</w:t>
      </w:r>
    </w:p>
    <w:p>
      <w:pPr>
        <w:spacing w:line="300" w:lineRule="auto" w:before="25"/>
        <w:ind w:left="512" w:right="1033" w:firstLine="360"/>
        <w:jc w:val="left"/>
        <w:rPr>
          <w:rFonts w:ascii="宋体" w:hAnsi="宋体" w:cs="宋体" w:eastAsia="宋体" w:hint="default"/>
          <w:sz w:val="18"/>
          <w:szCs w:val="18"/>
        </w:rPr>
      </w:pPr>
      <w:r>
        <w:rPr>
          <w:rFonts w:ascii="宋体" w:hAnsi="宋体" w:cs="宋体" w:eastAsia="宋体" w:hint="default"/>
          <w:sz w:val="18"/>
          <w:szCs w:val="18"/>
        </w:rPr>
        <w:t>本次回购并注销业绩补偿股份完成后，公司股本总额变更为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2,928,182,053</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股，中国电子直接持有公司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1,188,482,503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 占公司股本总额的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40.59%</w:t>
      </w:r>
      <w:r>
        <w:rPr>
          <w:rFonts w:ascii="宋体" w:hAnsi="宋体" w:cs="宋体" w:eastAsia="宋体" w:hint="default"/>
          <w:sz w:val="18"/>
          <w:szCs w:val="18"/>
        </w:rPr>
        <w:t>，仍为公司控股股东及实际控制人。</w:t>
      </w:r>
    </w:p>
    <w:p>
      <w:pPr>
        <w:spacing w:line="240" w:lineRule="auto" w:before="2"/>
        <w:rPr>
          <w:rFonts w:ascii="宋体" w:hAnsi="宋体" w:cs="宋体" w:eastAsia="宋体" w:hint="default"/>
          <w:sz w:val="22"/>
          <w:szCs w:val="22"/>
        </w:rPr>
      </w:pPr>
    </w:p>
    <w:p>
      <w:pPr>
        <w:pStyle w:val="Heading5"/>
        <w:spacing w:line="240" w:lineRule="auto" w:before="0"/>
        <w:ind w:left="512" w:right="112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512" w:right="11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4"/>
        <w:spacing w:line="240" w:lineRule="auto"/>
        <w:ind w:left="512" w:right="1120"/>
        <w:jc w:val="left"/>
        <w:rPr>
          <w:b w:val="0"/>
          <w:bCs w:val="0"/>
        </w:rPr>
      </w:pP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left="512" w:right="112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312"/>
        <w:gridCol w:w="853"/>
        <w:gridCol w:w="425"/>
        <w:gridCol w:w="708"/>
        <w:gridCol w:w="142"/>
        <w:gridCol w:w="994"/>
        <w:gridCol w:w="1133"/>
        <w:gridCol w:w="142"/>
        <w:gridCol w:w="994"/>
        <w:gridCol w:w="142"/>
        <w:gridCol w:w="992"/>
        <w:gridCol w:w="708"/>
        <w:gridCol w:w="142"/>
        <w:gridCol w:w="766"/>
      </w:tblGrid>
      <w:tr>
        <w:trPr>
          <w:trHeight w:val="991" w:hRule="exact"/>
        </w:trPr>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178,907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12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2"/>
              <w:ind w:right="0"/>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197,403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12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2"/>
              <w:ind w:left="-1" w:right="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2"/>
              <w:ind w:left="-1" w:right="-3"/>
              <w:jc w:val="both"/>
              <w:rPr>
                <w:rFonts w:ascii="宋体" w:hAnsi="宋体" w:cs="宋体" w:eastAsia="宋体" w:hint="default"/>
                <w:sz w:val="18"/>
                <w:szCs w:val="18"/>
              </w:rPr>
            </w:pPr>
            <w:r>
              <w:rPr>
                <w:rFonts w:ascii="宋体" w:hAnsi="宋体" w:cs="宋体" w:eastAsia="宋体" w:hint="default"/>
                <w:spacing w:val="7"/>
                <w:sz w:val="18"/>
                <w:szCs w:val="18"/>
              </w:rPr>
              <w:t>年度报告披露日前上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一月末表决权恢复的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优先股股东总数</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3" w:hRule="exact"/>
        </w:trPr>
        <w:tc>
          <w:tcPr>
            <w:tcW w:w="1044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66" w:hRule="exact"/>
        </w:trPr>
        <w:tc>
          <w:tcPr>
            <w:tcW w:w="23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383" w:right="19"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201" w:right="21"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23" w:right="1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21" w:right="20"/>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6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7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349" w:hRule="exact"/>
        </w:trPr>
        <w:tc>
          <w:tcPr>
            <w:tcW w:w="2312" w:type="dxa"/>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6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8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 w:right="1"/>
              <w:jc w:val="left"/>
              <w:rPr>
                <w:rFonts w:ascii="宋体" w:hAnsi="宋体" w:cs="宋体" w:eastAsia="宋体" w:hint="default"/>
                <w:sz w:val="18"/>
                <w:szCs w:val="18"/>
              </w:rPr>
            </w:pPr>
            <w:r>
              <w:rPr>
                <w:rFonts w:ascii="宋体" w:hAnsi="宋体" w:cs="宋体" w:eastAsia="宋体" w:hint="default"/>
                <w:spacing w:val="10"/>
                <w:sz w:val="18"/>
                <w:szCs w:val="18"/>
              </w:rPr>
              <w:t>中国电子信息产业集团有限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40.59%</w:t>
            </w:r>
          </w:p>
        </w:tc>
        <w:tc>
          <w:tcPr>
            <w:tcW w:w="1135" w:type="dxa"/>
            <w:gridSpan w:val="2"/>
            <w:tcBorders>
              <w:top w:val="single" w:sz="13"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1" w:right="-1"/>
              <w:jc w:val="left"/>
              <w:rPr>
                <w:rFonts w:ascii="Times New Roman" w:hAnsi="Times New Roman" w:cs="Times New Roman" w:eastAsia="Times New Roman" w:hint="default"/>
                <w:sz w:val="18"/>
                <w:szCs w:val="18"/>
              </w:rPr>
            </w:pPr>
            <w:r>
              <w:rPr>
                <w:rFonts w:ascii="Times New Roman"/>
                <w:sz w:val="18"/>
              </w:rPr>
              <w:t>1,188,482,503</w:t>
            </w:r>
          </w:p>
        </w:tc>
        <w:tc>
          <w:tcPr>
            <w:tcW w:w="1133"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43" w:right="-1"/>
              <w:jc w:val="left"/>
              <w:rPr>
                <w:rFonts w:ascii="Times New Roman" w:hAnsi="Times New Roman" w:cs="Times New Roman" w:eastAsia="Times New Roman" w:hint="default"/>
                <w:sz w:val="18"/>
                <w:szCs w:val="18"/>
              </w:rPr>
            </w:pPr>
            <w:r>
              <w:rPr>
                <w:rFonts w:ascii="Times New Roman"/>
                <w:sz w:val="18"/>
              </w:rPr>
              <w:t>-7,983,507</w:t>
            </w:r>
          </w:p>
        </w:tc>
        <w:tc>
          <w:tcPr>
            <w:tcW w:w="1135" w:type="dxa"/>
            <w:gridSpan w:val="2"/>
            <w:tcBorders>
              <w:top w:val="single" w:sz="13"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5" w:right="-1"/>
              <w:jc w:val="left"/>
              <w:rPr>
                <w:rFonts w:ascii="Times New Roman" w:hAnsi="Times New Roman" w:cs="Times New Roman" w:eastAsia="Times New Roman" w:hint="default"/>
                <w:sz w:val="18"/>
                <w:szCs w:val="18"/>
              </w:rPr>
            </w:pPr>
            <w:r>
              <w:rPr>
                <w:rFonts w:ascii="Times New Roman"/>
                <w:sz w:val="18"/>
              </w:rPr>
              <w:t>431,002,736</w:t>
            </w:r>
          </w:p>
        </w:tc>
        <w:tc>
          <w:tcPr>
            <w:tcW w:w="1133" w:type="dxa"/>
            <w:gridSpan w:val="2"/>
            <w:tcBorders>
              <w:top w:val="single" w:sz="13"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757,479,767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42" w:right="55"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67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方文艳</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2.01%</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14" w:right="-1"/>
              <w:jc w:val="left"/>
              <w:rPr>
                <w:rFonts w:ascii="Times New Roman" w:hAnsi="Times New Roman" w:cs="Times New Roman" w:eastAsia="Times New Roman" w:hint="default"/>
                <w:sz w:val="18"/>
                <w:szCs w:val="18"/>
              </w:rPr>
            </w:pPr>
            <w:r>
              <w:rPr>
                <w:rFonts w:ascii="Times New Roman"/>
                <w:sz w:val="18"/>
              </w:rPr>
              <w:t>58,843,130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58,843,130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32"/>
              <w:ind w:left="242" w:right="55"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2"/>
              <w:ind w:left="2" w:right="1"/>
              <w:jc w:val="both"/>
              <w:rPr>
                <w:rFonts w:ascii="宋体" w:hAnsi="宋体" w:cs="宋体" w:eastAsia="宋体" w:hint="default"/>
                <w:sz w:val="18"/>
                <w:szCs w:val="18"/>
              </w:rPr>
            </w:pPr>
            <w:r>
              <w:rPr>
                <w:rFonts w:ascii="宋体" w:hAnsi="宋体" w:cs="宋体" w:eastAsia="宋体" w:hint="default"/>
                <w:spacing w:val="10"/>
                <w:sz w:val="18"/>
                <w:szCs w:val="18"/>
              </w:rPr>
              <w:t>杭州阿特夏木投资管理有限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公司－阿特夏木精选一期私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募投资基金</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z w:val="18"/>
              </w:rPr>
              <w:t>1.26%</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14" w:right="-1"/>
              <w:jc w:val="left"/>
              <w:rPr>
                <w:rFonts w:ascii="Times New Roman" w:hAnsi="Times New Roman" w:cs="Times New Roman" w:eastAsia="Times New Roman" w:hint="default"/>
                <w:sz w:val="18"/>
                <w:szCs w:val="18"/>
              </w:rPr>
            </w:pPr>
            <w:r>
              <w:rPr>
                <w:rFonts w:ascii="Times New Roman"/>
                <w:sz w:val="18"/>
              </w:rPr>
              <w:t>36,772,233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12" w:right="0"/>
              <w:jc w:val="left"/>
              <w:rPr>
                <w:rFonts w:ascii="Times New Roman" w:hAnsi="Times New Roman" w:cs="Times New Roman" w:eastAsia="Times New Roman" w:hint="default"/>
                <w:sz w:val="18"/>
                <w:szCs w:val="18"/>
              </w:rPr>
            </w:pPr>
            <w:r>
              <w:rPr>
                <w:rFonts w:ascii="Times New Roman"/>
                <w:sz w:val="18"/>
              </w:rPr>
              <w:t>36,772,233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4" w:lineRule="auto"/>
              <w:ind w:left="242" w:right="55"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67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1.23%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14" w:right="-1"/>
              <w:jc w:val="left"/>
              <w:rPr>
                <w:rFonts w:ascii="Times New Roman" w:hAnsi="Times New Roman" w:cs="Times New Roman" w:eastAsia="Times New Roman" w:hint="default"/>
                <w:sz w:val="18"/>
                <w:szCs w:val="18"/>
              </w:rPr>
            </w:pPr>
            <w:r>
              <w:rPr>
                <w:rFonts w:ascii="Times New Roman"/>
                <w:sz w:val="18"/>
              </w:rPr>
              <w:t>36,074,627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36,074,627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32"/>
              <w:ind w:left="242" w:right="55"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89" w:footer="975" w:top="1100" w:bottom="1160" w:left="6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312"/>
        <w:gridCol w:w="1277"/>
        <w:gridCol w:w="708"/>
        <w:gridCol w:w="1135"/>
        <w:gridCol w:w="1133"/>
        <w:gridCol w:w="1135"/>
        <w:gridCol w:w="1133"/>
        <w:gridCol w:w="240"/>
        <w:gridCol w:w="610"/>
        <w:gridCol w:w="766"/>
      </w:tblGrid>
      <w:tr>
        <w:trPr>
          <w:trHeight w:val="96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中国建设银行股份有限公司</w:t>
            </w:r>
          </w:p>
          <w:p>
            <w:pPr>
              <w:pStyle w:val="TableParagraph"/>
              <w:spacing w:line="316" w:lineRule="auto" w:before="77"/>
              <w:ind w:left="2" w:right="1"/>
              <w:jc w:val="left"/>
              <w:rPr>
                <w:rFonts w:ascii="宋体" w:hAnsi="宋体" w:cs="宋体" w:eastAsia="宋体" w:hint="default"/>
                <w:sz w:val="18"/>
                <w:szCs w:val="18"/>
              </w:rPr>
            </w:pPr>
            <w:r>
              <w:rPr>
                <w:rFonts w:ascii="宋体" w:hAnsi="宋体" w:cs="宋体" w:eastAsia="宋体" w:hint="default"/>
                <w:spacing w:val="10"/>
                <w:sz w:val="18"/>
                <w:szCs w:val="18"/>
              </w:rPr>
              <w:t>－鹏华中证国防指数分级证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券投资基金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right"/>
              <w:rPr>
                <w:rFonts w:ascii="Times New Roman" w:hAnsi="Times New Roman" w:cs="Times New Roman" w:eastAsia="Times New Roman" w:hint="default"/>
                <w:sz w:val="18"/>
                <w:szCs w:val="18"/>
              </w:rPr>
            </w:pPr>
            <w:r>
              <w:rPr>
                <w:rFonts w:ascii="Times New Roman"/>
                <w:sz w:val="18"/>
              </w:rPr>
              <w:t>1.22%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right"/>
              <w:rPr>
                <w:rFonts w:ascii="Times New Roman" w:hAnsi="Times New Roman" w:cs="Times New Roman" w:eastAsia="Times New Roman" w:hint="default"/>
                <w:sz w:val="18"/>
                <w:szCs w:val="18"/>
              </w:rPr>
            </w:pPr>
            <w:r>
              <w:rPr>
                <w:rFonts w:ascii="Times New Roman"/>
                <w:spacing w:val="-1"/>
                <w:sz w:val="18"/>
              </w:rPr>
              <w:t>35,624,885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1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right"/>
              <w:rPr>
                <w:rFonts w:ascii="Times New Roman" w:hAnsi="Times New Roman" w:cs="Times New Roman" w:eastAsia="Times New Roman" w:hint="default"/>
                <w:sz w:val="18"/>
                <w:szCs w:val="18"/>
              </w:rPr>
            </w:pPr>
            <w:r>
              <w:rPr>
                <w:rFonts w:ascii="Times New Roman"/>
                <w:spacing w:val="-1"/>
                <w:sz w:val="18"/>
              </w:rPr>
              <w:t>35,624,885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42" w:right="55"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333" w:right="0"/>
              <w:jc w:val="left"/>
              <w:rPr>
                <w:rFonts w:ascii="Times New Roman" w:hAnsi="Times New Roman" w:cs="Times New Roman" w:eastAsia="Times New Roman" w:hint="default"/>
                <w:sz w:val="18"/>
                <w:szCs w:val="18"/>
              </w:rPr>
            </w:pPr>
            <w:r>
              <w:rPr>
                <w:rFonts w:ascii="Times New Roman"/>
                <w:sz w:val="18"/>
              </w:rPr>
              <w:t>0</w:t>
            </w:r>
          </w:p>
        </w:tc>
      </w:tr>
      <w:tr>
        <w:trPr>
          <w:trHeight w:val="96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中国建设银行股份有限公司</w:t>
            </w:r>
          </w:p>
          <w:p>
            <w:pPr>
              <w:pStyle w:val="TableParagraph"/>
              <w:spacing w:line="316" w:lineRule="auto" w:before="76"/>
              <w:ind w:left="2" w:right="1"/>
              <w:jc w:val="left"/>
              <w:rPr>
                <w:rFonts w:ascii="宋体" w:hAnsi="宋体" w:cs="宋体" w:eastAsia="宋体" w:hint="default"/>
                <w:sz w:val="18"/>
                <w:szCs w:val="18"/>
              </w:rPr>
            </w:pPr>
            <w:r>
              <w:rPr>
                <w:rFonts w:ascii="宋体" w:hAnsi="宋体" w:cs="宋体" w:eastAsia="宋体" w:hint="default"/>
                <w:spacing w:val="10"/>
                <w:sz w:val="18"/>
                <w:szCs w:val="18"/>
              </w:rPr>
              <w:t>－富国中证军工龙头交易型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开放式指数证券投资基金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z w:val="18"/>
              </w:rPr>
              <w:t>0.79%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pacing w:val="-1"/>
                <w:sz w:val="18"/>
              </w:rPr>
              <w:t>23,138,300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51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right"/>
              <w:rPr>
                <w:rFonts w:ascii="Times New Roman" w:hAnsi="Times New Roman" w:cs="Times New Roman" w:eastAsia="Times New Roman" w:hint="default"/>
                <w:sz w:val="18"/>
                <w:szCs w:val="18"/>
              </w:rPr>
            </w:pPr>
            <w:r>
              <w:rPr>
                <w:rFonts w:ascii="Times New Roman"/>
                <w:spacing w:val="-1"/>
                <w:sz w:val="18"/>
              </w:rPr>
              <w:t>23,138,300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2" w:right="55"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33" w:right="0"/>
              <w:jc w:val="left"/>
              <w:rPr>
                <w:rFonts w:ascii="Times New Roman" w:hAnsi="Times New Roman" w:cs="Times New Roman" w:eastAsia="Times New Roman" w:hint="default"/>
                <w:sz w:val="18"/>
                <w:szCs w:val="18"/>
              </w:rPr>
            </w:pPr>
            <w:r>
              <w:rPr>
                <w:rFonts w:ascii="Times New Roman"/>
                <w:sz w:val="18"/>
              </w:rPr>
              <w:t>0</w:t>
            </w:r>
          </w:p>
        </w:tc>
      </w:tr>
      <w:tr>
        <w:trPr>
          <w:trHeight w:val="65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徐建东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23,000,133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1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23,000,133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2" w:right="55"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0</w:t>
            </w:r>
          </w:p>
        </w:tc>
      </w:tr>
      <w:tr>
        <w:trPr>
          <w:trHeight w:val="96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pacing w:val="10"/>
                <w:sz w:val="18"/>
                <w:szCs w:val="18"/>
              </w:rPr>
              <w:t>中国工商银行股份有限公司</w:t>
            </w:r>
          </w:p>
          <w:p>
            <w:pPr>
              <w:pStyle w:val="TableParagraph"/>
              <w:spacing w:line="316" w:lineRule="auto" w:before="76"/>
              <w:ind w:left="2" w:right="1"/>
              <w:jc w:val="left"/>
              <w:rPr>
                <w:rFonts w:ascii="宋体" w:hAnsi="宋体" w:cs="宋体" w:eastAsia="宋体" w:hint="default"/>
                <w:sz w:val="18"/>
                <w:szCs w:val="18"/>
              </w:rPr>
            </w:pPr>
            <w:r>
              <w:rPr>
                <w:rFonts w:ascii="宋体" w:hAnsi="宋体" w:cs="宋体" w:eastAsia="宋体" w:hint="default"/>
                <w:spacing w:val="10"/>
                <w:sz w:val="18"/>
                <w:szCs w:val="18"/>
              </w:rPr>
              <w:t>－诺安成长混合型证券投资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z w:val="18"/>
              </w:rPr>
              <w:t>0.72%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pacing w:val="-1"/>
                <w:sz w:val="18"/>
              </w:rPr>
              <w:t>21,155,323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51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right"/>
              <w:rPr>
                <w:rFonts w:ascii="Times New Roman" w:hAnsi="Times New Roman" w:cs="Times New Roman" w:eastAsia="Times New Roman" w:hint="default"/>
                <w:sz w:val="18"/>
                <w:szCs w:val="18"/>
              </w:rPr>
            </w:pPr>
            <w:r>
              <w:rPr>
                <w:rFonts w:ascii="Times New Roman"/>
                <w:spacing w:val="-1"/>
                <w:sz w:val="18"/>
              </w:rPr>
              <w:t>21,155,323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2" w:right="55"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33" w:right="0"/>
              <w:jc w:val="left"/>
              <w:rPr>
                <w:rFonts w:ascii="Times New Roman" w:hAnsi="Times New Roman" w:cs="Times New Roman" w:eastAsia="Times New Roman" w:hint="default"/>
                <w:sz w:val="18"/>
                <w:szCs w:val="18"/>
              </w:rPr>
            </w:pPr>
            <w:r>
              <w:rPr>
                <w:rFonts w:ascii="Times New Roman"/>
                <w:sz w:val="18"/>
              </w:rPr>
              <w:t>0</w:t>
            </w:r>
          </w:p>
        </w:tc>
      </w:tr>
      <w:tr>
        <w:trPr>
          <w:trHeight w:val="65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中电金投控股有限公司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19,538,615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1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19,538,615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2" w:right="55"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0</w:t>
            </w:r>
          </w:p>
        </w:tc>
      </w:tr>
      <w:tr>
        <w:trPr>
          <w:trHeight w:val="96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pacing w:val="10"/>
                <w:sz w:val="18"/>
                <w:szCs w:val="18"/>
              </w:rPr>
              <w:t>中国工商银行股份有限公司</w:t>
            </w:r>
          </w:p>
          <w:p>
            <w:pPr>
              <w:pStyle w:val="TableParagraph"/>
              <w:spacing w:line="316" w:lineRule="auto" w:before="76"/>
              <w:ind w:left="2" w:right="1"/>
              <w:jc w:val="left"/>
              <w:rPr>
                <w:rFonts w:ascii="宋体" w:hAnsi="宋体" w:cs="宋体" w:eastAsia="宋体" w:hint="default"/>
                <w:sz w:val="18"/>
                <w:szCs w:val="18"/>
              </w:rPr>
            </w:pPr>
            <w:r>
              <w:rPr>
                <w:rFonts w:ascii="宋体" w:hAnsi="宋体" w:cs="宋体" w:eastAsia="宋体" w:hint="default"/>
                <w:spacing w:val="10"/>
                <w:sz w:val="18"/>
                <w:szCs w:val="18"/>
              </w:rPr>
              <w:t>－广发双擎升级混合型证券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投资基金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z w:val="18"/>
              </w:rPr>
              <w:t>0.64%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pacing w:val="-1"/>
                <w:sz w:val="18"/>
              </w:rPr>
              <w:t>18,867,004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51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right"/>
              <w:rPr>
                <w:rFonts w:ascii="Times New Roman" w:hAnsi="Times New Roman" w:cs="Times New Roman" w:eastAsia="Times New Roman" w:hint="default"/>
                <w:sz w:val="18"/>
                <w:szCs w:val="18"/>
              </w:rPr>
            </w:pPr>
            <w:r>
              <w:rPr>
                <w:rFonts w:ascii="Times New Roman"/>
                <w:spacing w:val="-1"/>
                <w:sz w:val="18"/>
              </w:rPr>
              <w:t>18,867,004</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2" w:right="55" w:hanging="180"/>
              <w:jc w:val="left"/>
              <w:rPr>
                <w:rFonts w:ascii="宋体" w:hAnsi="宋体" w:cs="宋体" w:eastAsia="宋体" w:hint="default"/>
                <w:sz w:val="18"/>
                <w:szCs w:val="18"/>
              </w:rPr>
            </w:pPr>
            <w:r>
              <w:rPr>
                <w:rFonts w:ascii="宋体" w:hAnsi="宋体" w:cs="宋体" w:eastAsia="宋体" w:hint="default"/>
                <w:sz w:val="18"/>
                <w:szCs w:val="18"/>
              </w:rPr>
              <w:t>无质押或 冻结</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33" w:right="0"/>
              <w:jc w:val="left"/>
              <w:rPr>
                <w:rFonts w:ascii="Times New Roman" w:hAnsi="Times New Roman" w:cs="Times New Roman" w:eastAsia="Times New Roman" w:hint="default"/>
                <w:sz w:val="18"/>
                <w:szCs w:val="18"/>
              </w:rPr>
            </w:pPr>
            <w:r>
              <w:rPr>
                <w:rFonts w:ascii="Times New Roman"/>
                <w:sz w:val="18"/>
              </w:rPr>
              <w:t>0</w:t>
            </w:r>
          </w:p>
        </w:tc>
      </w:tr>
      <w:tr>
        <w:trPr>
          <w:trHeight w:val="653" w:hRule="exact"/>
        </w:trPr>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战略投资者或一般法人因配售新股成为前</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名股东的情况（如有）</w:t>
            </w:r>
          </w:p>
        </w:tc>
        <w:tc>
          <w:tcPr>
            <w:tcW w:w="68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67" w:hRule="exact"/>
        </w:trPr>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86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right="0" w:firstLine="360"/>
              <w:jc w:val="both"/>
              <w:rPr>
                <w:rFonts w:ascii="宋体" w:hAnsi="宋体" w:cs="宋体" w:eastAsia="宋体" w:hint="default"/>
                <w:sz w:val="18"/>
                <w:szCs w:val="18"/>
              </w:rPr>
            </w:pPr>
            <w:r>
              <w:rPr>
                <w:rFonts w:ascii="宋体" w:hAnsi="宋体" w:cs="宋体" w:eastAsia="宋体" w:hint="default"/>
                <w:sz w:val="18"/>
                <w:szCs w:val="18"/>
              </w:rPr>
              <w:t>中电金投控股有限公司由中国电子控制，为中国电子一致行动人；中国电子、中电 金投控股有限公司与上述其它股东不存在关联关系和一致行动人；公司未知上述其它股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东之间是否存在关联关系，也未知其是否属于一致行动人。</w:t>
            </w:r>
          </w:p>
        </w:tc>
      </w:tr>
      <w:tr>
        <w:trPr>
          <w:trHeight w:val="342" w:hRule="exact"/>
        </w:trPr>
        <w:tc>
          <w:tcPr>
            <w:tcW w:w="1044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42" w:hRule="exact"/>
        </w:trPr>
        <w:tc>
          <w:tcPr>
            <w:tcW w:w="3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0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41" w:hRule="exact"/>
        </w:trPr>
        <w:tc>
          <w:tcPr>
            <w:tcW w:w="3589" w:type="dxa"/>
            <w:gridSpan w:val="2"/>
            <w:vMerge/>
            <w:tcBorders>
              <w:left w:val="single" w:sz="4" w:space="0" w:color="000000"/>
              <w:bottom w:val="single" w:sz="4" w:space="0" w:color="000000"/>
              <w:right w:val="single" w:sz="4" w:space="0" w:color="000000"/>
            </w:tcBorders>
            <w:shd w:val="clear" w:color="auto" w:fill="D2D2D2"/>
          </w:tcPr>
          <w:p>
            <w:pPr/>
          </w:p>
        </w:tc>
        <w:tc>
          <w:tcPr>
            <w:tcW w:w="4112" w:type="dxa"/>
            <w:gridSpan w:val="4"/>
            <w:vMerge/>
            <w:tcBorders>
              <w:left w:val="single" w:sz="4" w:space="0" w:color="000000"/>
              <w:bottom w:val="single" w:sz="4" w:space="0" w:color="000000"/>
              <w:right w:val="single" w:sz="4" w:space="0" w:color="000000"/>
            </w:tcBorders>
            <w:shd w:val="clear" w:color="auto" w:fill="D2D2D2"/>
          </w:tcPr>
          <w:p>
            <w:pPr/>
          </w:p>
        </w:tc>
        <w:tc>
          <w:tcPr>
            <w:tcW w:w="13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44" w:hRule="exact"/>
        </w:trPr>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757,479,767</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68" w:right="-3"/>
              <w:jc w:val="left"/>
              <w:rPr>
                <w:rFonts w:ascii="Times New Roman" w:hAnsi="Times New Roman" w:cs="Times New Roman" w:eastAsia="Times New Roman" w:hint="default"/>
                <w:sz w:val="18"/>
                <w:szCs w:val="18"/>
              </w:rPr>
            </w:pPr>
            <w:r>
              <w:rPr>
                <w:rFonts w:ascii="Times New Roman"/>
                <w:sz w:val="18"/>
              </w:rPr>
              <w:t>757,479,767</w:t>
            </w:r>
          </w:p>
        </w:tc>
      </w:tr>
      <w:tr>
        <w:trPr>
          <w:trHeight w:val="341" w:hRule="exact"/>
        </w:trPr>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方文艳</w:t>
            </w:r>
          </w:p>
        </w:tc>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58,843,130</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6" w:right="-3"/>
              <w:jc w:val="left"/>
              <w:rPr>
                <w:rFonts w:ascii="Times New Roman" w:hAnsi="Times New Roman" w:cs="Times New Roman" w:eastAsia="Times New Roman" w:hint="default"/>
                <w:sz w:val="18"/>
                <w:szCs w:val="18"/>
              </w:rPr>
            </w:pPr>
            <w:r>
              <w:rPr>
                <w:rFonts w:ascii="Times New Roman"/>
                <w:sz w:val="18"/>
              </w:rPr>
              <w:t>58,843,130</w:t>
            </w:r>
          </w:p>
        </w:tc>
      </w:tr>
      <w:tr>
        <w:trPr>
          <w:trHeight w:val="655" w:hRule="exact"/>
        </w:trPr>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 w:right="0"/>
              <w:jc w:val="left"/>
              <w:rPr>
                <w:rFonts w:ascii="宋体" w:hAnsi="宋体" w:cs="宋体" w:eastAsia="宋体" w:hint="default"/>
                <w:sz w:val="18"/>
                <w:szCs w:val="18"/>
              </w:rPr>
            </w:pPr>
            <w:r>
              <w:rPr>
                <w:rFonts w:ascii="宋体" w:hAnsi="宋体" w:cs="宋体" w:eastAsia="宋体" w:hint="default"/>
                <w:spacing w:val="7"/>
                <w:sz w:val="18"/>
                <w:szCs w:val="18"/>
              </w:rPr>
              <w:t>杭州阿特夏木投资管理有限公司－阿特夏木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精选一期私募投资基金</w:t>
            </w:r>
          </w:p>
        </w:tc>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36,772,233</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556" w:right="-3"/>
              <w:jc w:val="left"/>
              <w:rPr>
                <w:rFonts w:ascii="Times New Roman" w:hAnsi="Times New Roman" w:cs="Times New Roman" w:eastAsia="Times New Roman" w:hint="default"/>
                <w:sz w:val="18"/>
                <w:szCs w:val="18"/>
              </w:rPr>
            </w:pPr>
            <w:r>
              <w:rPr>
                <w:rFonts w:ascii="Times New Roman"/>
                <w:sz w:val="18"/>
              </w:rPr>
              <w:t>36,772,233</w:t>
            </w:r>
          </w:p>
        </w:tc>
      </w:tr>
      <w:tr>
        <w:trPr>
          <w:trHeight w:val="341" w:hRule="exact"/>
        </w:trPr>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36,074,627</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6" w:right="-3"/>
              <w:jc w:val="left"/>
              <w:rPr>
                <w:rFonts w:ascii="Times New Roman" w:hAnsi="Times New Roman" w:cs="Times New Roman" w:eastAsia="Times New Roman" w:hint="default"/>
                <w:sz w:val="18"/>
                <w:szCs w:val="18"/>
              </w:rPr>
            </w:pPr>
            <w:r>
              <w:rPr>
                <w:rFonts w:ascii="Times New Roman"/>
                <w:sz w:val="18"/>
              </w:rPr>
              <w:t>36,074,627</w:t>
            </w:r>
          </w:p>
        </w:tc>
      </w:tr>
      <w:tr>
        <w:trPr>
          <w:trHeight w:val="655" w:hRule="exact"/>
        </w:trPr>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 w:right="0"/>
              <w:jc w:val="left"/>
              <w:rPr>
                <w:rFonts w:ascii="宋体" w:hAnsi="宋体" w:cs="宋体" w:eastAsia="宋体" w:hint="default"/>
                <w:sz w:val="18"/>
                <w:szCs w:val="18"/>
              </w:rPr>
            </w:pPr>
            <w:r>
              <w:rPr>
                <w:rFonts w:ascii="宋体" w:hAnsi="宋体" w:cs="宋体" w:eastAsia="宋体" w:hint="default"/>
                <w:spacing w:val="7"/>
                <w:sz w:val="18"/>
                <w:szCs w:val="18"/>
              </w:rPr>
              <w:t>中国建设银行股份有限公司－鹏华中证国防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指数分级证券投资基金</w:t>
            </w:r>
          </w:p>
        </w:tc>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35,624,885</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556" w:right="-3"/>
              <w:jc w:val="left"/>
              <w:rPr>
                <w:rFonts w:ascii="Times New Roman" w:hAnsi="Times New Roman" w:cs="Times New Roman" w:eastAsia="Times New Roman" w:hint="default"/>
                <w:sz w:val="18"/>
                <w:szCs w:val="18"/>
              </w:rPr>
            </w:pPr>
            <w:r>
              <w:rPr>
                <w:rFonts w:ascii="Times New Roman"/>
                <w:sz w:val="18"/>
              </w:rPr>
              <w:t>35,624,885</w:t>
            </w:r>
          </w:p>
        </w:tc>
      </w:tr>
      <w:tr>
        <w:trPr>
          <w:trHeight w:val="653" w:hRule="exact"/>
        </w:trPr>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pacing w:val="7"/>
                <w:sz w:val="18"/>
                <w:szCs w:val="18"/>
              </w:rPr>
              <w:t>中国建设银行股份有限公司－富国中证军工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龙头交易型开放式指数证券投资基金</w:t>
            </w:r>
          </w:p>
        </w:tc>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23,138,300</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56" w:right="-3"/>
              <w:jc w:val="left"/>
              <w:rPr>
                <w:rFonts w:ascii="Times New Roman" w:hAnsi="Times New Roman" w:cs="Times New Roman" w:eastAsia="Times New Roman" w:hint="default"/>
                <w:sz w:val="18"/>
                <w:szCs w:val="18"/>
              </w:rPr>
            </w:pPr>
            <w:r>
              <w:rPr>
                <w:rFonts w:ascii="Times New Roman"/>
                <w:sz w:val="18"/>
              </w:rPr>
              <w:t>23,138,300</w:t>
            </w:r>
          </w:p>
        </w:tc>
      </w:tr>
      <w:tr>
        <w:trPr>
          <w:trHeight w:val="343" w:hRule="exact"/>
        </w:trPr>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徐建东</w:t>
            </w:r>
          </w:p>
        </w:tc>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23,000,133</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56" w:right="-3"/>
              <w:jc w:val="left"/>
              <w:rPr>
                <w:rFonts w:ascii="Times New Roman" w:hAnsi="Times New Roman" w:cs="Times New Roman" w:eastAsia="Times New Roman" w:hint="default"/>
                <w:sz w:val="18"/>
                <w:szCs w:val="18"/>
              </w:rPr>
            </w:pPr>
            <w:r>
              <w:rPr>
                <w:rFonts w:ascii="Times New Roman"/>
                <w:sz w:val="18"/>
              </w:rPr>
              <w:t>23,000,133</w:t>
            </w:r>
          </w:p>
        </w:tc>
      </w:tr>
      <w:tr>
        <w:trPr>
          <w:trHeight w:val="653" w:hRule="exact"/>
        </w:trPr>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pacing w:val="7"/>
                <w:sz w:val="18"/>
                <w:szCs w:val="18"/>
              </w:rPr>
              <w:t>中国工商银行股份有限公司－诺安成长混合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型证券投资基金</w:t>
            </w:r>
          </w:p>
        </w:tc>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21,155,323</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56" w:right="-3"/>
              <w:jc w:val="left"/>
              <w:rPr>
                <w:rFonts w:ascii="Times New Roman" w:hAnsi="Times New Roman" w:cs="Times New Roman" w:eastAsia="Times New Roman" w:hint="default"/>
                <w:sz w:val="18"/>
                <w:szCs w:val="18"/>
              </w:rPr>
            </w:pPr>
            <w:r>
              <w:rPr>
                <w:rFonts w:ascii="Times New Roman"/>
                <w:sz w:val="18"/>
              </w:rPr>
              <w:t>21,155,323</w:t>
            </w:r>
          </w:p>
        </w:tc>
      </w:tr>
      <w:tr>
        <w:trPr>
          <w:trHeight w:val="343" w:hRule="exact"/>
        </w:trPr>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中电金投控股有限公司</w:t>
            </w:r>
          </w:p>
        </w:tc>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19,538,615</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56" w:right="-3"/>
              <w:jc w:val="left"/>
              <w:rPr>
                <w:rFonts w:ascii="Times New Roman" w:hAnsi="Times New Roman" w:cs="Times New Roman" w:eastAsia="Times New Roman" w:hint="default"/>
                <w:sz w:val="18"/>
                <w:szCs w:val="18"/>
              </w:rPr>
            </w:pPr>
            <w:r>
              <w:rPr>
                <w:rFonts w:ascii="Times New Roman"/>
                <w:sz w:val="18"/>
              </w:rPr>
              <w:t>19,538,615</w:t>
            </w:r>
          </w:p>
        </w:tc>
      </w:tr>
      <w:tr>
        <w:trPr>
          <w:trHeight w:val="653" w:hRule="exact"/>
        </w:trPr>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pacing w:val="7"/>
                <w:sz w:val="18"/>
                <w:szCs w:val="18"/>
              </w:rPr>
              <w:t>中国工商银行股份有限公司－广发双擎升级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混合型证券投资基金</w:t>
            </w:r>
          </w:p>
        </w:tc>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18,867,004</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56" w:right="-3"/>
              <w:jc w:val="left"/>
              <w:rPr>
                <w:rFonts w:ascii="Times New Roman" w:hAnsi="Times New Roman" w:cs="Times New Roman" w:eastAsia="Times New Roman" w:hint="default"/>
                <w:sz w:val="18"/>
                <w:szCs w:val="18"/>
              </w:rPr>
            </w:pPr>
            <w:r>
              <w:rPr>
                <w:rFonts w:ascii="Times New Roman"/>
                <w:sz w:val="18"/>
              </w:rPr>
              <w:t>18,867,004</w:t>
            </w:r>
          </w:p>
        </w:tc>
      </w:tr>
      <w:tr>
        <w:trPr>
          <w:trHeight w:val="967" w:hRule="exact"/>
        </w:trPr>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 w:right="-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w:t>
            </w:r>
          </w:p>
          <w:p>
            <w:pPr>
              <w:pStyle w:val="TableParagraph"/>
              <w:spacing w:line="30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无限售流通股股东和前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名股东之间关联关 系或一致行动的说明</w:t>
            </w:r>
          </w:p>
        </w:tc>
        <w:tc>
          <w:tcPr>
            <w:tcW w:w="686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right="1" w:firstLine="360"/>
              <w:jc w:val="both"/>
              <w:rPr>
                <w:rFonts w:ascii="宋体" w:hAnsi="宋体" w:cs="宋体" w:eastAsia="宋体" w:hint="default"/>
                <w:sz w:val="18"/>
                <w:szCs w:val="18"/>
              </w:rPr>
            </w:pPr>
            <w:r>
              <w:rPr>
                <w:rFonts w:ascii="宋体" w:hAnsi="宋体" w:cs="宋体" w:eastAsia="宋体" w:hint="default"/>
                <w:sz w:val="18"/>
                <w:szCs w:val="18"/>
              </w:rPr>
              <w:t>中电金投控股有限公司由中国电子控制，为中国电子一致行动人；中国电子、中电 金投控股有限公司与上述其它股东不存在关联关系和一致行动人；公司未知上述其它股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东之间是否存在关联关系，也未知其是否属于一致行动人。</w:t>
            </w:r>
          </w:p>
        </w:tc>
      </w:tr>
    </w:tbl>
    <w:p>
      <w:pPr>
        <w:spacing w:after="0" w:line="316" w:lineRule="auto"/>
        <w:jc w:val="both"/>
        <w:rPr>
          <w:rFonts w:ascii="宋体" w:hAnsi="宋体" w:cs="宋体" w:eastAsia="宋体" w:hint="default"/>
          <w:sz w:val="18"/>
          <w:szCs w:val="18"/>
        </w:rPr>
        <w:sectPr>
          <w:pgSz w:w="11910" w:h="16840"/>
          <w:pgMar w:header="789" w:footer="975" w:top="1100" w:bottom="1160" w:left="6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323" w:type="dxa"/>
        <w:tblLayout w:type="fixed"/>
        <w:tblCellMar>
          <w:top w:w="0" w:type="dxa"/>
          <w:left w:w="0" w:type="dxa"/>
          <w:bottom w:w="0" w:type="dxa"/>
          <w:right w:w="0" w:type="dxa"/>
        </w:tblCellMar>
        <w:tblLook w:val="01E0"/>
      </w:tblPr>
      <w:tblGrid>
        <w:gridCol w:w="3588"/>
        <w:gridCol w:w="6860"/>
      </w:tblGrid>
      <w:tr>
        <w:trPr>
          <w:trHeight w:val="2588" w:hRule="exact"/>
        </w:trPr>
        <w:tc>
          <w:tcPr>
            <w:tcW w:w="3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0"/>
              <w:ind w:left="1"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名普通股股东参与融资融券业务情况说 明（如有）</w:t>
            </w:r>
          </w:p>
        </w:tc>
        <w:tc>
          <w:tcPr>
            <w:tcW w:w="686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
              <w:ind w:left="360" w:right="-13"/>
              <w:jc w:val="left"/>
              <w:rPr>
                <w:rFonts w:ascii="宋体" w:hAnsi="宋体" w:cs="宋体" w:eastAsia="宋体" w:hint="default"/>
                <w:sz w:val="18"/>
                <w:szCs w:val="18"/>
              </w:rPr>
            </w:pPr>
            <w:r>
              <w:rPr>
                <w:rFonts w:ascii="宋体" w:hAnsi="宋体" w:cs="宋体" w:eastAsia="宋体" w:hint="default"/>
                <w:sz w:val="18"/>
                <w:szCs w:val="18"/>
              </w:rPr>
              <w:t>公司股东： </w:t>
            </w:r>
            <w:r>
              <w:rPr>
                <w:rFonts w:ascii="宋体" w:hAnsi="宋体" w:cs="宋体" w:eastAsia="宋体" w:hint="default"/>
                <w:spacing w:val="15"/>
                <w:sz w:val="18"/>
                <w:szCs w:val="18"/>
              </w:rPr>
              <w:t>方文艳通过财通证券股份有限公司客户信用交易担保证券账户持有公司股票</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321" w:lineRule="auto" w:before="2"/>
              <w:ind w:left="360" w:right="1"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58,843,130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股，实际合计持有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58,843,130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杭州阿特夏木投资管理有限公司－阿特夏木精选一期私募投资基金通过国泰君安证</w:t>
            </w:r>
          </w:p>
          <w:p>
            <w:pPr>
              <w:pStyle w:val="TableParagraph"/>
              <w:spacing w:line="240" w:lineRule="auto" w:before="15"/>
              <w:ind w:right="-5"/>
              <w:jc w:val="left"/>
              <w:rPr>
                <w:rFonts w:ascii="宋体" w:hAnsi="宋体" w:cs="宋体" w:eastAsia="宋体" w:hint="default"/>
                <w:sz w:val="18"/>
                <w:szCs w:val="18"/>
              </w:rPr>
            </w:pPr>
            <w:r>
              <w:rPr>
                <w:rFonts w:ascii="宋体" w:hAnsi="宋体" w:cs="宋体" w:eastAsia="宋体" w:hint="default"/>
                <w:sz w:val="18"/>
                <w:szCs w:val="18"/>
              </w:rPr>
              <w:t>券股份有限公司客户信用交易担保证券账户持有公司股票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36,772,233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股，通过普通账户</w:t>
            </w:r>
          </w:p>
          <w:p>
            <w:pPr>
              <w:pStyle w:val="TableParagraph"/>
              <w:spacing w:line="319" w:lineRule="auto" w:before="63"/>
              <w:ind w:left="360" w:right="-13" w:hanging="360"/>
              <w:jc w:val="left"/>
              <w:rPr>
                <w:rFonts w:ascii="宋体" w:hAnsi="宋体" w:cs="宋体" w:eastAsia="宋体" w:hint="default"/>
                <w:sz w:val="18"/>
                <w:szCs w:val="18"/>
              </w:rPr>
            </w:pPr>
            <w:r>
              <w:rPr>
                <w:rFonts w:ascii="宋体" w:hAnsi="宋体" w:cs="宋体" w:eastAsia="宋体" w:hint="default"/>
                <w:sz w:val="18"/>
                <w:szCs w:val="18"/>
              </w:rPr>
              <w:t>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36,772,233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w:t>
            </w:r>
            <w:r>
              <w:rPr>
                <w:rFonts w:ascii="宋体" w:hAnsi="宋体" w:cs="宋体" w:eastAsia="宋体" w:hint="default"/>
                <w:spacing w:val="15"/>
                <w:sz w:val="18"/>
                <w:szCs w:val="18"/>
              </w:rPr>
              <w:t>徐建东通过华泰证券股份有限公司客户信用交易担保证券账户持有公司股票</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17"/>
              <w:ind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股，通过普通账户持有公司股票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8,000,080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23,000,133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before="51"/>
        <w:ind w:left="73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73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before="117"/>
        <w:ind w:left="109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5"/>
        <w:spacing w:line="240" w:lineRule="auto" w:before="0"/>
        <w:ind w:left="73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732" w:right="8414"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tbl>
      <w:tblPr>
        <w:tblW w:w="0" w:type="auto"/>
        <w:jc w:val="left"/>
        <w:tblInd w:w="101" w:type="dxa"/>
        <w:tblLayout w:type="fixed"/>
        <w:tblCellMar>
          <w:top w:w="0" w:type="dxa"/>
          <w:left w:w="0" w:type="dxa"/>
          <w:bottom w:w="0" w:type="dxa"/>
          <w:right w:w="0" w:type="dxa"/>
        </w:tblCellMar>
        <w:tblLook w:val="01E0"/>
      </w:tblPr>
      <w:tblGrid>
        <w:gridCol w:w="2669"/>
        <w:gridCol w:w="1011"/>
        <w:gridCol w:w="1478"/>
        <w:gridCol w:w="1848"/>
        <w:gridCol w:w="3886"/>
      </w:tblGrid>
      <w:tr>
        <w:trPr>
          <w:trHeight w:val="634" w:hRule="exact"/>
        </w:trPr>
        <w:tc>
          <w:tcPr>
            <w:tcW w:w="2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9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50" w:right="24"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06"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center"/>
              <w:rPr>
                <w:rFonts w:ascii="Times New Roman" w:hAnsi="Times New Roman" w:cs="Times New Roman" w:eastAsia="Times New Roman" w:hint="default"/>
                <w:sz w:val="18"/>
                <w:szCs w:val="18"/>
              </w:rPr>
            </w:pPr>
            <w:r>
              <w:rPr>
                <w:rFonts w:ascii="Times New Roman"/>
                <w:sz w:val="18"/>
              </w:rPr>
              <w:t>91110000100010249W</w:t>
            </w:r>
          </w:p>
        </w:tc>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3" w:right="-50"/>
              <w:jc w:val="left"/>
              <w:rPr>
                <w:rFonts w:ascii="宋体" w:hAnsi="宋体" w:cs="宋体" w:eastAsia="宋体" w:hint="default"/>
                <w:sz w:val="15"/>
                <w:szCs w:val="15"/>
              </w:rPr>
            </w:pPr>
            <w:r>
              <w:rPr>
                <w:rFonts w:ascii="宋体" w:hAnsi="宋体" w:cs="宋体" w:eastAsia="宋体" w:hint="default"/>
                <w:spacing w:val="-2"/>
                <w:sz w:val="15"/>
                <w:szCs w:val="15"/>
              </w:rPr>
              <w:t>电子原材料、电子元器件、电子仪器仪表、电子整机产品、</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5"/>
                <w:sz w:val="15"/>
                <w:szCs w:val="15"/>
              </w:rPr>
              <w:t>电子应用产品与应用系统、电子专用设备、配套产品、软件</w:t>
            </w:r>
            <w:r>
              <w:rPr>
                <w:rFonts w:ascii="宋体" w:hAnsi="宋体" w:cs="宋体" w:eastAsia="宋体" w:hint="default"/>
                <w:spacing w:val="-24"/>
                <w:sz w:val="15"/>
                <w:szCs w:val="15"/>
              </w:rPr>
              <w:t> </w:t>
            </w:r>
            <w:r>
              <w:rPr>
                <w:rFonts w:ascii="宋体" w:hAnsi="宋体" w:cs="宋体" w:eastAsia="宋体" w:hint="default"/>
                <w:spacing w:val="-24"/>
                <w:sz w:val="15"/>
                <w:szCs w:val="15"/>
              </w:rPr>
            </w:r>
            <w:r>
              <w:rPr>
                <w:rFonts w:ascii="宋体" w:hAnsi="宋体" w:cs="宋体" w:eastAsia="宋体" w:hint="default"/>
                <w:spacing w:val="-5"/>
                <w:sz w:val="15"/>
                <w:szCs w:val="15"/>
              </w:rPr>
              <w:t>的科研、开发、设计、制造、产品配套销售；电子应用系统</w:t>
            </w:r>
            <w:r>
              <w:rPr>
                <w:rFonts w:ascii="宋体" w:hAnsi="宋体" w:cs="宋体" w:eastAsia="宋体" w:hint="default"/>
                <w:spacing w:val="-23"/>
                <w:sz w:val="15"/>
                <w:szCs w:val="15"/>
              </w:rPr>
              <w:t> </w:t>
            </w:r>
            <w:r>
              <w:rPr>
                <w:rFonts w:ascii="宋体" w:hAnsi="宋体" w:cs="宋体" w:eastAsia="宋体" w:hint="default"/>
                <w:spacing w:val="-23"/>
                <w:sz w:val="15"/>
                <w:szCs w:val="15"/>
              </w:rPr>
            </w:r>
            <w:r>
              <w:rPr>
                <w:rFonts w:ascii="宋体" w:hAnsi="宋体" w:cs="宋体" w:eastAsia="宋体" w:hint="default"/>
                <w:spacing w:val="-5"/>
                <w:sz w:val="15"/>
                <w:szCs w:val="15"/>
              </w:rPr>
              <w:t>工程、建筑工程、通讯工程、水处理工程的总承包与组织管</w:t>
            </w:r>
            <w:r>
              <w:rPr>
                <w:rFonts w:ascii="宋体" w:hAnsi="宋体" w:cs="宋体" w:eastAsia="宋体" w:hint="default"/>
                <w:spacing w:val="-23"/>
                <w:sz w:val="15"/>
                <w:szCs w:val="15"/>
              </w:rPr>
              <w:t> </w:t>
            </w:r>
            <w:r>
              <w:rPr>
                <w:rFonts w:ascii="宋体" w:hAnsi="宋体" w:cs="宋体" w:eastAsia="宋体" w:hint="default"/>
                <w:spacing w:val="-23"/>
                <w:sz w:val="15"/>
                <w:szCs w:val="15"/>
              </w:rPr>
            </w:r>
            <w:r>
              <w:rPr>
                <w:rFonts w:ascii="宋体" w:hAnsi="宋体" w:cs="宋体" w:eastAsia="宋体" w:hint="default"/>
                <w:spacing w:val="-5"/>
                <w:sz w:val="15"/>
                <w:szCs w:val="15"/>
              </w:rPr>
              <w:t>理；环保和节能技术的开发、推广、应用；房地产开发、经</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pacing w:val="-2"/>
                <w:sz w:val="15"/>
                <w:szCs w:val="15"/>
              </w:rPr>
              <w:t>营；汽车、汽车零配件、五金交电、照像器材、建筑材料、</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5"/>
                <w:sz w:val="15"/>
                <w:szCs w:val="15"/>
              </w:rPr>
              <w:t>装饰材料、服装的销售；承办展览；房屋修缮业务；咨询服</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z w:val="15"/>
                <w:szCs w:val="15"/>
              </w:rPr>
              <w:t>务、技术服务及转让；家用电器的维修和销售。</w:t>
            </w:r>
          </w:p>
        </w:tc>
      </w:tr>
      <w:tr>
        <w:trPr>
          <w:trHeight w:val="4693" w:hRule="exact"/>
        </w:trPr>
        <w:tc>
          <w:tcPr>
            <w:tcW w:w="2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23" w:right="113"/>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c>
        <w:tc>
          <w:tcPr>
            <w:tcW w:w="8224" w:type="dxa"/>
            <w:gridSpan w:val="4"/>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384" w:right="5173"/>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持有深科技</w:t>
            </w:r>
            <w:r>
              <w:rPr>
                <w:rFonts w:ascii="Times New Roman" w:hAnsi="Times New Roman" w:cs="Times New Roman" w:eastAsia="Times New Roman" w:hint="default"/>
                <w:sz w:val="18"/>
                <w:szCs w:val="18"/>
              </w:rPr>
              <w:t>(000021)43.51%</w:t>
            </w:r>
            <w:r>
              <w:rPr>
                <w:rFonts w:ascii="宋体" w:hAnsi="宋体" w:cs="宋体" w:eastAsia="宋体" w:hint="default"/>
                <w:sz w:val="18"/>
                <w:szCs w:val="18"/>
              </w:rPr>
              <w:t>股权</w:t>
            </w:r>
            <w:r>
              <w:rPr>
                <w:rFonts w:ascii="宋体" w:hAnsi="宋体" w:cs="宋体" w:eastAsia="宋体" w:hint="default"/>
                <w:spacing w:val="-3"/>
                <w:sz w:val="18"/>
                <w:szCs w:val="18"/>
              </w:rPr>
              <w:t> </w:t>
            </w:r>
            <w:r>
              <w:rPr>
                <w:rFonts w:ascii="宋体" w:hAnsi="宋体" w:cs="宋体" w:eastAsia="宋体" w:hint="default"/>
                <w:sz w:val="18"/>
                <w:szCs w:val="18"/>
              </w:rPr>
              <w:t>持有深桑达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A(000032)59.33%</w:t>
            </w:r>
            <w:r>
              <w:rPr>
                <w:rFonts w:ascii="宋体" w:hAnsi="宋体" w:cs="宋体" w:eastAsia="宋体" w:hint="default"/>
                <w:sz w:val="18"/>
                <w:szCs w:val="18"/>
              </w:rPr>
              <w:t>股权 持有振华科技</w:t>
            </w:r>
            <w:r>
              <w:rPr>
                <w:rFonts w:ascii="Times New Roman" w:hAnsi="Times New Roman" w:cs="Times New Roman" w:eastAsia="Times New Roman" w:hint="default"/>
                <w:sz w:val="18"/>
                <w:szCs w:val="18"/>
              </w:rPr>
              <w:t>(000733)32.94%</w:t>
            </w:r>
            <w:r>
              <w:rPr>
                <w:rFonts w:ascii="宋体" w:hAnsi="宋体" w:cs="宋体" w:eastAsia="宋体" w:hint="default"/>
                <w:sz w:val="18"/>
                <w:szCs w:val="18"/>
              </w:rPr>
              <w:t>股权 持有上海贝岭</w:t>
            </w:r>
            <w:r>
              <w:rPr>
                <w:rFonts w:ascii="Times New Roman" w:hAnsi="Times New Roman" w:cs="Times New Roman" w:eastAsia="Times New Roman" w:hint="default"/>
                <w:sz w:val="18"/>
                <w:szCs w:val="18"/>
              </w:rPr>
              <w:t>(600171)25.32%</w:t>
            </w:r>
            <w:r>
              <w:rPr>
                <w:rFonts w:ascii="宋体" w:hAnsi="宋体" w:cs="宋体" w:eastAsia="宋体" w:hint="default"/>
                <w:sz w:val="18"/>
                <w:szCs w:val="18"/>
              </w:rPr>
              <w:t>股权 持有中国软件</w:t>
            </w:r>
            <w:r>
              <w:rPr>
                <w:rFonts w:ascii="Times New Roman" w:hAnsi="Times New Roman" w:cs="Times New Roman" w:eastAsia="Times New Roman" w:hint="default"/>
                <w:sz w:val="18"/>
                <w:szCs w:val="18"/>
              </w:rPr>
              <w:t>(600536)30.25%</w:t>
            </w:r>
            <w:r>
              <w:rPr>
                <w:rFonts w:ascii="宋体" w:hAnsi="宋体" w:cs="宋体" w:eastAsia="宋体" w:hint="default"/>
                <w:sz w:val="18"/>
                <w:szCs w:val="18"/>
              </w:rPr>
              <w:t>股权 持有彩虹股份</w:t>
            </w:r>
            <w:r>
              <w:rPr>
                <w:rFonts w:ascii="Times New Roman" w:hAnsi="Times New Roman" w:cs="Times New Roman" w:eastAsia="Times New Roman" w:hint="default"/>
                <w:sz w:val="18"/>
                <w:szCs w:val="18"/>
              </w:rPr>
              <w:t>(600707)24.64%</w:t>
            </w:r>
            <w:r>
              <w:rPr>
                <w:rFonts w:ascii="宋体" w:hAnsi="宋体" w:cs="宋体" w:eastAsia="宋体" w:hint="default"/>
                <w:sz w:val="18"/>
                <w:szCs w:val="18"/>
              </w:rPr>
              <w:t>股权 持有华东科技</w:t>
            </w:r>
            <w:r>
              <w:rPr>
                <w:rFonts w:ascii="Times New Roman" w:hAnsi="Times New Roman" w:cs="Times New Roman" w:eastAsia="Times New Roman" w:hint="default"/>
                <w:sz w:val="18"/>
                <w:szCs w:val="18"/>
              </w:rPr>
              <w:t>(000727)28.13%</w:t>
            </w:r>
            <w:r>
              <w:rPr>
                <w:rFonts w:ascii="宋体" w:hAnsi="宋体" w:cs="宋体" w:eastAsia="宋体" w:hint="default"/>
                <w:sz w:val="18"/>
                <w:szCs w:val="18"/>
              </w:rPr>
              <w:t>股权</w:t>
            </w:r>
          </w:p>
          <w:p>
            <w:pPr>
              <w:pStyle w:val="TableParagraph"/>
              <w:spacing w:line="300" w:lineRule="auto" w:before="13"/>
              <w:ind w:left="384" w:right="4409"/>
              <w:jc w:val="left"/>
              <w:rPr>
                <w:rFonts w:ascii="宋体" w:hAnsi="宋体" w:cs="宋体" w:eastAsia="宋体" w:hint="default"/>
                <w:sz w:val="18"/>
                <w:szCs w:val="18"/>
              </w:rPr>
            </w:pPr>
            <w:r>
              <w:rPr>
                <w:rFonts w:ascii="宋体" w:hAnsi="宋体" w:cs="宋体" w:eastAsia="宋体" w:hint="default"/>
                <w:sz w:val="18"/>
                <w:szCs w:val="18"/>
              </w:rPr>
              <w:t>持有南京熊猫</w:t>
            </w:r>
            <w:r>
              <w:rPr>
                <w:rFonts w:ascii="Times New Roman" w:hAnsi="Times New Roman" w:cs="Times New Roman" w:eastAsia="Times New Roman" w:hint="default"/>
                <w:sz w:val="18"/>
                <w:szCs w:val="18"/>
              </w:rPr>
              <w:t>(600775/00553HK)26.98%</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持有中电华大科技</w:t>
            </w:r>
            <w:r>
              <w:rPr>
                <w:rFonts w:ascii="Times New Roman" w:hAnsi="Times New Roman" w:cs="Times New Roman" w:eastAsia="Times New Roman" w:hint="default"/>
                <w:sz w:val="18"/>
                <w:szCs w:val="18"/>
              </w:rPr>
              <w:t>(00085HK)59.42%</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持有彩虹新能源</w:t>
            </w:r>
            <w:r>
              <w:rPr>
                <w:rFonts w:ascii="Times New Roman" w:hAnsi="Times New Roman" w:cs="Times New Roman" w:eastAsia="Times New Roman" w:hint="default"/>
                <w:sz w:val="18"/>
                <w:szCs w:val="18"/>
              </w:rPr>
              <w:t>(00438HK)73.15%</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持有中电光谷</w:t>
            </w:r>
            <w:r>
              <w:rPr>
                <w:rFonts w:ascii="Times New Roman" w:hAnsi="Times New Roman" w:cs="Times New Roman" w:eastAsia="Times New Roman" w:hint="default"/>
                <w:sz w:val="18"/>
                <w:szCs w:val="18"/>
              </w:rPr>
              <w:t>(00798HK)33.67%</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持有晶门科技</w:t>
            </w:r>
            <w:r>
              <w:rPr>
                <w:rFonts w:ascii="Times New Roman" w:hAnsi="Times New Roman" w:cs="Times New Roman" w:eastAsia="Times New Roman" w:hint="default"/>
                <w:sz w:val="18"/>
                <w:szCs w:val="18"/>
              </w:rPr>
              <w:t>(02878HK)28.50%</w:t>
            </w:r>
            <w:r>
              <w:rPr>
                <w:rFonts w:ascii="宋体" w:hAnsi="宋体" w:cs="宋体" w:eastAsia="宋体" w:hint="default"/>
                <w:sz w:val="18"/>
                <w:szCs w:val="18"/>
              </w:rPr>
              <w:t>股权</w:t>
            </w:r>
          </w:p>
          <w:p>
            <w:pPr>
              <w:pStyle w:val="TableParagraph"/>
              <w:spacing w:line="316" w:lineRule="auto" w:before="13"/>
              <w:ind w:left="24" w:right="88" w:firstLine="360"/>
              <w:jc w:val="left"/>
              <w:rPr>
                <w:rFonts w:ascii="宋体" w:hAnsi="宋体" w:cs="宋体" w:eastAsia="宋体" w:hint="default"/>
                <w:sz w:val="18"/>
                <w:szCs w:val="18"/>
              </w:rPr>
            </w:pPr>
            <w:r>
              <w:rPr>
                <w:rFonts w:ascii="宋体" w:hAnsi="宋体" w:cs="宋体" w:eastAsia="宋体" w:hint="default"/>
                <w:sz w:val="18"/>
                <w:szCs w:val="18"/>
              </w:rPr>
              <w:t>注：中国电子持股比例为中国电子通过上市公司股东中的相关关联方及一致行动人持有上市公司股 份的合计数。</w:t>
            </w:r>
          </w:p>
        </w:tc>
      </w:tr>
    </w:tbl>
    <w:p>
      <w:pPr>
        <w:spacing w:before="70"/>
        <w:ind w:left="73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4"/>
        <w:ind w:left="73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89" w:footer="975" w:top="1100" w:bottom="1160" w:left="400" w:right="0"/>
        </w:sectPr>
      </w:pPr>
    </w:p>
    <w:p>
      <w:pPr>
        <w:spacing w:line="240" w:lineRule="auto" w:before="8"/>
        <w:rPr>
          <w:rFonts w:ascii="宋体" w:hAnsi="宋体" w:cs="宋体" w:eastAsia="宋体" w:hint="default"/>
          <w:sz w:val="22"/>
          <w:szCs w:val="22"/>
        </w:rPr>
      </w:pPr>
    </w:p>
    <w:p>
      <w:pPr>
        <w:spacing w:before="44"/>
        <w:ind w:left="513" w:right="1133" w:firstLine="0"/>
        <w:jc w:val="left"/>
        <w:rPr>
          <w:rFonts w:ascii="宋体" w:hAnsi="宋体" w:cs="宋体" w:eastAsia="宋体" w:hint="default"/>
          <w:sz w:val="18"/>
          <w:szCs w:val="18"/>
        </w:rPr>
      </w:pPr>
      <w:r>
        <w:rPr>
          <w:rFonts w:ascii="宋体" w:hAnsi="宋体" w:cs="宋体" w:eastAsia="宋体" w:hint="default"/>
          <w:sz w:val="18"/>
          <w:szCs w:val="18"/>
        </w:rPr>
        <w:t>公司报告期控股股东未发生变更。</w:t>
      </w:r>
    </w:p>
    <w:p>
      <w:pPr>
        <w:spacing w:line="240" w:lineRule="auto" w:before="0"/>
        <w:rPr>
          <w:rFonts w:ascii="宋体" w:hAnsi="宋体" w:cs="宋体" w:eastAsia="宋体" w:hint="default"/>
          <w:sz w:val="18"/>
          <w:szCs w:val="18"/>
        </w:rPr>
      </w:pPr>
    </w:p>
    <w:p>
      <w:pPr>
        <w:pStyle w:val="Heading5"/>
        <w:spacing w:line="240" w:lineRule="auto" w:before="118"/>
        <w:ind w:left="152"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874"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p>
      <w:pPr>
        <w:spacing w:line="360" w:lineRule="auto" w:before="25"/>
        <w:ind w:left="513" w:right="2293" w:firstLine="0"/>
        <w:jc w:val="left"/>
        <w:rPr>
          <w:rFonts w:ascii="宋体" w:hAnsi="宋体" w:cs="宋体" w:eastAsia="宋体" w:hint="default"/>
          <w:sz w:val="18"/>
          <w:szCs w:val="18"/>
        </w:rPr>
      </w:pPr>
      <w:r>
        <w:rPr>
          <w:rFonts w:ascii="宋体" w:hAnsi="宋体" w:cs="宋体" w:eastAsia="宋体" w:hint="default"/>
          <w:sz w:val="18"/>
          <w:szCs w:val="18"/>
        </w:rPr>
        <w:t>公司控股股东、实际控制人同为中国电子信息产业集团有限公司，请参见“公司控股股东情况”介绍。 公司报告期实际控制人未发生变更。</w:t>
      </w:r>
    </w:p>
    <w:p>
      <w:pPr>
        <w:spacing w:before="27"/>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p>
      <w:pPr>
        <w:spacing w:line="4389" w:lineRule="exact"/>
        <w:ind w:left="153"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6337396" cy="278701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6337396" cy="2787015"/>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0"/>
        <w:rPr>
          <w:rFonts w:ascii="宋体" w:hAnsi="宋体" w:cs="宋体" w:eastAsia="宋体" w:hint="default"/>
          <w:sz w:val="18"/>
          <w:szCs w:val="18"/>
        </w:rPr>
      </w:pPr>
    </w:p>
    <w:p>
      <w:pPr>
        <w:spacing w:before="134"/>
        <w:ind w:left="152" w:right="1133"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left="152"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left="152"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Heading1"/>
        <w:spacing w:line="240" w:lineRule="auto"/>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11"/>
        <w:rPr>
          <w:rFonts w:ascii="宋体" w:hAnsi="宋体" w:cs="宋体" w:eastAsia="宋体" w:hint="default"/>
          <w:b/>
          <w:bCs/>
          <w:sz w:val="44"/>
          <w:szCs w:val="44"/>
        </w:rPr>
      </w:pPr>
    </w:p>
    <w:p>
      <w:pPr>
        <w:spacing w:line="360" w:lineRule="auto" w:before="0"/>
        <w:ind w:left="513" w:right="823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报告期公司不存在优先股。</w:t>
      </w:r>
    </w:p>
    <w:p>
      <w:pPr>
        <w:spacing w:after="0" w:line="360" w:lineRule="auto"/>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1"/>
        <w:spacing w:line="240" w:lineRule="auto"/>
        <w:ind w:left="251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41"/>
          <w:szCs w:val="41"/>
        </w:rPr>
      </w:pPr>
    </w:p>
    <w:p>
      <w:pPr>
        <w:pStyle w:val="Heading4"/>
        <w:spacing w:line="240" w:lineRule="auto"/>
        <w:ind w:left="992" w:right="0"/>
        <w:jc w:val="left"/>
        <w:rPr>
          <w:b w:val="0"/>
          <w:bCs w:val="0"/>
        </w:rPr>
      </w:pP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720"/>
        <w:gridCol w:w="1136"/>
        <w:gridCol w:w="665"/>
        <w:gridCol w:w="540"/>
        <w:gridCol w:w="540"/>
        <w:gridCol w:w="1441"/>
        <w:gridCol w:w="1491"/>
        <w:gridCol w:w="900"/>
        <w:gridCol w:w="1080"/>
        <w:gridCol w:w="1081"/>
        <w:gridCol w:w="900"/>
        <w:gridCol w:w="900"/>
      </w:tblGrid>
      <w:tr>
        <w:trPr>
          <w:trHeight w:val="635"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46" w:right="14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86" w:right="83"/>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 w:right="-13" w:firstLine="84"/>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 w:right="-12" w:firstLine="84"/>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 w:right="-13" w:firstLine="84"/>
              <w:jc w:val="left"/>
              <w:rPr>
                <w:rFonts w:ascii="宋体" w:hAnsi="宋体" w:cs="宋体" w:eastAsia="宋体" w:hint="default"/>
                <w:sz w:val="18"/>
                <w:szCs w:val="18"/>
              </w:rPr>
            </w:pPr>
            <w:r>
              <w:rPr>
                <w:rFonts w:ascii="宋体" w:hAnsi="宋体" w:cs="宋体" w:eastAsia="宋体" w:hint="default"/>
                <w:sz w:val="18"/>
                <w:szCs w:val="18"/>
              </w:rPr>
              <w:t>其他增减 变动（股）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86" w:right="8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宋黎定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57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徐刚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董事兼总裁</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58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
              <w:jc w:val="right"/>
              <w:rPr>
                <w:rFonts w:ascii="Times New Roman" w:hAnsi="Times New Roman" w:cs="Times New Roman" w:eastAsia="Times New Roman" w:hint="default"/>
                <w:sz w:val="18"/>
                <w:szCs w:val="18"/>
              </w:rPr>
            </w:pPr>
            <w:r>
              <w:rPr>
                <w:rFonts w:ascii="Times New Roman"/>
                <w:spacing w:val="-1"/>
                <w:sz w:val="18"/>
              </w:rPr>
              <w:t>60,000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郭涵冰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58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孔雪屏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51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吕宝利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49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张志勇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41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虞世全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54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蓝庆新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44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李国敏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56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马跃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61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李福江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52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李斌</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58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9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戴湘桃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1"/>
              <w:ind w:left="112" w:right="22" w:hanging="92"/>
              <w:jc w:val="left"/>
              <w:rPr>
                <w:rFonts w:ascii="宋体" w:hAnsi="宋体" w:cs="宋体" w:eastAsia="宋体" w:hint="default"/>
                <w:sz w:val="18"/>
                <w:szCs w:val="18"/>
              </w:rPr>
            </w:pPr>
            <w:r>
              <w:rPr>
                <w:rFonts w:ascii="宋体" w:hAnsi="宋体" w:cs="宋体" w:eastAsia="宋体" w:hint="default"/>
                <w:sz w:val="18"/>
                <w:szCs w:val="18"/>
              </w:rPr>
              <w:t>高级副总裁、 总法律顾问</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60,000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69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许海东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01" w:right="22" w:hanging="180"/>
              <w:jc w:val="left"/>
              <w:rPr>
                <w:rFonts w:ascii="宋体" w:hAnsi="宋体" w:cs="宋体" w:eastAsia="宋体" w:hint="default"/>
                <w:sz w:val="18"/>
                <w:szCs w:val="18"/>
              </w:rPr>
            </w:pPr>
            <w:r>
              <w:rPr>
                <w:rFonts w:ascii="宋体" w:hAnsi="宋体" w:cs="宋体" w:eastAsia="宋体" w:hint="default"/>
                <w:sz w:val="18"/>
                <w:szCs w:val="18"/>
              </w:rPr>
              <w:t>财务总监（总 会计师）</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段军</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50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
              <w:jc w:val="right"/>
              <w:rPr>
                <w:rFonts w:ascii="Times New Roman" w:hAnsi="Times New Roman" w:cs="Times New Roman" w:eastAsia="Times New Roman" w:hint="default"/>
                <w:sz w:val="18"/>
                <w:szCs w:val="18"/>
              </w:rPr>
            </w:pPr>
            <w:r>
              <w:rPr>
                <w:rFonts w:ascii="Times New Roman"/>
                <w:spacing w:val="-1"/>
                <w:sz w:val="18"/>
              </w:rPr>
              <w:t>20,000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54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李璇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45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
              <w:jc w:val="right"/>
              <w:rPr>
                <w:rFonts w:ascii="Times New Roman" w:hAnsi="Times New Roman" w:cs="Times New Roman" w:eastAsia="Times New Roman" w:hint="default"/>
                <w:sz w:val="18"/>
                <w:szCs w:val="18"/>
              </w:rPr>
            </w:pPr>
            <w:r>
              <w:rPr>
                <w:rFonts w:ascii="Times New Roman"/>
                <w:spacing w:val="-1"/>
                <w:sz w:val="18"/>
              </w:rPr>
              <w:t>17,000</w:t>
            </w: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pacing w:val="-1"/>
                <w:sz w:val="18"/>
              </w:rPr>
              <w:t>17,000</w:t>
            </w:r>
          </w:p>
        </w:tc>
      </w:tr>
      <w:tr>
        <w:trPr>
          <w:trHeight w:val="38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王习发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55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陈小军</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54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
              <w:jc w:val="right"/>
              <w:rPr>
                <w:rFonts w:ascii="Times New Roman" w:hAnsi="Times New Roman" w:cs="Times New Roman" w:eastAsia="Times New Roman" w:hint="default"/>
                <w:sz w:val="18"/>
                <w:szCs w:val="18"/>
              </w:rPr>
            </w:pPr>
            <w:r>
              <w:rPr>
                <w:rFonts w:ascii="Times New Roman"/>
                <w:spacing w:val="-1"/>
                <w:sz w:val="18"/>
              </w:rPr>
              <w:t>60,000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李峻</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45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吴中海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52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9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1"/>
              <w:ind w:left="112" w:right="22" w:hanging="92"/>
              <w:jc w:val="left"/>
              <w:rPr>
                <w:rFonts w:ascii="宋体" w:hAnsi="宋体" w:cs="宋体" w:eastAsia="宋体" w:hint="default"/>
                <w:sz w:val="18"/>
                <w:szCs w:val="18"/>
              </w:rPr>
            </w:pPr>
            <w:r>
              <w:rPr>
                <w:rFonts w:ascii="宋体" w:hAnsi="宋体" w:cs="宋体" w:eastAsia="宋体" w:hint="default"/>
                <w:sz w:val="18"/>
                <w:szCs w:val="18"/>
              </w:rPr>
              <w:t>高级副总裁、 总法律顾问</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97,680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97,680</w:t>
            </w: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刘文彬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45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
              <w:jc w:val="right"/>
              <w:rPr>
                <w:rFonts w:ascii="Times New Roman" w:hAnsi="Times New Roman" w:cs="Times New Roman" w:eastAsia="Times New Roman" w:hint="default"/>
                <w:sz w:val="18"/>
                <w:szCs w:val="18"/>
              </w:rPr>
            </w:pPr>
            <w:r>
              <w:rPr>
                <w:rFonts w:ascii="Times New Roman"/>
                <w:spacing w:val="-1"/>
                <w:sz w:val="18"/>
              </w:rPr>
              <w:t>60,000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38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周在龙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46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right"/>
              <w:rPr>
                <w:rFonts w:ascii="Times New Roman" w:hAnsi="Times New Roman" w:cs="Times New Roman" w:eastAsia="Times New Roman" w:hint="default"/>
                <w:sz w:val="18"/>
                <w:szCs w:val="18"/>
              </w:rPr>
            </w:pPr>
            <w:r>
              <w:rPr>
                <w:rFonts w:ascii="Times New Roman"/>
                <w:spacing w:val="-1"/>
                <w:sz w:val="18"/>
              </w:rPr>
              <w:t>60,000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郭镇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45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
              <w:jc w:val="right"/>
              <w:rPr>
                <w:rFonts w:ascii="Times New Roman" w:hAnsi="Times New Roman" w:cs="Times New Roman" w:eastAsia="Times New Roman" w:hint="default"/>
                <w:sz w:val="18"/>
                <w:szCs w:val="18"/>
              </w:rPr>
            </w:pPr>
            <w:r>
              <w:rPr>
                <w:rFonts w:ascii="Times New Roman"/>
                <w:spacing w:val="-1"/>
                <w:sz w:val="18"/>
              </w:rPr>
              <w:t>28,000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pacing w:val="-1"/>
                <w:sz w:val="18"/>
              </w:rPr>
              <w:t>28,000</w:t>
            </w:r>
          </w:p>
        </w:tc>
      </w:tr>
      <w:tr>
        <w:trPr>
          <w:trHeight w:val="382"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pacing w:val="-1"/>
                <w:sz w:val="18"/>
              </w:rPr>
              <w:t>445,680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
              <w:jc w:val="right"/>
              <w:rPr>
                <w:rFonts w:ascii="Times New Roman" w:hAnsi="Times New Roman" w:cs="Times New Roman" w:eastAsia="Times New Roman" w:hint="default"/>
                <w:sz w:val="18"/>
                <w:szCs w:val="18"/>
              </w:rPr>
            </w:pPr>
            <w:r>
              <w:rPr>
                <w:rFonts w:ascii="Times New Roman"/>
                <w:spacing w:val="-1"/>
                <w:sz w:val="18"/>
              </w:rPr>
              <w:t>17,000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18"/>
                <w:szCs w:val="18"/>
              </w:rPr>
            </w:pPr>
            <w:r>
              <w:rPr>
                <w:rFonts w:ascii="Times New Roman"/>
                <w:spacing w:val="-1"/>
                <w:sz w:val="18"/>
              </w:rPr>
              <w:t>462,680</w:t>
            </w:r>
          </w:p>
        </w:tc>
      </w:tr>
    </w:tbl>
    <w:p>
      <w:pPr>
        <w:spacing w:after="0" w:line="240" w:lineRule="auto"/>
        <w:jc w:val="right"/>
        <w:rPr>
          <w:rFonts w:ascii="Times New Roman" w:hAnsi="Times New Roman" w:cs="Times New Roman" w:eastAsia="Times New Roman" w:hint="default"/>
          <w:sz w:val="18"/>
          <w:szCs w:val="18"/>
        </w:rPr>
        <w:sectPr>
          <w:pgSz w:w="11910" w:h="16840"/>
          <w:pgMar w:header="789" w:footer="975" w:top="1100" w:bottom="1160" w:left="140" w:right="0"/>
        </w:sectPr>
      </w:pPr>
    </w:p>
    <w:p>
      <w:pPr>
        <w:spacing w:line="240" w:lineRule="auto" w:before="4"/>
        <w:rPr>
          <w:rFonts w:ascii="宋体" w:hAnsi="宋体" w:cs="宋体" w:eastAsia="宋体" w:hint="default"/>
          <w:b/>
          <w:bCs/>
          <w:sz w:val="20"/>
          <w:szCs w:val="20"/>
        </w:rPr>
      </w:pPr>
    </w:p>
    <w:p>
      <w:pPr>
        <w:pStyle w:val="Heading4"/>
        <w:spacing w:line="240" w:lineRule="auto" w:before="26"/>
        <w:ind w:right="1133"/>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260"/>
        <w:gridCol w:w="1260"/>
        <w:gridCol w:w="1261"/>
        <w:gridCol w:w="1539"/>
        <w:gridCol w:w="4249"/>
      </w:tblGrid>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宋黎定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年度第二次临时股东大会选举</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宋黎定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第七届董事会第十五次会议选举</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总法律顾问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第七届董事会第二十次会议聘任</w:t>
            </w:r>
          </w:p>
        </w:tc>
      </w:tr>
      <w:tr>
        <w:trPr>
          <w:trHeight w:val="36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李国敏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年度第三次临时股东大会选举</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郭涵冰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年度第一次临时股东大会选举</w:t>
            </w:r>
          </w:p>
        </w:tc>
      </w:tr>
      <w:tr>
        <w:trPr>
          <w:trHeight w:val="36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第七届董事会第三十二次会议聘任</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李璇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第七届董事会第三十二次会议聘任</w:t>
            </w:r>
          </w:p>
        </w:tc>
      </w:tr>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许海东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财务总监</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（总会计师）</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第七届董事会第三十二次会议聘任</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戴湘桃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总法律顾问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第七届董事会第三十二次会议聘任</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王习发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第七届董事会第三十五次会议聘任</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陈小军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工作调整变动</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段军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总法律顾问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第七届董事会第二十次会议任免</w:t>
            </w:r>
          </w:p>
        </w:tc>
      </w:tr>
      <w:tr>
        <w:trPr>
          <w:trHeight w:val="36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吴中海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工作调整变动</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李峻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工作调整变动</w:t>
            </w:r>
          </w:p>
        </w:tc>
      </w:tr>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6" w:right="19" w:hanging="243"/>
              <w:jc w:val="left"/>
              <w:rPr>
                <w:rFonts w:ascii="宋体" w:hAnsi="宋体" w:cs="宋体" w:eastAsia="宋体" w:hint="default"/>
                <w:sz w:val="18"/>
                <w:szCs w:val="18"/>
              </w:rPr>
            </w:pPr>
            <w:r>
              <w:rPr>
                <w:rFonts w:ascii="宋体" w:hAnsi="宋体" w:cs="宋体" w:eastAsia="宋体" w:hint="default"/>
                <w:spacing w:val="-8"/>
                <w:sz w:val="18"/>
                <w:szCs w:val="18"/>
              </w:rPr>
              <w:t>高级副总裁、总</w:t>
            </w:r>
            <w:r>
              <w:rPr>
                <w:rFonts w:ascii="宋体" w:hAnsi="宋体" w:cs="宋体" w:eastAsia="宋体" w:hint="default"/>
                <w:sz w:val="18"/>
                <w:szCs w:val="18"/>
              </w:rPr>
              <w:t> 法律顾问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第七届董事会第三十二次会议任免高级管理人员职务</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刘文彬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第七届董事会第三十二次会议任免高级管理人员职务</w:t>
            </w:r>
          </w:p>
        </w:tc>
      </w:tr>
      <w:tr>
        <w:trPr>
          <w:trHeight w:val="36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周在龙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工作调动</w:t>
            </w:r>
          </w:p>
        </w:tc>
      </w:tr>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郭镇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个人原因离职</w:t>
            </w:r>
          </w:p>
        </w:tc>
      </w:tr>
    </w:tbl>
    <w:p>
      <w:pPr>
        <w:spacing w:before="51"/>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董事、监事、高级管理人员变动情况说明</w:t>
      </w:r>
      <w:r>
        <w:rPr>
          <w:rFonts w:ascii="宋体" w:hAnsi="宋体" w:cs="宋体" w:eastAsia="宋体" w:hint="default"/>
          <w:sz w:val="18"/>
          <w:szCs w:val="18"/>
        </w:rPr>
      </w:r>
    </w:p>
    <w:p>
      <w:pPr>
        <w:spacing w:before="115"/>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日，陈小军先生因工作调整变动原因辞去公司董事长职务，不再担任公司任何职务；同日，经公司第七</w:t>
      </w:r>
    </w:p>
    <w:p>
      <w:pPr>
        <w:spacing w:line="309" w:lineRule="auto" w:before="63"/>
        <w:ind w:left="152" w:right="1131" w:firstLine="0"/>
        <w:jc w:val="both"/>
        <w:rPr>
          <w:rFonts w:ascii="宋体" w:hAnsi="宋体" w:cs="宋体" w:eastAsia="宋体" w:hint="default"/>
          <w:sz w:val="18"/>
          <w:szCs w:val="18"/>
        </w:rPr>
      </w:pPr>
      <w:r>
        <w:rPr>
          <w:rFonts w:ascii="宋体" w:hAnsi="宋体" w:cs="宋体" w:eastAsia="宋体" w:hint="default"/>
          <w:sz w:val="18"/>
          <w:szCs w:val="18"/>
        </w:rPr>
        <w:t>届董事会第十四次会议审议，提名宋黎定先生为公司第七届董事会董事候选人。经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 </w:t>
      </w:r>
      <w:r>
        <w:rPr>
          <w:rFonts w:ascii="宋体" w:hAnsi="宋体" w:cs="宋体" w:eastAsia="宋体" w:hint="default"/>
          <w:spacing w:val="-2"/>
          <w:sz w:val="18"/>
          <w:szCs w:val="18"/>
        </w:rPr>
        <w:t>临时股东大会审议，选举宋黎定先生为公司第七届董事会董事；同日，经公司第七届董事会第十五次会议审议，选举宋黎定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先生为公司董事长。</w:t>
      </w:r>
    </w:p>
    <w:p>
      <w:pPr>
        <w:spacing w:line="312" w:lineRule="auto" w:before="65"/>
        <w:ind w:left="152" w:right="104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日，吴中海先生因工作调整变动原因辞去公司独立董事职务，不再担任公司任何职务，鉴于吴中海先生 </w:t>
      </w:r>
      <w:r>
        <w:rPr>
          <w:rFonts w:ascii="宋体" w:hAnsi="宋体" w:cs="宋体" w:eastAsia="宋体" w:hint="default"/>
          <w:spacing w:val="-2"/>
          <w:sz w:val="18"/>
          <w:szCs w:val="18"/>
        </w:rPr>
        <w:t>在任期内辞职将导致公司独立董事人数少于董事会成员人数的三分之一，吴中海先生的辞职申请将自公司股东大会选举产生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新任独立董事后生效；同日，经公司第七届董事会第二十次会议审议，提名李国敏先生为公司第七届董事会独立董事候选人。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年度第三次临时股东大会审议，选举李国敏先生为公司第七届董事会独立董事。</w:t>
      </w:r>
    </w:p>
    <w:p>
      <w:pPr>
        <w:spacing w:line="300" w:lineRule="auto" w:before="44"/>
        <w:ind w:left="152" w:right="1121" w:firstLine="36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日公司第七届董事会第二十次会议审议，聘任周庚申先生为公司总法律顾问，解聘段军先生的总法律 顾问职务。</w:t>
      </w:r>
    </w:p>
    <w:p>
      <w:pPr>
        <w:spacing w:before="7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日，李峻先生因工作调整变动原因辞去公司董事职务，不再担任公司任何职务；同日，经公司第七届董</w:t>
      </w:r>
    </w:p>
    <w:p>
      <w:pPr>
        <w:spacing w:line="300" w:lineRule="auto" w:before="63"/>
        <w:ind w:left="152" w:right="1131" w:firstLine="0"/>
        <w:jc w:val="both"/>
        <w:rPr>
          <w:rFonts w:ascii="宋体" w:hAnsi="宋体" w:cs="宋体" w:eastAsia="宋体" w:hint="default"/>
          <w:sz w:val="18"/>
          <w:szCs w:val="18"/>
        </w:rPr>
      </w:pPr>
      <w:r>
        <w:rPr>
          <w:rFonts w:ascii="宋体" w:hAnsi="宋体" w:cs="宋体" w:eastAsia="宋体" w:hint="default"/>
          <w:sz w:val="18"/>
          <w:szCs w:val="18"/>
        </w:rPr>
        <w:t>事会第三十二次会议审议，提名郭涵冰先生为公司第七届董事会董事候选人。经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 时股东大会审议，选举郭涵冰先生为公司第七届董事会董事。</w:t>
      </w:r>
    </w:p>
    <w:p>
      <w:pPr>
        <w:spacing w:line="309" w:lineRule="auto" w:before="72"/>
        <w:ind w:left="152" w:right="1133" w:firstLine="360"/>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日公司第七届董事会第三十二次会议审议，聘任许海东先生为公司财务总监（总会计师）、聘任于吉</w:t>
      </w:r>
      <w:r>
        <w:rPr>
          <w:rFonts w:ascii="宋体" w:hAnsi="宋体" w:cs="宋体" w:eastAsia="宋体" w:hint="default"/>
          <w:sz w:val="18"/>
          <w:szCs w:val="18"/>
        </w:rPr>
        <w:t> </w:t>
      </w:r>
      <w:r>
        <w:rPr>
          <w:rFonts w:ascii="宋体" w:hAnsi="宋体" w:cs="宋体" w:eastAsia="宋体" w:hint="default"/>
          <w:spacing w:val="-2"/>
          <w:sz w:val="18"/>
          <w:szCs w:val="18"/>
        </w:rPr>
        <w:t>永先生和李璇先生为公司高级副总裁、聘任戴湘桃先生为公司总法律顾问，解聘周庚申先生和刘文彬先生的高级管理人员职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务。</w:t>
      </w:r>
    </w:p>
    <w:p>
      <w:pPr>
        <w:spacing w:after="0" w:line="309" w:lineRule="auto"/>
        <w:jc w:val="both"/>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line="300" w:lineRule="auto" w:before="44"/>
        <w:ind w:left="15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日，郭镇先生因个人原因不再担任公司董事会秘书及其他职务；同日，经公司第七届董事会第三十五次 会议审议，聘任王习发先生为公司董事会秘书。</w:t>
      </w:r>
    </w:p>
    <w:p>
      <w:pPr>
        <w:spacing w:before="72"/>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日，周在龙先生因工作调动原因辞去公司高级副总裁职务。</w:t>
      </w:r>
    </w:p>
    <w:p>
      <w:pPr>
        <w:spacing w:line="240" w:lineRule="auto" w:before="11"/>
        <w:rPr>
          <w:rFonts w:ascii="宋体" w:hAnsi="宋体" w:cs="宋体" w:eastAsia="宋体" w:hint="default"/>
          <w:sz w:val="23"/>
          <w:szCs w:val="23"/>
        </w:rPr>
      </w:pPr>
    </w:p>
    <w:p>
      <w:pPr>
        <w:pStyle w:val="Heading4"/>
        <w:spacing w:line="240" w:lineRule="auto"/>
        <w:ind w:right="1133"/>
        <w:jc w:val="left"/>
        <w:rPr>
          <w:b w:val="0"/>
          <w:bCs w:val="0"/>
        </w:rPr>
      </w:pPr>
      <w:r>
        <w:rPr/>
        <w:t>三、任职情况</w:t>
      </w:r>
      <w:r>
        <w:rPr>
          <w:b w:val="0"/>
          <w:bCs w:val="0"/>
        </w:rPr>
      </w:r>
    </w:p>
    <w:p>
      <w:pPr>
        <w:spacing w:line="240" w:lineRule="auto" w:before="9"/>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before="136"/>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、董事主要工作经历</w:t>
      </w:r>
      <w:r>
        <w:rPr>
          <w:rFonts w:ascii="宋体" w:hAnsi="宋体" w:cs="宋体" w:eastAsia="宋体" w:hint="default"/>
          <w:sz w:val="18"/>
          <w:szCs w:val="18"/>
        </w:rPr>
      </w:r>
    </w:p>
    <w:p>
      <w:pPr>
        <w:spacing w:line="312" w:lineRule="auto" w:before="123"/>
        <w:ind w:left="152"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）宋黎定先生，本公司董事长、党委书记，中国国籍，毕业于西北电讯工程学院电子工程系信息处理专业，大学本 </w:t>
      </w:r>
      <w:r>
        <w:rPr>
          <w:rFonts w:ascii="宋体" w:hAnsi="宋体" w:cs="宋体" w:eastAsia="宋体" w:hint="default"/>
          <w:spacing w:val="-4"/>
          <w:sz w:val="18"/>
          <w:szCs w:val="18"/>
        </w:rPr>
        <w:t>科学历；西安电子科技大学电子与通信工程专业，工程硕士学位；研究员。现任中国电子信息产业集团有限公司总经理助理。</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曾任中国电子信息产业集团有限公司系统装备部主任，华北计算机系统工程研究所（中国电子信息产业集团有限公司第六研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究所）所长兼党委副书记，中国乐凯集团有限公司董事、党委书记兼乐凯胶片股份有限公司董事长，中国空间技术研究院副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院长、党委委员兼中国东方红卫星股份有限公司总裁，山东航天电子技术研究所所长、副所长。曾获国防科技进步奖一等奖、</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中国载人航天工程突出贡献奖和首次月球探测工程突出贡献奖；</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年山东年度十大新闻人物之一，</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年首届感动中国 暨感动烟台人物之一。</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月首次担任本公司董事、董事长。</w:t>
      </w:r>
    </w:p>
    <w:p>
      <w:pPr>
        <w:spacing w:line="307" w:lineRule="auto" w:before="22"/>
        <w:ind w:left="15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）徐刚先生，本公司董事兼总裁，党委副书记，中国国籍，毕业于西北电讯工程学院无线电通信专业，大学本科学 </w:t>
      </w:r>
      <w:r>
        <w:rPr>
          <w:rFonts w:ascii="宋体" w:hAnsi="宋体" w:cs="宋体" w:eastAsia="宋体" w:hint="default"/>
          <w:spacing w:val="-2"/>
          <w:sz w:val="18"/>
          <w:szCs w:val="18"/>
        </w:rPr>
        <w:t>历；华中科技大学电子与信息工程专业，工程硕士学位；研究员级高级工程师。曾任本公司高级副总裁，武汉中原电子集团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有限公司董事兼总经理、副总经理、总经理助理兼制造部部长等职。</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月起任本公司总裁，</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月首次担任本 公司董事。</w:t>
      </w:r>
    </w:p>
    <w:p>
      <w:pPr>
        <w:spacing w:line="309" w:lineRule="auto" w:before="45"/>
        <w:ind w:left="15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）郭涵冰先生，本公司董事，中国国籍，毕业于中国人民大学财政系，大学本科学历。曾任中国长城开拓投资管理 </w:t>
      </w:r>
      <w:r>
        <w:rPr>
          <w:rFonts w:ascii="宋体" w:hAnsi="宋体" w:cs="宋体" w:eastAsia="宋体" w:hint="default"/>
          <w:spacing w:val="-2"/>
          <w:sz w:val="18"/>
          <w:szCs w:val="18"/>
        </w:rPr>
        <w:t>公司总经理，中国电子物资总公司副总经理兼总会计师，中国瑞达投资发展集团有限公司副总经理（主持生产经营工作）。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月首次担任本公司董事。</w:t>
      </w:r>
    </w:p>
    <w:p>
      <w:pPr>
        <w:spacing w:line="312" w:lineRule="auto" w:before="26"/>
        <w:ind w:left="152" w:right="113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）孔雪屏女士，本公司董事，中国国籍，毕业于北京大学法律系，硕士研究生学历，拥有企业法律顾问执业资格、 </w:t>
      </w:r>
      <w:r>
        <w:rPr>
          <w:rFonts w:ascii="宋体" w:hAnsi="宋体" w:cs="宋体" w:eastAsia="宋体" w:hint="default"/>
          <w:spacing w:val="-2"/>
          <w:sz w:val="18"/>
          <w:szCs w:val="18"/>
        </w:rPr>
        <w:t>律师执业资格、高级风险管理师资格。现任中国电子信息产业集团有限公司法律事务部主任；兼任中国电子进出口有限公司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监事会主席。曾任中国电子信息产业集团有限公司法律事务部负责人、办公厅法律事务处处长，长城科技股份有限公司监事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等职。</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月首次担任本公司董事，</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月换届选举时连任本公司第七届董事会董事。</w:t>
      </w:r>
    </w:p>
    <w:p>
      <w:pPr>
        <w:spacing w:line="312" w:lineRule="auto" w:before="22"/>
        <w:ind w:left="152" w:right="112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）吕宝利先生，本公司董事，中国国籍，毕业于西安建筑科技大学管理工程专业，大学本科学历，高级工程师。现 </w:t>
      </w:r>
      <w:r>
        <w:rPr>
          <w:rFonts w:ascii="宋体" w:hAnsi="宋体" w:cs="宋体" w:eastAsia="宋体" w:hint="default"/>
          <w:spacing w:val="-2"/>
          <w:sz w:val="18"/>
          <w:szCs w:val="18"/>
        </w:rPr>
        <w:t>任中国电子信息产业集团有限公司系统装备部副主任；兼任盛科网络（苏州）有限公司董事长、中软信息系统工程有限公司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董事、中国振华电子集团有限公司董事、甘肃长风电子科技有限责任公司董事。曾任陕西长岭电子科技有限责任公司综合计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划处处长等职。</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月首次担任本公司董事。</w:t>
      </w:r>
    </w:p>
    <w:p>
      <w:pPr>
        <w:spacing w:line="312" w:lineRule="auto" w:before="22"/>
        <w:ind w:left="152"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）张志勇先生，本公司董事，中国国籍，毕业于中央财经大学金融学院，经济学硕士，高级经济师。现任中国电子 </w:t>
      </w:r>
      <w:r>
        <w:rPr>
          <w:rFonts w:ascii="宋体" w:hAnsi="宋体" w:cs="宋体" w:eastAsia="宋体" w:hint="default"/>
          <w:spacing w:val="-2"/>
          <w:sz w:val="18"/>
          <w:szCs w:val="18"/>
        </w:rPr>
        <w:t>信息产业集团有限公司资产经营部副主任；兼任中国电子系统技术有限公司董事、华电有限公司董事长、中国电子投资控股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有限公司董事、中电智慧基金管理有限公司董事、中电长城网际系统应用有限公司董事、上海浦东软件园股份有限公司董事、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成都中电锦江信息产业有限公司董事。曾任中国钢研科技集团有限公司财务部预算信息处副处长、处长，北京纳克检测技术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有限公司总经理助理，中国电子信息产业集团有限公司资产经营部改革重组处处长、资本运营处处长等职。</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月首 </w:t>
      </w:r>
      <w:r>
        <w:rPr>
          <w:rFonts w:ascii="宋体" w:hAnsi="宋体" w:cs="宋体" w:eastAsia="宋体" w:hint="default"/>
          <w:sz w:val="18"/>
          <w:szCs w:val="18"/>
        </w:rPr>
        <w:t>次担任本公司董事，</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月换届选举时连任本公司第七届董事会董事。</w:t>
      </w:r>
    </w:p>
    <w:p>
      <w:pPr>
        <w:spacing w:line="312" w:lineRule="auto" w:before="24"/>
        <w:ind w:left="152" w:right="113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）虞世全先生，本公司独立董事，中国国籍，中国民主建国会会员，四川省新的社会阶层人士联谊会第一届理事会 </w:t>
      </w:r>
      <w:r>
        <w:rPr>
          <w:rFonts w:ascii="宋体" w:hAnsi="宋体" w:cs="宋体" w:eastAsia="宋体" w:hint="default"/>
          <w:spacing w:val="-2"/>
          <w:sz w:val="18"/>
          <w:szCs w:val="18"/>
        </w:rPr>
        <w:t>常务理事，毕业于澳门城市大学，工商管理硕士，注册会计师、税务师、高级会计师。曾在四川省华蓥市税务局、华蓥市国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家税务局、四川华蓥会计师事务所、四川兴广会计师事务所等单位任职，曾被国有企业监事会工作办公室聘为国务院派出国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有企业监事会工作人员，曾任华纺股份有限公司独立董事、中国服装股份有限公司独立董事。现任四川国财税务师事务所有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限公司执行董事、成都中财国政会计师事务所有限公司执行董事、华蓥市金汇建材有限公司执行董事、华蓥市金建砂石有限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公司执行董事；兼任四川华蓥农村商业银行股份有限公司外部监事、四川邻水农村商业银行股份有限公司外部监事、经纬纺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织机械股份有限公司独立董事、宁夏中银绒业股份有限公司独立董事。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月换届选举时担任本公司第六届董事会独 立董事，</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月换届选举时再次连任本公司第七届董事会独立董事。</w:t>
      </w:r>
    </w:p>
    <w:p>
      <w:pPr>
        <w:spacing w:after="0" w:line="312" w:lineRule="auto"/>
        <w:jc w:val="both"/>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line="312" w:lineRule="auto" w:before="44"/>
        <w:ind w:left="152" w:right="113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）蓝庆新先生，本公司独立董事，中国国籍，毕业于南开大学，经济学博士。现任对外经济贸易大学教授、博士生 </w:t>
      </w:r>
      <w:r>
        <w:rPr>
          <w:rFonts w:ascii="宋体" w:hAnsi="宋体" w:cs="宋体" w:eastAsia="宋体" w:hint="default"/>
          <w:spacing w:val="-2"/>
          <w:sz w:val="18"/>
          <w:szCs w:val="18"/>
        </w:rPr>
        <w:t>导师，美国密歇根州立大学、日本中央大学高级访问学者；兼任中联部金砖国家智库理事会理事、中国城乡发展国际交流协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会理事、中国工业经济学会常务理事、日本中央大学经济研究所客座研究员、澳门科技大学访问教授。曾任天津市政工程局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职员。</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月首次担任本公司独立董事，</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月换届选举时再次连任本公司第七届董事会独立董事。</w:t>
      </w:r>
    </w:p>
    <w:p>
      <w:pPr>
        <w:spacing w:line="300" w:lineRule="auto" w:before="22"/>
        <w:ind w:left="15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）李国敏先生，本公司独立董事，中国国籍，毕业于郑州大学物理系物理学专业，大学本科学历。现任科技日报社 融媒体中心主任编辑；兼任中国图学学会理事、中国管理科学学会理事。曾任科技日报社《网络时空》周刊副主编。</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年获第十五届中国新闻奖一等奖。</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月首次担任本公司独立董事。</w:t>
      </w:r>
    </w:p>
    <w:p>
      <w:pPr>
        <w:spacing w:before="34"/>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、监事主要工作经历</w:t>
      </w:r>
      <w:r>
        <w:rPr>
          <w:rFonts w:ascii="宋体" w:hAnsi="宋体" w:cs="宋体" w:eastAsia="宋体" w:hint="default"/>
          <w:sz w:val="18"/>
          <w:szCs w:val="18"/>
        </w:rPr>
      </w:r>
    </w:p>
    <w:p>
      <w:pPr>
        <w:spacing w:line="302" w:lineRule="auto" w:before="82"/>
        <w:ind w:left="152"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）马跃先生，本公司监事会主席。中国国籍，毕业于武汉大学，大学学历，学士学位，高级经济师。历任国营二七 </w:t>
      </w:r>
      <w:r>
        <w:rPr>
          <w:rFonts w:ascii="宋体" w:hAnsi="宋体" w:cs="宋体" w:eastAsia="宋体" w:hint="default"/>
          <w:spacing w:val="-2"/>
          <w:sz w:val="18"/>
          <w:szCs w:val="18"/>
        </w:rPr>
        <w:t>二厂总厂团委书记（正处级）、劳资处副处长、劳动人事教育处副处长（主管干部工作），中国长城计算机深圳股份有限公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司人力资源部经理、党委办公室主任，</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月起任中国长城计算机深圳股份有限公司党委副书记、纪委书记、工会主席，</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月起任中国长城计算机深圳股份有限公司监事会主席，</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月任中国长城计算机深圳股份有限公司 </w:t>
      </w:r>
      <w:r>
        <w:rPr>
          <w:rFonts w:ascii="宋体" w:hAnsi="宋体" w:cs="宋体" w:eastAsia="宋体" w:hint="default"/>
          <w:spacing w:val="-2"/>
          <w:sz w:val="18"/>
          <w:szCs w:val="18"/>
        </w:rPr>
        <w:t>党委副书记（主持工作），</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月任中国长城科技集团股份有限公司党委副书记，</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月起任中国长城</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科技集团股份有限公司监事会主席、工会主席，</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月兼任中国长城深圳地区党委书记。</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月换届选</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举时连任第七届监事会主席。</w:t>
      </w:r>
    </w:p>
    <w:p>
      <w:pPr>
        <w:spacing w:line="312" w:lineRule="auto" w:before="49"/>
        <w:ind w:left="152" w:right="113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）李福江女士，本公司监事，中国国籍，毕业于中央财政金融学院，大学本科学历，会计师。现任中国电子信息产 </w:t>
      </w:r>
      <w:r>
        <w:rPr>
          <w:rFonts w:ascii="宋体" w:hAnsi="宋体" w:cs="宋体" w:eastAsia="宋体" w:hint="default"/>
          <w:spacing w:val="-2"/>
          <w:sz w:val="18"/>
          <w:szCs w:val="18"/>
        </w:rPr>
        <w:t>业集团有限公司审计部主任；兼任中国软件与技术服务股份有限公司监事、中国振华电子集团有限公司监事、中软信息系统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工程有限公司监事、中国电子系统技术有限公司监事会主席、中国电子有限公司监事。曾任中国电子信息产业集团有限公司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财务部副主任、财务部财税处处长、财务部综合部处长、财务会计信息处处长，中国长城计算机集团公司资财部副经理，本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公司第三届、第四届董事会董事等职。</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月首次担任本公司监事，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月换届选举时连任本公司第七届监事会监 事。</w:t>
      </w:r>
    </w:p>
    <w:p>
      <w:pPr>
        <w:spacing w:line="307" w:lineRule="auto" w:before="44"/>
        <w:ind w:left="15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）李斌先生，本公司职工监事，中国国籍，毕业于大连工学院（现大连理工大学），研究生学历，硕士学位，高级 </w:t>
      </w:r>
      <w:r>
        <w:rPr>
          <w:rFonts w:ascii="宋体" w:hAnsi="宋体" w:cs="宋体" w:eastAsia="宋体" w:hint="default"/>
          <w:spacing w:val="-2"/>
          <w:sz w:val="18"/>
          <w:szCs w:val="18"/>
        </w:rPr>
        <w:t>工程师。现任本公司工会副主席、公司派出专职监事。曾任本公司科技部软件开发部软件工程师、副主任，生产办主任，计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划发展部经理，信息总监兼信息中心总经理，党委委员，纪委副书记。</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月首次担任本公司职工监事，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月换</w:t>
      </w:r>
      <w:r>
        <w:rPr>
          <w:rFonts w:ascii="宋体" w:hAnsi="宋体" w:cs="宋体" w:eastAsia="宋体" w:hint="default"/>
          <w:spacing w:val="-3"/>
          <w:sz w:val="18"/>
          <w:szCs w:val="18"/>
        </w:rPr>
        <w:t> </w:t>
      </w:r>
      <w:r>
        <w:rPr>
          <w:rFonts w:ascii="宋体" w:hAnsi="宋体" w:cs="宋体" w:eastAsia="宋体" w:hint="default"/>
          <w:sz w:val="18"/>
          <w:szCs w:val="18"/>
        </w:rPr>
        <w:t>届选举时连任本公司第七届监事会职工监事。</w:t>
      </w:r>
    </w:p>
    <w:p>
      <w:pPr>
        <w:spacing w:before="45"/>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、高级管理人员主要工作经历</w:t>
      </w:r>
      <w:r>
        <w:rPr>
          <w:rFonts w:ascii="宋体" w:hAnsi="宋体" w:cs="宋体" w:eastAsia="宋体" w:hint="default"/>
          <w:sz w:val="18"/>
          <w:szCs w:val="18"/>
        </w:rPr>
      </w:r>
    </w:p>
    <w:p>
      <w:pPr>
        <w:spacing w:line="309" w:lineRule="auto" w:before="82"/>
        <w:ind w:left="15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）戴湘桃先生，本公司高级副总裁、总法律顾问，中国国籍，毕业于湖南大学电气工程系工业电气自动化专业，大 </w:t>
      </w:r>
      <w:r>
        <w:rPr>
          <w:rFonts w:ascii="宋体" w:hAnsi="宋体" w:cs="宋体" w:eastAsia="宋体" w:hint="default"/>
          <w:spacing w:val="-2"/>
          <w:sz w:val="18"/>
          <w:szCs w:val="18"/>
        </w:rPr>
        <w:t>学本科学历，工学学士，工程师。曾任长城信息产业股份有限公司董事兼总经理、副总经理、总裁助理兼终端本部总经理等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职。</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月起任本公司高级副总裁，</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月起任本公司总法律顾问。</w:t>
      </w:r>
    </w:p>
    <w:p>
      <w:pPr>
        <w:spacing w:line="314" w:lineRule="auto" w:before="26"/>
        <w:ind w:left="152" w:right="1129"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）许海东先生，本公司财务总监（总会计师），中国国籍，毕业于暨南大学，会计博士学位；高级经济师、注册会计</w:t>
      </w:r>
      <w:r>
        <w:rPr>
          <w:rFonts w:ascii="宋体" w:hAnsi="宋体" w:cs="宋体" w:eastAsia="宋体" w:hint="default"/>
          <w:sz w:val="18"/>
          <w:szCs w:val="18"/>
        </w:rPr>
        <w:t> </w:t>
      </w:r>
      <w:r>
        <w:rPr>
          <w:rFonts w:ascii="宋体" w:hAnsi="宋体" w:cs="宋体" w:eastAsia="宋体" w:hint="default"/>
          <w:spacing w:val="-2"/>
          <w:sz w:val="18"/>
          <w:szCs w:val="18"/>
        </w:rPr>
        <w:t>师。兼任中国电子系统技术有限公司董事、中电数据服务有限公司董事、彩虹集团有限公司董事、中电通商融资租赁有限公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司董事、中国电子投资控股有限公司董事、中电智慧基金管理有限公司董事长、中国软件与技术服务股份有限公司董事、中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国电子财务有限责任公司董事。曾任中国电子财务有限责任公司副总经理、中国电子信息产业集团有限公司财务部副主任等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职。</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月起任本公司财务总监（总会计师）。</w:t>
      </w:r>
    </w:p>
    <w:p>
      <w:pPr>
        <w:spacing w:line="300" w:lineRule="auto" w:before="20"/>
        <w:ind w:left="152" w:right="112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）段军先生，本公司高级副总裁，中国国籍，毕业于电子科技大学电子工程系，大学本科学历，工学学士；曾任华 为技术有限公司运营商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BG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Marketing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营销总监、上海傲蓝信息科技有限公司董事兼副总经理、上海贝尔</w:t>
      </w:r>
      <w:r>
        <w:rPr>
          <w:rFonts w:ascii="Times New Roman" w:hAnsi="Times New Roman" w:cs="Times New Roman" w:eastAsia="Times New Roman" w:hint="default"/>
          <w:sz w:val="18"/>
          <w:szCs w:val="18"/>
        </w:rPr>
        <w:t>-</w:t>
      </w:r>
      <w:r>
        <w:rPr>
          <w:rFonts w:ascii="宋体" w:hAnsi="宋体" w:cs="宋体" w:eastAsia="宋体" w:hint="default"/>
          <w:sz w:val="18"/>
          <w:szCs w:val="18"/>
        </w:rPr>
        <w:t>阿尔卡特朗讯移动 事业集团首席技术官、通广北电有限公司市场总监等职。</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月起任本公司高级副总裁。</w:t>
      </w:r>
    </w:p>
    <w:p>
      <w:pPr>
        <w:spacing w:line="300" w:lineRule="auto" w:before="32"/>
        <w:ind w:left="152" w:right="113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）于吉永先生，本公司高级副总裁，中国国籍，毕业于清华大学，大学本科学历，正高级工程师。曾任本公司副总 裁，电源事业部开发室主任、副总经理、总经理。曾获得电子工业部科学技术进步二等奖。</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月起任本公司高级副 总裁。</w:t>
      </w:r>
    </w:p>
    <w:p>
      <w:pPr>
        <w:spacing w:line="312" w:lineRule="auto" w:before="53"/>
        <w:ind w:left="152" w:right="113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）李璇先生，本公司高级副总裁，中国国籍，毕业于北京航空航天大学电子工程系信息工程专业，大学本科学历； </w:t>
      </w:r>
      <w:r>
        <w:rPr>
          <w:rFonts w:ascii="宋体" w:hAnsi="宋体" w:cs="宋体" w:eastAsia="宋体" w:hint="default"/>
          <w:spacing w:val="-2"/>
          <w:sz w:val="18"/>
          <w:szCs w:val="18"/>
        </w:rPr>
        <w:t>北京理工大学航天工程专业，工程硕士学位。曾任北京空间飞行器总体设计部主任设计师，航天恒星科技有限公司系统部副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部长、系统论证中心主任、系统工程中心主任、民用总体室主任，航天神舟智慧系统技术有限公司副总经理、本公司副总裁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等职。</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月起任本公司高级副总裁。</w:t>
      </w:r>
    </w:p>
    <w:p>
      <w:pPr>
        <w:spacing w:after="0" w:line="312" w:lineRule="auto"/>
        <w:jc w:val="both"/>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line="312" w:lineRule="auto" w:before="44"/>
        <w:ind w:left="152"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）王习发先生，本公司董事会秘书，中国国籍，工学硕士，毕业于国防科技大学；</w:t>
      </w:r>
      <w:r>
        <w:rPr>
          <w:rFonts w:ascii="Times New Roman" w:hAnsi="Times New Roman" w:cs="Times New Roman" w:eastAsia="Times New Roman" w:hint="default"/>
          <w:sz w:val="18"/>
          <w:szCs w:val="18"/>
        </w:rPr>
        <w:t>MBA</w:t>
      </w:r>
      <w:r>
        <w:rPr>
          <w:rFonts w:ascii="宋体" w:hAnsi="宋体" w:cs="宋体" w:eastAsia="宋体" w:hint="default"/>
          <w:sz w:val="18"/>
          <w:szCs w:val="18"/>
        </w:rPr>
        <w:t>，高级工程师。现任本公司 </w:t>
      </w:r>
      <w:r>
        <w:rPr>
          <w:rFonts w:ascii="宋体" w:hAnsi="宋体" w:cs="宋体" w:eastAsia="宋体" w:hint="default"/>
          <w:spacing w:val="-4"/>
          <w:sz w:val="18"/>
          <w:szCs w:val="18"/>
        </w:rPr>
        <w:t>科技委副主任。曾任湖南计算机厂系统工程公司副总经理，成华（香港）有限公司总经理，深圳市泰富投资有限公司总经理，</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长城信息产业股份有限公司股证事务与投资部部长、职工监事、董事会秘书，中国长城科技集团股份有限公司总裁助理、基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建办主任、副总裁。</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月起任本公司董事会秘书。</w:t>
      </w: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1248"/>
        <w:gridCol w:w="2893"/>
        <w:gridCol w:w="1587"/>
        <w:gridCol w:w="1303"/>
        <w:gridCol w:w="1153"/>
        <w:gridCol w:w="1440"/>
      </w:tblGrid>
      <w:tr>
        <w:trPr>
          <w:trHeight w:val="634"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609" w:right="65"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75" w:right="83"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宋黎定</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总经理助理</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孔雪屏</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法律事务部主任</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8"/>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吕宝利</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系统装备部副主任</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8"/>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张志勇</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资产经营部副主任</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审计部主任</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68"/>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27"/>
          <w:szCs w:val="27"/>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1248"/>
        <w:gridCol w:w="3118"/>
        <w:gridCol w:w="1587"/>
        <w:gridCol w:w="1135"/>
        <w:gridCol w:w="1076"/>
        <w:gridCol w:w="1440"/>
      </w:tblGrid>
      <w:tr>
        <w:trPr>
          <w:trHeight w:val="674"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1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2"/>
              <w:ind w:left="609" w:right="65"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2"/>
              <w:ind w:left="472" w:right="11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2"/>
              <w:ind w:left="443" w:right="8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2"/>
              <w:ind w:left="175" w:right="83"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63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宋黎定</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华北计算机系统工程研究所（中国电子 信息产业集团有限公司第六研究所）</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所长兼党委副书记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宋黎定</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天津飞腾信息技术有限公司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宋黎定</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新疆长城计算机系统有限公司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徐刚</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长沙市自主可控及信息安全产业技术创 新战略联盟</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孔雪屏</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中国电子进出口有限公司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吕宝利</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吕宝利</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盛科网络（苏州）有限公司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吕宝利</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中国振华电子集团有限公司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吕宝利</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甘肃长风电子科技有限责任公司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张志勇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成都中电锦江信息产业有限公司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张志勇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中电长城网际系统应用有限公司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张志勇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上海浦东软件园股份有限公司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张志勇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中电智慧基金管理有限公司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张志勇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中国电子投资控股有限公司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张志勇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华电有限公司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张志勇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中国电子系统技术有限公司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成都中财国政会计师事务所有限公司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四川国财税务师事务所有限公司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1248"/>
        <w:gridCol w:w="3118"/>
        <w:gridCol w:w="1587"/>
        <w:gridCol w:w="1135"/>
        <w:gridCol w:w="1076"/>
        <w:gridCol w:w="1440"/>
      </w:tblGrid>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四川华蓥农村商业银行股份有限公司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外部监事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四川邻水农村商业银行股份有限公司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外部监事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华蓥市金汇建材有限公司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华蓥市金建砂石有限公司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经纬纺织机械股份有限公司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宁夏中银绒业股份有限公司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对外经济贸易大学</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中国城乡发展国际交流协会</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理事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日本中央大学经济研究所</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客座研究员</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中联部金砖国家智库理事会</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理事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中国工业经济学会</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常务理事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澳门科技大学</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访问教授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李国敏</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科技日报社融媒体中心</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主任编辑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李国敏</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中国图学学会</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理事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李国敏</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中国管理科学学会</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理事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中国振华电子集团有限公司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李福江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中国电子系统技术有限公司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李斌</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武汉中原电子集团有限公司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李斌</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河南长城计算机系统有限公司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李斌</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山东长城计算机系统有限公司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戴湘桃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湖南长城信息金融设备有限责任公司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戴湘桃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湖南省卫生信息与医学装备学会</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副会长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戴湘桃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中国卫生信息学会健康医疗大数据产业 发展与信息安全专业委员会（中国健康 医疗大数据产业联盟）</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center"/>
              <w:rPr>
                <w:rFonts w:ascii="宋体" w:hAnsi="宋体" w:cs="宋体" w:eastAsia="宋体" w:hint="default"/>
                <w:sz w:val="18"/>
                <w:szCs w:val="18"/>
              </w:rPr>
            </w:pPr>
            <w:r>
              <w:rPr>
                <w:rFonts w:ascii="宋体" w:hAnsi="宋体" w:cs="宋体" w:eastAsia="宋体" w:hint="default"/>
                <w:sz w:val="18"/>
                <w:szCs w:val="18"/>
              </w:rPr>
              <w:t>理事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戴湘桃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中国电子协会</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会员</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戴湘桃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中国信息产业商会</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8" w:right="65" w:hanging="89"/>
              <w:jc w:val="left"/>
              <w:rPr>
                <w:rFonts w:ascii="宋体" w:hAnsi="宋体" w:cs="宋体" w:eastAsia="宋体" w:hint="default"/>
                <w:sz w:val="18"/>
                <w:szCs w:val="18"/>
              </w:rPr>
            </w:pPr>
            <w:r>
              <w:rPr>
                <w:rFonts w:ascii="宋体" w:hAnsi="宋体" w:cs="宋体" w:eastAsia="宋体" w:hint="default"/>
                <w:sz w:val="18"/>
                <w:szCs w:val="18"/>
              </w:rPr>
              <w:t>常务理事兼工业互 联网分会理事长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许海东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中国电子系统技术有限公司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许海东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中电数据服务有限公司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许海东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彩虹集团有限公司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许海东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中电通商融资租赁有限公司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许海东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中国电子投资控股有限公司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许海东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中电智慧基金管理有限公司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许海东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许海东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段军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湖南长城银河科技有限公司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1248"/>
        <w:gridCol w:w="3118"/>
        <w:gridCol w:w="1587"/>
        <w:gridCol w:w="1135"/>
        <w:gridCol w:w="1076"/>
        <w:gridCol w:w="1440"/>
      </w:tblGrid>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段军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长沙军民先进技术研究有限公司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段军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湖南长城科技信息有限公司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柏怡国际控股有限公司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中国电源学会</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理事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李璇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黑龙江长城计算机系统有限公司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86"/>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李璇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江苏长城计算机系统有限公司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86"/>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00" w:lineRule="auto" w:before="117"/>
        <w:ind w:left="152" w:right="1034" w:firstLine="360"/>
        <w:jc w:val="left"/>
        <w:rPr>
          <w:rFonts w:ascii="宋体" w:hAnsi="宋体" w:cs="宋体" w:eastAsia="宋体" w:hint="default"/>
          <w:sz w:val="18"/>
          <w:szCs w:val="18"/>
        </w:rPr>
      </w:pPr>
      <w:r>
        <w:rPr>
          <w:rFonts w:ascii="宋体" w:hAnsi="宋体" w:cs="宋体" w:eastAsia="宋体" w:hint="default"/>
          <w:spacing w:val="-1"/>
          <w:sz w:val="18"/>
          <w:szCs w:val="18"/>
        </w:rPr>
        <w:t>安徽证监局对中弘控股股份有限公司（原深交所上市公司，证券代码</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000979</w:t>
      </w:r>
      <w:r>
        <w:rPr>
          <w:rFonts w:ascii="宋体" w:hAnsi="宋体" w:cs="宋体" w:eastAsia="宋体" w:hint="default"/>
          <w:spacing w:val="-1"/>
          <w:sz w:val="18"/>
          <w:szCs w:val="18"/>
        </w:rPr>
        <w:t>）信息披露违法行为进行立案调查、审理，</w:t>
      </w:r>
      <w:r>
        <w:rPr>
          <w:rFonts w:ascii="宋体" w:hAnsi="宋体" w:cs="宋体" w:eastAsia="宋体" w:hint="default"/>
          <w:sz w:val="18"/>
          <w:szCs w:val="18"/>
        </w:rPr>
        <w:t> </w:t>
      </w:r>
      <w:r>
        <w:rPr>
          <w:rFonts w:ascii="宋体" w:hAnsi="宋体" w:cs="宋体" w:eastAsia="宋体" w:hint="default"/>
          <w:spacing w:val="-1"/>
          <w:sz w:val="18"/>
          <w:szCs w:val="18"/>
        </w:rPr>
        <w:t>并作出处罚决定（中国证券监督管理委员会安徽监管局行政处罚决定书</w:t>
      </w:r>
      <w:r>
        <w:rPr>
          <w:rFonts w:ascii="Times New Roman" w:hAnsi="Times New Roman" w:cs="Times New Roman" w:eastAsia="Times New Roman" w:hint="default"/>
          <w:spacing w:val="-1"/>
          <w:sz w:val="18"/>
          <w:szCs w:val="18"/>
        </w:rPr>
        <w:t>[2019]6</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号），包括对时任中弘股份独立董事蓝庆新先</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生给予警告，并处以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万元罚款。</w:t>
      </w:r>
    </w:p>
    <w:p>
      <w:pPr>
        <w:spacing w:line="240" w:lineRule="auto" w:before="0"/>
        <w:rPr>
          <w:rFonts w:ascii="宋体" w:hAnsi="宋体" w:cs="宋体" w:eastAsia="宋体" w:hint="default"/>
          <w:sz w:val="20"/>
          <w:szCs w:val="20"/>
        </w:rPr>
      </w:pPr>
    </w:p>
    <w:p>
      <w:pPr>
        <w:pStyle w:val="Heading4"/>
        <w:spacing w:line="240" w:lineRule="auto"/>
        <w:ind w:right="0"/>
        <w:jc w:val="both"/>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513" w:right="2473" w:hanging="361"/>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根据《公司章程》的规定，董事、监事的报酬由股东大会决定，高级管理人员的报酬由董事会决定。</w:t>
      </w:r>
    </w:p>
    <w:p>
      <w:pPr>
        <w:spacing w:before="29"/>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年度第四次临时股东大会审议通过了第七届董事会董事津贴标准的议案及第七届监事</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会监事津贴标准的议案</w:t>
      </w:r>
      <w:r>
        <w:rPr>
          <w:rFonts w:ascii="宋体" w:hAnsi="宋体" w:cs="宋体" w:eastAsia="宋体" w:hint="default"/>
          <w:spacing w:val="-22"/>
          <w:sz w:val="18"/>
          <w:szCs w:val="18"/>
        </w:rPr>
        <w:t>。</w:t>
      </w:r>
      <w:r>
        <w:rPr>
          <w:rFonts w:ascii="宋体" w:hAnsi="宋体" w:cs="宋体" w:eastAsia="宋体" w:hint="default"/>
          <w:sz w:val="18"/>
          <w:szCs w:val="18"/>
        </w:rPr>
        <w:t>任</w:t>
      </w:r>
      <w:r>
        <w:rPr>
          <w:rFonts w:ascii="宋体" w:hAnsi="宋体" w:cs="宋体" w:eastAsia="宋体" w:hint="default"/>
          <w:spacing w:val="2"/>
          <w:sz w:val="18"/>
          <w:szCs w:val="18"/>
        </w:rPr>
        <w:t>期</w:t>
      </w:r>
      <w:r>
        <w:rPr>
          <w:rFonts w:ascii="宋体" w:hAnsi="宋体" w:cs="宋体" w:eastAsia="宋体" w:hint="default"/>
          <w:sz w:val="18"/>
          <w:szCs w:val="18"/>
        </w:rPr>
        <w:t>内</w:t>
      </w:r>
      <w:r>
        <w:rPr>
          <w:rFonts w:ascii="宋体" w:hAnsi="宋体" w:cs="宋体" w:eastAsia="宋体" w:hint="default"/>
          <w:spacing w:val="-22"/>
          <w:sz w:val="18"/>
          <w:szCs w:val="18"/>
        </w:rPr>
        <w:t>，</w:t>
      </w:r>
      <w:r>
        <w:rPr>
          <w:rFonts w:ascii="宋体" w:hAnsi="宋体" w:cs="宋体" w:eastAsia="宋体" w:hint="default"/>
          <w:sz w:val="18"/>
          <w:szCs w:val="18"/>
        </w:rPr>
        <w:t>公司支付每人每年董事</w:t>
      </w:r>
      <w:r>
        <w:rPr>
          <w:rFonts w:ascii="宋体" w:hAnsi="宋体" w:cs="宋体" w:eastAsia="宋体" w:hint="default"/>
          <w:spacing w:val="2"/>
          <w:sz w:val="18"/>
          <w:szCs w:val="18"/>
        </w:rPr>
        <w:t>津</w:t>
      </w:r>
      <w:r>
        <w:rPr>
          <w:rFonts w:ascii="宋体" w:hAnsi="宋体" w:cs="宋体" w:eastAsia="宋体" w:hint="default"/>
          <w:sz w:val="18"/>
          <w:szCs w:val="18"/>
        </w:rPr>
        <w:t>贴人民币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22"/>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支付监事会主席每年监事津贴人民币</w:t>
      </w:r>
    </w:p>
    <w:p>
      <w:pPr>
        <w:spacing w:line="309" w:lineRule="auto" w:before="63"/>
        <w:ind w:left="152" w:right="112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万元（含税）、其他监事每人每年监事津贴人民币</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万元（含税），出席公司董事会、监事会、股东大会会议的差旅费及</w:t>
      </w:r>
      <w:r>
        <w:rPr>
          <w:rFonts w:ascii="宋体" w:hAnsi="宋体" w:cs="宋体" w:eastAsia="宋体" w:hint="default"/>
          <w:sz w:val="18"/>
          <w:szCs w:val="18"/>
        </w:rPr>
        <w:t> </w:t>
      </w:r>
      <w:r>
        <w:rPr>
          <w:rFonts w:ascii="宋体" w:hAnsi="宋体" w:cs="宋体" w:eastAsia="宋体" w:hint="default"/>
          <w:spacing w:val="-2"/>
          <w:sz w:val="18"/>
          <w:szCs w:val="18"/>
        </w:rPr>
        <w:t>根据《公司章程》和相关法律、法规行使职权所需费用由公司承担，除此之外，非公司员工的董事、监事，公司在其任期内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不支付其他报酬。</w:t>
      </w:r>
    </w:p>
    <w:p>
      <w:pPr>
        <w:spacing w:line="316" w:lineRule="auto" w:before="65"/>
        <w:ind w:left="152" w:right="1129" w:firstLine="360"/>
        <w:jc w:val="left"/>
        <w:rPr>
          <w:rFonts w:ascii="宋体" w:hAnsi="宋体" w:cs="宋体" w:eastAsia="宋体" w:hint="default"/>
          <w:sz w:val="18"/>
          <w:szCs w:val="18"/>
        </w:rPr>
      </w:pPr>
      <w:r>
        <w:rPr>
          <w:rFonts w:ascii="宋体" w:hAnsi="宋体" w:cs="宋体" w:eastAsia="宋体" w:hint="default"/>
          <w:spacing w:val="-2"/>
          <w:sz w:val="18"/>
          <w:szCs w:val="18"/>
        </w:rPr>
        <w:t>公司高级管理人员实行岗位工资制，其报酬根据公司工资管理制度，以及参照同行业标准，根据公司经营情况及个人工</w:t>
      </w:r>
      <w:r>
        <w:rPr>
          <w:rFonts w:ascii="宋体" w:hAnsi="宋体" w:cs="宋体" w:eastAsia="宋体" w:hint="default"/>
          <w:sz w:val="18"/>
          <w:szCs w:val="18"/>
        </w:rPr>
        <w:t> 作业绩来综合确定，按照薪酬管理制度支付基本工资，根据年度业绩考核支付绩效工资。</w:t>
      </w:r>
    </w:p>
    <w:p>
      <w:pPr>
        <w:spacing w:line="340" w:lineRule="auto" w:before="57"/>
        <w:ind w:left="152" w:right="3829" w:firstLine="360"/>
        <w:jc w:val="left"/>
        <w:rPr>
          <w:rFonts w:ascii="宋体" w:hAnsi="宋体" w:cs="宋体" w:eastAsia="宋体" w:hint="default"/>
          <w:sz w:val="18"/>
          <w:szCs w:val="18"/>
        </w:rPr>
      </w:pPr>
      <w:r>
        <w:rPr>
          <w:rFonts w:ascii="宋体" w:hAnsi="宋体" w:cs="宋体" w:eastAsia="宋体" w:hint="default"/>
          <w:sz w:val="18"/>
          <w:szCs w:val="18"/>
        </w:rPr>
        <w:t>报告期内，公司董事、监事及高级管理人员应付报酬总额为</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1,846.58</w:t>
      </w:r>
      <w:r>
        <w:rPr>
          <w:rFonts w:ascii="Times New Roman" w:hAnsi="Times New Roman" w:cs="Times New Roman" w:eastAsia="Times New Roman" w:hint="default"/>
          <w:spacing w:val="6"/>
          <w:sz w:val="18"/>
          <w:szCs w:val="18"/>
        </w:rPr>
        <w:t> </w:t>
      </w:r>
      <w:r>
        <w:rPr>
          <w:rFonts w:ascii="宋体" w:hAnsi="宋体" w:cs="宋体" w:eastAsia="宋体" w:hint="default"/>
          <w:spacing w:val="-14"/>
          <w:sz w:val="18"/>
          <w:szCs w:val="18"/>
        </w:rPr>
        <w:t>万元（含税）。</w:t>
      </w:r>
      <w:r>
        <w:rPr>
          <w:rFonts w:ascii="宋体" w:hAnsi="宋体" w:cs="宋体" w:eastAsia="宋体" w:hint="default"/>
          <w:sz w:val="18"/>
          <w:szCs w:val="18"/>
        </w:rPr>
        <w:t> 公司报告期内董事、监事和高级管理人员报酬情况</w:t>
      </w:r>
    </w:p>
    <w:p>
      <w:pPr>
        <w:spacing w:before="4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67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3"/>
              <w:ind w:left="228"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3"/>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宋黎定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28.71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徐刚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董事兼总裁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207.1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郭涵冰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孔雪屏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吕宝利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张志勇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虞世全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蓝庆新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李国敏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马跃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173.88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88"/>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89" w:footer="975" w:top="1100" w:bottom="1160" w:left="980" w:right="0"/>
        </w:sectPr>
      </w:pPr>
    </w:p>
    <w:p>
      <w:pPr>
        <w:spacing w:line="240" w:lineRule="auto" w:before="2"/>
        <w:rPr>
          <w:rFonts w:ascii="宋体" w:hAnsi="宋体" w:cs="宋体" w:eastAsia="宋体" w:hint="default"/>
          <w:sz w:val="25"/>
          <w:szCs w:val="25"/>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5"/>
              <w:jc w:val="right"/>
              <w:rPr>
                <w:rFonts w:ascii="宋体" w:hAnsi="宋体" w:cs="宋体" w:eastAsia="宋体" w:hint="default"/>
                <w:sz w:val="18"/>
                <w:szCs w:val="18"/>
              </w:rPr>
            </w:pPr>
            <w:r>
              <w:rPr>
                <w:rFonts w:ascii="宋体" w:hAnsi="宋体" w:cs="宋体" w:eastAsia="宋体" w:hint="default"/>
                <w:sz w:val="18"/>
                <w:szCs w:val="18"/>
              </w:rPr>
              <w:t>李福江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8" w:right="0"/>
              <w:jc w:val="lef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李斌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8" w:right="0"/>
              <w:jc w:val="lef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48.96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5"/>
              <w:jc w:val="right"/>
              <w:rPr>
                <w:rFonts w:ascii="宋体" w:hAnsi="宋体" w:cs="宋体" w:eastAsia="宋体" w:hint="default"/>
                <w:sz w:val="18"/>
                <w:szCs w:val="18"/>
              </w:rPr>
            </w:pPr>
            <w:r>
              <w:rPr>
                <w:rFonts w:ascii="宋体" w:hAnsi="宋体" w:cs="宋体" w:eastAsia="宋体" w:hint="default"/>
                <w:sz w:val="18"/>
                <w:szCs w:val="18"/>
              </w:rPr>
              <w:t>戴湘桃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9" w:right="50" w:hanging="272"/>
              <w:jc w:val="left"/>
              <w:rPr>
                <w:rFonts w:ascii="宋体" w:hAnsi="宋体" w:cs="宋体" w:eastAsia="宋体" w:hint="default"/>
                <w:sz w:val="18"/>
                <w:szCs w:val="18"/>
              </w:rPr>
            </w:pPr>
            <w:r>
              <w:rPr>
                <w:rFonts w:ascii="宋体" w:hAnsi="宋体" w:cs="宋体" w:eastAsia="宋体" w:hint="default"/>
                <w:sz w:val="18"/>
                <w:szCs w:val="18"/>
              </w:rPr>
              <w:t>高级副总裁、总 法律顾问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5"/>
              <w:jc w:val="right"/>
              <w:rPr>
                <w:rFonts w:ascii="宋体" w:hAnsi="宋体" w:cs="宋体" w:eastAsia="宋体" w:hint="default"/>
                <w:sz w:val="18"/>
                <w:szCs w:val="18"/>
              </w:rPr>
            </w:pPr>
            <w:r>
              <w:rPr>
                <w:rFonts w:ascii="宋体" w:hAnsi="宋体" w:cs="宋体" w:eastAsia="宋体" w:hint="default"/>
                <w:sz w:val="18"/>
                <w:szCs w:val="18"/>
              </w:rPr>
              <w:t>许海东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财务总监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（总会计师）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段军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8" w:right="0"/>
              <w:jc w:val="lef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157.17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5"/>
              <w:jc w:val="right"/>
              <w:rPr>
                <w:rFonts w:ascii="宋体" w:hAnsi="宋体" w:cs="宋体" w:eastAsia="宋体" w:hint="default"/>
                <w:sz w:val="18"/>
                <w:szCs w:val="18"/>
              </w:rPr>
            </w:pPr>
            <w:r>
              <w:rPr>
                <w:rFonts w:ascii="宋体" w:hAnsi="宋体" w:cs="宋体" w:eastAsia="宋体" w:hint="default"/>
                <w:sz w:val="18"/>
                <w:szCs w:val="18"/>
              </w:rPr>
              <w:t>于吉永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8" w:right="0"/>
              <w:jc w:val="lef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220.94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李璇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8" w:right="0"/>
              <w:jc w:val="lef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05"/>
              <w:jc w:val="right"/>
              <w:rPr>
                <w:rFonts w:ascii="宋体" w:hAnsi="宋体" w:cs="宋体" w:eastAsia="宋体" w:hint="default"/>
                <w:sz w:val="18"/>
                <w:szCs w:val="18"/>
              </w:rPr>
            </w:pPr>
            <w:r>
              <w:rPr>
                <w:rFonts w:ascii="宋体" w:hAnsi="宋体" w:cs="宋体" w:eastAsia="宋体" w:hint="default"/>
                <w:sz w:val="18"/>
                <w:szCs w:val="18"/>
              </w:rPr>
              <w:t>王习发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88" w:right="0"/>
              <w:jc w:val="lef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z w:val="18"/>
              </w:rPr>
              <w:t>71.76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5"/>
              <w:jc w:val="right"/>
              <w:rPr>
                <w:rFonts w:ascii="宋体" w:hAnsi="宋体" w:cs="宋体" w:eastAsia="宋体" w:hint="default"/>
                <w:sz w:val="18"/>
                <w:szCs w:val="18"/>
              </w:rPr>
            </w:pPr>
            <w:r>
              <w:rPr>
                <w:rFonts w:ascii="宋体" w:hAnsi="宋体" w:cs="宋体" w:eastAsia="宋体" w:hint="default"/>
                <w:sz w:val="18"/>
                <w:szCs w:val="18"/>
              </w:rPr>
              <w:t>陈小军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8" w:right="0"/>
              <w:jc w:val="lef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90.23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李峻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8" w:right="0"/>
              <w:jc w:val="lef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5"/>
              <w:jc w:val="right"/>
              <w:rPr>
                <w:rFonts w:ascii="宋体" w:hAnsi="宋体" w:cs="宋体" w:eastAsia="宋体" w:hint="default"/>
                <w:sz w:val="18"/>
                <w:szCs w:val="18"/>
              </w:rPr>
            </w:pPr>
            <w:r>
              <w:rPr>
                <w:rFonts w:ascii="宋体" w:hAnsi="宋体" w:cs="宋体" w:eastAsia="宋体" w:hint="default"/>
                <w:sz w:val="18"/>
                <w:szCs w:val="18"/>
              </w:rPr>
              <w:t>吴中海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8" w:right="0"/>
              <w:jc w:val="lef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pacing w:val="-1"/>
                <w:sz w:val="18"/>
              </w:rPr>
              <w:t>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5"/>
              <w:jc w:val="right"/>
              <w:rPr>
                <w:rFonts w:ascii="宋体" w:hAnsi="宋体" w:cs="宋体" w:eastAsia="宋体" w:hint="default"/>
                <w:sz w:val="18"/>
                <w:szCs w:val="18"/>
              </w:rPr>
            </w:pPr>
            <w:r>
              <w:rPr>
                <w:rFonts w:ascii="宋体" w:hAnsi="宋体" w:cs="宋体" w:eastAsia="宋体" w:hint="default"/>
                <w:sz w:val="18"/>
                <w:szCs w:val="18"/>
              </w:rPr>
              <w:t>周庚申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9" w:right="50" w:hanging="272"/>
              <w:jc w:val="left"/>
              <w:rPr>
                <w:rFonts w:ascii="宋体" w:hAnsi="宋体" w:cs="宋体" w:eastAsia="宋体" w:hint="default"/>
                <w:sz w:val="18"/>
                <w:szCs w:val="18"/>
              </w:rPr>
            </w:pPr>
            <w:r>
              <w:rPr>
                <w:rFonts w:ascii="宋体" w:hAnsi="宋体" w:cs="宋体" w:eastAsia="宋体" w:hint="default"/>
                <w:sz w:val="18"/>
                <w:szCs w:val="18"/>
              </w:rPr>
              <w:t>高级副总裁、总 法律顾问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5"/>
              <w:jc w:val="right"/>
              <w:rPr>
                <w:rFonts w:ascii="宋体" w:hAnsi="宋体" w:cs="宋体" w:eastAsia="宋体" w:hint="default"/>
                <w:sz w:val="18"/>
                <w:szCs w:val="18"/>
              </w:rPr>
            </w:pPr>
            <w:r>
              <w:rPr>
                <w:rFonts w:ascii="宋体" w:hAnsi="宋体" w:cs="宋体" w:eastAsia="宋体" w:hint="default"/>
                <w:sz w:val="18"/>
                <w:szCs w:val="18"/>
              </w:rPr>
              <w:t>刘文彬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8" w:right="0"/>
              <w:jc w:val="lef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183.22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5"/>
              <w:jc w:val="right"/>
              <w:rPr>
                <w:rFonts w:ascii="宋体" w:hAnsi="宋体" w:cs="宋体" w:eastAsia="宋体" w:hint="default"/>
                <w:sz w:val="18"/>
                <w:szCs w:val="18"/>
              </w:rPr>
            </w:pPr>
            <w:r>
              <w:rPr>
                <w:rFonts w:ascii="宋体" w:hAnsi="宋体" w:cs="宋体" w:eastAsia="宋体" w:hint="default"/>
                <w:sz w:val="18"/>
                <w:szCs w:val="18"/>
              </w:rPr>
              <w:t>周在龙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8" w:right="0"/>
              <w:jc w:val="lef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182.38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郭镇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8" w:right="0"/>
              <w:jc w:val="lef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74.85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619" w:right="0"/>
              <w:jc w:val="lef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619" w:right="0"/>
              <w:jc w:val="lef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w w:val="95"/>
                <w:sz w:val="18"/>
              </w:rPr>
              <w:t>1,846.58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line="357" w:lineRule="auto" w:before="117"/>
        <w:ind w:left="513" w:right="1129"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公司已实施的股票期权激励计划具体内容详见第五节“公司股权激励计划、员工持股计划或其他员工激励措施的实施情</w:t>
      </w:r>
    </w:p>
    <w:p>
      <w:pPr>
        <w:spacing w:line="237" w:lineRule="exact"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况”中的相关介绍。股票期权激励计划授予日为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日，等待期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个月，本报告期内无行权情况。</w:t>
      </w:r>
    </w:p>
    <w:p>
      <w:pPr>
        <w:spacing w:before="104"/>
        <w:ind w:left="513" w:right="1133" w:firstLine="0"/>
        <w:jc w:val="left"/>
        <w:rPr>
          <w:rFonts w:ascii="宋体" w:hAnsi="宋体" w:cs="宋体" w:eastAsia="宋体" w:hint="default"/>
          <w:sz w:val="18"/>
          <w:szCs w:val="18"/>
        </w:rPr>
      </w:pPr>
      <w:r>
        <w:rPr>
          <w:rFonts w:ascii="宋体" w:hAnsi="宋体" w:cs="宋体" w:eastAsia="宋体" w:hint="default"/>
          <w:sz w:val="18"/>
          <w:szCs w:val="18"/>
        </w:rPr>
        <w:t>董事、高级管理人员获授情</w:t>
      </w:r>
      <w:r>
        <w:rPr>
          <w:rFonts w:ascii="宋体" w:hAnsi="宋体" w:cs="宋体" w:eastAsia="宋体" w:hint="default"/>
          <w:spacing w:val="-1"/>
          <w:sz w:val="18"/>
          <w:szCs w:val="18"/>
        </w:rPr>
        <w:t>况</w:t>
      </w:r>
      <w:r>
        <w:rPr>
          <w:rFonts w:ascii="宋体" w:hAnsi="宋体" w:cs="宋体" w:eastAsia="宋体" w:hint="default"/>
          <w:sz w:val="18"/>
          <w:szCs w:val="18"/>
        </w:rPr>
        <w:t>可参见公司于巨潮资讯网刊载的</w:t>
      </w:r>
      <w:r>
        <w:rPr>
          <w:rFonts w:ascii="宋体" w:hAnsi="宋体" w:cs="宋体" w:eastAsia="宋体" w:hint="default"/>
          <w:spacing w:val="1"/>
          <w:sz w:val="18"/>
          <w:szCs w:val="18"/>
        </w:rPr>
        <w:t>《</w:t>
      </w:r>
      <w:r>
        <w:rPr>
          <w:rFonts w:ascii="宋体" w:hAnsi="宋体" w:cs="宋体" w:eastAsia="宋体" w:hint="default"/>
          <w:sz w:val="18"/>
          <w:szCs w:val="18"/>
        </w:rPr>
        <w:t>股票期权激励计划激励对象人员名单</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25"/>
          <w:szCs w:val="25"/>
        </w:rPr>
      </w:pPr>
    </w:p>
    <w:p>
      <w:pPr>
        <w:pStyle w:val="Heading4"/>
        <w:spacing w:line="240" w:lineRule="auto"/>
        <w:ind w:right="113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宋体" w:hAnsi="宋体" w:cs="宋体" w:eastAsia="宋体" w:hint="default"/>
          <w:b/>
          <w:bCs/>
          <w:sz w:val="20"/>
          <w:szCs w:val="20"/>
        </w:rPr>
      </w:pPr>
    </w:p>
    <w:tbl>
      <w:tblPr>
        <w:tblW w:w="0" w:type="auto"/>
        <w:jc w:val="left"/>
        <w:tblInd w:w="183" w:type="dxa"/>
        <w:tblLayout w:type="fixed"/>
        <w:tblCellMar>
          <w:top w:w="0" w:type="dxa"/>
          <w:left w:w="0" w:type="dxa"/>
          <w:bottom w:w="0" w:type="dxa"/>
          <w:right w:w="0" w:type="dxa"/>
        </w:tblCellMar>
        <w:tblLook w:val="01E0"/>
      </w:tblPr>
      <w:tblGrid>
        <w:gridCol w:w="4784"/>
        <w:gridCol w:w="4784"/>
      </w:tblGrid>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2,354</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2"/>
                <w:sz w:val="18"/>
              </w:rPr>
              <w:t>11,217</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13,571</w:t>
            </w:r>
          </w:p>
        </w:tc>
      </w:tr>
      <w:tr>
        <w:trPr>
          <w:trHeight w:val="36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13,571</w:t>
            </w:r>
          </w:p>
        </w:tc>
      </w:tr>
      <w:tr>
        <w:trPr>
          <w:trHeight w:val="36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18"/>
                <w:szCs w:val="18"/>
              </w:rPr>
            </w:pPr>
            <w:r>
              <w:rPr>
                <w:rFonts w:ascii="Times New Roman"/>
                <w:sz w:val="18"/>
              </w:rPr>
              <w:t>2,177</w:t>
            </w:r>
          </w:p>
        </w:tc>
      </w:tr>
      <w:tr>
        <w:trPr>
          <w:trHeight w:val="358"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5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6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z w:val="18"/>
              </w:rPr>
              <w:t>6,770</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8"/>
                <w:szCs w:val="18"/>
              </w:rPr>
            </w:pPr>
            <w:r>
              <w:rPr>
                <w:rFonts w:ascii="Times New Roman"/>
                <w:sz w:val="18"/>
              </w:rPr>
              <w:t>543</w:t>
            </w:r>
          </w:p>
        </w:tc>
      </w:tr>
      <w:tr>
        <w:trPr>
          <w:trHeight w:val="36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4,240</w:t>
            </w:r>
          </w:p>
        </w:tc>
      </w:tr>
      <w:tr>
        <w:trPr>
          <w:trHeight w:val="36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18"/>
                <w:szCs w:val="18"/>
              </w:rPr>
            </w:pPr>
            <w:r>
              <w:rPr>
                <w:rFonts w:ascii="Times New Roman"/>
                <w:sz w:val="18"/>
              </w:rPr>
              <w:t>219</w:t>
            </w:r>
          </w:p>
        </w:tc>
      </w:tr>
    </w:tbl>
    <w:p>
      <w:pPr>
        <w:spacing w:after="0" w:line="240" w:lineRule="auto"/>
        <w:jc w:val="right"/>
        <w:rPr>
          <w:rFonts w:ascii="Times New Roman" w:hAnsi="Times New Roman" w:cs="Times New Roman" w:eastAsia="Times New Roman" w:hint="default"/>
          <w:sz w:val="18"/>
          <w:szCs w:val="18"/>
        </w:rPr>
        <w:sectPr>
          <w:pgSz w:w="11910" w:h="16840"/>
          <w:pgMar w:header="789" w:footer="975" w:top="1100" w:bottom="1160" w:left="980" w:right="0"/>
        </w:sectPr>
      </w:pPr>
    </w:p>
    <w:p>
      <w:pPr>
        <w:spacing w:line="240" w:lineRule="auto" w:before="2"/>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4784"/>
        <w:gridCol w:w="4784"/>
      </w:tblGrid>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1,799</w:t>
            </w:r>
          </w:p>
        </w:tc>
      </w:tr>
      <w:tr>
        <w:trPr>
          <w:trHeight w:val="36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13,571</w:t>
            </w:r>
          </w:p>
        </w:tc>
      </w:tr>
      <w:tr>
        <w:trPr>
          <w:trHeight w:val="35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6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8"/>
                <w:szCs w:val="18"/>
              </w:rPr>
            </w:pPr>
            <w:r>
              <w:rPr>
                <w:rFonts w:ascii="Times New Roman"/>
                <w:sz w:val="18"/>
              </w:rPr>
              <w:t>971</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3,130</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2,226</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中专、高中及以下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7,244</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13,571</w:t>
            </w:r>
          </w:p>
        </w:tc>
      </w:tr>
    </w:tbl>
    <w:p>
      <w:pPr>
        <w:spacing w:line="314" w:lineRule="auto" w:before="51"/>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注：公司不承担离退休人员的离退休工资，上表所列为报告期内领取公司发放节假日慰问费、补充养老保险金等费用的</w:t>
      </w:r>
      <w:r>
        <w:rPr>
          <w:rFonts w:ascii="宋体" w:hAnsi="宋体" w:cs="宋体" w:eastAsia="宋体" w:hint="default"/>
          <w:sz w:val="18"/>
          <w:szCs w:val="18"/>
        </w:rPr>
        <w:t> 离退休职工人数。</w:t>
      </w:r>
    </w:p>
    <w:p>
      <w:pPr>
        <w:spacing w:line="240" w:lineRule="auto" w:before="3"/>
        <w:rPr>
          <w:rFonts w:ascii="宋体" w:hAnsi="宋体" w:cs="宋体" w:eastAsia="宋体" w:hint="default"/>
          <w:sz w:val="18"/>
          <w:szCs w:val="18"/>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0"/>
        <w:rPr>
          <w:rFonts w:ascii="宋体" w:hAnsi="宋体" w:cs="宋体" w:eastAsia="宋体" w:hint="default"/>
          <w:b/>
          <w:bCs/>
          <w:sz w:val="21"/>
          <w:szCs w:val="21"/>
        </w:rPr>
      </w:pPr>
    </w:p>
    <w:p>
      <w:pPr>
        <w:spacing w:line="316" w:lineRule="auto" w:before="0"/>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公司薪酬策略是以战略导向、市场导向、业绩导向、岗位价值导向为原则，围绕公司战略目标为各类人才提供兼备外部</w:t>
      </w:r>
      <w:r>
        <w:rPr>
          <w:rFonts w:ascii="宋体" w:hAnsi="宋体" w:cs="宋体" w:eastAsia="宋体" w:hint="default"/>
          <w:sz w:val="18"/>
          <w:szCs w:val="18"/>
        </w:rPr>
        <w:t> </w:t>
      </w:r>
      <w:r>
        <w:rPr>
          <w:rFonts w:ascii="宋体" w:hAnsi="宋体" w:cs="宋体" w:eastAsia="宋体" w:hint="default"/>
          <w:spacing w:val="-2"/>
          <w:sz w:val="18"/>
          <w:szCs w:val="18"/>
        </w:rPr>
        <w:t>竞争力与内部公平性的薪酬待遇。并且根据公司发展情况、个人绩效考核结果、外部薪酬调研数据，建立与企业效益、个人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工作业绩表现挂钩的员工薪酬增长机制，充分调动员工的创造性和积极性，从而提升公司核心竞争力。</w:t>
      </w:r>
    </w:p>
    <w:p>
      <w:pPr>
        <w:spacing w:line="240" w:lineRule="auto" w:before="0"/>
        <w:rPr>
          <w:rFonts w:ascii="宋体" w:hAnsi="宋体" w:cs="宋体" w:eastAsia="宋体" w:hint="default"/>
          <w:sz w:val="18"/>
          <w:szCs w:val="18"/>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1"/>
          <w:szCs w:val="21"/>
        </w:rPr>
      </w:pPr>
    </w:p>
    <w:p>
      <w:pPr>
        <w:spacing w:line="316" w:lineRule="auto" w:before="0"/>
        <w:ind w:left="152" w:right="1129" w:firstLine="360"/>
        <w:jc w:val="both"/>
        <w:rPr>
          <w:rFonts w:ascii="宋体" w:hAnsi="宋体" w:cs="宋体" w:eastAsia="宋体" w:hint="default"/>
          <w:sz w:val="18"/>
          <w:szCs w:val="18"/>
        </w:rPr>
      </w:pPr>
      <w:r>
        <w:rPr>
          <w:rFonts w:ascii="宋体" w:hAnsi="宋体" w:cs="宋体" w:eastAsia="宋体" w:hint="default"/>
          <w:spacing w:val="-2"/>
          <w:sz w:val="18"/>
          <w:szCs w:val="18"/>
        </w:rPr>
        <w:t>为满足公司战略发展需要，公司为员工制定详细的培训计划，满足员工专业技能提升的要求，通过内部研讨会、外派专</w:t>
      </w:r>
      <w:r>
        <w:rPr>
          <w:rFonts w:ascii="宋体" w:hAnsi="宋体" w:cs="宋体" w:eastAsia="宋体" w:hint="default"/>
          <w:sz w:val="18"/>
          <w:szCs w:val="18"/>
        </w:rPr>
        <w:t> </w:t>
      </w:r>
      <w:r>
        <w:rPr>
          <w:rFonts w:ascii="宋体" w:hAnsi="宋体" w:cs="宋体" w:eastAsia="宋体" w:hint="default"/>
          <w:spacing w:val="-2"/>
          <w:sz w:val="18"/>
          <w:szCs w:val="18"/>
        </w:rPr>
        <w:t>业培训、外请专家授课等多种方式综合提升员工素质。同时为满足公司人才梯队建设的要求，公司规划了专业技术及管理人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员双通道发展路径，并针对性的建立了分层级的领导力培养体系和技术人员培养体系，为公司的发展培养优秀的管理及技术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人才，全面提升公司的竞争力及可持续发展能力。</w:t>
      </w:r>
    </w:p>
    <w:p>
      <w:pPr>
        <w:spacing w:line="240" w:lineRule="auto" w:before="1"/>
        <w:rPr>
          <w:rFonts w:ascii="宋体" w:hAnsi="宋体" w:cs="宋体" w:eastAsia="宋体" w:hint="default"/>
          <w:sz w:val="18"/>
          <w:szCs w:val="18"/>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10"/>
        <w:rPr>
          <w:rFonts w:ascii="宋体" w:hAnsi="宋体" w:cs="宋体" w:eastAsia="宋体" w:hint="default"/>
          <w:b/>
          <w:bCs/>
          <w:sz w:val="21"/>
          <w:szCs w:val="21"/>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1"/>
        <w:spacing w:line="240" w:lineRule="auto"/>
        <w:ind w:left="153" w:right="1129"/>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Heading4"/>
        <w:spacing w:line="240" w:lineRule="auto" w:before="26"/>
        <w:ind w:right="1133"/>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40" w:lineRule="auto" w:before="0"/>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、概况 </w:t>
      </w:r>
      <w:r>
        <w:rPr>
          <w:rFonts w:ascii="宋体" w:hAnsi="宋体" w:cs="宋体" w:eastAsia="宋体" w:hint="default"/>
          <w:spacing w:val="-2"/>
          <w:sz w:val="18"/>
          <w:szCs w:val="18"/>
        </w:rPr>
        <w:t>公司始终坚持按照《公司法》、《证券法》、《上市公司治理准则》、《深圳证券交易所股票上市规则》和其它有关上</w:t>
      </w:r>
    </w:p>
    <w:p>
      <w:pPr>
        <w:spacing w:line="316" w:lineRule="auto" w:before="1"/>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市公司治理的法律法规及规范性文件的要求，持续完善法人治理结构，结合公司实际情况不断健全内部控制体系，努力推进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法人治理进程和提升公司规范运作水平。</w:t>
      </w:r>
    </w:p>
    <w:p>
      <w:pPr>
        <w:spacing w:line="316" w:lineRule="auto" w:before="59"/>
        <w:ind w:left="152" w:right="1134" w:firstLine="360"/>
        <w:jc w:val="both"/>
        <w:rPr>
          <w:rFonts w:ascii="宋体" w:hAnsi="宋体" w:cs="宋体" w:eastAsia="宋体" w:hint="default"/>
          <w:sz w:val="18"/>
          <w:szCs w:val="18"/>
        </w:rPr>
      </w:pPr>
      <w:r>
        <w:rPr>
          <w:rFonts w:ascii="宋体" w:hAnsi="宋体" w:cs="宋体" w:eastAsia="宋体" w:hint="default"/>
          <w:spacing w:val="-2"/>
          <w:sz w:val="18"/>
          <w:szCs w:val="18"/>
        </w:rPr>
        <w:t>公司建有与上市公司法人治理结构相适应的各项规章制度，并严格执行；股东大会、董事会、监事会运作规范有效，董</w:t>
      </w:r>
      <w:r>
        <w:rPr>
          <w:rFonts w:ascii="宋体" w:hAnsi="宋体" w:cs="宋体" w:eastAsia="宋体" w:hint="default"/>
          <w:sz w:val="18"/>
          <w:szCs w:val="18"/>
        </w:rPr>
        <w:t> 事、监事和高级管理人员勤勉尽职，按照法律法规和公司章程的规定履行职权。</w:t>
      </w:r>
    </w:p>
    <w:p>
      <w:pPr>
        <w:spacing w:line="316" w:lineRule="auto" w:before="58"/>
        <w:ind w:left="152" w:right="1044" w:firstLine="360"/>
        <w:jc w:val="both"/>
        <w:rPr>
          <w:rFonts w:ascii="宋体" w:hAnsi="宋体" w:cs="宋体" w:eastAsia="宋体" w:hint="default"/>
          <w:sz w:val="18"/>
          <w:szCs w:val="18"/>
        </w:rPr>
      </w:pPr>
      <w:r>
        <w:rPr>
          <w:rFonts w:ascii="宋体" w:hAnsi="宋体" w:cs="宋体" w:eastAsia="宋体" w:hint="default"/>
          <w:spacing w:val="-4"/>
          <w:sz w:val="18"/>
          <w:szCs w:val="18"/>
        </w:rPr>
        <w:t>截止报告期末，公司内部治理结构完整、健全、清晰，符合《公司法》、《公司章程》等法律法规及规范性文件的要求，</w:t>
      </w:r>
      <w:r>
        <w:rPr>
          <w:rFonts w:ascii="宋体" w:hAnsi="宋体" w:cs="宋体" w:eastAsia="宋体" w:hint="default"/>
          <w:sz w:val="18"/>
          <w:szCs w:val="18"/>
        </w:rPr>
        <w:t> 公司治理与中国证监会发布的有关上市公司治理的规范性文件的要求基本一致。</w:t>
      </w:r>
    </w:p>
    <w:p>
      <w:pPr>
        <w:spacing w:line="340" w:lineRule="auto" w:before="59"/>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、内幕信息知情人登记管理制度的执行情况 </w:t>
      </w:r>
      <w:r>
        <w:rPr>
          <w:rFonts w:ascii="宋体" w:hAnsi="宋体" w:cs="宋体" w:eastAsia="宋体" w:hint="default"/>
          <w:spacing w:val="-2"/>
          <w:sz w:val="18"/>
          <w:szCs w:val="18"/>
        </w:rPr>
        <w:t>公司定有《内幕信息知情人登记管理制度》，并按照制度和相关法律、法规要求在涉及定期报告等重大事项披露前，整</w:t>
      </w:r>
    </w:p>
    <w:p>
      <w:pPr>
        <w:spacing w:line="357" w:lineRule="auto" w:before="1"/>
        <w:ind w:left="513" w:right="1129" w:hanging="361"/>
        <w:jc w:val="left"/>
        <w:rPr>
          <w:rFonts w:ascii="宋体" w:hAnsi="宋体" w:cs="宋体" w:eastAsia="宋体" w:hint="default"/>
          <w:sz w:val="18"/>
          <w:szCs w:val="18"/>
        </w:rPr>
      </w:pPr>
      <w:r>
        <w:rPr>
          <w:rFonts w:ascii="宋体" w:hAnsi="宋体" w:cs="宋体" w:eastAsia="宋体" w:hint="default"/>
          <w:sz w:val="18"/>
          <w:szCs w:val="18"/>
        </w:rPr>
        <w:t>理登记知情人员相关信息并按监管机构要求进行报备，严格控制内幕信息传递范围，加强内幕信息保密工作。 </w:t>
      </w:r>
      <w:r>
        <w:rPr>
          <w:rFonts w:ascii="宋体" w:hAnsi="宋体" w:cs="宋体" w:eastAsia="宋体" w:hint="default"/>
          <w:spacing w:val="-2"/>
          <w:sz w:val="18"/>
          <w:szCs w:val="18"/>
        </w:rPr>
        <w:t>报告期内，公司持续加强内幕交易防控工作，以各种形式强化公司全体董事、监事、高级管理人员以及关键岗位人员的</w:t>
      </w:r>
    </w:p>
    <w:p>
      <w:pPr>
        <w:spacing w:line="22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内幕交易防控意识。公司不存在董、监、高及其相关亲属利用内幕消息违规买卖本公司股票的情况，未发生重大敏感信息提</w:t>
      </w:r>
    </w:p>
    <w:p>
      <w:pPr>
        <w:spacing w:before="76"/>
        <w:ind w:left="152" w:right="1133" w:firstLine="0"/>
        <w:jc w:val="left"/>
        <w:rPr>
          <w:rFonts w:ascii="宋体" w:hAnsi="宋体" w:cs="宋体" w:eastAsia="宋体" w:hint="default"/>
          <w:sz w:val="18"/>
          <w:szCs w:val="18"/>
        </w:rPr>
      </w:pPr>
      <w:r>
        <w:rPr>
          <w:rFonts w:ascii="宋体" w:hAnsi="宋体" w:cs="宋体" w:eastAsia="宋体" w:hint="default"/>
          <w:sz w:val="18"/>
          <w:szCs w:val="18"/>
        </w:rPr>
        <w:t>前泄露或被不当利用情形，也不存在因涉嫌内幕交易被监管部门行政处罚的情况。</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513" w:right="1133"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公司治理的实际状况与中国证监会发布的有关上市公司治理的规范性文件不存在重大差异。</w:t>
      </w:r>
    </w:p>
    <w:p>
      <w:pPr>
        <w:spacing w:line="240" w:lineRule="auto" w:before="1"/>
        <w:rPr>
          <w:rFonts w:ascii="宋体" w:hAnsi="宋体" w:cs="宋体" w:eastAsia="宋体" w:hint="default"/>
          <w:sz w:val="25"/>
          <w:szCs w:val="25"/>
        </w:rPr>
      </w:pPr>
    </w:p>
    <w:p>
      <w:pPr>
        <w:pStyle w:val="Heading4"/>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2" w:right="1135" w:firstLine="360"/>
        <w:jc w:val="both"/>
        <w:rPr>
          <w:rFonts w:ascii="宋体" w:hAnsi="宋体" w:cs="宋体" w:eastAsia="宋体" w:hint="default"/>
          <w:sz w:val="18"/>
          <w:szCs w:val="18"/>
        </w:rPr>
      </w:pPr>
      <w:r>
        <w:rPr>
          <w:rFonts w:ascii="宋体" w:hAnsi="宋体" w:cs="宋体" w:eastAsia="宋体" w:hint="default"/>
          <w:spacing w:val="-2"/>
          <w:sz w:val="18"/>
          <w:szCs w:val="18"/>
        </w:rPr>
        <w:t>公司在业务、人员、资产、机构、财务等方面均独立于控股股东，享有独立法人地位和市场竞争主体地位，具有独立完</w:t>
      </w:r>
      <w:r>
        <w:rPr>
          <w:rFonts w:ascii="宋体" w:hAnsi="宋体" w:cs="宋体" w:eastAsia="宋体" w:hint="default"/>
          <w:sz w:val="18"/>
          <w:szCs w:val="18"/>
        </w:rPr>
        <w:t> 整的业务体系和直接面向市场自主经营的能力。</w:t>
      </w:r>
    </w:p>
    <w:p>
      <w:pPr>
        <w:spacing w:line="309" w:lineRule="auto" w:before="59"/>
        <w:ind w:left="15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、在业务方面，公司拥有独立完整的生产、销售、售后服务系统，依照法定经营范围独立从事经营管理活动，不受公 </w:t>
      </w:r>
      <w:r>
        <w:rPr>
          <w:rFonts w:ascii="宋体" w:hAnsi="宋体" w:cs="宋体" w:eastAsia="宋体" w:hint="default"/>
          <w:spacing w:val="-2"/>
          <w:sz w:val="18"/>
          <w:szCs w:val="18"/>
        </w:rPr>
        <w:t>司控股股东的干涉与控制，未因与公司控股股东及其控制的其他企业之间存在关联关系而使公司经营自主权的完整性、独立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性受到不良影响。</w:t>
      </w:r>
    </w:p>
    <w:p>
      <w:pPr>
        <w:spacing w:line="309" w:lineRule="auto" w:before="62"/>
        <w:ind w:left="152"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、在人员方面，公司在劳动、人事及工资管理等方面独立运作，管理体系完整，具有独立的劳动人事管理部门，定有 </w:t>
      </w:r>
      <w:r>
        <w:rPr>
          <w:rFonts w:ascii="宋体" w:hAnsi="宋体" w:cs="宋体" w:eastAsia="宋体" w:hint="default"/>
          <w:spacing w:val="-2"/>
          <w:sz w:val="18"/>
          <w:szCs w:val="18"/>
        </w:rPr>
        <w:t>独立的劳动、人事及薪酬管理制度。公司高级管理人员均在公司工作并领取薪酬，不存在在股东单位双重任职的情况，未在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控股股东、实际控制人及其控制的其他企业领取薪酬。</w:t>
      </w:r>
    </w:p>
    <w:p>
      <w:pPr>
        <w:spacing w:line="300" w:lineRule="auto" w:before="65"/>
        <w:ind w:left="152"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、在资产方面，公司与控股股东产权关系明晰，拥有独立的生产系统、辅助生产系统和配套设施、工业产权、非专利 技术等资产及产、供、销体系。</w:t>
      </w:r>
    </w:p>
    <w:p>
      <w:pPr>
        <w:spacing w:line="300" w:lineRule="auto" w:before="72"/>
        <w:ind w:left="15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、在机构设置方面，公司依照《公司法》等有关法律法规，设立了包括股东大会、董事会、监事会等组织机构在内的 完整独立的法人治理结构，生产经营和办公机构与控股股东分开，不存在混合经营、合署办公的情况。</w:t>
      </w:r>
    </w:p>
    <w:p>
      <w:pPr>
        <w:spacing w:line="300" w:lineRule="auto" w:before="70"/>
        <w:ind w:left="152"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、在财务方面，公司设有独立的财务部门，建立了独立的财务核算体系和财务管理制度，开立独立的银行账户，依法 独立纳税。</w:t>
      </w:r>
    </w:p>
    <w:p>
      <w:pPr>
        <w:spacing w:after="0" w:line="300" w:lineRule="auto"/>
        <w:jc w:val="both"/>
        <w:rPr>
          <w:rFonts w:ascii="宋体" w:hAnsi="宋体" w:cs="宋体" w:eastAsia="宋体" w:hint="default"/>
          <w:sz w:val="18"/>
          <w:szCs w:val="18"/>
        </w:rPr>
        <w:sectPr>
          <w:pgSz w:w="11910" w:h="16840"/>
          <w:pgMar w:header="789" w:footer="975" w:top="1100" w:bottom="1160" w:left="980" w:right="0"/>
        </w:sectPr>
      </w:pPr>
    </w:p>
    <w:p>
      <w:pPr>
        <w:spacing w:line="240" w:lineRule="auto" w:before="4"/>
        <w:rPr>
          <w:rFonts w:ascii="宋体" w:hAnsi="宋体" w:cs="宋体" w:eastAsia="宋体" w:hint="default"/>
          <w:sz w:val="20"/>
          <w:szCs w:val="20"/>
        </w:rPr>
      </w:pPr>
    </w:p>
    <w:p>
      <w:pPr>
        <w:pStyle w:val="Heading4"/>
        <w:spacing w:line="240" w:lineRule="auto" w:before="26"/>
        <w:ind w:left="672" w:right="5"/>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033" w:right="5"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为确认同业竞争现状及避免潜在的同业竞争情形，公司实际控制人中国电子已作出相关承诺并认真遵守，具体内容详见</w:t>
      </w:r>
    </w:p>
    <w:p>
      <w:pPr>
        <w:spacing w:line="222" w:lineRule="exact" w:before="0"/>
        <w:ind w:left="672" w:right="5" w:firstLine="0"/>
        <w:jc w:val="left"/>
        <w:rPr>
          <w:rFonts w:ascii="宋体" w:hAnsi="宋体" w:cs="宋体" w:eastAsia="宋体" w:hint="default"/>
          <w:sz w:val="18"/>
          <w:szCs w:val="18"/>
        </w:rPr>
      </w:pPr>
      <w:r>
        <w:rPr>
          <w:rFonts w:ascii="宋体" w:hAnsi="宋体" w:cs="宋体" w:eastAsia="宋体" w:hint="default"/>
          <w:sz w:val="18"/>
          <w:szCs w:val="18"/>
        </w:rPr>
        <w:t>第五节“承诺事项履行情况”的相关介绍。目前，公司与控股股东、实际控制人及其下属其他企业不存在同业竞争情况。</w:t>
      </w:r>
    </w:p>
    <w:p>
      <w:pPr>
        <w:spacing w:line="240" w:lineRule="auto" w:before="12"/>
        <w:rPr>
          <w:rFonts w:ascii="宋体" w:hAnsi="宋体" w:cs="宋体" w:eastAsia="宋体" w:hint="default"/>
          <w:sz w:val="24"/>
          <w:szCs w:val="24"/>
        </w:rPr>
      </w:pPr>
    </w:p>
    <w:p>
      <w:pPr>
        <w:pStyle w:val="Heading4"/>
        <w:spacing w:line="240" w:lineRule="auto"/>
        <w:ind w:left="672" w:right="5"/>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left="672" w:right="5"/>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2588"/>
        <w:gridCol w:w="1261"/>
        <w:gridCol w:w="1440"/>
        <w:gridCol w:w="1599"/>
        <w:gridCol w:w="1621"/>
        <w:gridCol w:w="2246"/>
      </w:tblGrid>
      <w:tr>
        <w:trPr>
          <w:trHeight w:val="401" w:hRule="exact"/>
        </w:trPr>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年度第一次临时股东大会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2019-002 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年度第一次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临时股东大会决议公告</w:t>
            </w:r>
          </w:p>
        </w:tc>
      </w:tr>
      <w:tr>
        <w:trPr>
          <w:trHeight w:val="71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年度第二次临时股东大会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2019-010 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年度第二次</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临时股东大会决议公告</w:t>
            </w:r>
          </w:p>
        </w:tc>
      </w:tr>
      <w:tr>
        <w:trPr>
          <w:trHeight w:val="715"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43.78%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2019-040 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会决议公告</w:t>
            </w:r>
          </w:p>
        </w:tc>
      </w:tr>
      <w:tr>
        <w:trPr>
          <w:trHeight w:val="71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年度第三次临时股东大会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43.12%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2019-076 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年度第三次</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临时股东大会决议公告</w:t>
            </w:r>
          </w:p>
        </w:tc>
      </w:tr>
      <w:tr>
        <w:trPr>
          <w:trHeight w:val="715"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年度第四次临时股东大会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2019-083 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年度第四次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临时股东大会决议公告</w:t>
            </w:r>
          </w:p>
        </w:tc>
      </w:tr>
      <w:tr>
        <w:trPr>
          <w:trHeight w:val="71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年度第五次临时股东大会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2019-103 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年度第五次</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临时股东大会决议公告</w:t>
            </w:r>
          </w:p>
        </w:tc>
      </w:tr>
    </w:tbl>
    <w:p>
      <w:pPr>
        <w:spacing w:line="240" w:lineRule="auto" w:before="3"/>
        <w:rPr>
          <w:rFonts w:ascii="宋体" w:hAnsi="宋体" w:cs="宋体" w:eastAsia="宋体" w:hint="default"/>
          <w:b/>
          <w:bCs/>
          <w:sz w:val="19"/>
          <w:szCs w:val="19"/>
        </w:rPr>
      </w:pPr>
    </w:p>
    <w:p>
      <w:pPr>
        <w:pStyle w:val="Heading5"/>
        <w:spacing w:line="240" w:lineRule="auto"/>
        <w:ind w:left="672" w:right="5"/>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672" w:right="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4"/>
        <w:spacing w:line="240" w:lineRule="auto"/>
        <w:ind w:left="672" w:right="5"/>
        <w:jc w:val="left"/>
        <w:rPr>
          <w:b w:val="0"/>
          <w:bCs w:val="0"/>
        </w:rPr>
      </w:pPr>
      <w:r>
        <w:rPr/>
        <w:t>五、董事会工作情况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672" w:right="1131" w:firstLine="360"/>
        <w:jc w:val="both"/>
        <w:rPr>
          <w:rFonts w:ascii="宋体" w:hAnsi="宋体" w:cs="宋体" w:eastAsia="宋体" w:hint="default"/>
          <w:sz w:val="18"/>
          <w:szCs w:val="18"/>
        </w:rPr>
      </w:pPr>
      <w:r>
        <w:rPr>
          <w:rFonts w:ascii="宋体" w:hAnsi="宋体" w:cs="宋体" w:eastAsia="宋体" w:hint="default"/>
          <w:spacing w:val="-6"/>
          <w:sz w:val="18"/>
          <w:szCs w:val="18"/>
        </w:rPr>
        <w:t>报告期内，公司董事会认真履行《公司法》、《公司章程》等法律、法规赋予的职责，充分发挥董事会决策和战略管理职</w:t>
      </w:r>
      <w:r>
        <w:rPr>
          <w:rFonts w:ascii="宋体" w:hAnsi="宋体" w:cs="宋体" w:eastAsia="宋体" w:hint="default"/>
          <w:sz w:val="18"/>
          <w:szCs w:val="18"/>
        </w:rPr>
        <w:t> </w:t>
      </w:r>
      <w:r>
        <w:rPr>
          <w:rFonts w:ascii="宋体" w:hAnsi="宋体" w:cs="宋体" w:eastAsia="宋体" w:hint="default"/>
          <w:spacing w:val="-2"/>
          <w:sz w:val="18"/>
          <w:szCs w:val="18"/>
        </w:rPr>
        <w:t>能，严格执行股东大会决议，积极推进董事会决议的实施，在决策过程中，公司董事会能够充分发挥各专门委员会及独立董</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事在公司发展中的履职作用，为董事会的科学决策提供了有力的保障。</w:t>
      </w:r>
    </w:p>
    <w:p>
      <w:pPr>
        <w:spacing w:line="316" w:lineRule="auto" w:before="50"/>
        <w:ind w:left="672" w:right="1134"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报告期内，公司董事勤勉尽责，认真审议各项议案，明确表达自己的意见。在董事会闭会期间，各位董事能够认真阅读</w:t>
      </w:r>
      <w:r>
        <w:rPr>
          <w:rFonts w:ascii="宋体" w:hAnsi="宋体" w:cs="宋体" w:eastAsia="宋体" w:hint="default"/>
          <w:sz w:val="18"/>
          <w:szCs w:val="18"/>
        </w:rPr>
        <w:t> 公司提供的各类文件、报告，及时了解公司的经营管理状况。</w:t>
      </w:r>
    </w:p>
    <w:p>
      <w:pPr>
        <w:spacing w:before="48"/>
        <w:ind w:left="1033" w:right="5" w:firstLine="0"/>
        <w:jc w:val="left"/>
        <w:rPr>
          <w:rFonts w:ascii="宋体" w:hAnsi="宋体" w:cs="宋体" w:eastAsia="宋体" w:hint="default"/>
          <w:sz w:val="18"/>
          <w:szCs w:val="18"/>
        </w:rPr>
      </w:pPr>
      <w:r>
        <w:rPr>
          <w:rFonts w:ascii="宋体" w:hAnsi="宋体" w:cs="宋体" w:eastAsia="宋体" w:hint="default"/>
          <w:b/>
          <w:bCs/>
          <w:sz w:val="18"/>
          <w:szCs w:val="18"/>
        </w:rPr>
        <w:t>（一）董事会主要会议情况</w:t>
      </w:r>
      <w:r>
        <w:rPr>
          <w:rFonts w:ascii="宋体" w:hAnsi="宋体" w:cs="宋体" w:eastAsia="宋体" w:hint="default"/>
          <w:sz w:val="18"/>
          <w:szCs w:val="18"/>
        </w:rPr>
      </w:r>
    </w:p>
    <w:p>
      <w:pPr>
        <w:spacing w:line="300" w:lineRule="auto" w:before="107"/>
        <w:ind w:left="672" w:right="1128"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日，公司以通讯方式召开第七届董事会第十三次会议，审议通过了出售凯杰科技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股权暨关联交 易的议案。</w:t>
      </w:r>
    </w:p>
    <w:p>
      <w:pPr>
        <w:spacing w:line="300" w:lineRule="auto" w:before="60"/>
        <w:ind w:left="67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日，公司以通讯方式召开第七届董事会第十四次会议，审议通过了提名董事候选人、变更法定代表 人修订《公司章程》等议案。</w:t>
      </w:r>
    </w:p>
    <w:p>
      <w:pPr>
        <w:spacing w:line="300" w:lineRule="auto" w:before="62"/>
        <w:ind w:left="672"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日，公司以通讯方式召开第七届董事会第十五次会议，审议通过了选举第七届董事会董事长、补选 战略委员会委员的议案。</w:t>
      </w:r>
    </w:p>
    <w:p>
      <w:pPr>
        <w:spacing w:after="0" w:line="300" w:lineRule="auto"/>
        <w:jc w:val="both"/>
        <w:rPr>
          <w:rFonts w:ascii="宋体" w:hAnsi="宋体" w:cs="宋体" w:eastAsia="宋体" w:hint="default"/>
          <w:sz w:val="18"/>
          <w:szCs w:val="18"/>
        </w:rPr>
        <w:sectPr>
          <w:pgSz w:w="11910" w:h="16840"/>
          <w:pgMar w:header="789" w:footer="975" w:top="1100" w:bottom="1160" w:left="460" w:right="0"/>
        </w:sectPr>
      </w:pPr>
    </w:p>
    <w:p>
      <w:pPr>
        <w:spacing w:line="240" w:lineRule="auto" w:before="8"/>
        <w:rPr>
          <w:rFonts w:ascii="宋体" w:hAnsi="宋体" w:cs="宋体" w:eastAsia="宋体" w:hint="default"/>
          <w:sz w:val="22"/>
          <w:szCs w:val="22"/>
        </w:rPr>
      </w:pPr>
    </w:p>
    <w:p>
      <w:pPr>
        <w:spacing w:line="300" w:lineRule="auto" w:before="44"/>
        <w:ind w:left="152" w:right="1123"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日，公司以通讯方式召开第七届董事会第十六次会议，审议通过了长城信安购买无形资产暨关联交易 的议案。</w:t>
      </w:r>
    </w:p>
    <w:p>
      <w:pPr>
        <w:spacing w:line="300" w:lineRule="auto" w:before="60"/>
        <w:ind w:left="152" w:right="1125"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日，公司以通讯方式召开第七届董事会第十七次会议，审议通过了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年度日常关联交易预计，调 整股票期权激励计划激励对象名单、期权数量和行权价格及注销部分期权等议案。</w:t>
      </w:r>
    </w:p>
    <w:p>
      <w:pPr>
        <w:spacing w:line="314" w:lineRule="auto" w:before="62"/>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日，公司以现场方式召开第七届董事会第十八次会议，审议通过了</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年度报告和</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年一季度 </w:t>
      </w:r>
      <w:r>
        <w:rPr>
          <w:rFonts w:ascii="宋体" w:hAnsi="宋体" w:cs="宋体" w:eastAsia="宋体" w:hint="default"/>
          <w:spacing w:val="-4"/>
          <w:sz w:val="18"/>
          <w:szCs w:val="18"/>
        </w:rPr>
        <w:t>报告相关议案，包括经营报告、董事会工作报告、财务决算报告、财务预算报告、利润分配预案、计提资产减值准备及核销、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申请融资和授信、担保、委托理财、业绩承诺实现情况及业绩补偿方案、授权董事会办理补偿股份回购注销并因注册资本变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更修订《公司章程》、中原电子收购中电财务部分股权调整暨关联交易、原长城信息募集资金存放与使用情况、内部控制评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价报告、社会责任报告、全面风险管理报告、会计政策变更、中介机构报告等议案。</w:t>
      </w:r>
    </w:p>
    <w:p>
      <w:pPr>
        <w:spacing w:before="49"/>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日，公司以通讯方式召开第七届董事会第十九次会议，审议通过了中原电子收购中元股份少数股东</w:t>
      </w:r>
    </w:p>
    <w:p>
      <w:pPr>
        <w:spacing w:before="6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4.98%</w:t>
      </w:r>
      <w:r>
        <w:rPr>
          <w:rFonts w:ascii="宋体" w:hAnsi="宋体" w:cs="宋体" w:eastAsia="宋体" w:hint="default"/>
          <w:sz w:val="18"/>
          <w:szCs w:val="18"/>
        </w:rPr>
        <w:t>股权暨关联交易的议案。</w:t>
      </w:r>
    </w:p>
    <w:p>
      <w:pPr>
        <w:spacing w:line="300" w:lineRule="auto" w:before="94"/>
        <w:ind w:left="152" w:right="11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日，公司以通讯方式召开第七届董事会第二十次会议，审议通过了提名独立董事候选人、聘任公司总 法律顾问的议案。</w:t>
      </w:r>
    </w:p>
    <w:p>
      <w:pPr>
        <w:spacing w:line="300" w:lineRule="auto" w:before="61"/>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日，公司以通讯方式召开第七届董事会第二十一次会议，审议通过了投资郑州、太原产业化基地并 设立全资子公司的议案。</w:t>
      </w:r>
    </w:p>
    <w:p>
      <w:pPr>
        <w:spacing w:line="309" w:lineRule="auto" w:before="62"/>
        <w:ind w:left="15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日，公司以通讯方式召开第七届董事会第二十二次会议，审议通过了收购天津飞腾部分股权暨关联 </w:t>
      </w:r>
      <w:r>
        <w:rPr>
          <w:rFonts w:ascii="宋体" w:hAnsi="宋体" w:cs="宋体" w:eastAsia="宋体" w:hint="default"/>
          <w:spacing w:val="-2"/>
          <w:sz w:val="18"/>
          <w:szCs w:val="18"/>
        </w:rPr>
        <w:t>交易、下属公司向银行申请授信额度、为下属公司提供担保、《全面金融合作协议》调整存贷款额度及延长协议期限暨关联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交易、聘请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年度财务审计单位及内部控制审计单位等议案。</w:t>
      </w:r>
    </w:p>
    <w:p>
      <w:pPr>
        <w:spacing w:line="309" w:lineRule="auto" w:before="34"/>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日，公司以现场方式召开第七届董事会第二十三次会议，审议通过了</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年半年度报告、会计政 </w:t>
      </w:r>
      <w:r>
        <w:rPr>
          <w:rFonts w:ascii="宋体" w:hAnsi="宋体" w:cs="宋体" w:eastAsia="宋体" w:hint="default"/>
          <w:spacing w:val="-4"/>
          <w:sz w:val="18"/>
          <w:szCs w:val="18"/>
        </w:rPr>
        <w:t>策变更、为购买中电长城大厦项目的按揭贷款客户提供阶段性担保、部分募投项目结项并将结余募集资金永久补充流动资金、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原长城信息募集资金存放与使用、中介机构报告等议案。</w:t>
      </w:r>
    </w:p>
    <w:p>
      <w:pPr>
        <w:spacing w:line="300" w:lineRule="auto" w:before="55"/>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日，公司以通讯方式召开第七届董事会第二十四次会议，审议通过了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年三季度报告、补选专 门委员会委员、公开发行公司债券、发行中期票据、提请股东大会授权、中介机构报告等议案。</w:t>
      </w:r>
    </w:p>
    <w:p>
      <w:pPr>
        <w:spacing w:before="6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日，公司以通讯方式召开第七届董事会第二十五次会议，审议通过了圣非凡收购轨道交通研究院</w:t>
      </w:r>
    </w:p>
    <w:p>
      <w:pPr>
        <w:spacing w:before="6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股权暨关联交易的议案。</w:t>
      </w:r>
    </w:p>
    <w:p>
      <w:pPr>
        <w:spacing w:line="300" w:lineRule="auto" w:before="94"/>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日，公司以通讯方式召开第七届董事会第二十六次会议，审议通过了国有资本金注资前转贷款暨关 联交易、湘计海盾转让部分应收账款暨关联交易的议案。</w:t>
      </w:r>
    </w:p>
    <w:p>
      <w:pPr>
        <w:spacing w:line="300" w:lineRule="auto" w:before="60"/>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日，公司以通讯方式召开第七届董事会第二十七次会议，审议通过了投资合肥产业化基地并设立 全资子公司的议案。</w:t>
      </w:r>
    </w:p>
    <w:p>
      <w:pPr>
        <w:spacing w:line="300" w:lineRule="auto" w:before="62"/>
        <w:ind w:left="152" w:right="11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日，公司以通讯方式召开第七届董事会第二十八次会议，审议通过了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年度日常关联交易补充 预计、国有资本金继续使用展期暨关联交易等议案。</w:t>
      </w:r>
    </w:p>
    <w:p>
      <w:pPr>
        <w:spacing w:line="300" w:lineRule="auto" w:before="60"/>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日，公司以通讯方式召开第七届董事会第二十九次会议，审议通过了投资性房地产会计政策变更 的议案。</w:t>
      </w:r>
    </w:p>
    <w:p>
      <w:pPr>
        <w:spacing w:line="300" w:lineRule="auto" w:before="62"/>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日，公司以通讯方式召开第七届董事会第三十次会议，审议通过了办理应收账款保理业务暨关联 交易的议案。</w:t>
      </w:r>
    </w:p>
    <w:p>
      <w:pPr>
        <w:spacing w:before="60"/>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（二）董事会对股东大会决议的执行情况</w:t>
      </w:r>
      <w:r>
        <w:rPr>
          <w:rFonts w:ascii="宋体" w:hAnsi="宋体" w:cs="宋体" w:eastAsia="宋体" w:hint="default"/>
          <w:sz w:val="18"/>
          <w:szCs w:val="18"/>
        </w:rPr>
      </w:r>
    </w:p>
    <w:p>
      <w:pPr>
        <w:spacing w:line="300" w:lineRule="auto" w:before="108"/>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、报告期内，董事会根据法律法规及公司章程的规定，认真履行股东大会召集人职责，并严格按照股东大会的决议和 授权，认真执行股东大会各项决议。</w:t>
      </w:r>
    </w:p>
    <w:p>
      <w:pPr>
        <w:spacing w:before="60"/>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年度，公司董事会召集召开股东大会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次，相关各项决议在报告期内积极落实推进。</w:t>
      </w:r>
    </w:p>
    <w:p>
      <w:pPr>
        <w:spacing w:before="94"/>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、报告期内公司利润分配方案执行情况</w:t>
      </w:r>
    </w:p>
    <w:p>
      <w:pPr>
        <w:spacing w:line="300" w:lineRule="auto" w:before="91"/>
        <w:ind w:left="152" w:right="1133" w:firstLine="360"/>
        <w:jc w:val="left"/>
        <w:rPr>
          <w:rFonts w:ascii="宋体" w:hAnsi="宋体" w:cs="宋体" w:eastAsia="宋体" w:hint="default"/>
          <w:sz w:val="18"/>
          <w:szCs w:val="18"/>
        </w:rPr>
      </w:pPr>
      <w:r>
        <w:rPr>
          <w:rFonts w:ascii="宋体" w:hAnsi="宋体" w:cs="宋体" w:eastAsia="宋体" w:hint="default"/>
          <w:spacing w:val="-3"/>
          <w:sz w:val="18"/>
          <w:szCs w:val="18"/>
        </w:rPr>
        <w:t>公司实行持续、稳健的利润分配政策，定有《股东回报规划（</w:t>
      </w:r>
      <w:r>
        <w:rPr>
          <w:rFonts w:ascii="Times New Roman" w:hAnsi="Times New Roman" w:cs="Times New Roman" w:eastAsia="Times New Roman" w:hint="default"/>
          <w:spacing w:val="-3"/>
          <w:sz w:val="18"/>
          <w:szCs w:val="18"/>
        </w:rPr>
        <w:t>2018-2020</w:t>
      </w:r>
      <w:r>
        <w:rPr>
          <w:rFonts w:ascii="宋体" w:hAnsi="宋体" w:cs="宋体" w:eastAsia="宋体" w:hint="default"/>
          <w:spacing w:val="-3"/>
          <w:sz w:val="18"/>
          <w:szCs w:val="18"/>
        </w:rPr>
        <w:t>）》，在综合考虑公司经营状况和发展目标等因</w:t>
      </w:r>
      <w:r>
        <w:rPr>
          <w:rFonts w:ascii="宋体" w:hAnsi="宋体" w:cs="宋体" w:eastAsia="宋体" w:hint="default"/>
          <w:sz w:val="18"/>
          <w:szCs w:val="18"/>
        </w:rPr>
        <w:t> 素的同时重视对投资者的合理投资回报。</w:t>
      </w:r>
    </w:p>
    <w:p>
      <w:pPr>
        <w:spacing w:after="0" w:line="300" w:lineRule="auto"/>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before="44"/>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年度股东大会审议通过了</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年度利润分配方案；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日，公司实施</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年度每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元（含税）的利润分配方案，共计向全体股东分配现金股利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146,808,278.00 </w:t>
      </w:r>
      <w:r>
        <w:rPr>
          <w:rFonts w:ascii="宋体" w:hAnsi="宋体" w:cs="宋体" w:eastAsia="宋体" w:hint="default"/>
          <w:sz w:val="18"/>
          <w:szCs w:val="18"/>
        </w:rPr>
        <w:t>元。</w:t>
      </w:r>
    </w:p>
    <w:p>
      <w:pPr>
        <w:spacing w:line="350" w:lineRule="auto" w:before="91"/>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（三）信息披露与透明度</w:t>
      </w:r>
      <w:r>
        <w:rPr>
          <w:rFonts w:ascii="宋体" w:hAnsi="宋体" w:cs="宋体" w:eastAsia="宋体" w:hint="default"/>
          <w:b/>
          <w:bCs/>
          <w:w w:val="99"/>
          <w:sz w:val="18"/>
          <w:szCs w:val="18"/>
        </w:rPr>
        <w:t> </w:t>
      </w:r>
      <w:r>
        <w:rPr>
          <w:rFonts w:ascii="宋体" w:hAnsi="宋体" w:cs="宋体" w:eastAsia="宋体" w:hint="default"/>
          <w:spacing w:val="-2"/>
          <w:sz w:val="18"/>
          <w:szCs w:val="18"/>
        </w:rPr>
        <w:t>公司严格按照《信息披露管理制度》的规定和监管部门的要求，加强信息披露事务管理，履行信息披露义务，真实、准</w:t>
      </w:r>
    </w:p>
    <w:p>
      <w:pPr>
        <w:spacing w:line="229" w:lineRule="exact"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确、完整、及时地披露信息，确保所有投资者公平地获取公司信息，增强公司透明度。</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r>
        <w:rPr/>
        <w:t>六、报告期内独立董事履行职责的情况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宋体" w:hAnsi="宋体" w:cs="宋体" w:eastAsia="宋体" w:hint="default"/>
          <w:b/>
          <w:bCs/>
          <w:sz w:val="20"/>
          <w:szCs w:val="20"/>
        </w:rPr>
      </w:pPr>
    </w:p>
    <w:tbl>
      <w:tblPr>
        <w:tblW w:w="0" w:type="auto"/>
        <w:jc w:val="left"/>
        <w:tblInd w:w="164" w:type="dxa"/>
        <w:tblLayout w:type="fixed"/>
        <w:tblCellMar>
          <w:top w:w="0" w:type="dxa"/>
          <w:left w:w="0" w:type="dxa"/>
          <w:bottom w:w="0" w:type="dxa"/>
          <w:right w:w="0" w:type="dxa"/>
        </w:tblCellMar>
        <w:tblLook w:val="01E0"/>
      </w:tblPr>
      <w:tblGrid>
        <w:gridCol w:w="1426"/>
        <w:gridCol w:w="1164"/>
        <w:gridCol w:w="1165"/>
        <w:gridCol w:w="1164"/>
        <w:gridCol w:w="1162"/>
        <w:gridCol w:w="1164"/>
        <w:gridCol w:w="1165"/>
        <w:gridCol w:w="1198"/>
      </w:tblGrid>
      <w:tr>
        <w:trPr>
          <w:trHeight w:val="401" w:hRule="exact"/>
        </w:trPr>
        <w:tc>
          <w:tcPr>
            <w:tcW w:w="960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6" w:right="36"/>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07" w:right="34"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489"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6"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415" w:right="50"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虞世全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29"/>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46"/>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蓝庆新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37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35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29"/>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46"/>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李国敏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29"/>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46"/>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3"/>
              <w:ind w:left="24" w:right="-60"/>
              <w:jc w:val="center"/>
              <w:rPr>
                <w:rFonts w:ascii="宋体" w:hAnsi="宋体" w:cs="宋体" w:eastAsia="宋体" w:hint="default"/>
                <w:sz w:val="18"/>
                <w:szCs w:val="18"/>
              </w:rPr>
            </w:pPr>
            <w:r>
              <w:rPr>
                <w:rFonts w:ascii="宋体" w:hAnsi="宋体" w:cs="宋体" w:eastAsia="宋体" w:hint="default"/>
                <w:sz w:val="18"/>
                <w:szCs w:val="18"/>
              </w:rPr>
              <w:t>吴中海（已离任）</w:t>
            </w:r>
          </w:p>
        </w:tc>
        <w:tc>
          <w:tcPr>
            <w:tcW w:w="1164"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23</w:t>
            </w:r>
          </w:p>
        </w:tc>
        <w:tc>
          <w:tcPr>
            <w:tcW w:w="116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29"/>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46"/>
              <w:jc w:val="right"/>
              <w:rPr>
                <w:rFonts w:ascii="Times New Roman" w:hAnsi="Times New Roman" w:cs="Times New Roman" w:eastAsia="Times New Roman" w:hint="default"/>
                <w:sz w:val="18"/>
                <w:szCs w:val="18"/>
              </w:rPr>
            </w:pPr>
            <w:r>
              <w:rPr>
                <w:rFonts w:ascii="Times New Roman"/>
                <w:sz w:val="18"/>
              </w:rPr>
              <w:t>1</w:t>
            </w:r>
          </w:p>
        </w:tc>
      </w:tr>
    </w:tbl>
    <w:p>
      <w:pPr>
        <w:spacing w:line="357" w:lineRule="auto" w:before="51"/>
        <w:ind w:left="513" w:right="8054" w:hanging="361"/>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9"/>
        <w:rPr>
          <w:rFonts w:ascii="宋体" w:hAnsi="宋体" w:cs="宋体" w:eastAsia="宋体" w:hint="default"/>
          <w:sz w:val="15"/>
          <w:szCs w:val="15"/>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0"/>
        <w:rPr>
          <w:rFonts w:ascii="宋体" w:hAnsi="宋体" w:cs="宋体" w:eastAsia="宋体" w:hint="default"/>
          <w:b/>
          <w:bCs/>
          <w:sz w:val="21"/>
          <w:szCs w:val="21"/>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5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before="117"/>
        <w:ind w:left="513" w:right="1133" w:firstLine="0"/>
        <w:jc w:val="left"/>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line="240" w:lineRule="auto" w:before="3"/>
        <w:rPr>
          <w:rFonts w:ascii="宋体" w:hAnsi="宋体" w:cs="宋体" w:eastAsia="宋体" w:hint="default"/>
          <w:sz w:val="22"/>
          <w:szCs w:val="22"/>
        </w:rPr>
      </w:pPr>
    </w:p>
    <w:p>
      <w:pPr>
        <w:pStyle w:val="Heading5"/>
        <w:spacing w:line="240" w:lineRule="auto" w:before="0"/>
        <w:ind w:left="152"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2"/>
        <w:rPr>
          <w:rFonts w:ascii="宋体" w:hAnsi="宋体" w:cs="宋体" w:eastAsia="宋体" w:hint="default"/>
          <w:b/>
          <w:bCs/>
          <w:sz w:val="21"/>
          <w:szCs w:val="21"/>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5"/>
        <w:ind w:left="152" w:right="679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独立董事对公司有关建议被采纳或未被采纳的说明</w:t>
      </w:r>
    </w:p>
    <w:p>
      <w:pPr>
        <w:spacing w:line="319" w:lineRule="auto" w:before="27"/>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报告期内，独立董事认真参加董事会和列席股东大会，积极了解公司的运作情况，为公司管理层出谋划策，就公司股权</w:t>
      </w:r>
      <w:r>
        <w:rPr>
          <w:rFonts w:ascii="宋体" w:hAnsi="宋体" w:cs="宋体" w:eastAsia="宋体" w:hint="default"/>
          <w:sz w:val="18"/>
          <w:szCs w:val="18"/>
        </w:rPr>
        <w:t> </w:t>
      </w:r>
      <w:r>
        <w:rPr>
          <w:rFonts w:ascii="宋体" w:hAnsi="宋体" w:cs="宋体" w:eastAsia="宋体" w:hint="default"/>
          <w:spacing w:val="-2"/>
          <w:sz w:val="18"/>
          <w:szCs w:val="18"/>
        </w:rPr>
        <w:t>激励、关联交易、股权收购、股权出售、资产购买、董事候选人、任免高级管理人员、经营班子考核及奖励、担保、内部控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制评价、计提资产减值准备及核销、委托理财、业绩承诺实现情况及补偿方案、利润分配、原长城信息募集资金存放与使用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以及部分募投项目结项并将结余募集资金永久补充流动资金、会计政策变更、证券投资、关联方资金占用、财务公司存贷款、</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聘任审计单位、发行中期票据、公开发行公司债券等方面发表了独立的专业意见，为促进公司董事会科学决策、维护社会公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众股东权益发挥了积极作用。</w:t>
      </w:r>
    </w:p>
    <w:p>
      <w:pPr>
        <w:spacing w:before="55"/>
        <w:ind w:left="513" w:right="1133" w:firstLine="0"/>
        <w:jc w:val="left"/>
        <w:rPr>
          <w:rFonts w:ascii="宋体" w:hAnsi="宋体" w:cs="宋体" w:eastAsia="宋体" w:hint="default"/>
          <w:sz w:val="18"/>
          <w:szCs w:val="18"/>
        </w:rPr>
      </w:pPr>
      <w:r>
        <w:rPr>
          <w:rFonts w:ascii="宋体" w:hAnsi="宋体" w:cs="宋体" w:eastAsia="宋体" w:hint="default"/>
          <w:sz w:val="18"/>
          <w:szCs w:val="18"/>
        </w:rPr>
        <w:t>公司对独立董事关于经营发展及公司治理等各方面意见均积极听取，并予以采纳。</w:t>
      </w:r>
    </w:p>
    <w:p>
      <w:pPr>
        <w:spacing w:line="240" w:lineRule="auto" w:before="1"/>
        <w:rPr>
          <w:rFonts w:ascii="宋体" w:hAnsi="宋体" w:cs="宋体" w:eastAsia="宋体" w:hint="default"/>
          <w:sz w:val="25"/>
          <w:szCs w:val="25"/>
        </w:rPr>
      </w:pPr>
    </w:p>
    <w:p>
      <w:pPr>
        <w:pStyle w:val="Heading4"/>
        <w:spacing w:line="240" w:lineRule="auto"/>
        <w:ind w:right="1133"/>
        <w:jc w:val="left"/>
        <w:rPr>
          <w:b w:val="0"/>
          <w:bCs w:val="0"/>
        </w:rPr>
      </w:pPr>
      <w:r>
        <w:rPr/>
        <w:t>七、董事会下设专门委员会在报告期内履行职责情况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董事会各专门委员会充分发挥其专业职能，在董事会闭会期间或会议前对相关事项积极进行研究和讨论，为董事会科学</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line="309" w:lineRule="auto"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高效地决策提供了有力保障。</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年度，公司持续加强董事会专门委员会与董事会之间、董事会专门委员会与经营班子之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间、各专门委员会成员之间的沟通和交流，董事会专门委员会在公司章程和相关议事规则规定的职权范围内，发挥专业所长，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协助董事会开展工作，积极建言献策。</w:t>
      </w:r>
    </w:p>
    <w:p>
      <w:pPr>
        <w:spacing w:before="146"/>
        <w:ind w:left="513" w:right="1133" w:firstLine="0"/>
        <w:jc w:val="left"/>
        <w:rPr>
          <w:rFonts w:ascii="宋体" w:hAnsi="宋体" w:cs="宋体" w:eastAsia="宋体" w:hint="default"/>
          <w:sz w:val="18"/>
          <w:szCs w:val="18"/>
        </w:rPr>
      </w:pPr>
      <w:r>
        <w:rPr>
          <w:rFonts w:ascii="宋体" w:hAnsi="宋体" w:cs="宋体" w:eastAsia="宋体" w:hint="default"/>
          <w:sz w:val="18"/>
          <w:szCs w:val="18"/>
        </w:rPr>
        <w:t>（一）董事会审计委员会履职情况</w:t>
      </w:r>
    </w:p>
    <w:p>
      <w:pPr>
        <w:spacing w:line="240" w:lineRule="auto" w:before="11"/>
        <w:rPr>
          <w:rFonts w:ascii="宋体" w:hAnsi="宋体" w:cs="宋体" w:eastAsia="宋体" w:hint="default"/>
          <w:sz w:val="14"/>
          <w:szCs w:val="14"/>
        </w:rPr>
      </w:pPr>
    </w:p>
    <w:p>
      <w:pPr>
        <w:spacing w:line="300" w:lineRule="auto" w:before="0"/>
        <w:ind w:left="152" w:right="1120" w:firstLine="360"/>
        <w:jc w:val="left"/>
        <w:rPr>
          <w:rFonts w:ascii="宋体" w:hAnsi="宋体" w:cs="宋体" w:eastAsia="宋体" w:hint="default"/>
          <w:sz w:val="18"/>
          <w:szCs w:val="18"/>
        </w:rPr>
      </w:pPr>
      <w:r>
        <w:rPr>
          <w:rFonts w:ascii="宋体" w:hAnsi="宋体" w:cs="宋体" w:eastAsia="宋体" w:hint="default"/>
          <w:sz w:val="18"/>
          <w:szCs w:val="18"/>
        </w:rPr>
        <w:t>董事会审计委员会成立于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名董事组成，其中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名为独立董事，主任委员由专业会计人士担任。公司 </w:t>
      </w:r>
      <w:r>
        <w:rPr>
          <w:rFonts w:ascii="宋体" w:hAnsi="宋体" w:cs="宋体" w:eastAsia="宋体" w:hint="default"/>
          <w:spacing w:val="-3"/>
          <w:sz w:val="18"/>
          <w:szCs w:val="18"/>
        </w:rPr>
        <w:t>董事会审计委员会的成员为虞世全先生（主任委员）、张志勇先生、蓝庆新先生。</w:t>
      </w:r>
    </w:p>
    <w:p>
      <w:pPr>
        <w:spacing w:line="316" w:lineRule="auto" w:before="72"/>
        <w:ind w:left="152" w:right="1133" w:firstLine="360"/>
        <w:jc w:val="left"/>
        <w:rPr>
          <w:rFonts w:ascii="宋体" w:hAnsi="宋体" w:cs="宋体" w:eastAsia="宋体" w:hint="default"/>
          <w:sz w:val="18"/>
          <w:szCs w:val="18"/>
        </w:rPr>
      </w:pPr>
      <w:r>
        <w:rPr>
          <w:rFonts w:ascii="宋体" w:hAnsi="宋体" w:cs="宋体" w:eastAsia="宋体" w:hint="default"/>
          <w:spacing w:val="-2"/>
          <w:sz w:val="18"/>
          <w:szCs w:val="18"/>
        </w:rPr>
        <w:t>报告期内，董事会审计委员会根据中国证监会、深交所及公司《董事会审计委员会工作条例》等相关规定，本着勤勉尽</w:t>
      </w:r>
      <w:r>
        <w:rPr>
          <w:rFonts w:ascii="宋体" w:hAnsi="宋体" w:cs="宋体" w:eastAsia="宋体" w:hint="default"/>
          <w:sz w:val="18"/>
          <w:szCs w:val="18"/>
        </w:rPr>
        <w:t> 责的原则，认真履职和开展工作，履行了以下工作职责：</w:t>
      </w:r>
    </w:p>
    <w:p>
      <w:pPr>
        <w:spacing w:before="57"/>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、在财务报告方面</w:t>
      </w:r>
    </w:p>
    <w:p>
      <w:pPr>
        <w:spacing w:before="103"/>
        <w:ind w:left="513"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）认真审阅了公司</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年度审计工作计划及相关资料，与负责公司年度审计工作的立信会计师事务所（特殊普通合</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伙）商定了公司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年度财务报告审计工作的时间安排；</w:t>
      </w:r>
    </w:p>
    <w:p>
      <w:pPr>
        <w:spacing w:before="103"/>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）审阅了公司编制的未经审计的财务会计报告，并出具了书面意见；</w:t>
      </w:r>
    </w:p>
    <w:p>
      <w:pPr>
        <w:spacing w:before="102"/>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）不断加强与年审会计师的沟通，曾两次发函督促其在约定时限内提交审计报告；</w:t>
      </w:r>
    </w:p>
    <w:p>
      <w:pPr>
        <w:spacing w:before="103"/>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）听取了公司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年度财务工作总结并作了相关评价；</w:t>
      </w:r>
    </w:p>
    <w:p>
      <w:pPr>
        <w:spacing w:line="300" w:lineRule="auto" w:before="103"/>
        <w:ind w:left="152" w:right="111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）公司年审注册会计师出具初步审计意见后，董事会审计委员会再一次审阅了公司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年度财务会计报告，并形成</w:t>
      </w:r>
      <w:r>
        <w:rPr>
          <w:rFonts w:ascii="宋体" w:hAnsi="宋体" w:cs="宋体" w:eastAsia="宋体" w:hint="default"/>
          <w:sz w:val="18"/>
          <w:szCs w:val="18"/>
        </w:rPr>
        <w:t> 了书面意见；</w:t>
      </w:r>
    </w:p>
    <w:p>
      <w:pPr>
        <w:spacing w:line="300" w:lineRule="auto" w:before="70"/>
        <w:ind w:left="152" w:right="11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）在立信出具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年度审计报告后，董事会审计委员会召开会议，对立信从事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年度公司的审计工作进行了总 结，并就公司年度财务会计报表进行表决并形成决议；</w:t>
      </w:r>
    </w:p>
    <w:p>
      <w:pPr>
        <w:spacing w:before="72"/>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）对公司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年一季报、半年报、三季报进行审阅并发表意见；</w:t>
      </w:r>
    </w:p>
    <w:p>
      <w:pPr>
        <w:spacing w:line="309" w:lineRule="auto" w:before="103"/>
        <w:ind w:left="152" w:right="113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）对公司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年度财务决算报告、</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年度财务预算报告、计提资产减值准备及核销、业绩承诺实现情况、根据 </w:t>
      </w:r>
      <w:r>
        <w:rPr>
          <w:rFonts w:ascii="宋体" w:hAnsi="宋体" w:cs="宋体" w:eastAsia="宋体" w:hint="default"/>
          <w:spacing w:val="-2"/>
          <w:sz w:val="18"/>
          <w:szCs w:val="18"/>
        </w:rPr>
        <w:t>财政部规定进行会计政策变更、投资性房地产会计政策变更、募集资金存放与使用、部分募投项目结余募集资金永久补充流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动资金、聘请财务审计单位及内部控制审计单位等事项分别形成了书面决议。</w:t>
      </w:r>
    </w:p>
    <w:p>
      <w:pPr>
        <w:spacing w:before="62"/>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、在内部控制方面</w:t>
      </w:r>
    </w:p>
    <w:p>
      <w:pPr>
        <w:spacing w:before="104"/>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）听取了公司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年度内部审计工作总结并作了相关评价，审议了公司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年度内部审计工作计划；</w:t>
      </w:r>
    </w:p>
    <w:p>
      <w:pPr>
        <w:spacing w:line="300" w:lineRule="auto" w:before="103"/>
        <w:ind w:left="152" w:right="11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）保持与内部控制建设部门和评价部门的沟通，通过电话、见面会的方式了解公司内部控制体系建设的进展、自查 和整改情况，审议了公司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年度内部控制评价工作方案。</w:t>
      </w:r>
    </w:p>
    <w:p>
      <w:pPr>
        <w:spacing w:before="51"/>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）听取了公司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3"/>
          <w:sz w:val="18"/>
          <w:szCs w:val="18"/>
        </w:rPr>
        <w:t>全</w:t>
      </w:r>
      <w:r>
        <w:rPr>
          <w:rFonts w:ascii="宋体" w:hAnsi="宋体" w:cs="宋体" w:eastAsia="宋体" w:hint="default"/>
          <w:sz w:val="18"/>
          <w:szCs w:val="18"/>
        </w:rPr>
        <w:t>面风险管理报告（全面风险管理职责已转董事会战略委员会</w:t>
      </w:r>
      <w:r>
        <w:rPr>
          <w:rFonts w:ascii="宋体" w:hAnsi="宋体" w:cs="宋体" w:eastAsia="宋体" w:hint="default"/>
          <w:spacing w:val="-89"/>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14"/>
          <w:szCs w:val="14"/>
        </w:rPr>
      </w:pPr>
    </w:p>
    <w:p>
      <w:pPr>
        <w:spacing w:before="0"/>
        <w:ind w:left="513" w:right="1133" w:firstLine="0"/>
        <w:jc w:val="left"/>
        <w:rPr>
          <w:rFonts w:ascii="宋体" w:hAnsi="宋体" w:cs="宋体" w:eastAsia="宋体" w:hint="default"/>
          <w:sz w:val="18"/>
          <w:szCs w:val="18"/>
        </w:rPr>
      </w:pPr>
      <w:r>
        <w:rPr>
          <w:rFonts w:ascii="宋体" w:hAnsi="宋体" w:cs="宋体" w:eastAsia="宋体" w:hint="default"/>
          <w:sz w:val="18"/>
          <w:szCs w:val="18"/>
        </w:rPr>
        <w:t>（二）董事会战略委员会履职情况</w:t>
      </w:r>
    </w:p>
    <w:p>
      <w:pPr>
        <w:spacing w:line="240" w:lineRule="auto" w:before="11"/>
        <w:rPr>
          <w:rFonts w:ascii="宋体" w:hAnsi="宋体" w:cs="宋体" w:eastAsia="宋体" w:hint="default"/>
          <w:sz w:val="14"/>
          <w:szCs w:val="14"/>
        </w:rPr>
      </w:pPr>
    </w:p>
    <w:p>
      <w:pPr>
        <w:spacing w:line="304" w:lineRule="auto" w:before="0"/>
        <w:ind w:left="152" w:right="1034" w:firstLine="360"/>
        <w:jc w:val="left"/>
        <w:rPr>
          <w:rFonts w:ascii="宋体" w:hAnsi="宋体" w:cs="宋体" w:eastAsia="宋体" w:hint="default"/>
          <w:sz w:val="18"/>
          <w:szCs w:val="18"/>
        </w:rPr>
      </w:pPr>
      <w:r>
        <w:rPr>
          <w:rFonts w:ascii="宋体" w:hAnsi="宋体" w:cs="宋体" w:eastAsia="宋体" w:hint="default"/>
          <w:sz w:val="18"/>
          <w:szCs w:val="18"/>
        </w:rPr>
        <w:t>董事会战略委员会成立于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月，由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名董事组成，其中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名为独立董事，主任委员由董事长担任。</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鉴于原董事长陈小军先生（原战略委员会主任委员）辞职，公司董事会选举新任董事长宋黎定先生为战略委员会主任委员；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月，鉴于原独立董事吴中海先生（原战略委员会委员）辞职，公司董事会选举新任独立董事李国敏先生为战略委 员会委员；</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月，鉴于原董事李峻先生（原战略委员会委员）辞职，公司董事会选举新任董事郭涵冰先生为战略委 </w:t>
      </w:r>
      <w:r>
        <w:rPr>
          <w:rFonts w:ascii="宋体" w:hAnsi="宋体" w:cs="宋体" w:eastAsia="宋体" w:hint="default"/>
          <w:spacing w:val="-2"/>
          <w:sz w:val="18"/>
          <w:szCs w:val="18"/>
        </w:rPr>
        <w:t>员会委员；公司董事会战略委员会的成员为宋黎定先生（主任委员）、徐刚先生、郭涵冰先生、李国敏先生。</w:t>
      </w:r>
    </w:p>
    <w:p>
      <w:pPr>
        <w:spacing w:line="319" w:lineRule="auto" w:before="68"/>
        <w:ind w:left="152" w:right="1133" w:firstLine="360"/>
        <w:jc w:val="left"/>
        <w:rPr>
          <w:rFonts w:ascii="宋体" w:hAnsi="宋体" w:cs="宋体" w:eastAsia="宋体" w:hint="default"/>
          <w:sz w:val="18"/>
          <w:szCs w:val="18"/>
        </w:rPr>
      </w:pPr>
      <w:r>
        <w:rPr>
          <w:rFonts w:ascii="宋体" w:hAnsi="宋体" w:cs="宋体" w:eastAsia="宋体" w:hint="default"/>
          <w:spacing w:val="-2"/>
          <w:sz w:val="18"/>
          <w:szCs w:val="18"/>
        </w:rPr>
        <w:t>报告期内，董事会战略委员会根据中国证监会、深交所及公司《董事会战略委员会工作条例》等相关规定，本着勤勉尽</w:t>
      </w:r>
      <w:r>
        <w:rPr>
          <w:rFonts w:ascii="宋体" w:hAnsi="宋体" w:cs="宋体" w:eastAsia="宋体" w:hint="default"/>
          <w:sz w:val="18"/>
          <w:szCs w:val="18"/>
        </w:rPr>
        <w:t> 责的原则，认真履职和开展工作，履行了以下工作职责：</w:t>
      </w:r>
    </w:p>
    <w:p>
      <w:pPr>
        <w:spacing w:line="300" w:lineRule="auto" w:before="58"/>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、根据地方主管部门对土地集约利用的要求，审议通过了总部基地及产业化项目（北地块）调整及追加投资事宜，对 项目设计方案进行优化和完善。</w:t>
      </w:r>
    </w:p>
    <w:p>
      <w:pPr>
        <w:spacing w:before="70"/>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、为加快推进低效无效资产的清理整合，优化资源配置，提升公司发展质量及管理效益，审议通过了出售凯杰科技</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100%</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股权事宜。</w:t>
      </w:r>
    </w:p>
    <w:p>
      <w:pPr>
        <w:spacing w:line="300" w:lineRule="auto" w:before="117"/>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、为有效提升长城信安的国产自主可控计算机研制生产水平，丰富产品线，扩大业务布局，提升公司在自主可控业务 板块的行业竞争力，审议通过了长城信安购买长城银河无形资产事宜。</w:t>
      </w:r>
    </w:p>
    <w:p>
      <w:pPr>
        <w:spacing w:after="0" w:line="300" w:lineRule="auto"/>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line="300" w:lineRule="auto" w:before="44"/>
        <w:ind w:left="152" w:right="1118"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7"/>
          <w:sz w:val="18"/>
          <w:szCs w:val="18"/>
        </w:rPr>
        <w:t>、</w:t>
      </w:r>
      <w:r>
        <w:rPr>
          <w:rFonts w:ascii="宋体" w:hAnsi="宋体" w:cs="宋体" w:eastAsia="宋体" w:hint="default"/>
          <w:sz w:val="18"/>
          <w:szCs w:val="18"/>
        </w:rPr>
        <w:t>为全面推进法治建设</w:t>
      </w:r>
      <w:r>
        <w:rPr>
          <w:rFonts w:ascii="宋体" w:hAnsi="宋体" w:cs="宋体" w:eastAsia="宋体" w:hint="default"/>
          <w:spacing w:val="-17"/>
          <w:sz w:val="18"/>
          <w:szCs w:val="18"/>
        </w:rPr>
        <w:t>，</w:t>
      </w:r>
      <w:r>
        <w:rPr>
          <w:rFonts w:ascii="宋体" w:hAnsi="宋体" w:cs="宋体" w:eastAsia="宋体" w:hint="default"/>
          <w:sz w:val="18"/>
          <w:szCs w:val="18"/>
        </w:rPr>
        <w:t>进一步提升法治能力</w:t>
      </w:r>
      <w:r>
        <w:rPr>
          <w:rFonts w:ascii="宋体" w:hAnsi="宋体" w:cs="宋体" w:eastAsia="宋体" w:hint="default"/>
          <w:spacing w:val="-17"/>
          <w:sz w:val="18"/>
          <w:szCs w:val="18"/>
        </w:rPr>
        <w:t>，</w:t>
      </w:r>
      <w:r>
        <w:rPr>
          <w:rFonts w:ascii="宋体" w:hAnsi="宋体" w:cs="宋体" w:eastAsia="宋体" w:hint="default"/>
          <w:sz w:val="18"/>
          <w:szCs w:val="18"/>
        </w:rPr>
        <w:t>审议通过</w:t>
      </w:r>
      <w:r>
        <w:rPr>
          <w:rFonts w:ascii="宋体" w:hAnsi="宋体" w:cs="宋体" w:eastAsia="宋体" w:hint="default"/>
          <w:spacing w:val="-17"/>
          <w:sz w:val="18"/>
          <w:szCs w:val="18"/>
        </w:rPr>
        <w:t>了</w:t>
      </w:r>
      <w:r>
        <w:rPr>
          <w:rFonts w:ascii="宋体" w:hAnsi="宋体" w:cs="宋体" w:eastAsia="宋体" w:hint="default"/>
          <w:sz w:val="18"/>
          <w:szCs w:val="18"/>
        </w:rPr>
        <w:t>《法治管理制度</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董事会战</w:t>
      </w:r>
      <w:r>
        <w:rPr>
          <w:rFonts w:ascii="宋体" w:hAnsi="宋体" w:cs="宋体" w:eastAsia="宋体" w:hint="default"/>
          <w:spacing w:val="2"/>
          <w:sz w:val="18"/>
          <w:szCs w:val="18"/>
        </w:rPr>
        <w:t>略</w:t>
      </w:r>
      <w:r>
        <w:rPr>
          <w:rFonts w:ascii="宋体" w:hAnsi="宋体" w:cs="宋体" w:eastAsia="宋体" w:hint="default"/>
          <w:sz w:val="18"/>
          <w:szCs w:val="18"/>
        </w:rPr>
        <w:t>委员会增加全面风险管理职</w:t>
      </w:r>
      <w:r>
        <w:rPr>
          <w:rFonts w:ascii="宋体" w:hAnsi="宋体" w:cs="宋体" w:eastAsia="宋体" w:hint="default"/>
          <w:sz w:val="18"/>
          <w:szCs w:val="18"/>
        </w:rPr>
        <w:t> 责并相应修订《董事会战略委员会工作条例</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300" w:lineRule="auto" w:before="72"/>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、湘财证券为公司其他权益工具投资，换股上市公司股票有利于提高资产流动性，审议通过了以换股方式向哈高科出 售所持湘财证券股份事宜。</w:t>
      </w:r>
    </w:p>
    <w:p>
      <w:pPr>
        <w:spacing w:line="300" w:lineRule="auto" w:before="70"/>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、为实现中原电子在高新电子板块的军工战略目标，强化经营管理效率，增加公司整体收益，同时为适应装备采购机 制改革，提升行业竞争力，审议通过了中原电子收购中元股份少数股东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4.98%</w:t>
      </w:r>
      <w:r>
        <w:rPr>
          <w:rFonts w:ascii="宋体" w:hAnsi="宋体" w:cs="宋体" w:eastAsia="宋体" w:hint="default"/>
          <w:sz w:val="18"/>
          <w:szCs w:val="18"/>
        </w:rPr>
        <w:t>股权的事宜。</w:t>
      </w:r>
    </w:p>
    <w:p>
      <w:pPr>
        <w:spacing w:line="300" w:lineRule="auto" w:before="53"/>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、为充分利用集团内部资源推进自主安全业务专业化的整合，保障公司在自主安全业务板块的战略目标实现，审议通 过了向华大半导体、中国振华收购天津飞腾部分股权事宜。</w:t>
      </w:r>
    </w:p>
    <w:p>
      <w:pPr>
        <w:spacing w:line="309" w:lineRule="auto" w:before="72"/>
        <w:ind w:left="152" w:right="10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、为充分利用公司在网络安全、智能制造方面的业务能力和技术优势，依托地方政府的政策及资源，强化自主创新产 品生产平台建设，保障公司主营业务发展，提前做好相关市场布局，审议通过了公司分别于河南省郑州市、山西省太原市、 </w:t>
      </w:r>
      <w:r>
        <w:rPr>
          <w:rFonts w:ascii="宋体" w:hAnsi="宋体" w:cs="宋体" w:eastAsia="宋体" w:hint="default"/>
          <w:spacing w:val="-4"/>
          <w:sz w:val="18"/>
          <w:szCs w:val="18"/>
        </w:rPr>
        <w:t>安徽省合肥市、浙江省温州市、新疆维吾尔自治区乌鲁木齐市投资建设自主创新产业化基地并设立项目配套全资子公司事宜。</w:t>
      </w:r>
    </w:p>
    <w:p>
      <w:pPr>
        <w:spacing w:line="300" w:lineRule="auto" w:before="62"/>
        <w:ind w:left="152" w:right="1127"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、为满足公司未来在自主安全整机一体化设计的需求，缩短产品研发周期，形成仿真服务能力，推动“</w:t>
      </w:r>
      <w:r>
        <w:rPr>
          <w:rFonts w:ascii="Times New Roman" w:hAnsi="Times New Roman" w:cs="Times New Roman" w:eastAsia="Times New Roman" w:hint="default"/>
          <w:spacing w:val="-1"/>
          <w:sz w:val="18"/>
          <w:szCs w:val="18"/>
        </w:rPr>
        <w:t>PK</w:t>
      </w:r>
      <w:r>
        <w:rPr>
          <w:rFonts w:ascii="宋体" w:hAnsi="宋体" w:cs="宋体" w:eastAsia="宋体" w:hint="default"/>
          <w:spacing w:val="-1"/>
          <w:sz w:val="18"/>
          <w:szCs w:val="18"/>
        </w:rPr>
        <w:t>”体系产业</w:t>
      </w:r>
      <w:r>
        <w:rPr>
          <w:rFonts w:ascii="宋体" w:hAnsi="宋体" w:cs="宋体" w:eastAsia="宋体" w:hint="default"/>
          <w:sz w:val="18"/>
          <w:szCs w:val="18"/>
        </w:rPr>
        <w:t> 链发展，审议通过了仿真工程技术中心一期项目。</w:t>
      </w:r>
    </w:p>
    <w:p>
      <w:pPr>
        <w:spacing w:line="300" w:lineRule="auto" w:before="73"/>
        <w:ind w:left="152" w:right="11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、为快速构建区域“</w:t>
      </w:r>
      <w:r>
        <w:rPr>
          <w:rFonts w:ascii="Times New Roman" w:hAnsi="Times New Roman" w:cs="Times New Roman" w:eastAsia="Times New Roman" w:hint="default"/>
          <w:sz w:val="18"/>
          <w:szCs w:val="18"/>
        </w:rPr>
        <w:t>PK</w:t>
      </w:r>
      <w:r>
        <w:rPr>
          <w:rFonts w:ascii="宋体" w:hAnsi="宋体" w:cs="宋体" w:eastAsia="宋体" w:hint="default"/>
          <w:sz w:val="18"/>
          <w:szCs w:val="18"/>
        </w:rPr>
        <w:t>”体系，增强自主安全业务销售能力，审议通过了山西长城与晨宇泰安、永信科技共同投资 设立公司事宜。</w:t>
      </w:r>
    </w:p>
    <w:p>
      <w:pPr>
        <w:spacing w:line="300" w:lineRule="auto" w:before="72"/>
        <w:ind w:left="152" w:right="1129"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、为进一步优化资源和节约管理成本，在充分提升公司资产整体利用效率的同时增加收益，审议通过了公开挂牌出售</w:t>
      </w:r>
      <w:r>
        <w:rPr>
          <w:rFonts w:ascii="宋体" w:hAnsi="宋体" w:cs="宋体" w:eastAsia="宋体" w:hint="default"/>
          <w:sz w:val="18"/>
          <w:szCs w:val="18"/>
        </w:rPr>
        <w:t> 深圳市南山区科技园琼宇路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栋所持有房产事宜。</w:t>
      </w:r>
    </w:p>
    <w:p>
      <w:pPr>
        <w:spacing w:before="51"/>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、为提升圣非凡市场营销规模和核心竞争力，培育公司新经济增长点，审议通过了圣非凡收购轨道交通研究院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股权事宜。</w:t>
      </w:r>
    </w:p>
    <w:p>
      <w:pPr>
        <w:spacing w:line="240" w:lineRule="auto" w:before="3"/>
        <w:rPr>
          <w:rFonts w:ascii="宋体" w:hAnsi="宋体" w:cs="宋体" w:eastAsia="宋体" w:hint="default"/>
          <w:sz w:val="15"/>
          <w:szCs w:val="15"/>
        </w:rPr>
      </w:pPr>
    </w:p>
    <w:p>
      <w:pPr>
        <w:spacing w:before="0"/>
        <w:ind w:left="513" w:right="1133" w:firstLine="0"/>
        <w:jc w:val="left"/>
        <w:rPr>
          <w:rFonts w:ascii="宋体" w:hAnsi="宋体" w:cs="宋体" w:eastAsia="宋体" w:hint="default"/>
          <w:sz w:val="18"/>
          <w:szCs w:val="18"/>
        </w:rPr>
      </w:pPr>
      <w:r>
        <w:rPr>
          <w:rFonts w:ascii="宋体" w:hAnsi="宋体" w:cs="宋体" w:eastAsia="宋体" w:hint="default"/>
          <w:sz w:val="18"/>
          <w:szCs w:val="18"/>
        </w:rPr>
        <w:t>（三）董事会薪酬与考核委员会履职情况</w:t>
      </w:r>
    </w:p>
    <w:p>
      <w:pPr>
        <w:spacing w:line="240" w:lineRule="auto" w:before="11"/>
        <w:rPr>
          <w:rFonts w:ascii="宋体" w:hAnsi="宋体" w:cs="宋体" w:eastAsia="宋体" w:hint="default"/>
          <w:sz w:val="14"/>
          <w:szCs w:val="14"/>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董事会薪酬与考核委员会成立于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月，主要负责制定公司董事及经理人员的考核标准，制定、审查公司董事及</w:t>
      </w:r>
    </w:p>
    <w:p>
      <w:pPr>
        <w:spacing w:line="300" w:lineRule="auto" w:before="63"/>
        <w:ind w:left="152" w:right="1114" w:firstLine="0"/>
        <w:jc w:val="left"/>
        <w:rPr>
          <w:rFonts w:ascii="宋体" w:hAnsi="宋体" w:cs="宋体" w:eastAsia="宋体" w:hint="default"/>
          <w:sz w:val="18"/>
          <w:szCs w:val="18"/>
        </w:rPr>
      </w:pPr>
      <w:r>
        <w:rPr>
          <w:rFonts w:ascii="宋体" w:hAnsi="宋体" w:cs="宋体" w:eastAsia="宋体" w:hint="default"/>
          <w:sz w:val="18"/>
          <w:szCs w:val="18"/>
        </w:rPr>
        <w:t>经理人员的薪酬政策与方案。董事会薪酬与考核委员会成员由</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名董事组成，其中</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名为独立董事，主任委员由独立董事担 </w:t>
      </w:r>
      <w:r>
        <w:rPr>
          <w:rFonts w:ascii="宋体" w:hAnsi="宋体" w:cs="宋体" w:eastAsia="宋体" w:hint="default"/>
          <w:spacing w:val="-3"/>
          <w:sz w:val="18"/>
          <w:szCs w:val="18"/>
        </w:rPr>
        <w:t>任。公司董事会薪酬与考核委员会的成员为蓝庆新先生（主任委员）、孔雪屏女士、虞世全先生。</w:t>
      </w:r>
    </w:p>
    <w:p>
      <w:pPr>
        <w:spacing w:line="316" w:lineRule="auto" w:before="72"/>
        <w:ind w:left="152" w:right="0" w:firstLine="360"/>
        <w:jc w:val="left"/>
        <w:rPr>
          <w:rFonts w:ascii="宋体" w:hAnsi="宋体" w:cs="宋体" w:eastAsia="宋体" w:hint="default"/>
          <w:sz w:val="18"/>
          <w:szCs w:val="18"/>
        </w:rPr>
      </w:pPr>
      <w:r>
        <w:rPr>
          <w:rFonts w:ascii="宋体" w:hAnsi="宋体" w:cs="宋体" w:eastAsia="宋体" w:hint="default"/>
          <w:spacing w:val="-4"/>
          <w:sz w:val="18"/>
          <w:szCs w:val="18"/>
        </w:rPr>
        <w:t>报告期内，董事会薪酬与考核委员会根据中国证监会、深交所及公司《董事会薪酬与考核委员会工作条例》等相关规定，</w:t>
      </w:r>
      <w:r>
        <w:rPr>
          <w:rFonts w:ascii="宋体" w:hAnsi="宋体" w:cs="宋体" w:eastAsia="宋体" w:hint="default"/>
          <w:sz w:val="18"/>
          <w:szCs w:val="18"/>
        </w:rPr>
        <w:t> 本着勤勉尽责的原则，认真履职和开展工作，履行了以下工作职责：</w:t>
      </w:r>
    </w:p>
    <w:p>
      <w:pPr>
        <w:spacing w:before="59"/>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、仔细核查了年度报告所披露的公司董事及经理人员的薪酬情况并发表意见。</w:t>
      </w:r>
    </w:p>
    <w:p>
      <w:pPr>
        <w:spacing w:line="300" w:lineRule="auto" w:before="101"/>
        <w:ind w:left="152" w:right="1116"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、结合公司经营情况和公司经营班子成员工作表现及任务完成情况，经综合衡量和研究，谨慎提出了</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年度经营班 子考核奖励建议及任期绩效奖励建议。</w:t>
      </w:r>
    </w:p>
    <w:p>
      <w:pPr>
        <w:spacing w:before="154"/>
        <w:ind w:left="513" w:right="1133" w:firstLine="0"/>
        <w:jc w:val="left"/>
        <w:rPr>
          <w:rFonts w:ascii="宋体" w:hAnsi="宋体" w:cs="宋体" w:eastAsia="宋体" w:hint="default"/>
          <w:sz w:val="18"/>
          <w:szCs w:val="18"/>
        </w:rPr>
      </w:pPr>
      <w:r>
        <w:rPr>
          <w:rFonts w:ascii="宋体" w:hAnsi="宋体" w:cs="宋体" w:eastAsia="宋体" w:hint="default"/>
          <w:sz w:val="18"/>
          <w:szCs w:val="18"/>
        </w:rPr>
        <w:t>（四）董事会提名委员会履职情况</w:t>
      </w:r>
    </w:p>
    <w:p>
      <w:pPr>
        <w:spacing w:line="240" w:lineRule="auto" w:before="11"/>
        <w:rPr>
          <w:rFonts w:ascii="宋体" w:hAnsi="宋体" w:cs="宋体" w:eastAsia="宋体" w:hint="default"/>
          <w:sz w:val="14"/>
          <w:szCs w:val="14"/>
        </w:rPr>
      </w:pPr>
    </w:p>
    <w:p>
      <w:pPr>
        <w:spacing w:line="309" w:lineRule="auto" w:before="0"/>
        <w:ind w:left="152" w:right="1128" w:firstLine="360"/>
        <w:jc w:val="both"/>
        <w:rPr>
          <w:rFonts w:ascii="宋体" w:hAnsi="宋体" w:cs="宋体" w:eastAsia="宋体" w:hint="default"/>
          <w:sz w:val="18"/>
          <w:szCs w:val="18"/>
        </w:rPr>
      </w:pPr>
      <w:r>
        <w:rPr>
          <w:rFonts w:ascii="宋体" w:hAnsi="宋体" w:cs="宋体" w:eastAsia="宋体" w:hint="default"/>
          <w:sz w:val="18"/>
          <w:szCs w:val="18"/>
        </w:rPr>
        <w:t>董事会提名委员会成立于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月，由</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名董事组成，其中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名为独立董事，主任委员由独立董事担任。</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月，鉴于原独立董事吴中海先生（原提名委员会主任委员）辞职，公司董事会选举新任独立董事李国敏先生为提名委员会委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员；公司董事会提名委员会的成员为李国敏先生（主任委员）、吕宝利先生、虞世全先生。</w:t>
      </w:r>
    </w:p>
    <w:p>
      <w:pPr>
        <w:spacing w:line="319" w:lineRule="auto" w:before="65"/>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报告期内，董事会提名委员会根据中国证监会、深交所及公司《董事会提名委员会工作条例》等相关规定，本着勤勉尽</w:t>
      </w:r>
      <w:r>
        <w:rPr>
          <w:rFonts w:ascii="宋体" w:hAnsi="宋体" w:cs="宋体" w:eastAsia="宋体" w:hint="default"/>
          <w:sz w:val="18"/>
          <w:szCs w:val="18"/>
        </w:rPr>
        <w:t> </w:t>
      </w:r>
      <w:r>
        <w:rPr>
          <w:rFonts w:ascii="宋体" w:hAnsi="宋体" w:cs="宋体" w:eastAsia="宋体" w:hint="default"/>
          <w:spacing w:val="-2"/>
          <w:sz w:val="18"/>
          <w:szCs w:val="18"/>
        </w:rPr>
        <w:t>责的原则认真履职，在提名公司董事候选人、高级管理人员的过程中按照中国证监会、深圳证券交易所任职相关规定对人选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资格进行了严格的审查考核后再将相关名单提报至公司董事会进行审批，配合公司董事会完成了董事、高级管理人员变更的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工作。</w:t>
      </w:r>
    </w:p>
    <w:p>
      <w:pPr>
        <w:spacing w:line="240" w:lineRule="auto" w:before="7"/>
        <w:rPr>
          <w:rFonts w:ascii="宋体" w:hAnsi="宋体" w:cs="宋体" w:eastAsia="宋体" w:hint="default"/>
          <w:sz w:val="20"/>
          <w:szCs w:val="20"/>
        </w:rPr>
      </w:pPr>
    </w:p>
    <w:p>
      <w:pPr>
        <w:pStyle w:val="Heading4"/>
        <w:spacing w:line="240" w:lineRule="auto"/>
        <w:ind w:right="1133"/>
        <w:jc w:val="left"/>
        <w:rPr>
          <w:b w:val="0"/>
          <w:bCs w:val="0"/>
        </w:rPr>
      </w:pPr>
      <w:r>
        <w:rPr/>
        <w:t>八、监事会工作情况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7"/>
        <w:ind w:left="15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before="44"/>
        <w:ind w:left="513" w:right="1133" w:firstLine="0"/>
        <w:jc w:val="left"/>
        <w:rPr>
          <w:rFonts w:ascii="宋体" w:hAnsi="宋体" w:cs="宋体" w:eastAsia="宋体" w:hint="default"/>
          <w:sz w:val="18"/>
          <w:szCs w:val="18"/>
        </w:rPr>
      </w:pPr>
      <w:r>
        <w:rPr>
          <w:rFonts w:ascii="宋体" w:hAnsi="宋体" w:cs="宋体" w:eastAsia="宋体" w:hint="default"/>
          <w:sz w:val="18"/>
          <w:szCs w:val="18"/>
        </w:rPr>
        <w:t>监事会对报告期内的监督事项无异议。</w:t>
      </w:r>
    </w:p>
    <w:p>
      <w:pPr>
        <w:spacing w:line="300" w:lineRule="auto" w:before="117"/>
        <w:ind w:left="152" w:right="1136"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pacing w:val="-8"/>
          <w:sz w:val="18"/>
          <w:szCs w:val="18"/>
        </w:rPr>
        <w:t>年度，公司监事会根据《公司法》、《公司章程》、《监事会议事规则》及有关法律、法规规定，依法认真履行了监</w:t>
      </w:r>
      <w:r>
        <w:rPr>
          <w:rFonts w:ascii="宋体" w:hAnsi="宋体" w:cs="宋体" w:eastAsia="宋体" w:hint="default"/>
          <w:sz w:val="18"/>
          <w:szCs w:val="18"/>
        </w:rPr>
        <w:t> 督及其他各项职能，在维护公司整体利益、股东合法权益、建立健全法人治理结构等方面发挥了应有的作用。</w:t>
      </w:r>
    </w:p>
    <w:p>
      <w:pPr>
        <w:spacing w:line="432" w:lineRule="exact" w:before="16"/>
        <w:ind w:left="513" w:right="6614" w:firstLine="0"/>
        <w:jc w:val="left"/>
        <w:rPr>
          <w:rFonts w:ascii="宋体" w:hAnsi="宋体" w:cs="宋体" w:eastAsia="宋体" w:hint="default"/>
          <w:sz w:val="18"/>
          <w:szCs w:val="18"/>
        </w:rPr>
      </w:pPr>
      <w:r>
        <w:rPr>
          <w:rFonts w:ascii="宋体" w:hAnsi="宋体" w:cs="宋体" w:eastAsia="宋体" w:hint="default"/>
          <w:sz w:val="18"/>
          <w:szCs w:val="18"/>
        </w:rPr>
        <w:t>（一）报告期内监事会会议情况 本报告期内监事会共召开了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次会议，分别是：</w:t>
      </w:r>
    </w:p>
    <w:p>
      <w:pPr>
        <w:spacing w:line="300" w:lineRule="auto" w:before="53"/>
        <w:ind w:left="15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日，公司以通讯方式召开第七届监事会第七次会议，审议通过了调整公司股票期权激励计划激励对 象名单、期权数量和行权价格及注销部分期权的议案。</w:t>
      </w:r>
    </w:p>
    <w:p>
      <w:pPr>
        <w:spacing w:line="309" w:lineRule="auto" w:before="72"/>
        <w:ind w:left="152"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日，公司以现场方式召开第七届监事会第八次会议，审议通过了</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年度报告和</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年一季度报 </w:t>
      </w:r>
      <w:r>
        <w:rPr>
          <w:rFonts w:ascii="宋体" w:hAnsi="宋体" w:cs="宋体" w:eastAsia="宋体" w:hint="default"/>
          <w:spacing w:val="-2"/>
          <w:sz w:val="18"/>
          <w:szCs w:val="18"/>
        </w:rPr>
        <w:t>告相关议案，包括监事会工作报告、计提资产减值准备及核销、业绩承诺实现情况及业绩补偿方案、原长城信息募集资金存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放与使用情况、内部控制评价报告、关联方资金占用、会计政策变更等议案。</w:t>
      </w:r>
    </w:p>
    <w:p>
      <w:pPr>
        <w:spacing w:line="300" w:lineRule="auto" w:before="65"/>
        <w:ind w:left="152" w:right="1042" w:firstLine="36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日，公司以现场方式召开第七届监事会第九次会议，审议通过了</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年半年度报告、会计政策变更、</w:t>
      </w:r>
      <w:r>
        <w:rPr>
          <w:rFonts w:ascii="宋体" w:hAnsi="宋体" w:cs="宋体" w:eastAsia="宋体" w:hint="default"/>
          <w:sz w:val="18"/>
          <w:szCs w:val="18"/>
        </w:rPr>
        <w:t> 原长城信息募集资金部分募投项目结项并将结余募集资金永久补充流动资金、原长城信息募集资金存放与使用等议案。</w:t>
      </w:r>
    </w:p>
    <w:p>
      <w:pPr>
        <w:spacing w:before="70"/>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日，公司以通讯方式召开第七届监事会第十次会议，审议通过了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年三季度报告。</w:t>
      </w:r>
    </w:p>
    <w:p>
      <w:pPr>
        <w:spacing w:before="10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日，公司以通讯方式召开第七届监事会第十一次会议，审议通过了投资性房地产会计政策变更的议</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案。</w:t>
      </w:r>
    </w:p>
    <w:p>
      <w:pPr>
        <w:spacing w:line="240" w:lineRule="auto" w:before="10"/>
        <w:rPr>
          <w:rFonts w:ascii="宋体" w:hAnsi="宋体" w:cs="宋体" w:eastAsia="宋体" w:hint="default"/>
          <w:sz w:val="11"/>
          <w:szCs w:val="11"/>
        </w:rPr>
      </w:pPr>
    </w:p>
    <w:p>
      <w:pPr>
        <w:spacing w:before="44"/>
        <w:ind w:left="513" w:right="1133" w:firstLine="0"/>
        <w:jc w:val="left"/>
        <w:rPr>
          <w:rFonts w:ascii="宋体" w:hAnsi="宋体" w:cs="宋体" w:eastAsia="宋体" w:hint="default"/>
          <w:sz w:val="18"/>
          <w:szCs w:val="18"/>
        </w:rPr>
      </w:pPr>
      <w:r>
        <w:rPr>
          <w:rFonts w:ascii="宋体" w:hAnsi="宋体" w:cs="宋体" w:eastAsia="宋体" w:hint="default"/>
          <w:sz w:val="18"/>
          <w:szCs w:val="18"/>
        </w:rPr>
        <w:t>（二）监事会对公司有关经营运作情况的意见</w:t>
      </w:r>
    </w:p>
    <w:p>
      <w:pPr>
        <w:spacing w:line="240" w:lineRule="auto" w:before="11"/>
        <w:rPr>
          <w:rFonts w:ascii="宋体" w:hAnsi="宋体" w:cs="宋体" w:eastAsia="宋体" w:hint="default"/>
          <w:sz w:val="14"/>
          <w:szCs w:val="14"/>
        </w:rPr>
      </w:pPr>
    </w:p>
    <w:p>
      <w:pPr>
        <w:spacing w:line="340" w:lineRule="auto" w:before="0"/>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、公司依法运作情况 </w:t>
      </w:r>
      <w:r>
        <w:rPr>
          <w:rFonts w:ascii="宋体" w:hAnsi="宋体" w:cs="宋体" w:eastAsia="宋体" w:hint="default"/>
          <w:spacing w:val="-2"/>
          <w:sz w:val="18"/>
          <w:szCs w:val="18"/>
        </w:rPr>
        <w:t>报告期内，公司监事会根据国家有关法律、法规，认真履行职责，对公司股东大会和董事会的召开程序及决议事项、董</w:t>
      </w:r>
    </w:p>
    <w:p>
      <w:pPr>
        <w:spacing w:line="316" w:lineRule="auto" w:before="1"/>
        <w:ind w:left="152" w:right="1129" w:firstLine="0"/>
        <w:jc w:val="both"/>
        <w:rPr>
          <w:rFonts w:ascii="宋体" w:hAnsi="宋体" w:cs="宋体" w:eastAsia="宋体" w:hint="default"/>
          <w:sz w:val="18"/>
          <w:szCs w:val="18"/>
        </w:rPr>
      </w:pPr>
      <w:r>
        <w:rPr>
          <w:rFonts w:ascii="宋体" w:hAnsi="宋体" w:cs="宋体" w:eastAsia="宋体" w:hint="default"/>
          <w:spacing w:val="-2"/>
          <w:sz w:val="18"/>
          <w:szCs w:val="18"/>
        </w:rPr>
        <w:t>事会对股东大会决议执行情况、公司董事和高级管理人员的执行职务情况及公司管理制度执行情况等进行了监督。监事会认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4"/>
          <w:sz w:val="18"/>
          <w:szCs w:val="18"/>
        </w:rPr>
        <w:t>为，公司董事会在报告期内能按照《公司法》、《证券法》、《公司章程》、《上市公司治理准则》、《深圳证券交易所股票上市规</w:t>
      </w:r>
      <w:r>
        <w:rPr>
          <w:rFonts w:ascii="宋体" w:hAnsi="宋体" w:cs="宋体" w:eastAsia="宋体" w:hint="default"/>
          <w:sz w:val="18"/>
          <w:szCs w:val="18"/>
        </w:rPr>
        <w:t> </w:t>
      </w:r>
      <w:r>
        <w:rPr>
          <w:rFonts w:ascii="宋体" w:hAnsi="宋体" w:cs="宋体" w:eastAsia="宋体" w:hint="default"/>
          <w:spacing w:val="-2"/>
          <w:sz w:val="18"/>
          <w:szCs w:val="18"/>
        </w:rPr>
        <w:t>则》等相关法律、法规进行规范运作，能够严格执行股东大会的各项决议和授权，决策程序科学、合法，公司各项管理制度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较为健全并得到了执行。公司董事会成员、经营班子成员及其它高级管理人员在执行职务时没有发现违反国家法律法规、公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司章程和损害公司利益、股东权益的情况。</w:t>
      </w:r>
    </w:p>
    <w:p>
      <w:pPr>
        <w:spacing w:line="340" w:lineRule="auto" w:before="57"/>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、检查公司财务情况 </w:t>
      </w:r>
      <w:r>
        <w:rPr>
          <w:rFonts w:ascii="宋体" w:hAnsi="宋体" w:cs="宋体" w:eastAsia="宋体" w:hint="default"/>
          <w:spacing w:val="-2"/>
          <w:sz w:val="18"/>
          <w:szCs w:val="18"/>
        </w:rPr>
        <w:t>报告期内，公司监事会及时了解公司经营和财务状况，认真核查了公司季度、半年度、年度财务报告及有关文件，并对</w:t>
      </w:r>
    </w:p>
    <w:p>
      <w:pPr>
        <w:spacing w:line="316" w:lineRule="auto" w:before="1"/>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各定期报告出具了审核意见；公司计提资产减值准备及核销，决策程序符合法律法规的有关规定，符合上市公司监管机构的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有关要求。</w:t>
      </w:r>
    </w:p>
    <w:p>
      <w:pPr>
        <w:spacing w:line="316" w:lineRule="auto" w:before="59"/>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公司根据财政部发布的新金融工具系列准则相关文件要求，以及财务报表列报格式要求进行会计政策变更，符合相关规</w:t>
      </w:r>
      <w:r>
        <w:rPr>
          <w:rFonts w:ascii="宋体" w:hAnsi="宋体" w:cs="宋体" w:eastAsia="宋体" w:hint="default"/>
          <w:sz w:val="18"/>
          <w:szCs w:val="18"/>
        </w:rPr>
        <w:t> </w:t>
      </w:r>
      <w:r>
        <w:rPr>
          <w:rFonts w:ascii="宋体" w:hAnsi="宋体" w:cs="宋体" w:eastAsia="宋体" w:hint="default"/>
          <w:spacing w:val="-2"/>
          <w:sz w:val="18"/>
          <w:szCs w:val="18"/>
        </w:rPr>
        <w:t>定和公司实际情况，会计政策变更的审批程序符合法律、法规以及《公司章程》的规定，不存在损害公司及全体股东利益的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情形；公司对所持有的投资性房地产的后续计量由成本计量模式变更为公允价值计量模式符合《企业会计准则第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5"/>
          <w:sz w:val="18"/>
          <w:szCs w:val="18"/>
        </w:rPr>
        <w:t> </w:t>
      </w:r>
      <w:r>
        <w:rPr>
          <w:rFonts w:ascii="宋体" w:hAnsi="宋体" w:cs="宋体" w:eastAsia="宋体" w:hint="default"/>
          <w:spacing w:val="-1"/>
          <w:sz w:val="18"/>
          <w:szCs w:val="18"/>
        </w:rPr>
        <w:t>号—投资</w:t>
      </w:r>
    </w:p>
    <w:p>
      <w:pPr>
        <w:spacing w:line="300" w:lineRule="auto" w:before="0"/>
        <w:ind w:left="152" w:right="1134" w:firstLine="0"/>
        <w:jc w:val="both"/>
        <w:rPr>
          <w:rFonts w:ascii="宋体" w:hAnsi="宋体" w:cs="宋体" w:eastAsia="宋体" w:hint="default"/>
          <w:sz w:val="18"/>
          <w:szCs w:val="18"/>
        </w:rPr>
      </w:pPr>
      <w:r>
        <w:rPr>
          <w:rFonts w:ascii="宋体" w:hAnsi="宋体" w:cs="宋体" w:eastAsia="宋体" w:hint="default"/>
          <w:spacing w:val="-14"/>
          <w:sz w:val="18"/>
          <w:szCs w:val="18"/>
        </w:rPr>
        <w:t>性房地产》、《企业会计准则第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1"/>
          <w:sz w:val="18"/>
          <w:szCs w:val="18"/>
        </w:rPr>
        <w:t>号—会计政策、会计估计变更和差错更正》的相关规定，能够客观、动态地反映公司所持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有的投资性房地产的公允价值，有利于更加客观、公允反映公司财务状况和经营成果，没有损害公司和全体股东的利益。</w:t>
      </w:r>
    </w:p>
    <w:p>
      <w:pPr>
        <w:spacing w:line="316" w:lineRule="auto" w:before="70"/>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总体来说，公司财务运作规范，财务报告真实地反映了公司的财务状况和经营成果。监事会认为，立信会计师事务所审</w:t>
      </w:r>
      <w:r>
        <w:rPr>
          <w:rFonts w:ascii="宋体" w:hAnsi="宋体" w:cs="宋体" w:eastAsia="宋体" w:hint="default"/>
          <w:sz w:val="18"/>
          <w:szCs w:val="18"/>
        </w:rPr>
        <w:t> 计后出具的标准无保留意见年度财务审计报告真实、客观反映了公司的财务状况和经营成果。</w:t>
      </w:r>
    </w:p>
    <w:p>
      <w:pPr>
        <w:spacing w:line="340" w:lineRule="auto" w:before="60"/>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、对股票期权激励计划的意见 </w:t>
      </w:r>
      <w:r>
        <w:rPr>
          <w:rFonts w:ascii="宋体" w:hAnsi="宋体" w:cs="宋体" w:eastAsia="宋体" w:hint="default"/>
          <w:spacing w:val="-2"/>
          <w:sz w:val="18"/>
          <w:szCs w:val="18"/>
        </w:rPr>
        <w:t>监事会认为公司调整股票期权激励计划激励对象名单、期权数量和行权价格及注销部分期权事项符合有关法律、法规及</w:t>
      </w:r>
    </w:p>
    <w:p>
      <w:pPr>
        <w:spacing w:line="309" w:lineRule="auto" w:before="1"/>
        <w:ind w:left="152" w:right="1133" w:firstLine="0"/>
        <w:jc w:val="both"/>
        <w:rPr>
          <w:rFonts w:ascii="宋体" w:hAnsi="宋体" w:cs="宋体" w:eastAsia="宋体" w:hint="default"/>
          <w:sz w:val="18"/>
          <w:szCs w:val="18"/>
        </w:rPr>
      </w:pPr>
      <w:r>
        <w:rPr>
          <w:rFonts w:ascii="宋体" w:hAnsi="宋体" w:cs="宋体" w:eastAsia="宋体" w:hint="default"/>
          <w:spacing w:val="-2"/>
          <w:sz w:val="18"/>
          <w:szCs w:val="18"/>
        </w:rPr>
        <w:t>《中国长城科技集团股份有限公司股票期权激励计划（草案修订稿）》的相关规定，不存在损害股东利益的情况。调整后的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pacing w:val="-1"/>
          <w:sz w:val="18"/>
          <w:szCs w:val="18"/>
        </w:rPr>
        <w:t>570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名激励对象的主体资格合法、有效；调整行权价格的计算方法、确定过程合法、有效。同意公司调整激励对象名单、期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权数量和行权价格及注销部分期权。</w:t>
      </w:r>
    </w:p>
    <w:p>
      <w:pPr>
        <w:spacing w:line="340" w:lineRule="auto" w:before="62"/>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、对募集资金使用情况的意见 </w:t>
      </w:r>
      <w:r>
        <w:rPr>
          <w:rFonts w:ascii="宋体" w:hAnsi="宋体" w:cs="宋体" w:eastAsia="宋体" w:hint="default"/>
          <w:spacing w:val="-2"/>
          <w:sz w:val="18"/>
          <w:szCs w:val="18"/>
        </w:rPr>
        <w:t>公司监事会及时了解原长城信息募集资金投资项目情况，认真审核募集资金存放与使用情况专项报告、部分募投项目结</w:t>
      </w:r>
    </w:p>
    <w:p>
      <w:pPr>
        <w:spacing w:after="0" w:line="340" w:lineRule="auto"/>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line="319" w:lineRule="auto" w:before="44"/>
        <w:ind w:left="152" w:right="1133" w:firstLine="0"/>
        <w:jc w:val="both"/>
        <w:rPr>
          <w:rFonts w:ascii="宋体" w:hAnsi="宋体" w:cs="宋体" w:eastAsia="宋体" w:hint="default"/>
          <w:sz w:val="18"/>
          <w:szCs w:val="18"/>
        </w:rPr>
      </w:pPr>
      <w:r>
        <w:rPr>
          <w:rFonts w:ascii="宋体" w:hAnsi="宋体" w:cs="宋体" w:eastAsia="宋体" w:hint="default"/>
          <w:spacing w:val="-2"/>
          <w:sz w:val="18"/>
          <w:szCs w:val="18"/>
        </w:rPr>
        <w:t>项并将结余募集资金永久补充流动资金等事项，并出具了意见。公司募集资金存放、使用、管理符合中国证监会、深圳证券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交易所及公司规章制度的相关规定，不存在募集资金存放与使用违规的情形，不存在损害公司股东特别是中小股东利益的情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形。</w:t>
      </w:r>
    </w:p>
    <w:p>
      <w:pPr>
        <w:spacing w:before="58"/>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、对业绩承诺实现情况及业绩补偿方案的意见</w:t>
      </w:r>
    </w:p>
    <w:p>
      <w:pPr>
        <w:spacing w:line="309" w:lineRule="auto" w:before="101"/>
        <w:ind w:left="152" w:right="1132" w:firstLine="360"/>
        <w:jc w:val="both"/>
        <w:rPr>
          <w:rFonts w:ascii="宋体" w:hAnsi="宋体" w:cs="宋体" w:eastAsia="宋体" w:hint="default"/>
          <w:sz w:val="18"/>
          <w:szCs w:val="18"/>
        </w:rPr>
      </w:pPr>
      <w:r>
        <w:rPr>
          <w:rFonts w:ascii="宋体" w:hAnsi="宋体" w:cs="宋体" w:eastAsia="宋体" w:hint="default"/>
          <w:sz w:val="18"/>
          <w:szCs w:val="18"/>
        </w:rPr>
        <w:t>公司董事会对重大资产重组购入资产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年度业绩承诺实现情况、未达业绩承诺补偿方案的决议程序符合法律法规的 </w:t>
      </w:r>
      <w:r>
        <w:rPr>
          <w:rFonts w:ascii="宋体" w:hAnsi="宋体" w:cs="宋体" w:eastAsia="宋体" w:hint="default"/>
          <w:spacing w:val="-2"/>
          <w:sz w:val="18"/>
          <w:szCs w:val="18"/>
        </w:rPr>
        <w:t>有关规定，符合《上市公司重大资产重组管理办法》的要求；业绩补偿方案符合协议约定，能充分保障公司的利益；公司监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事会将督促重组相关方履行承诺。报告期内，业绩补偿承诺已严格执行。</w:t>
      </w:r>
    </w:p>
    <w:p>
      <w:pPr>
        <w:spacing w:line="340" w:lineRule="auto" w:before="65"/>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、对收购、出售资产的意见 </w:t>
      </w:r>
      <w:r>
        <w:rPr>
          <w:rFonts w:ascii="宋体" w:hAnsi="宋体" w:cs="宋体" w:eastAsia="宋体" w:hint="default"/>
          <w:spacing w:val="-2"/>
          <w:sz w:val="18"/>
          <w:szCs w:val="18"/>
        </w:rPr>
        <w:t>报告期内，公司在收购股权、对外投资、购买资产、出售资产等有关资产购处置的行为时，均严格按照相关法律法规履</w:t>
      </w:r>
    </w:p>
    <w:p>
      <w:pPr>
        <w:spacing w:line="316" w:lineRule="auto" w:before="1"/>
        <w:ind w:left="152" w:right="1129" w:firstLine="0"/>
        <w:jc w:val="left"/>
        <w:rPr>
          <w:rFonts w:ascii="宋体" w:hAnsi="宋体" w:cs="宋体" w:eastAsia="宋体" w:hint="default"/>
          <w:sz w:val="18"/>
          <w:szCs w:val="18"/>
        </w:rPr>
      </w:pPr>
      <w:r>
        <w:rPr>
          <w:rFonts w:ascii="宋体" w:hAnsi="宋体" w:cs="宋体" w:eastAsia="宋体" w:hint="default"/>
          <w:spacing w:val="-2"/>
          <w:sz w:val="18"/>
          <w:szCs w:val="18"/>
        </w:rPr>
        <w:t>行了必要的审批程序和信息披露义务。董事会、股东大会的表决程序合法合规，交易公开、公平、合理，不存在内幕交易损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害部分股东权益或造成公司资产流失的情况。</w:t>
      </w:r>
    </w:p>
    <w:p>
      <w:pPr>
        <w:spacing w:line="340" w:lineRule="auto" w:before="57"/>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、对公司关联交易的意见 </w:t>
      </w:r>
      <w:r>
        <w:rPr>
          <w:rFonts w:ascii="宋体" w:hAnsi="宋体" w:cs="宋体" w:eastAsia="宋体" w:hint="default"/>
          <w:spacing w:val="-2"/>
          <w:sz w:val="18"/>
          <w:szCs w:val="18"/>
        </w:rPr>
        <w:t>报告期内，公司在进行关联交易事项时，均能够遵守有关关联交易的规范程序，交易过程遵循公平、合理的原则，未发</w:t>
      </w:r>
    </w:p>
    <w:p>
      <w:pPr>
        <w:spacing w:before="1"/>
        <w:ind w:left="152" w:right="0" w:firstLine="0"/>
        <w:jc w:val="both"/>
        <w:rPr>
          <w:rFonts w:ascii="宋体" w:hAnsi="宋体" w:cs="宋体" w:eastAsia="宋体" w:hint="default"/>
          <w:sz w:val="18"/>
          <w:szCs w:val="18"/>
        </w:rPr>
      </w:pPr>
      <w:r>
        <w:rPr>
          <w:rFonts w:ascii="宋体" w:hAnsi="宋体" w:cs="宋体" w:eastAsia="宋体" w:hint="default"/>
          <w:sz w:val="18"/>
          <w:szCs w:val="18"/>
        </w:rPr>
        <w:t>现有损害公司利益的情况。</w:t>
      </w:r>
    </w:p>
    <w:p>
      <w:pPr>
        <w:spacing w:line="300" w:lineRule="auto" w:before="117"/>
        <w:ind w:left="152" w:right="1134" w:firstLine="360"/>
        <w:jc w:val="both"/>
        <w:rPr>
          <w:rFonts w:ascii="宋体" w:hAnsi="宋体" w:cs="宋体" w:eastAsia="宋体" w:hint="default"/>
          <w:sz w:val="18"/>
          <w:szCs w:val="18"/>
        </w:rPr>
      </w:pPr>
      <w:r>
        <w:rPr>
          <w:rFonts w:ascii="宋体" w:hAnsi="宋体" w:cs="宋体" w:eastAsia="宋体" w:hint="default"/>
          <w:sz w:val="18"/>
          <w:szCs w:val="18"/>
        </w:rPr>
        <w:t>公司严格防范控股股东及关联方资金占用的风险，</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年度不存在因控股股东及其关联方占用或转移公司资金、资产 或其他资源而给公司造成损失或可能造成损失的情形。</w:t>
      </w:r>
    </w:p>
    <w:p>
      <w:pPr>
        <w:spacing w:line="340" w:lineRule="auto" w:before="70"/>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、对公司信息披露事务管理制度实施情况的意见 </w:t>
      </w:r>
      <w:r>
        <w:rPr>
          <w:rFonts w:ascii="宋体" w:hAnsi="宋体" w:cs="宋体" w:eastAsia="宋体" w:hint="default"/>
          <w:spacing w:val="-2"/>
          <w:sz w:val="18"/>
          <w:szCs w:val="18"/>
        </w:rPr>
        <w:t>报告期内，公司严格按照《信息披露管理制度》的规定和监管部门的要求，履行信息披露义务。按照有关规定开展重大</w:t>
      </w:r>
    </w:p>
    <w:p>
      <w:pPr>
        <w:spacing w:line="316" w:lineRule="auto" w:before="1"/>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信息的传递、审核和披露，严格控制内幕信息传递范围，依照有关法律法规要求做好内幕知情人登记管理，未发生因涉嫌内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幕交易被监管部门采取监管措施及行政处罚的情况；董事、监事、高级管理人员忠实、勤勉地履行职责，保证披露信息的真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实、准确、完整、及时、公平；公司不存在信息披露违法违规的情形。</w:t>
      </w:r>
    </w:p>
    <w:p>
      <w:pPr>
        <w:spacing w:line="430" w:lineRule="exact" w:before="7"/>
        <w:ind w:left="513" w:right="1129" w:firstLine="0"/>
        <w:jc w:val="left"/>
        <w:rPr>
          <w:rFonts w:ascii="宋体" w:hAnsi="宋体" w:cs="宋体" w:eastAsia="宋体" w:hint="default"/>
          <w:sz w:val="18"/>
          <w:szCs w:val="18"/>
        </w:rPr>
      </w:pPr>
      <w:r>
        <w:rPr>
          <w:rFonts w:ascii="宋体" w:hAnsi="宋体" w:cs="宋体" w:eastAsia="宋体" w:hint="default"/>
          <w:sz w:val="18"/>
          <w:szCs w:val="18"/>
        </w:rPr>
        <w:t>（三）监事会对公司内部控制评价报告的意见 </w:t>
      </w:r>
      <w:r>
        <w:rPr>
          <w:rFonts w:ascii="宋体" w:hAnsi="宋体" w:cs="宋体" w:eastAsia="宋体" w:hint="default"/>
          <w:spacing w:val="-2"/>
          <w:sz w:val="18"/>
          <w:szCs w:val="18"/>
        </w:rPr>
        <w:t>公司监事会认为：公司已建立了较为健全的内部控制体系，制订了较为完善、合理的内部控制制度，公司的内控制度符</w:t>
      </w:r>
    </w:p>
    <w:p>
      <w:pPr>
        <w:spacing w:before="16"/>
        <w:ind w:left="152" w:right="0" w:firstLine="0"/>
        <w:jc w:val="both"/>
        <w:rPr>
          <w:rFonts w:ascii="宋体" w:hAnsi="宋体" w:cs="宋体" w:eastAsia="宋体" w:hint="default"/>
          <w:sz w:val="18"/>
          <w:szCs w:val="18"/>
        </w:rPr>
      </w:pPr>
      <w:r>
        <w:rPr>
          <w:rFonts w:ascii="宋体" w:hAnsi="宋体" w:cs="宋体" w:eastAsia="宋体" w:hint="default"/>
          <w:sz w:val="18"/>
          <w:szCs w:val="18"/>
        </w:rPr>
        <w:t>合国家有关法规和证券监管部门的要求，并在公司运营的各个环节中予以执行和落实，不存在重大缺陷。董事会出具的公司</w:t>
      </w:r>
    </w:p>
    <w:p>
      <w:pPr>
        <w:spacing w:before="76"/>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年度内部控制评价报告》评价客观真实，同意公司董事会按此披露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年度公司内部控制情况及相关评价。</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r>
        <w:rPr/>
        <w:t>九、高级管理人员的考评及激励情况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公司董事会按照经营指标、企业发展及重点工作任务指标等的完成情况等对高级管理人员进行考评，按照考评结果决定</w:t>
      </w:r>
      <w:r>
        <w:rPr>
          <w:rFonts w:ascii="宋体" w:hAnsi="宋体" w:cs="宋体" w:eastAsia="宋体" w:hint="default"/>
          <w:sz w:val="18"/>
          <w:szCs w:val="18"/>
        </w:rPr>
        <w:t> 其报酬、留用与否、晋升或降级。</w:t>
      </w:r>
    </w:p>
    <w:p>
      <w:pPr>
        <w:spacing w:line="316" w:lineRule="auto" w:before="59"/>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公司将按照市场化原则不断完善考评及激励机制，对高级管理人员实行薪酬收入与管理水平、经营业绩挂钩，充分调动</w:t>
      </w:r>
      <w:r>
        <w:rPr>
          <w:rFonts w:ascii="宋体" w:hAnsi="宋体" w:cs="宋体" w:eastAsia="宋体" w:hint="default"/>
          <w:sz w:val="18"/>
          <w:szCs w:val="18"/>
        </w:rPr>
        <w:t> 高级管理人员的积极性和创新能力，切实推动公司效益提升。</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t>十、内部控制情况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left="152"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18"/>
        <w:ind w:left="152"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7"/>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193"/>
        <w:gridCol w:w="6375"/>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89" w:footer="975" w:top="1100" w:bottom="1160" w:left="980" w:right="0"/>
        </w:sectPr>
      </w:pPr>
    </w:p>
    <w:p>
      <w:pPr>
        <w:spacing w:line="240" w:lineRule="auto" w:before="2"/>
        <w:rPr>
          <w:rFonts w:ascii="宋体" w:hAnsi="宋体" w:cs="宋体" w:eastAsia="宋体" w:hint="default"/>
          <w:b/>
          <w:bCs/>
          <w:sz w:val="25"/>
          <w:szCs w:val="25"/>
        </w:rPr>
      </w:pPr>
    </w:p>
    <w:tbl>
      <w:tblPr>
        <w:tblW w:w="0" w:type="auto"/>
        <w:jc w:val="left"/>
        <w:tblInd w:w="196" w:type="dxa"/>
        <w:tblLayout w:type="fixed"/>
        <w:tblCellMar>
          <w:top w:w="0" w:type="dxa"/>
          <w:left w:w="0" w:type="dxa"/>
          <w:bottom w:w="0" w:type="dxa"/>
          <w:right w:w="0" w:type="dxa"/>
        </w:tblCellMar>
        <w:tblLook w:val="01E0"/>
      </w:tblPr>
      <w:tblGrid>
        <w:gridCol w:w="3176"/>
        <w:gridCol w:w="3330"/>
        <w:gridCol w:w="3051"/>
      </w:tblGrid>
      <w:tr>
        <w:trPr>
          <w:trHeight w:val="161"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1" w:type="dxa"/>
            <w:gridSpan w:val="2"/>
            <w:vMerge w:val="restart"/>
            <w:tcBorders>
              <w:top w:val="single" w:sz="4" w:space="0" w:color="000000"/>
              <w:left w:val="single" w:sz="4" w:space="0" w:color="000000"/>
              <w:right w:val="single" w:sz="4" w:space="0" w:color="000000"/>
            </w:tcBorders>
          </w:tcPr>
          <w:p>
            <w:pPr>
              <w:pStyle w:val="TableParagraph"/>
              <w:spacing w:line="300" w:lineRule="auto" w:before="51"/>
              <w:ind w:left="31" w:right="17"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公告名称：中国长城科技集团股份有限公司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年度内部控制评价报告；披</w:t>
            </w:r>
            <w:r>
              <w:rPr>
                <w:rFonts w:ascii="宋体" w:hAnsi="宋体" w:cs="宋体" w:eastAsia="宋体" w:hint="default"/>
                <w:sz w:val="18"/>
                <w:szCs w:val="18"/>
              </w:rPr>
              <w:t> 露网址：</w:t>
            </w:r>
            <w:hyperlink r:id="rId9">
              <w:r>
                <w:rPr>
                  <w:rFonts w:ascii="Times New Roman" w:hAnsi="Times New Roman" w:cs="Times New Roman" w:eastAsia="Times New Roman" w:hint="default"/>
                  <w:sz w:val="18"/>
                  <w:szCs w:val="18"/>
                </w:rPr>
                <w:t>www.cninfo.com.cn</w:t>
              </w:r>
            </w:hyperlink>
          </w:p>
        </w:tc>
      </w:tr>
      <w:tr>
        <w:trPr>
          <w:trHeight w:val="392"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vMerge/>
            <w:tcBorders>
              <w:left w:val="single" w:sz="4" w:space="0" w:color="000000"/>
              <w:right w:val="single" w:sz="4" w:space="0" w:color="000000"/>
            </w:tcBorders>
          </w:tcPr>
          <w:p>
            <w:pPr/>
          </w:p>
        </w:tc>
      </w:tr>
      <w:tr>
        <w:trPr>
          <w:trHeight w:val="161"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1" w:type="dxa"/>
            <w:gridSpan w:val="2"/>
            <w:vMerge/>
            <w:tcBorders>
              <w:left w:val="single" w:sz="4" w:space="0" w:color="000000"/>
              <w:bottom w:val="single" w:sz="4" w:space="0" w:color="000000"/>
              <w:right w:val="single" w:sz="4" w:space="0" w:color="000000"/>
            </w:tcBorders>
          </w:tcPr>
          <w:p>
            <w:pPr/>
          </w:p>
        </w:tc>
      </w:tr>
      <w:tr>
        <w:trPr>
          <w:trHeight w:val="715"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96.97%</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99.83%</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详见以下说明</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详见以下说明</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9"/>
          <w:szCs w:val="19"/>
        </w:rPr>
      </w:pPr>
    </w:p>
    <w:p>
      <w:pPr>
        <w:pStyle w:val="Heading5"/>
        <w:spacing w:line="240" w:lineRule="auto"/>
        <w:ind w:left="152" w:right="1133"/>
        <w:jc w:val="left"/>
        <w:rPr>
          <w:b w:val="0"/>
          <w:bCs w:val="0"/>
        </w:rPr>
      </w:pPr>
      <w:r>
        <w:rPr>
          <w:rFonts w:ascii="Times New Roman" w:hAnsi="Times New Roman" w:cs="Times New Roman" w:eastAsia="Times New Roman" w:hint="default"/>
        </w:rPr>
        <w:t>3</w:t>
      </w:r>
      <w:r>
        <w:rPr/>
        <w:t>、缺陷认定标准说明</w:t>
      </w:r>
      <w:r>
        <w:rPr>
          <w:b w:val="0"/>
          <w:bCs w:val="0"/>
        </w:rPr>
      </w:r>
    </w:p>
    <w:p>
      <w:pPr>
        <w:spacing w:line="240" w:lineRule="auto" w:before="4"/>
        <w:rPr>
          <w:rFonts w:ascii="宋体" w:hAnsi="宋体" w:cs="宋体" w:eastAsia="宋体" w:hint="default"/>
          <w:b/>
          <w:bCs/>
          <w:sz w:val="26"/>
          <w:szCs w:val="26"/>
        </w:rPr>
      </w:pPr>
    </w:p>
    <w:p>
      <w:pPr>
        <w:spacing w:before="0"/>
        <w:ind w:left="513" w:right="1133" w:firstLine="0"/>
        <w:jc w:val="left"/>
        <w:rPr>
          <w:rFonts w:ascii="宋体" w:hAnsi="宋体" w:cs="宋体" w:eastAsia="宋体" w:hint="default"/>
          <w:sz w:val="18"/>
          <w:szCs w:val="18"/>
        </w:rPr>
      </w:pPr>
      <w:r>
        <w:rPr>
          <w:rFonts w:ascii="宋体" w:hAnsi="宋体" w:cs="宋体" w:eastAsia="宋体" w:hint="default"/>
          <w:sz w:val="18"/>
          <w:szCs w:val="18"/>
        </w:rPr>
        <w:t>公司确定的内部控制缺陷认定标准如下：</w:t>
      </w:r>
    </w:p>
    <w:p>
      <w:pPr>
        <w:spacing w:line="340" w:lineRule="auto" w:before="115"/>
        <w:ind w:left="513" w:right="19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）财务报告内部控制缺陷认定标准 以资产总额和利润总额为定量指标，分别针对资产负债表层面错报和损益表层面错报对缺陷等级进行划分。</w:t>
      </w:r>
    </w:p>
    <w:p>
      <w:pPr>
        <w:spacing w:line="240" w:lineRule="auto" w:before="5"/>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1997"/>
        <w:gridCol w:w="7665"/>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缺陷等级</w:t>
            </w:r>
          </w:p>
        </w:tc>
        <w:tc>
          <w:tcPr>
            <w:tcW w:w="7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标准</w:t>
            </w:r>
          </w:p>
        </w:tc>
      </w:tr>
      <w:tr>
        <w:trPr>
          <w:trHeight w:val="40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重大缺陷</w:t>
            </w:r>
          </w:p>
        </w:tc>
        <w:tc>
          <w:tcPr>
            <w:tcW w:w="7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错报≥资产总额的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；或错报≥利润总额的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重要缺陷</w:t>
            </w:r>
          </w:p>
        </w:tc>
        <w:tc>
          <w:tcPr>
            <w:tcW w:w="7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；或利润总额的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7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bl>
    <w:p>
      <w:pPr>
        <w:spacing w:before="51"/>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）非财务报告内部控制缺陷认定标准</w:t>
      </w:r>
    </w:p>
    <w:p>
      <w:pPr>
        <w:spacing w:line="300" w:lineRule="auto" w:before="101"/>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）结合《企业内部控制基本规范》及国家相关法律法规要求，同时考虑公司现状，通过直接财产净损失和负面影响两 方面，制定非财务报告内控缺陷定量标准。</w:t>
      </w:r>
    </w:p>
    <w:p>
      <w:pPr>
        <w:spacing w:line="240" w:lineRule="auto" w:before="9"/>
        <w:rPr>
          <w:rFonts w:ascii="宋体" w:hAnsi="宋体" w:cs="宋体" w:eastAsia="宋体" w:hint="default"/>
          <w:sz w:val="4"/>
          <w:szCs w:val="4"/>
        </w:rPr>
      </w:pPr>
    </w:p>
    <w:tbl>
      <w:tblPr>
        <w:tblW w:w="0" w:type="auto"/>
        <w:jc w:val="left"/>
        <w:tblInd w:w="151" w:type="dxa"/>
        <w:tblLayout w:type="fixed"/>
        <w:tblCellMar>
          <w:top w:w="0" w:type="dxa"/>
          <w:left w:w="0" w:type="dxa"/>
          <w:bottom w:w="0" w:type="dxa"/>
          <w:right w:w="0" w:type="dxa"/>
        </w:tblCellMar>
        <w:tblLook w:val="01E0"/>
      </w:tblPr>
      <w:tblGrid>
        <w:gridCol w:w="1014"/>
        <w:gridCol w:w="5727"/>
        <w:gridCol w:w="2893"/>
      </w:tblGrid>
      <w:tr>
        <w:trPr>
          <w:trHeight w:val="401" w:hRule="exact"/>
        </w:trPr>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缺陷等级</w:t>
            </w:r>
          </w:p>
        </w:tc>
        <w:tc>
          <w:tcPr>
            <w:tcW w:w="5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直接财产净损失</w:t>
            </w:r>
          </w:p>
        </w:tc>
        <w:tc>
          <w:tcPr>
            <w:tcW w:w="2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负面影响</w:t>
            </w:r>
          </w:p>
        </w:tc>
      </w:tr>
      <w:tr>
        <w:trPr>
          <w:trHeight w:val="715" w:hRule="exact"/>
        </w:trPr>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重大缺陷</w:t>
            </w:r>
          </w:p>
        </w:tc>
        <w:tc>
          <w:tcPr>
            <w:tcW w:w="5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评价期内因内部控制设计不健全或运行不规范等因素导致直接财产净损 失总额≥最近一次经审计的净资产总额的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或已经正式对外披露并对公司造成 重大负面影响</w:t>
            </w:r>
          </w:p>
        </w:tc>
      </w:tr>
      <w:tr>
        <w:trPr>
          <w:trHeight w:val="1025" w:hRule="exact"/>
        </w:trPr>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重要缺陷</w:t>
            </w:r>
          </w:p>
        </w:tc>
        <w:tc>
          <w:tcPr>
            <w:tcW w:w="57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最近一次经审计的净资产总额的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≤评价期内因内部控制设计不健全 或运行不规范等因素导致直接财产净损失总额</w:t>
            </w:r>
            <w:r>
              <w:rPr>
                <w:rFonts w:ascii="Times New Roman" w:hAnsi="Times New Roman" w:cs="Times New Roman" w:eastAsia="Times New Roman" w:hint="default"/>
                <w:sz w:val="18"/>
                <w:szCs w:val="18"/>
              </w:rPr>
              <w:t>&lt;</w:t>
            </w:r>
            <w:r>
              <w:rPr>
                <w:rFonts w:ascii="宋体" w:hAnsi="宋体" w:cs="宋体" w:eastAsia="宋体" w:hint="default"/>
                <w:sz w:val="18"/>
                <w:szCs w:val="18"/>
              </w:rPr>
              <w:t>最近一次经审计的净资 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58"/>
              <w:jc w:val="left"/>
              <w:rPr>
                <w:rFonts w:ascii="宋体" w:hAnsi="宋体" w:cs="宋体" w:eastAsia="宋体" w:hint="default"/>
                <w:sz w:val="18"/>
                <w:szCs w:val="18"/>
              </w:rPr>
            </w:pPr>
            <w:r>
              <w:rPr>
                <w:rFonts w:ascii="宋体" w:hAnsi="宋体" w:cs="宋体" w:eastAsia="宋体" w:hint="default"/>
                <w:sz w:val="18"/>
                <w:szCs w:val="18"/>
              </w:rPr>
              <w:t>或受到国家政府部门或监管机构处 罚，但未对公司造成重大负面影响</w:t>
            </w:r>
          </w:p>
        </w:tc>
      </w:tr>
      <w:tr>
        <w:trPr>
          <w:trHeight w:val="715" w:hRule="exact"/>
        </w:trPr>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5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评价期内因内部控制设计不健全或运行不规范等因素导致直接财产净损 失总额＜最近一次经审计的净资产总额的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3"/>
                <w:sz w:val="18"/>
                <w:szCs w:val="18"/>
              </w:rPr>
              <w:t>或受到省级（含省级）以下政府部门</w:t>
            </w:r>
            <w:r>
              <w:rPr>
                <w:rFonts w:ascii="宋体" w:hAnsi="宋体" w:cs="宋体" w:eastAsia="宋体" w:hint="default"/>
                <w:sz w:val="18"/>
                <w:szCs w:val="18"/>
              </w:rPr>
              <w:t> 处罚但未对公司造成重大负面影响</w:t>
            </w:r>
          </w:p>
        </w:tc>
      </w:tr>
    </w:tbl>
    <w:p>
      <w:pPr>
        <w:spacing w:line="309" w:lineRule="auto" w:before="51"/>
        <w:ind w:left="152"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）针对战略、经营及合规目标，采取定性指标来确定内控缺陷标准。由于战略、经营和合规目标实现往往受到不可控 </w:t>
      </w:r>
      <w:r>
        <w:rPr>
          <w:rFonts w:ascii="宋体" w:hAnsi="宋体" w:cs="宋体" w:eastAsia="宋体" w:hint="default"/>
          <w:spacing w:val="-2"/>
          <w:sz w:val="18"/>
          <w:szCs w:val="18"/>
        </w:rPr>
        <w:t>的诸多外部因素影响，在认定针对这些控制目标的内控缺陷时，不仅考虑最终结果，还重点考虑公司制定战略、开展经营活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动的机制和程序是否符合内控要求。</w:t>
      </w:r>
    </w:p>
    <w:p>
      <w:pPr>
        <w:spacing w:after="0" w:line="309" w:lineRule="auto"/>
        <w:jc w:val="both"/>
        <w:rPr>
          <w:rFonts w:ascii="宋体" w:hAnsi="宋体" w:cs="宋体" w:eastAsia="宋体" w:hint="default"/>
          <w:sz w:val="18"/>
          <w:szCs w:val="18"/>
        </w:rPr>
        <w:sectPr>
          <w:pgSz w:w="11910" w:h="16840"/>
          <w:pgMar w:header="789" w:footer="975" w:top="1100" w:bottom="1160" w:left="980" w:right="0"/>
        </w:sectPr>
      </w:pPr>
    </w:p>
    <w:p>
      <w:pPr>
        <w:spacing w:line="240" w:lineRule="auto" w:before="8"/>
        <w:rPr>
          <w:rFonts w:ascii="宋体" w:hAnsi="宋体" w:cs="宋体" w:eastAsia="宋体" w:hint="default"/>
          <w:sz w:val="22"/>
          <w:szCs w:val="22"/>
        </w:rPr>
      </w:pPr>
    </w:p>
    <w:p>
      <w:pPr>
        <w:spacing w:line="319" w:lineRule="auto" w:before="44"/>
        <w:ind w:left="152" w:right="1129" w:firstLine="360"/>
        <w:jc w:val="left"/>
        <w:rPr>
          <w:rFonts w:ascii="宋体" w:hAnsi="宋体" w:cs="宋体" w:eastAsia="宋体" w:hint="default"/>
          <w:sz w:val="18"/>
          <w:szCs w:val="18"/>
        </w:rPr>
      </w:pPr>
      <w:r>
        <w:rPr>
          <w:rFonts w:ascii="宋体" w:hAnsi="宋体" w:cs="宋体" w:eastAsia="宋体" w:hint="default"/>
          <w:spacing w:val="-2"/>
          <w:sz w:val="18"/>
          <w:szCs w:val="18"/>
        </w:rPr>
        <w:t>重大缺陷：缺乏内部控制，导致经营行为严重违反国家法律、法规的禁止性规定，出现重大失泄密案件、受到重大经济</w:t>
      </w:r>
      <w:r>
        <w:rPr>
          <w:rFonts w:ascii="宋体" w:hAnsi="宋体" w:cs="宋体" w:eastAsia="宋体" w:hint="default"/>
          <w:sz w:val="18"/>
          <w:szCs w:val="18"/>
        </w:rPr>
        <w:t> 处罚或产生重大财产损失；重要业务缺乏制度控制或制度系统性失效；内部控制评价确定的“重大缺陷”未得到整改。</w:t>
      </w:r>
    </w:p>
    <w:p>
      <w:pPr>
        <w:spacing w:line="316" w:lineRule="auto" w:before="58"/>
        <w:ind w:left="152" w:right="1133" w:firstLine="360"/>
        <w:jc w:val="left"/>
        <w:rPr>
          <w:rFonts w:ascii="宋体" w:hAnsi="宋体" w:cs="宋体" w:eastAsia="宋体" w:hint="default"/>
          <w:sz w:val="18"/>
          <w:szCs w:val="18"/>
        </w:rPr>
      </w:pPr>
      <w:r>
        <w:rPr>
          <w:rFonts w:ascii="宋体" w:hAnsi="宋体" w:cs="宋体" w:eastAsia="宋体" w:hint="default"/>
          <w:spacing w:val="-2"/>
          <w:sz w:val="18"/>
          <w:szCs w:val="18"/>
        </w:rPr>
        <w:t>重要缺陷：缺乏内部控制，导致经营行为违反国家法律、法规的禁止性规定，出现较大失泄密案件、受到较大经济处罚</w:t>
      </w:r>
      <w:r>
        <w:rPr>
          <w:rFonts w:ascii="宋体" w:hAnsi="宋体" w:cs="宋体" w:eastAsia="宋体" w:hint="default"/>
          <w:sz w:val="18"/>
          <w:szCs w:val="18"/>
        </w:rPr>
        <w:t> 或产生较大财产损失；主要业务缺乏制度控制或重要制度失效；内部控制评价确定的“重要缺陷”未得到整改。</w:t>
      </w:r>
    </w:p>
    <w:p>
      <w:pPr>
        <w:spacing w:before="57"/>
        <w:ind w:left="513" w:right="1133" w:firstLine="0"/>
        <w:jc w:val="left"/>
        <w:rPr>
          <w:rFonts w:ascii="宋体" w:hAnsi="宋体" w:cs="宋体" w:eastAsia="宋体" w:hint="default"/>
          <w:sz w:val="18"/>
          <w:szCs w:val="18"/>
        </w:rPr>
      </w:pPr>
      <w:r>
        <w:rPr>
          <w:rFonts w:ascii="宋体" w:hAnsi="宋体" w:cs="宋体" w:eastAsia="宋体" w:hint="default"/>
          <w:sz w:val="18"/>
          <w:szCs w:val="18"/>
        </w:rPr>
        <w:t>一般缺陷为除重大缺陷、重要缺陷以外的其他控制缺陷。</w:t>
      </w:r>
    </w:p>
    <w:p>
      <w:pPr>
        <w:spacing w:line="240" w:lineRule="auto" w:before="1"/>
        <w:rPr>
          <w:rFonts w:ascii="宋体" w:hAnsi="宋体" w:cs="宋体" w:eastAsia="宋体" w:hint="default"/>
          <w:sz w:val="25"/>
          <w:szCs w:val="25"/>
        </w:rPr>
      </w:pPr>
    </w:p>
    <w:p>
      <w:pPr>
        <w:pStyle w:val="Heading4"/>
        <w:spacing w:line="240" w:lineRule="auto"/>
        <w:ind w:right="1133"/>
        <w:jc w:val="left"/>
        <w:rPr>
          <w:b w:val="0"/>
          <w:bCs w:val="0"/>
        </w:rPr>
      </w:pPr>
      <w:r>
        <w:rPr/>
        <w:t>十一、内部控制审计报告</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4"/>
        <w:gridCol w:w="6735"/>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2" w:right="183" w:firstLine="360"/>
              <w:jc w:val="left"/>
              <w:rPr>
                <w:rFonts w:ascii="宋体" w:hAnsi="宋体" w:cs="宋体" w:eastAsia="宋体" w:hint="default"/>
                <w:sz w:val="18"/>
                <w:szCs w:val="18"/>
              </w:rPr>
            </w:pPr>
            <w:r>
              <w:rPr>
                <w:rFonts w:ascii="宋体" w:hAnsi="宋体" w:cs="宋体" w:eastAsia="宋体" w:hint="default"/>
                <w:sz w:val="18"/>
                <w:szCs w:val="18"/>
              </w:rPr>
              <w:t>中国长城于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日按照《企业内部控制基本规范》和相关规定在所有重大方面保持了有效的财务报告 内部控制。</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99"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公告名称：中国长城科技集团股份有限公司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年度内部控制审计报告；披露</w:t>
            </w:r>
            <w:r>
              <w:rPr>
                <w:rFonts w:ascii="宋体" w:hAnsi="宋体" w:cs="宋体" w:eastAsia="宋体" w:hint="default"/>
                <w:sz w:val="18"/>
                <w:szCs w:val="18"/>
              </w:rPr>
              <w:t> 网址：</w:t>
            </w:r>
            <w:hyperlink r:id="rId9">
              <w:r>
                <w:rPr>
                  <w:rFonts w:ascii="Times New Roman" w:hAnsi="Times New Roman" w:cs="Times New Roman" w:eastAsia="Times New Roman" w:hint="default"/>
                  <w:sz w:val="18"/>
                  <w:szCs w:val="18"/>
                </w:rPr>
                <w:t>www.cninfo.com.cn</w:t>
              </w:r>
            </w:hyperlink>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2" w:right="113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60" w:lineRule="auto" w:before="115"/>
        <w:ind w:left="152" w:right="463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会计师事务所出具的内部控制审计报告与董事会的自我评价报告意见是否一致</w:t>
      </w:r>
    </w:p>
    <w:p>
      <w:pPr>
        <w:spacing w:before="25"/>
        <w:ind w:left="15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9"/>
          <w:szCs w:val="39"/>
        </w:rPr>
      </w:pPr>
    </w:p>
    <w:p>
      <w:pPr>
        <w:spacing w:before="0"/>
        <w:ind w:left="513" w:right="1133" w:firstLine="0"/>
        <w:jc w:val="left"/>
        <w:rPr>
          <w:rFonts w:ascii="宋体" w:hAnsi="宋体" w:cs="宋体" w:eastAsia="宋体" w:hint="default"/>
          <w:sz w:val="18"/>
          <w:szCs w:val="18"/>
        </w:rPr>
      </w:pPr>
      <w:r>
        <w:rPr>
          <w:rFonts w:ascii="宋体" w:hAnsi="宋体" w:cs="宋体" w:eastAsia="宋体" w:hint="default"/>
          <w:sz w:val="18"/>
          <w:szCs w:val="18"/>
        </w:rPr>
        <w:t>公司不存在公开发行并在证券交易所上市，且在年度报告批准报出日未到期或到期未能全额兑付的公司债券。</w:t>
      </w:r>
    </w:p>
    <w:p>
      <w:pPr>
        <w:spacing w:after="0"/>
        <w:jc w:val="left"/>
        <w:rPr>
          <w:rFonts w:ascii="宋体" w:hAnsi="宋体" w:cs="宋体" w:eastAsia="宋体" w:hint="default"/>
          <w:sz w:val="18"/>
          <w:szCs w:val="18"/>
        </w:rPr>
        <w:sectPr>
          <w:pgSz w:w="11910" w:h="16840"/>
          <w:pgMar w:header="789" w:footer="975"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Heading4"/>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ZG11194</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许培梅、顾欣</w:t>
            </w:r>
          </w:p>
        </w:tc>
      </w:tr>
    </w:tbl>
    <w:p>
      <w:pPr>
        <w:spacing w:line="240" w:lineRule="auto" w:before="4"/>
        <w:rPr>
          <w:rFonts w:ascii="宋体" w:hAnsi="宋体" w:cs="宋体" w:eastAsia="宋体" w:hint="default"/>
          <w:b/>
          <w:bCs/>
          <w:sz w:val="18"/>
          <w:szCs w:val="18"/>
        </w:rPr>
      </w:pPr>
    </w:p>
    <w:p>
      <w:pPr>
        <w:pStyle w:val="Heading4"/>
        <w:spacing w:line="470" w:lineRule="auto" w:before="26"/>
        <w:ind w:right="7622"/>
        <w:jc w:val="left"/>
        <w:rPr>
          <w:b w:val="0"/>
          <w:bCs w:val="0"/>
        </w:rPr>
      </w:pPr>
      <w:r>
        <w:rPr/>
        <w:t>二、经审计财务报表（附后）</w:t>
      </w:r>
      <w:r>
        <w:rPr>
          <w:w w:val="99"/>
        </w:rPr>
        <w:t> </w:t>
      </w:r>
      <w:r>
        <w:rPr/>
        <w:t>三、财务报表附注（附后）</w:t>
      </w:r>
      <w:r>
        <w:rPr>
          <w:b w:val="0"/>
          <w:bCs w:val="0"/>
        </w:rPr>
      </w:r>
    </w:p>
    <w:p>
      <w:pPr>
        <w:spacing w:line="240" w:lineRule="auto" w:before="11"/>
        <w:rPr>
          <w:rFonts w:ascii="宋体" w:hAnsi="宋体" w:cs="宋体" w:eastAsia="宋体" w:hint="default"/>
          <w:b/>
          <w:bCs/>
          <w:sz w:val="19"/>
          <w:szCs w:val="19"/>
        </w:rPr>
      </w:pPr>
    </w:p>
    <w:p>
      <w:pPr>
        <w:pStyle w:val="Heading1"/>
        <w:spacing w:line="240" w:lineRule="auto"/>
        <w:ind w:left="3285" w:right="1133"/>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before="44"/>
        <w:ind w:left="513" w:right="1133" w:firstLine="0"/>
        <w:jc w:val="left"/>
        <w:rPr>
          <w:rFonts w:ascii="宋体" w:hAnsi="宋体" w:cs="宋体" w:eastAsia="宋体" w:hint="default"/>
          <w:sz w:val="18"/>
          <w:szCs w:val="18"/>
        </w:rPr>
      </w:pPr>
      <w:r>
        <w:rPr>
          <w:rFonts w:ascii="宋体" w:hAnsi="宋体" w:cs="宋体" w:eastAsia="宋体" w:hint="default"/>
          <w:sz w:val="18"/>
          <w:szCs w:val="18"/>
        </w:rPr>
        <w:t>（一）载有公司负责人、主管会计工作负责人、会计机构负责人（会计主管人员）签名并盖章的年度财务报表；</w:t>
      </w:r>
    </w:p>
    <w:p>
      <w:pPr>
        <w:spacing w:before="117"/>
        <w:ind w:left="513" w:right="1133" w:firstLine="0"/>
        <w:jc w:val="left"/>
        <w:rPr>
          <w:rFonts w:ascii="宋体" w:hAnsi="宋体" w:cs="宋体" w:eastAsia="宋体" w:hint="default"/>
          <w:sz w:val="18"/>
          <w:szCs w:val="18"/>
        </w:rPr>
      </w:pPr>
      <w:r>
        <w:rPr>
          <w:rFonts w:ascii="宋体" w:hAnsi="宋体" w:cs="宋体" w:eastAsia="宋体" w:hint="default"/>
          <w:sz w:val="18"/>
          <w:szCs w:val="18"/>
        </w:rPr>
        <w:t>（二）载有会计师事务所盖章、注册会计师签名并盖章的审计报告原件；</w:t>
      </w:r>
    </w:p>
    <w:p>
      <w:pPr>
        <w:spacing w:before="117"/>
        <w:ind w:left="513" w:right="0" w:firstLine="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17"/>
          <w:sz w:val="18"/>
          <w:szCs w:val="18"/>
        </w:rPr>
        <w:t>）</w:t>
      </w:r>
      <w:r>
        <w:rPr>
          <w:rFonts w:ascii="宋体" w:hAnsi="宋体" w:cs="宋体" w:eastAsia="宋体" w:hint="default"/>
          <w:sz w:val="18"/>
          <w:szCs w:val="18"/>
        </w:rPr>
        <w:t>报告期内</w:t>
      </w:r>
      <w:r>
        <w:rPr>
          <w:rFonts w:ascii="宋体" w:hAnsi="宋体" w:cs="宋体" w:eastAsia="宋体" w:hint="default"/>
          <w:spacing w:val="-17"/>
          <w:sz w:val="18"/>
          <w:szCs w:val="18"/>
        </w:rPr>
        <w:t>在</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《上海证</w:t>
      </w:r>
      <w:r>
        <w:rPr>
          <w:rFonts w:ascii="宋体" w:hAnsi="宋体" w:cs="宋体" w:eastAsia="宋体" w:hint="default"/>
          <w:spacing w:val="2"/>
          <w:sz w:val="18"/>
          <w:szCs w:val="18"/>
        </w:rPr>
        <w:t>券</w:t>
      </w:r>
      <w:r>
        <w:rPr>
          <w:rFonts w:ascii="宋体" w:hAnsi="宋体" w:cs="宋体" w:eastAsia="宋体" w:hint="default"/>
          <w:sz w:val="18"/>
          <w:szCs w:val="18"/>
        </w:rPr>
        <w:t>报</w:t>
      </w:r>
      <w:r>
        <w:rPr>
          <w:rFonts w:ascii="宋体" w:hAnsi="宋体" w:cs="宋体" w:eastAsia="宋体" w:hint="default"/>
          <w:spacing w:val="-17"/>
          <w:sz w:val="18"/>
          <w:szCs w:val="18"/>
        </w:rPr>
        <w:t>》</w:t>
      </w:r>
      <w:r>
        <w:rPr>
          <w:rFonts w:ascii="宋体" w:hAnsi="宋体" w:cs="宋体" w:eastAsia="宋体" w:hint="default"/>
          <w:sz w:val="18"/>
          <w:szCs w:val="18"/>
        </w:rPr>
        <w:t>及巨潮资讯网公开披露过的公司所有文件正本及公告原</w:t>
      </w:r>
    </w:p>
    <w:p>
      <w:pPr>
        <w:spacing w:before="76"/>
        <w:ind w:left="152" w:right="1133" w:firstLine="0"/>
        <w:jc w:val="left"/>
        <w:rPr>
          <w:rFonts w:ascii="宋体" w:hAnsi="宋体" w:cs="宋体" w:eastAsia="宋体" w:hint="default"/>
          <w:sz w:val="18"/>
          <w:szCs w:val="18"/>
        </w:rPr>
      </w:pPr>
      <w:r>
        <w:rPr>
          <w:rFonts w:ascii="宋体" w:hAnsi="宋体" w:cs="宋体" w:eastAsia="宋体" w:hint="default"/>
          <w:sz w:val="18"/>
          <w:szCs w:val="18"/>
        </w:rPr>
        <w:t>稿；</w:t>
      </w:r>
    </w:p>
    <w:p>
      <w:pPr>
        <w:spacing w:before="115"/>
        <w:ind w:left="513" w:right="1133" w:firstLine="0"/>
        <w:jc w:val="left"/>
        <w:rPr>
          <w:rFonts w:ascii="宋体" w:hAnsi="宋体" w:cs="宋体" w:eastAsia="宋体" w:hint="default"/>
          <w:sz w:val="18"/>
          <w:szCs w:val="18"/>
        </w:rPr>
      </w:pPr>
      <w:r>
        <w:rPr>
          <w:rFonts w:ascii="宋体" w:hAnsi="宋体" w:cs="宋体" w:eastAsia="宋体" w:hint="default"/>
          <w:sz w:val="18"/>
          <w:szCs w:val="18"/>
        </w:rPr>
        <w:t>（四）载有董事长亲笔签名的年度报告文本；</w:t>
      </w:r>
    </w:p>
    <w:p>
      <w:pPr>
        <w:spacing w:before="117"/>
        <w:ind w:left="513" w:right="1133" w:firstLine="0"/>
        <w:jc w:val="left"/>
        <w:rPr>
          <w:rFonts w:ascii="宋体" w:hAnsi="宋体" w:cs="宋体" w:eastAsia="宋体" w:hint="default"/>
          <w:sz w:val="18"/>
          <w:szCs w:val="18"/>
        </w:rPr>
      </w:pPr>
      <w:r>
        <w:rPr>
          <w:rFonts w:ascii="宋体" w:hAnsi="宋体" w:cs="宋体" w:eastAsia="宋体" w:hint="default"/>
          <w:sz w:val="18"/>
          <w:szCs w:val="18"/>
        </w:rPr>
        <w:t>（五）文件存放地点：公司董事会办公室、深圳证券交易所。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408" w:lineRule="auto" w:before="0"/>
        <w:ind w:left="6850" w:right="1129"/>
        <w:jc w:val="center"/>
      </w:pPr>
      <w:r>
        <w:rPr>
          <w:spacing w:val="-2"/>
        </w:rPr>
        <w:t>中国长城科技集团股份有限公司</w:t>
      </w:r>
      <w:r>
        <w:rPr>
          <w:spacing w:val="-80"/>
        </w:rPr>
        <w:t> </w:t>
      </w:r>
      <w:r>
        <w:rPr>
          <w:spacing w:val="-80"/>
        </w:rPr>
      </w:r>
      <w:r>
        <w:rPr/>
        <w:t>董事会</w:t>
      </w:r>
    </w:p>
    <w:p>
      <w:pPr>
        <w:pStyle w:val="BodyText"/>
        <w:spacing w:line="240" w:lineRule="auto" w:before="46"/>
        <w:ind w:left="0" w:right="1863"/>
        <w:jc w:val="right"/>
      </w:pPr>
      <w:r>
        <w:rPr>
          <w:spacing w:val="-1"/>
        </w:rPr>
        <w:t>二〇二〇年四月</w:t>
      </w:r>
    </w:p>
    <w:p>
      <w:pPr>
        <w:spacing w:after="0" w:line="240" w:lineRule="auto"/>
        <w:jc w:val="right"/>
        <w:sectPr>
          <w:pgSz w:w="11910" w:h="16840"/>
          <w:pgMar w:header="789" w:footer="975"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1"/>
        <w:spacing w:line="482" w:lineRule="auto"/>
        <w:ind w:right="2686"/>
        <w:jc w:val="left"/>
        <w:rPr>
          <w:b w:val="0"/>
          <w:bCs w:val="0"/>
        </w:rPr>
      </w:pPr>
      <w:r>
        <w:rPr/>
        <w:t>中国长城科技集团股份有限公司</w:t>
      </w:r>
      <w:r>
        <w:rPr>
          <w:w w:val="99"/>
        </w:rPr>
        <w:t> </w:t>
      </w:r>
      <w:r>
        <w:rPr/>
        <w:t>审计报告及财务报表</w:t>
      </w:r>
      <w:r>
        <w:rPr>
          <w:b w:val="0"/>
          <w:bCs w:val="0"/>
        </w:rPr>
      </w:r>
    </w:p>
    <w:p>
      <w:pPr>
        <w:spacing w:before="98"/>
        <w:ind w:left="3022" w:right="2686" w:firstLine="0"/>
        <w:jc w:val="left"/>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w:t>
      </w:r>
      <w:r>
        <w:rPr>
          <w:rFonts w:ascii="宋体" w:hAnsi="宋体" w:cs="宋体" w:eastAsia="宋体" w:hint="default"/>
          <w:sz w:val="32"/>
          <w:szCs w:val="32"/>
        </w:rPr>
      </w:r>
    </w:p>
    <w:p>
      <w:pPr>
        <w:spacing w:line="240" w:lineRule="auto" w:before="4"/>
        <w:rPr>
          <w:rFonts w:ascii="宋体" w:hAnsi="宋体" w:cs="宋体" w:eastAsia="宋体" w:hint="default"/>
          <w:b/>
          <w:bCs/>
          <w:sz w:val="30"/>
          <w:szCs w:val="30"/>
        </w:rPr>
      </w:pPr>
    </w:p>
    <w:p>
      <w:pPr>
        <w:spacing w:before="0"/>
        <w:ind w:left="3022" w:right="0" w:firstLine="0"/>
        <w:jc w:val="left"/>
        <w:rPr>
          <w:rFonts w:ascii="宋体" w:hAnsi="宋体" w:cs="宋体" w:eastAsia="宋体" w:hint="default"/>
          <w:sz w:val="32"/>
          <w:szCs w:val="32"/>
        </w:rPr>
      </w:pPr>
      <w:r>
        <w:rPr>
          <w:rFonts w:ascii="宋体" w:hAnsi="宋体" w:cs="宋体" w:eastAsia="宋体" w:hint="default"/>
          <w:b/>
          <w:bCs/>
          <w:sz w:val="32"/>
          <w:szCs w:val="32"/>
        </w:rPr>
        <w:t>信会师报字</w:t>
      </w:r>
      <w:r>
        <w:rPr>
          <w:rFonts w:ascii="Times New Roman" w:hAnsi="Times New Roman" w:cs="Times New Roman" w:eastAsia="Times New Roman" w:hint="default"/>
          <w:b/>
          <w:bCs/>
          <w:sz w:val="32"/>
          <w:szCs w:val="32"/>
        </w:rPr>
        <w:t>[2020]</w:t>
      </w:r>
      <w:r>
        <w:rPr>
          <w:rFonts w:ascii="宋体" w:hAnsi="宋体" w:cs="宋体" w:eastAsia="宋体" w:hint="default"/>
          <w:b/>
          <w:bCs/>
          <w:sz w:val="32"/>
          <w:szCs w:val="32"/>
        </w:rPr>
        <w:t>第</w:t>
      </w:r>
      <w:r>
        <w:rPr>
          <w:rFonts w:ascii="宋体" w:hAnsi="宋体" w:cs="宋体" w:eastAsia="宋体" w:hint="default"/>
          <w:b/>
          <w:bCs/>
          <w:spacing w:val="-85"/>
          <w:sz w:val="32"/>
          <w:szCs w:val="32"/>
        </w:rPr>
        <w:t> </w:t>
      </w:r>
      <w:r>
        <w:rPr>
          <w:rFonts w:ascii="Times New Roman" w:hAnsi="Times New Roman" w:cs="Times New Roman" w:eastAsia="Times New Roman" w:hint="default"/>
          <w:b/>
          <w:bCs/>
          <w:spacing w:val="-5"/>
          <w:sz w:val="32"/>
          <w:szCs w:val="32"/>
        </w:rPr>
        <w:t>ZG11194 </w:t>
      </w:r>
      <w:r>
        <w:rPr>
          <w:rFonts w:ascii="宋体" w:hAnsi="宋体" w:cs="宋体" w:eastAsia="宋体" w:hint="default"/>
          <w:b/>
          <w:bCs/>
          <w:sz w:val="32"/>
          <w:szCs w:val="32"/>
        </w:rPr>
        <w:t>号</w:t>
      </w:r>
      <w:r>
        <w:rPr>
          <w:rFonts w:ascii="宋体" w:hAnsi="宋体" w:cs="宋体" w:eastAsia="宋体" w:hint="default"/>
          <w:sz w:val="32"/>
          <w:szCs w:val="32"/>
        </w:rPr>
      </w:r>
    </w:p>
    <w:p>
      <w:pPr>
        <w:spacing w:after="0"/>
        <w:jc w:val="left"/>
        <w:rPr>
          <w:rFonts w:ascii="宋体" w:hAnsi="宋体" w:cs="宋体" w:eastAsia="宋体" w:hint="default"/>
          <w:sz w:val="32"/>
          <w:szCs w:val="32"/>
        </w:rPr>
        <w:sectPr>
          <w:headerReference w:type="default" r:id="rId14"/>
          <w:footerReference w:type="default" r:id="rId15"/>
          <w:pgSz w:w="11910" w:h="16840"/>
          <w:pgMar w:header="0"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before="0"/>
        <w:ind w:left="2080" w:right="3561" w:firstLine="0"/>
        <w:jc w:val="center"/>
        <w:rPr>
          <w:rFonts w:ascii="宋体" w:hAnsi="宋体" w:cs="宋体" w:eastAsia="宋体" w:hint="default"/>
          <w:sz w:val="32"/>
          <w:szCs w:val="32"/>
        </w:rPr>
      </w:pPr>
      <w:r>
        <w:rPr>
          <w:rFonts w:ascii="宋体" w:hAnsi="宋体" w:cs="宋体" w:eastAsia="宋体" w:hint="default"/>
          <w:b/>
          <w:bCs/>
          <w:sz w:val="32"/>
          <w:szCs w:val="32"/>
        </w:rPr>
        <w:t>中国长城科技集团股份有限公司</w:t>
      </w:r>
      <w:r>
        <w:rPr>
          <w:rFonts w:ascii="宋体" w:hAnsi="宋体" w:cs="宋体" w:eastAsia="宋体" w:hint="default"/>
          <w:sz w:val="32"/>
          <w:szCs w:val="32"/>
        </w:rPr>
      </w:r>
    </w:p>
    <w:p>
      <w:pPr>
        <w:spacing w:line="240" w:lineRule="auto" w:before="6"/>
        <w:rPr>
          <w:rFonts w:ascii="宋体" w:hAnsi="宋体" w:cs="宋体" w:eastAsia="宋体" w:hint="default"/>
          <w:b/>
          <w:bCs/>
          <w:sz w:val="40"/>
          <w:szCs w:val="40"/>
        </w:rPr>
      </w:pPr>
    </w:p>
    <w:p>
      <w:pPr>
        <w:spacing w:before="0"/>
        <w:ind w:left="2082" w:right="3561" w:firstLine="0"/>
        <w:jc w:val="center"/>
        <w:rPr>
          <w:rFonts w:ascii="宋体" w:hAnsi="宋体" w:cs="宋体" w:eastAsia="宋体" w:hint="default"/>
          <w:sz w:val="32"/>
          <w:szCs w:val="32"/>
        </w:rPr>
      </w:pPr>
      <w:r>
        <w:rPr>
          <w:rFonts w:ascii="宋体" w:hAnsi="宋体" w:cs="宋体" w:eastAsia="宋体" w:hint="default"/>
          <w:b/>
          <w:bCs/>
          <w:sz w:val="32"/>
          <w:szCs w:val="32"/>
        </w:rPr>
        <w:t>审计报告及财务报表</w:t>
      </w:r>
      <w:r>
        <w:rPr>
          <w:rFonts w:ascii="宋体" w:hAnsi="宋体" w:cs="宋体" w:eastAsia="宋体" w:hint="default"/>
          <w:sz w:val="32"/>
          <w:szCs w:val="32"/>
        </w:rPr>
      </w:r>
    </w:p>
    <w:p>
      <w:pPr>
        <w:spacing w:before="176"/>
        <w:ind w:left="2085" w:right="3561" w:firstLine="0"/>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275"/>
        <w:gridCol w:w="5511"/>
        <w:gridCol w:w="259"/>
        <w:gridCol w:w="1575"/>
      </w:tblGrid>
      <w:tr>
        <w:trPr>
          <w:trHeight w:val="672" w:hRule="exact"/>
        </w:trPr>
        <w:tc>
          <w:tcPr>
            <w:tcW w:w="1275" w:type="dxa"/>
            <w:tcBorders>
              <w:top w:val="nil" w:sz="6" w:space="0" w:color="auto"/>
              <w:left w:val="nil" w:sz="6" w:space="0" w:color="auto"/>
              <w:bottom w:val="nil" w:sz="6" w:space="0" w:color="auto"/>
              <w:right w:val="nil" w:sz="6" w:space="0" w:color="auto"/>
            </w:tcBorders>
          </w:tcPr>
          <w:p>
            <w:pPr/>
          </w:p>
        </w:tc>
        <w:tc>
          <w:tcPr>
            <w:tcW w:w="5511" w:type="dxa"/>
            <w:tcBorders>
              <w:top w:val="nil" w:sz="6" w:space="0" w:color="auto"/>
              <w:left w:val="nil" w:sz="6" w:space="0" w:color="auto"/>
              <w:bottom w:val="single" w:sz="4" w:space="0" w:color="000000"/>
              <w:right w:val="nil" w:sz="6" w:space="0" w:color="auto"/>
            </w:tcBorders>
          </w:tcPr>
          <w:p>
            <w:pPr>
              <w:pStyle w:val="TableParagraph"/>
              <w:spacing w:line="240" w:lineRule="exact"/>
              <w:ind w:right="2"/>
              <w:jc w:val="center"/>
              <w:rPr>
                <w:rFonts w:ascii="宋体" w:hAnsi="宋体" w:cs="宋体" w:eastAsia="宋体" w:hint="default"/>
                <w:sz w:val="24"/>
                <w:szCs w:val="24"/>
              </w:rPr>
            </w:pPr>
            <w:r>
              <w:rPr>
                <w:rFonts w:ascii="宋体" w:hAnsi="宋体" w:cs="宋体" w:eastAsia="宋体" w:hint="default"/>
                <w:sz w:val="24"/>
                <w:szCs w:val="24"/>
              </w:rPr>
              <w:t>目录</w:t>
            </w:r>
          </w:p>
        </w:tc>
        <w:tc>
          <w:tcPr>
            <w:tcW w:w="25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exact"/>
              <w:ind w:right="2"/>
              <w:jc w:val="center"/>
              <w:rPr>
                <w:rFonts w:ascii="宋体" w:hAnsi="宋体" w:cs="宋体" w:eastAsia="宋体" w:hint="default"/>
                <w:sz w:val="24"/>
                <w:szCs w:val="24"/>
              </w:rPr>
            </w:pPr>
            <w:r>
              <w:rPr>
                <w:rFonts w:ascii="宋体" w:hAnsi="宋体" w:cs="宋体" w:eastAsia="宋体" w:hint="default"/>
                <w:sz w:val="24"/>
                <w:szCs w:val="24"/>
              </w:rPr>
              <w:t>页次</w:t>
            </w:r>
          </w:p>
        </w:tc>
      </w:tr>
      <w:tr>
        <w:trPr>
          <w:trHeight w:val="579" w:hRule="exact"/>
        </w:trPr>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宋体" w:hAnsi="宋体" w:cs="宋体" w:eastAsia="宋体" w:hint="default"/>
                <w:sz w:val="24"/>
                <w:szCs w:val="24"/>
              </w:rPr>
            </w:pPr>
            <w:r>
              <w:rPr>
                <w:rFonts w:ascii="宋体" w:hAnsi="宋体" w:cs="宋体" w:eastAsia="宋体" w:hint="default"/>
                <w:sz w:val="24"/>
                <w:szCs w:val="24"/>
              </w:rPr>
              <w:t>一、</w:t>
            </w:r>
          </w:p>
        </w:tc>
        <w:tc>
          <w:tcPr>
            <w:tcW w:w="551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5" w:right="0"/>
              <w:jc w:val="left"/>
              <w:rPr>
                <w:rFonts w:ascii="宋体" w:hAnsi="宋体" w:cs="宋体" w:eastAsia="宋体" w:hint="default"/>
                <w:sz w:val="24"/>
                <w:szCs w:val="24"/>
              </w:rPr>
            </w:pPr>
            <w:r>
              <w:rPr>
                <w:rFonts w:ascii="宋体" w:hAnsi="宋体" w:cs="宋体" w:eastAsia="宋体" w:hint="default"/>
                <w:sz w:val="24"/>
                <w:szCs w:val="24"/>
              </w:rPr>
              <w:t>审计报告</w:t>
            </w:r>
          </w:p>
        </w:tc>
        <w:tc>
          <w:tcPr>
            <w:tcW w:w="259"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4"/>
                <w:szCs w:val="24"/>
              </w:rPr>
            </w:pPr>
            <w:r>
              <w:rPr>
                <w:rFonts w:ascii="Times New Roman"/>
                <w:spacing w:val="-1"/>
                <w:sz w:val="24"/>
              </w:rPr>
              <w:t>1-6</w:t>
            </w:r>
          </w:p>
        </w:tc>
      </w:tr>
      <w:tr>
        <w:trPr>
          <w:trHeight w:val="739" w:hRule="exact"/>
        </w:trPr>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200" w:right="0"/>
              <w:jc w:val="left"/>
              <w:rPr>
                <w:rFonts w:ascii="宋体" w:hAnsi="宋体" w:cs="宋体" w:eastAsia="宋体" w:hint="default"/>
                <w:sz w:val="24"/>
                <w:szCs w:val="24"/>
              </w:rPr>
            </w:pPr>
            <w:r>
              <w:rPr>
                <w:rFonts w:ascii="宋体" w:hAnsi="宋体" w:cs="宋体" w:eastAsia="宋体" w:hint="default"/>
                <w:sz w:val="24"/>
                <w:szCs w:val="24"/>
              </w:rPr>
              <w:t>二、</w:t>
            </w:r>
          </w:p>
        </w:tc>
        <w:tc>
          <w:tcPr>
            <w:tcW w:w="5511"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105" w:right="0"/>
              <w:jc w:val="left"/>
              <w:rPr>
                <w:rFonts w:ascii="宋体" w:hAnsi="宋体" w:cs="宋体" w:eastAsia="宋体" w:hint="default"/>
                <w:sz w:val="24"/>
                <w:szCs w:val="24"/>
              </w:rPr>
            </w:pPr>
            <w:r>
              <w:rPr>
                <w:rFonts w:ascii="宋体" w:hAnsi="宋体" w:cs="宋体" w:eastAsia="宋体" w:hint="default"/>
                <w:sz w:val="24"/>
                <w:szCs w:val="24"/>
              </w:rPr>
              <w:t>财务报表</w:t>
            </w:r>
          </w:p>
        </w:tc>
        <w:tc>
          <w:tcPr>
            <w:tcW w:w="25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r>
      <w:tr>
        <w:trPr>
          <w:trHeight w:val="749" w:hRule="exact"/>
        </w:trPr>
        <w:tc>
          <w:tcPr>
            <w:tcW w:w="1275" w:type="dxa"/>
            <w:tcBorders>
              <w:top w:val="nil" w:sz="6" w:space="0" w:color="auto"/>
              <w:left w:val="nil" w:sz="6" w:space="0" w:color="auto"/>
              <w:bottom w:val="nil" w:sz="6" w:space="0" w:color="auto"/>
              <w:right w:val="nil" w:sz="6" w:space="0" w:color="auto"/>
            </w:tcBorders>
          </w:tcPr>
          <w:p>
            <w:pPr/>
          </w:p>
        </w:tc>
        <w:tc>
          <w:tcPr>
            <w:tcW w:w="5511"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05" w:right="0"/>
              <w:jc w:val="left"/>
              <w:rPr>
                <w:rFonts w:ascii="宋体" w:hAnsi="宋体" w:cs="宋体" w:eastAsia="宋体" w:hint="default"/>
                <w:sz w:val="24"/>
                <w:szCs w:val="24"/>
              </w:rPr>
            </w:pPr>
            <w:r>
              <w:rPr>
                <w:rFonts w:ascii="宋体" w:hAnsi="宋体" w:cs="宋体" w:eastAsia="宋体" w:hint="default"/>
                <w:sz w:val="24"/>
                <w:szCs w:val="24"/>
              </w:rPr>
              <w:t>合并资产负债表和母公司资产负债表</w:t>
            </w:r>
          </w:p>
        </w:tc>
        <w:tc>
          <w:tcPr>
            <w:tcW w:w="25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4"/>
                <w:szCs w:val="24"/>
              </w:rPr>
            </w:pPr>
            <w:r>
              <w:rPr>
                <w:rFonts w:ascii="Times New Roman"/>
                <w:spacing w:val="-1"/>
                <w:sz w:val="24"/>
              </w:rPr>
              <w:t>1-4</w:t>
            </w:r>
          </w:p>
        </w:tc>
      </w:tr>
      <w:tr>
        <w:trPr>
          <w:trHeight w:val="744" w:hRule="exact"/>
        </w:trPr>
        <w:tc>
          <w:tcPr>
            <w:tcW w:w="1275" w:type="dxa"/>
            <w:tcBorders>
              <w:top w:val="nil" w:sz="6" w:space="0" w:color="auto"/>
              <w:left w:val="nil" w:sz="6" w:space="0" w:color="auto"/>
              <w:bottom w:val="nil" w:sz="6" w:space="0" w:color="auto"/>
              <w:right w:val="nil" w:sz="6" w:space="0" w:color="auto"/>
            </w:tcBorders>
          </w:tcPr>
          <w:p>
            <w:pPr/>
          </w:p>
        </w:tc>
        <w:tc>
          <w:tcPr>
            <w:tcW w:w="5511"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105" w:right="0"/>
              <w:jc w:val="left"/>
              <w:rPr>
                <w:rFonts w:ascii="宋体" w:hAnsi="宋体" w:cs="宋体" w:eastAsia="宋体" w:hint="default"/>
                <w:sz w:val="24"/>
                <w:szCs w:val="24"/>
              </w:rPr>
            </w:pPr>
            <w:r>
              <w:rPr>
                <w:rFonts w:ascii="宋体" w:hAnsi="宋体" w:cs="宋体" w:eastAsia="宋体" w:hint="default"/>
                <w:sz w:val="24"/>
                <w:szCs w:val="24"/>
              </w:rPr>
              <w:t>合并利润表和母公司利润表</w:t>
            </w:r>
          </w:p>
        </w:tc>
        <w:tc>
          <w:tcPr>
            <w:tcW w:w="25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4"/>
                <w:szCs w:val="24"/>
              </w:rPr>
            </w:pPr>
            <w:r>
              <w:rPr>
                <w:rFonts w:ascii="Times New Roman"/>
                <w:spacing w:val="-1"/>
                <w:sz w:val="24"/>
              </w:rPr>
              <w:t>5-6</w:t>
            </w:r>
          </w:p>
        </w:tc>
      </w:tr>
      <w:tr>
        <w:trPr>
          <w:trHeight w:val="744" w:hRule="exact"/>
        </w:trPr>
        <w:tc>
          <w:tcPr>
            <w:tcW w:w="1275" w:type="dxa"/>
            <w:tcBorders>
              <w:top w:val="nil" w:sz="6" w:space="0" w:color="auto"/>
              <w:left w:val="nil" w:sz="6" w:space="0" w:color="auto"/>
              <w:bottom w:val="nil" w:sz="6" w:space="0" w:color="auto"/>
              <w:right w:val="nil" w:sz="6" w:space="0" w:color="auto"/>
            </w:tcBorders>
          </w:tcPr>
          <w:p>
            <w:pPr/>
          </w:p>
        </w:tc>
        <w:tc>
          <w:tcPr>
            <w:tcW w:w="5511"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105" w:right="0"/>
              <w:jc w:val="left"/>
              <w:rPr>
                <w:rFonts w:ascii="宋体" w:hAnsi="宋体" w:cs="宋体" w:eastAsia="宋体" w:hint="default"/>
                <w:sz w:val="24"/>
                <w:szCs w:val="24"/>
              </w:rPr>
            </w:pPr>
            <w:r>
              <w:rPr>
                <w:rFonts w:ascii="宋体" w:hAnsi="宋体" w:cs="宋体" w:eastAsia="宋体" w:hint="default"/>
                <w:sz w:val="24"/>
                <w:szCs w:val="24"/>
              </w:rPr>
              <w:t>合并现金流量表和母公司现金流量表</w:t>
            </w:r>
          </w:p>
        </w:tc>
        <w:tc>
          <w:tcPr>
            <w:tcW w:w="25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4"/>
                <w:szCs w:val="24"/>
              </w:rPr>
            </w:pPr>
            <w:r>
              <w:rPr>
                <w:rFonts w:ascii="Times New Roman"/>
                <w:spacing w:val="-1"/>
                <w:sz w:val="24"/>
              </w:rPr>
              <w:t>7-8</w:t>
            </w:r>
          </w:p>
        </w:tc>
      </w:tr>
      <w:tr>
        <w:trPr>
          <w:trHeight w:val="744" w:hRule="exact"/>
        </w:trPr>
        <w:tc>
          <w:tcPr>
            <w:tcW w:w="1275" w:type="dxa"/>
            <w:tcBorders>
              <w:top w:val="nil" w:sz="6" w:space="0" w:color="auto"/>
              <w:left w:val="nil" w:sz="6" w:space="0" w:color="auto"/>
              <w:bottom w:val="nil" w:sz="6" w:space="0" w:color="auto"/>
              <w:right w:val="nil" w:sz="6" w:space="0" w:color="auto"/>
            </w:tcBorders>
          </w:tcPr>
          <w:p>
            <w:pPr/>
          </w:p>
        </w:tc>
        <w:tc>
          <w:tcPr>
            <w:tcW w:w="5511"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105" w:right="0"/>
              <w:jc w:val="left"/>
              <w:rPr>
                <w:rFonts w:ascii="宋体" w:hAnsi="宋体" w:cs="宋体" w:eastAsia="宋体" w:hint="default"/>
                <w:sz w:val="24"/>
                <w:szCs w:val="24"/>
              </w:rPr>
            </w:pPr>
            <w:r>
              <w:rPr>
                <w:rFonts w:ascii="宋体" w:hAnsi="宋体" w:cs="宋体" w:eastAsia="宋体" w:hint="default"/>
                <w:sz w:val="24"/>
                <w:szCs w:val="24"/>
              </w:rPr>
              <w:t>合并所有者权益变动表和母公司所有者权益变动表</w:t>
            </w:r>
          </w:p>
        </w:tc>
        <w:tc>
          <w:tcPr>
            <w:tcW w:w="25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4"/>
                <w:szCs w:val="24"/>
              </w:rPr>
            </w:pPr>
            <w:r>
              <w:rPr>
                <w:rFonts w:ascii="Times New Roman"/>
                <w:spacing w:val="-1"/>
                <w:sz w:val="24"/>
              </w:rPr>
              <w:t>9-12</w:t>
            </w:r>
          </w:p>
        </w:tc>
      </w:tr>
      <w:tr>
        <w:trPr>
          <w:trHeight w:val="497" w:hRule="exact"/>
        </w:trPr>
        <w:tc>
          <w:tcPr>
            <w:tcW w:w="1275" w:type="dxa"/>
            <w:tcBorders>
              <w:top w:val="nil" w:sz="6" w:space="0" w:color="auto"/>
              <w:left w:val="nil" w:sz="6" w:space="0" w:color="auto"/>
              <w:bottom w:val="nil" w:sz="6" w:space="0" w:color="auto"/>
              <w:right w:val="nil" w:sz="6" w:space="0" w:color="auto"/>
            </w:tcBorders>
          </w:tcPr>
          <w:p>
            <w:pPr/>
          </w:p>
        </w:tc>
        <w:tc>
          <w:tcPr>
            <w:tcW w:w="5511"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105" w:right="0"/>
              <w:jc w:val="left"/>
              <w:rPr>
                <w:rFonts w:ascii="宋体" w:hAnsi="宋体" w:cs="宋体" w:eastAsia="宋体" w:hint="default"/>
                <w:sz w:val="24"/>
                <w:szCs w:val="24"/>
              </w:rPr>
            </w:pPr>
            <w:r>
              <w:rPr>
                <w:rFonts w:ascii="宋体" w:hAnsi="宋体" w:cs="宋体" w:eastAsia="宋体" w:hint="default"/>
                <w:sz w:val="24"/>
                <w:szCs w:val="24"/>
              </w:rPr>
              <w:t>财务报表附注</w:t>
            </w:r>
          </w:p>
        </w:tc>
        <w:tc>
          <w:tcPr>
            <w:tcW w:w="25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4"/>
                <w:szCs w:val="24"/>
              </w:rPr>
            </w:pPr>
            <w:r>
              <w:rPr>
                <w:rFonts w:ascii="Times New Roman"/>
                <w:spacing w:val="-1"/>
                <w:sz w:val="24"/>
              </w:rPr>
              <w:t>1-142</w:t>
            </w:r>
          </w:p>
        </w:tc>
      </w:tr>
    </w:tbl>
    <w:p>
      <w:pPr>
        <w:spacing w:after="0" w:line="240" w:lineRule="auto"/>
        <w:jc w:val="right"/>
        <w:rPr>
          <w:rFonts w:ascii="Times New Roman" w:hAnsi="Times New Roman" w:cs="Times New Roman" w:eastAsia="Times New Roman" w:hint="default"/>
          <w:sz w:val="24"/>
          <w:szCs w:val="24"/>
        </w:rPr>
        <w:sectPr>
          <w:headerReference w:type="default" r:id="rId16"/>
          <w:footerReference w:type="default" r:id="rId17"/>
          <w:pgSz w:w="11910" w:h="16840"/>
          <w:pgMar w:header="0" w:footer="504" w:top="1580" w:bottom="700" w:left="14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line="460" w:lineRule="exact" w:before="0"/>
        <w:ind w:left="2547" w:right="3665"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0"/>
        <w:ind w:left="6561" w:right="0" w:firstLine="0"/>
        <w:jc w:val="left"/>
        <w:rPr>
          <w:rFonts w:ascii="宋体" w:hAnsi="宋体" w:cs="宋体" w:eastAsia="宋体" w:hint="default"/>
          <w:sz w:val="20"/>
          <w:szCs w:val="20"/>
        </w:rPr>
      </w:pPr>
      <w:r>
        <w:rPr>
          <w:rFonts w:ascii="宋体" w:hAnsi="宋体" w:cs="宋体" w:eastAsia="宋体" w:hint="default"/>
          <w:sz w:val="20"/>
          <w:szCs w:val="20"/>
        </w:rPr>
        <w:t>信会师报字</w:t>
      </w:r>
      <w:r>
        <w:rPr>
          <w:rFonts w:ascii="Times New Roman" w:hAnsi="Times New Roman" w:cs="Times New Roman" w:eastAsia="Times New Roman" w:hint="default"/>
          <w:sz w:val="20"/>
          <w:szCs w:val="20"/>
        </w:rPr>
        <w:t>[2020]</w:t>
      </w: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Times New Roman" w:hAnsi="Times New Roman" w:cs="Times New Roman" w:eastAsia="Times New Roman" w:hint="default"/>
          <w:spacing w:val="-3"/>
          <w:sz w:val="20"/>
          <w:szCs w:val="20"/>
        </w:rPr>
        <w:t>ZG11194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p>
      <w:pPr>
        <w:spacing w:line="240" w:lineRule="auto" w:before="0"/>
        <w:rPr>
          <w:rFonts w:ascii="宋体" w:hAnsi="宋体" w:cs="宋体" w:eastAsia="宋体" w:hint="default"/>
          <w:sz w:val="20"/>
          <w:szCs w:val="20"/>
        </w:rPr>
      </w:pPr>
    </w:p>
    <w:p>
      <w:pPr>
        <w:pStyle w:val="Heading2"/>
        <w:spacing w:line="556" w:lineRule="auto" w:before="157"/>
        <w:ind w:left="889" w:right="5105" w:hanging="569"/>
        <w:jc w:val="left"/>
        <w:rPr>
          <w:b w:val="0"/>
          <w:bCs w:val="0"/>
        </w:rPr>
      </w:pPr>
      <w:r>
        <w:rPr/>
        <w:t>中国长城科技集团股份有限公司全体股东：</w:t>
      </w:r>
      <w:r>
        <w:rPr>
          <w:w w:val="99"/>
        </w:rPr>
        <w:t> </w:t>
      </w:r>
      <w:r>
        <w:rPr/>
        <w:t>一、</w:t>
      </w:r>
      <w:r>
        <w:rPr>
          <w:spacing w:val="-12"/>
        </w:rPr>
        <w:t> </w:t>
      </w:r>
      <w:r>
        <w:rPr/>
        <w:t>审计意见</w:t>
      </w:r>
      <w:r>
        <w:rPr>
          <w:b w:val="0"/>
          <w:bCs w:val="0"/>
        </w:rPr>
      </w:r>
    </w:p>
    <w:p>
      <w:pPr>
        <w:pStyle w:val="Heading3"/>
        <w:spacing w:line="268" w:lineRule="auto" w:before="80"/>
        <w:ind w:right="1357"/>
        <w:jc w:val="both"/>
      </w:pPr>
      <w:r>
        <w:rPr>
          <w:spacing w:val="-6"/>
          <w:w w:val="100"/>
        </w:rPr>
        <w:t>我们审计了中国长城科技集团股份有限公司（以下简称“中国长城”）</w:t>
      </w:r>
      <w:r>
        <w:rPr>
          <w:w w:val="100"/>
        </w:rPr>
        <w:t> </w:t>
      </w:r>
      <w:r>
        <w:rPr/>
        <w:t>财务报表，包括</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w:t>
      </w:r>
      <w:r>
        <w:rPr>
          <w:w w:val="100"/>
        </w:rPr>
        <w:t> </w:t>
      </w:r>
      <w:r>
        <w:rPr/>
        <w:t>度的合并及母公司利润表、合并及母公司现金流量表、合并及母公司所有</w:t>
      </w:r>
      <w:r>
        <w:rPr>
          <w:spacing w:val="-77"/>
        </w:rPr>
        <w:t> </w:t>
      </w:r>
      <w:r>
        <w:rPr>
          <w:spacing w:val="-77"/>
        </w:rPr>
      </w:r>
      <w:r>
        <w:rPr/>
        <w:t>者权益变动表以及相关财务报表附注。</w:t>
      </w:r>
    </w:p>
    <w:p>
      <w:pPr>
        <w:pStyle w:val="Heading3"/>
        <w:spacing w:line="273" w:lineRule="auto" w:before="56"/>
        <w:ind w:right="1434"/>
        <w:jc w:val="both"/>
      </w:pPr>
      <w:r>
        <w:rPr/>
        <w:t>我们认为，后附的财务报表在所有重大方面按照企业会计准则的规定</w:t>
      </w:r>
      <w:r>
        <w:rPr>
          <w:w w:val="100"/>
        </w:rPr>
        <w:t> </w:t>
      </w:r>
      <w:r>
        <w:rPr>
          <w:spacing w:val="-7"/>
        </w:rPr>
        <w:t>编制，公允反映了中国长城</w:t>
      </w:r>
      <w:r>
        <w:rPr>
          <w:spacing w:val="-6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7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w:t>
      </w:r>
    </w:p>
    <w:p>
      <w:pPr>
        <w:spacing w:line="559" w:lineRule="auto" w:before="0"/>
        <w:ind w:left="889" w:right="4151" w:hanging="569"/>
        <w:jc w:val="left"/>
        <w:rPr>
          <w:rFonts w:ascii="宋体" w:hAnsi="宋体" w:cs="宋体" w:eastAsia="宋体" w:hint="default"/>
          <w:sz w:val="28"/>
          <w:szCs w:val="28"/>
        </w:rPr>
      </w:pPr>
      <w:r>
        <w:rPr>
          <w:rFonts w:ascii="宋体" w:hAnsi="宋体" w:cs="宋体" w:eastAsia="宋体" w:hint="default"/>
          <w:sz w:val="28"/>
          <w:szCs w:val="28"/>
        </w:rPr>
        <w:t>及</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2019</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年度的合并及母公司经营成果和现金流量。</w:t>
      </w:r>
      <w:r>
        <w:rPr>
          <w:rFonts w:ascii="宋体" w:hAnsi="宋体" w:cs="宋体" w:eastAsia="宋体" w:hint="default"/>
          <w:w w:val="100"/>
          <w:sz w:val="28"/>
          <w:szCs w:val="28"/>
        </w:rPr>
        <w:t> </w:t>
      </w:r>
      <w:r>
        <w:rPr>
          <w:rFonts w:ascii="宋体" w:hAnsi="宋体" w:cs="宋体" w:eastAsia="宋体" w:hint="default"/>
          <w:b/>
          <w:bCs/>
          <w:sz w:val="28"/>
          <w:szCs w:val="28"/>
        </w:rPr>
        <w:t>二、</w:t>
      </w:r>
      <w:r>
        <w:rPr>
          <w:rFonts w:ascii="宋体" w:hAnsi="宋体" w:cs="宋体" w:eastAsia="宋体" w:hint="default"/>
          <w:b/>
          <w:bCs/>
          <w:spacing w:val="-14"/>
          <w:sz w:val="28"/>
          <w:szCs w:val="28"/>
        </w:rPr>
        <w:t> </w:t>
      </w:r>
      <w:r>
        <w:rPr>
          <w:rFonts w:ascii="宋体" w:hAnsi="宋体" w:cs="宋体" w:eastAsia="宋体" w:hint="default"/>
          <w:b/>
          <w:bCs/>
          <w:sz w:val="28"/>
          <w:szCs w:val="28"/>
        </w:rPr>
        <w:t>形成审计意见的基础</w:t>
      </w:r>
      <w:r>
        <w:rPr>
          <w:rFonts w:ascii="宋体" w:hAnsi="宋体" w:cs="宋体" w:eastAsia="宋体" w:hint="default"/>
          <w:sz w:val="28"/>
          <w:szCs w:val="28"/>
        </w:rPr>
      </w:r>
    </w:p>
    <w:p>
      <w:pPr>
        <w:pStyle w:val="Heading3"/>
        <w:spacing w:line="237" w:lineRule="auto" w:before="76"/>
        <w:ind w:right="1435"/>
        <w:jc w:val="both"/>
      </w:pPr>
      <w:r>
        <w:rPr/>
        <w:t>我们按照中国注册会计师审计准则的规定执行了审计工作。审计报告</w:t>
      </w:r>
      <w:r>
        <w:rPr>
          <w:w w:val="100"/>
        </w:rPr>
        <w:t> </w:t>
      </w:r>
      <w:r>
        <w:rPr/>
        <w:t>的“注册会计师对财务报表审计的责任”部分进一步阐述了我们在这些准</w:t>
      </w:r>
      <w:r>
        <w:rPr>
          <w:spacing w:val="-77"/>
        </w:rPr>
        <w:t> </w:t>
      </w:r>
      <w:r>
        <w:rPr>
          <w:spacing w:val="-77"/>
        </w:rPr>
      </w:r>
      <w:r>
        <w:rPr/>
        <w:t>则下的责任。按照中国注册会计师职业道德守则，我们独立于中国长城，</w:t>
      </w:r>
      <w:r>
        <w:rPr>
          <w:spacing w:val="-77"/>
        </w:rPr>
        <w:t> </w:t>
      </w:r>
      <w:r>
        <w:rPr>
          <w:spacing w:val="-77"/>
        </w:rPr>
      </w:r>
      <w:r>
        <w:rPr/>
        <w:t>并履行了职业道德方面的其他责任。我们相信，我们获取的审计证据是充</w:t>
      </w:r>
      <w:r>
        <w:rPr>
          <w:spacing w:val="-77"/>
        </w:rPr>
        <w:t> </w:t>
      </w:r>
      <w:r>
        <w:rPr>
          <w:spacing w:val="-77"/>
        </w:rPr>
      </w:r>
      <w:r>
        <w:rPr/>
        <w:t>分、适当的，为发表审计意见提供了基础。</w:t>
      </w:r>
    </w:p>
    <w:p>
      <w:pPr>
        <w:spacing w:line="810" w:lineRule="atLeast" w:before="40"/>
        <w:ind w:left="886" w:right="0" w:firstLine="2"/>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b/>
          <w:bCs/>
          <w:spacing w:val="-12"/>
          <w:sz w:val="28"/>
          <w:szCs w:val="28"/>
        </w:rPr>
        <w:t> </w:t>
      </w:r>
      <w:r>
        <w:rPr>
          <w:rFonts w:ascii="宋体" w:hAnsi="宋体" w:cs="宋体" w:eastAsia="宋体" w:hint="default"/>
          <w:b/>
          <w:bCs/>
          <w:sz w:val="28"/>
          <w:szCs w:val="28"/>
        </w:rPr>
        <w:t>关键审计事项</w:t>
      </w:r>
      <w:r>
        <w:rPr>
          <w:rFonts w:ascii="宋体" w:hAnsi="宋体" w:cs="宋体" w:eastAsia="宋体" w:hint="default"/>
          <w:b/>
          <w:bCs/>
          <w:w w:val="99"/>
          <w:sz w:val="28"/>
          <w:szCs w:val="28"/>
        </w:rPr>
        <w:t> </w:t>
      </w:r>
      <w:r>
        <w:rPr>
          <w:rFonts w:ascii="宋体" w:hAnsi="宋体" w:cs="宋体" w:eastAsia="宋体" w:hint="default"/>
          <w:sz w:val="28"/>
          <w:szCs w:val="28"/>
        </w:rPr>
        <w:t>关键审计事项是我们根据职业判断，认为对本期财务报表审计最为重</w:t>
      </w:r>
    </w:p>
    <w:p>
      <w:pPr>
        <w:pStyle w:val="Heading3"/>
        <w:spacing w:line="240" w:lineRule="auto"/>
        <w:ind w:right="1435" w:firstLine="0"/>
        <w:jc w:val="both"/>
      </w:pPr>
      <w:r>
        <w:rPr/>
        <w:t>要的事项。这些事项的应对以对财务报表整体进行审计并形成审计意见为</w:t>
      </w:r>
      <w:r>
        <w:rPr>
          <w:spacing w:val="-77"/>
        </w:rPr>
        <w:t> </w:t>
      </w:r>
      <w:r>
        <w:rPr>
          <w:spacing w:val="-77"/>
        </w:rPr>
      </w:r>
      <w:r>
        <w:rPr/>
        <w:t>背景，我们不对这些事项单独发表意见。我们确定下列事项是需要在审计</w:t>
      </w:r>
      <w:r>
        <w:rPr>
          <w:spacing w:val="-77"/>
        </w:rPr>
        <w:t> </w:t>
      </w:r>
      <w:r>
        <w:rPr>
          <w:spacing w:val="-77"/>
        </w:rPr>
      </w:r>
      <w:r>
        <w:rPr/>
        <w:t>报告中沟通的关键审计事项。</w:t>
      </w:r>
    </w:p>
    <w:p>
      <w:pPr>
        <w:spacing w:after="0" w:line="240" w:lineRule="auto"/>
        <w:jc w:val="both"/>
        <w:sectPr>
          <w:headerReference w:type="default" r:id="rId18"/>
          <w:footerReference w:type="default" r:id="rId19"/>
          <w:pgSz w:w="11910" w:h="16840"/>
          <w:pgMar w:header="679" w:footer="979" w:top="1620" w:bottom="1160" w:left="1120" w:right="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315" w:type="dxa"/>
        <w:tblLayout w:type="fixed"/>
        <w:tblCellMar>
          <w:top w:w="0" w:type="dxa"/>
          <w:left w:w="0" w:type="dxa"/>
          <w:bottom w:w="0" w:type="dxa"/>
          <w:right w:w="0" w:type="dxa"/>
        </w:tblCellMar>
        <w:tblLook w:val="01E0"/>
      </w:tblPr>
      <w:tblGrid>
        <w:gridCol w:w="4153"/>
        <w:gridCol w:w="4071"/>
      </w:tblGrid>
      <w:tr>
        <w:trPr>
          <w:trHeight w:val="41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342" w:lineRule="exact"/>
              <w:ind w:left="1226" w:right="0"/>
              <w:jc w:val="left"/>
              <w:rPr>
                <w:rFonts w:ascii="宋体" w:hAnsi="宋体" w:cs="宋体" w:eastAsia="宋体" w:hint="default"/>
                <w:sz w:val="28"/>
                <w:szCs w:val="28"/>
              </w:rPr>
            </w:pPr>
            <w:r>
              <w:rPr>
                <w:rFonts w:ascii="宋体" w:hAnsi="宋体" w:cs="宋体" w:eastAsia="宋体" w:hint="default"/>
                <w:b/>
                <w:bCs/>
                <w:sz w:val="28"/>
                <w:szCs w:val="28"/>
              </w:rPr>
              <w:t>关键审计事项</w:t>
            </w:r>
            <w:r>
              <w:rPr>
                <w:rFonts w:ascii="宋体" w:hAnsi="宋体" w:cs="宋体" w:eastAsia="宋体" w:hint="default"/>
                <w:sz w:val="28"/>
                <w:szCs w:val="28"/>
              </w:rPr>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342" w:lineRule="exact"/>
              <w:ind w:left="201" w:right="0"/>
              <w:jc w:val="left"/>
              <w:rPr>
                <w:rFonts w:ascii="宋体" w:hAnsi="宋体" w:cs="宋体" w:eastAsia="宋体" w:hint="default"/>
                <w:sz w:val="28"/>
                <w:szCs w:val="28"/>
              </w:rPr>
            </w:pPr>
            <w:r>
              <w:rPr>
                <w:rFonts w:ascii="宋体" w:hAnsi="宋体" w:cs="宋体" w:eastAsia="宋体" w:hint="default"/>
                <w:b/>
                <w:bCs/>
                <w:sz w:val="28"/>
                <w:szCs w:val="28"/>
              </w:rPr>
              <w:t>该事项在审计中是如何应对的</w:t>
            </w:r>
            <w:r>
              <w:rPr>
                <w:rFonts w:ascii="宋体" w:hAnsi="宋体" w:cs="宋体" w:eastAsia="宋体" w:hint="default"/>
                <w:sz w:val="28"/>
                <w:szCs w:val="28"/>
              </w:rPr>
            </w:r>
          </w:p>
        </w:tc>
      </w:tr>
      <w:tr>
        <w:trPr>
          <w:trHeight w:val="413" w:hRule="exact"/>
        </w:trPr>
        <w:tc>
          <w:tcPr>
            <w:tcW w:w="8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342" w:lineRule="exact"/>
              <w:ind w:left="103" w:right="0"/>
              <w:jc w:val="left"/>
              <w:rPr>
                <w:rFonts w:ascii="宋体" w:hAnsi="宋体" w:cs="宋体" w:eastAsia="宋体" w:hint="default"/>
                <w:sz w:val="28"/>
                <w:szCs w:val="28"/>
              </w:rPr>
            </w:pPr>
            <w:r>
              <w:rPr>
                <w:rFonts w:ascii="宋体" w:hAnsi="宋体" w:cs="宋体" w:eastAsia="宋体" w:hint="default"/>
                <w:b/>
                <w:bCs/>
                <w:sz w:val="28"/>
                <w:szCs w:val="28"/>
              </w:rPr>
              <w:t>（一）收入确认</w:t>
            </w:r>
            <w:r>
              <w:rPr>
                <w:rFonts w:ascii="宋体" w:hAnsi="宋体" w:cs="宋体" w:eastAsia="宋体" w:hint="default"/>
                <w:sz w:val="28"/>
                <w:szCs w:val="28"/>
              </w:rPr>
            </w:r>
          </w:p>
        </w:tc>
      </w:tr>
      <w:tr>
        <w:trPr>
          <w:trHeight w:val="1193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97"/>
              <w:jc w:val="both"/>
              <w:rPr>
                <w:rFonts w:ascii="宋体" w:hAnsi="宋体" w:cs="宋体" w:eastAsia="宋体" w:hint="default"/>
                <w:sz w:val="28"/>
                <w:szCs w:val="28"/>
              </w:rPr>
            </w:pPr>
            <w:r>
              <w:rPr>
                <w:rFonts w:ascii="宋体" w:hAnsi="宋体" w:cs="宋体" w:eastAsia="宋体" w:hint="default"/>
                <w:sz w:val="28"/>
                <w:szCs w:val="28"/>
              </w:rPr>
              <w:t>关于收入确认会计政策详见附注</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19"/>
                <w:w w:val="100"/>
                <w:sz w:val="28"/>
                <w:szCs w:val="28"/>
              </w:rPr>
              <w:t>三、（二十四）；关于收入的披露</w:t>
            </w:r>
            <w:r>
              <w:rPr>
                <w:rFonts w:ascii="宋体" w:hAnsi="宋体" w:cs="宋体" w:eastAsia="宋体" w:hint="default"/>
                <w:spacing w:val="-130"/>
                <w:w w:val="100"/>
                <w:sz w:val="28"/>
                <w:szCs w:val="28"/>
              </w:rPr>
              <w:t> </w:t>
            </w:r>
            <w:r>
              <w:rPr>
                <w:rFonts w:ascii="宋体" w:hAnsi="宋体" w:cs="宋体" w:eastAsia="宋体" w:hint="default"/>
                <w:spacing w:val="-130"/>
                <w:w w:val="100"/>
                <w:sz w:val="28"/>
                <w:szCs w:val="28"/>
              </w:rPr>
            </w:r>
            <w:r>
              <w:rPr>
                <w:rFonts w:ascii="宋体" w:hAnsi="宋体" w:cs="宋体" w:eastAsia="宋体" w:hint="default"/>
                <w:spacing w:val="-24"/>
                <w:w w:val="100"/>
                <w:sz w:val="28"/>
                <w:szCs w:val="28"/>
              </w:rPr>
              <w:t>详见附注五、（四十六）。</w:t>
            </w:r>
          </w:p>
          <w:p>
            <w:pPr>
              <w:pStyle w:val="TableParagraph"/>
              <w:spacing w:line="240" w:lineRule="auto" w:before="3"/>
              <w:ind w:right="0"/>
              <w:jc w:val="left"/>
              <w:rPr>
                <w:rFonts w:ascii="Times New Roman" w:hAnsi="Times New Roman" w:cs="Times New Roman" w:eastAsia="Times New Roman" w:hint="default"/>
                <w:sz w:val="34"/>
                <w:szCs w:val="34"/>
              </w:rPr>
            </w:pPr>
          </w:p>
          <w:p>
            <w:pPr>
              <w:pStyle w:val="TableParagraph"/>
              <w:spacing w:line="376" w:lineRule="exact"/>
              <w:ind w:left="103"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2019</w:t>
            </w:r>
            <w:r>
              <w:rPr>
                <w:rFonts w:ascii="Times New Roman" w:hAnsi="Times New Roman" w:cs="Times New Roman" w:eastAsia="Times New Roman" w:hint="default"/>
                <w:spacing w:val="14"/>
                <w:sz w:val="28"/>
                <w:szCs w:val="28"/>
              </w:rPr>
              <w:t> </w:t>
            </w:r>
            <w:r>
              <w:rPr>
                <w:rFonts w:ascii="宋体" w:hAnsi="宋体" w:cs="宋体" w:eastAsia="宋体" w:hint="default"/>
                <w:spacing w:val="-6"/>
                <w:sz w:val="28"/>
                <w:szCs w:val="28"/>
              </w:rPr>
              <w:t>年度，中国长城合并口径营</w:t>
            </w:r>
          </w:p>
          <w:p>
            <w:pPr>
              <w:pStyle w:val="TableParagraph"/>
              <w:spacing w:line="240" w:lineRule="auto"/>
              <w:ind w:left="103" w:right="-41"/>
              <w:jc w:val="left"/>
              <w:rPr>
                <w:rFonts w:ascii="宋体" w:hAnsi="宋体" w:cs="宋体" w:eastAsia="宋体" w:hint="default"/>
                <w:sz w:val="28"/>
                <w:szCs w:val="28"/>
              </w:rPr>
            </w:pPr>
            <w:r>
              <w:rPr>
                <w:rFonts w:ascii="宋体" w:hAnsi="宋体" w:cs="宋体" w:eastAsia="宋体" w:hint="default"/>
                <w:sz w:val="28"/>
                <w:szCs w:val="28"/>
              </w:rPr>
              <w:t>业收入</w:t>
            </w:r>
            <w:r>
              <w:rPr>
                <w:rFonts w:ascii="宋体" w:hAnsi="宋体" w:cs="宋体" w:eastAsia="宋体" w:hint="default"/>
                <w:spacing w:val="-69"/>
                <w:sz w:val="28"/>
                <w:szCs w:val="28"/>
              </w:rPr>
              <w:t> </w:t>
            </w:r>
            <w:r>
              <w:rPr>
                <w:rFonts w:ascii="Times New Roman" w:hAnsi="Times New Roman" w:cs="Times New Roman" w:eastAsia="Times New Roman" w:hint="default"/>
                <w:sz w:val="28"/>
                <w:szCs w:val="28"/>
              </w:rPr>
              <w:t>108.44</w:t>
            </w:r>
            <w:r>
              <w:rPr>
                <w:rFonts w:ascii="Times New Roman" w:hAnsi="Times New Roman" w:cs="Times New Roman" w:eastAsia="Times New Roman" w:hint="default"/>
                <w:spacing w:val="2"/>
                <w:sz w:val="28"/>
                <w:szCs w:val="28"/>
              </w:rPr>
              <w:t> </w:t>
            </w:r>
            <w:r>
              <w:rPr>
                <w:rFonts w:ascii="宋体" w:hAnsi="宋体" w:cs="宋体" w:eastAsia="宋体" w:hint="default"/>
                <w:spacing w:val="-8"/>
                <w:sz w:val="28"/>
                <w:szCs w:val="28"/>
              </w:rPr>
              <w:t>亿元，主要来源于</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高新电子、电源、信息安全整机</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及解决方案和园区及物业服务。</w:t>
            </w:r>
            <w:r>
              <w:rPr>
                <w:rFonts w:ascii="宋体" w:hAnsi="宋体" w:cs="宋体" w:eastAsia="宋体" w:hint="default"/>
                <w:w w:val="100"/>
                <w:sz w:val="28"/>
                <w:szCs w:val="28"/>
              </w:rPr>
              <w:t> </w:t>
            </w:r>
            <w:r>
              <w:rPr>
                <w:rFonts w:ascii="宋体" w:hAnsi="宋体" w:cs="宋体" w:eastAsia="宋体" w:hint="default"/>
                <w:spacing w:val="23"/>
                <w:sz w:val="28"/>
                <w:szCs w:val="28"/>
              </w:rPr>
              <w:t>中国长城确认收入的具体原则</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pacing w:val="-9"/>
                <w:sz w:val="28"/>
                <w:szCs w:val="28"/>
              </w:rPr>
              <w:t>为：对于产品销售（含材料销售）</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的收入是公司在已将产品所有权</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上的主要风险和报酬转移给购货</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方、公司既没有保留通常与所有</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权相联系的继续管理权、也没有</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对已售出的产品实施有效控制、</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而客户已接受产品或不存在其他</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影响客户接受产品的未履行责任</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时确认；对于租金的收入是按照</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租赁合同在约定的租赁期限内确</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认；对于技术服务的收入按照合</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同约定条款，在提供技术服务并</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开具发票后确认收入实现；对于</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维修服务的收入在执行维修业务</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23"/>
                <w:sz w:val="28"/>
                <w:szCs w:val="28"/>
              </w:rPr>
              <w:t>并交付产品时确认维修服务收</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入。</w:t>
            </w:r>
            <w:r>
              <w:rPr>
                <w:rFonts w:ascii="宋体" w:hAnsi="宋体" w:cs="宋体" w:eastAsia="宋体" w:hint="default"/>
                <w:w w:val="100"/>
                <w:sz w:val="28"/>
                <w:szCs w:val="28"/>
              </w:rPr>
              <w:t> </w:t>
            </w:r>
            <w:r>
              <w:rPr>
                <w:rFonts w:ascii="宋体" w:hAnsi="宋体" w:cs="宋体" w:eastAsia="宋体" w:hint="default"/>
                <w:sz w:val="28"/>
                <w:szCs w:val="28"/>
              </w:rPr>
              <w:t>由于收入是中国长城的关键绩效</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9"/>
                <w:w w:val="100"/>
                <w:sz w:val="28"/>
                <w:szCs w:val="28"/>
              </w:rPr>
              <w:t>指标之一，且其涉及管理层判断，</w:t>
            </w:r>
            <w:r>
              <w:rPr>
                <w:rFonts w:ascii="宋体" w:hAnsi="宋体" w:cs="宋体" w:eastAsia="宋体" w:hint="default"/>
                <w:w w:val="100"/>
                <w:sz w:val="28"/>
                <w:szCs w:val="28"/>
              </w:rPr>
              <w:t> </w:t>
            </w:r>
            <w:r>
              <w:rPr>
                <w:rFonts w:ascii="宋体" w:hAnsi="宋体" w:cs="宋体" w:eastAsia="宋体" w:hint="default"/>
                <w:sz w:val="28"/>
                <w:szCs w:val="28"/>
              </w:rPr>
              <w:t>使得收入存在可能被确认不正确</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的期间或被操纵以达到目标或预</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期水平的固有风险，因此我们将</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收入确认识别为关键审计事项。</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30"/>
              <w:ind w:left="103" w:right="85"/>
              <w:jc w:val="both"/>
              <w:rPr>
                <w:rFonts w:ascii="宋体" w:hAnsi="宋体" w:cs="宋体" w:eastAsia="宋体" w:hint="default"/>
                <w:sz w:val="28"/>
                <w:szCs w:val="28"/>
              </w:rPr>
            </w:pPr>
            <w:r>
              <w:rPr>
                <w:rFonts w:ascii="宋体" w:hAnsi="宋体" w:cs="宋体" w:eastAsia="宋体" w:hint="default"/>
                <w:spacing w:val="15"/>
                <w:sz w:val="28"/>
                <w:szCs w:val="28"/>
              </w:rPr>
              <w:t>我们针对收入确认执行的审计</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程序主要有：</w:t>
            </w:r>
          </w:p>
          <w:p>
            <w:pPr>
              <w:pStyle w:val="TableParagraph"/>
              <w:spacing w:line="364" w:lineRule="exact" w:before="36"/>
              <w:ind w:left="103" w:right="85"/>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1</w:t>
            </w:r>
            <w:r>
              <w:rPr>
                <w:rFonts w:ascii="宋体" w:hAnsi="宋体" w:cs="宋体" w:eastAsia="宋体" w:hint="default"/>
                <w:spacing w:val="3"/>
                <w:sz w:val="28"/>
                <w:szCs w:val="28"/>
              </w:rPr>
              <w:t>）了解和评价管理层与收入</w:t>
            </w:r>
            <w:r>
              <w:rPr>
                <w:rFonts w:ascii="宋体" w:hAnsi="宋体" w:cs="宋体" w:eastAsia="宋体" w:hint="default"/>
                <w:spacing w:val="-114"/>
                <w:sz w:val="28"/>
                <w:szCs w:val="28"/>
              </w:rPr>
              <w:t> </w:t>
            </w:r>
            <w:r>
              <w:rPr>
                <w:rFonts w:ascii="宋体" w:hAnsi="宋体" w:cs="宋体" w:eastAsia="宋体" w:hint="default"/>
                <w:spacing w:val="15"/>
                <w:sz w:val="28"/>
                <w:szCs w:val="28"/>
              </w:rPr>
              <w:t>确认相关的关键内部控制的设</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计和运行有效性；</w:t>
            </w:r>
          </w:p>
          <w:p>
            <w:pPr>
              <w:pStyle w:val="TableParagraph"/>
              <w:spacing w:line="235" w:lineRule="auto" w:before="7"/>
              <w:ind w:left="103" w:right="85"/>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2</w:t>
            </w:r>
            <w:r>
              <w:rPr>
                <w:rFonts w:ascii="宋体" w:hAnsi="宋体" w:cs="宋体" w:eastAsia="宋体" w:hint="default"/>
                <w:spacing w:val="3"/>
                <w:sz w:val="28"/>
                <w:szCs w:val="28"/>
              </w:rPr>
              <w:t>）选取样本检查销售合同，</w:t>
            </w:r>
            <w:r>
              <w:rPr>
                <w:rFonts w:ascii="宋体" w:hAnsi="宋体" w:cs="宋体" w:eastAsia="宋体" w:hint="default"/>
                <w:spacing w:val="-114"/>
                <w:sz w:val="28"/>
                <w:szCs w:val="28"/>
              </w:rPr>
              <w:t> </w:t>
            </w:r>
            <w:r>
              <w:rPr>
                <w:rFonts w:ascii="宋体" w:hAnsi="宋体" w:cs="宋体" w:eastAsia="宋体" w:hint="default"/>
                <w:spacing w:val="15"/>
                <w:sz w:val="28"/>
                <w:szCs w:val="28"/>
              </w:rPr>
              <w:t>识别与商品所有权上的风险和</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5"/>
                <w:sz w:val="28"/>
                <w:szCs w:val="28"/>
              </w:rPr>
              <w:t>报酬转移相关的合同条款与条</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件，评价收入确认时点是否符合</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企业会计准则的要求；</w:t>
            </w:r>
          </w:p>
          <w:p>
            <w:pPr>
              <w:pStyle w:val="TableParagraph"/>
              <w:spacing w:line="235" w:lineRule="auto" w:before="41"/>
              <w:ind w:left="103" w:right="85"/>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3</w:t>
            </w:r>
            <w:r>
              <w:rPr>
                <w:rFonts w:ascii="宋体" w:hAnsi="宋体" w:cs="宋体" w:eastAsia="宋体" w:hint="default"/>
                <w:spacing w:val="3"/>
                <w:sz w:val="28"/>
                <w:szCs w:val="28"/>
              </w:rPr>
              <w:t>）结合应收账款函证程序，</w:t>
            </w:r>
            <w:r>
              <w:rPr>
                <w:rFonts w:ascii="宋体" w:hAnsi="宋体" w:cs="宋体" w:eastAsia="宋体" w:hint="default"/>
                <w:spacing w:val="-114"/>
                <w:sz w:val="28"/>
                <w:szCs w:val="28"/>
              </w:rPr>
              <w:t> </w:t>
            </w:r>
            <w:r>
              <w:rPr>
                <w:rFonts w:ascii="宋体" w:hAnsi="宋体" w:cs="宋体" w:eastAsia="宋体" w:hint="default"/>
                <w:spacing w:val="15"/>
                <w:sz w:val="28"/>
                <w:szCs w:val="28"/>
              </w:rPr>
              <w:t>对本年记录的收入交易选取样</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本，核对发票、销售合同及发货</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6"/>
                <w:sz w:val="28"/>
                <w:szCs w:val="28"/>
              </w:rPr>
              <w:t>单等单据，检查已确认收入的真</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6"/>
                <w:sz w:val="28"/>
                <w:szCs w:val="28"/>
              </w:rPr>
              <w:t>实性；结合产成品监盘程序，增</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6"/>
                <w:sz w:val="28"/>
                <w:szCs w:val="28"/>
              </w:rPr>
              <w:t>加从实物到账的抽查比例，以识</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15"/>
                <w:sz w:val="28"/>
                <w:szCs w:val="28"/>
              </w:rPr>
              <w:t>别产成品是否有未发出而确认</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收入情况；</w:t>
            </w:r>
          </w:p>
          <w:p>
            <w:pPr>
              <w:pStyle w:val="TableParagraph"/>
              <w:spacing w:line="235" w:lineRule="auto" w:before="41"/>
              <w:ind w:left="103" w:right="35"/>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4</w:t>
            </w:r>
            <w:r>
              <w:rPr>
                <w:rFonts w:ascii="宋体" w:hAnsi="宋体" w:cs="宋体" w:eastAsia="宋体" w:hint="default"/>
                <w:spacing w:val="3"/>
                <w:sz w:val="28"/>
                <w:szCs w:val="28"/>
              </w:rPr>
              <w:t>）对收入和成本执行分析性</w:t>
            </w:r>
            <w:r>
              <w:rPr>
                <w:rFonts w:ascii="宋体" w:hAnsi="宋体" w:cs="宋体" w:eastAsia="宋体" w:hint="default"/>
                <w:spacing w:val="-114"/>
                <w:sz w:val="28"/>
                <w:szCs w:val="28"/>
              </w:rPr>
              <w:t> </w:t>
            </w:r>
            <w:r>
              <w:rPr>
                <w:rFonts w:ascii="宋体" w:hAnsi="宋体" w:cs="宋体" w:eastAsia="宋体" w:hint="default"/>
                <w:spacing w:val="-1"/>
                <w:sz w:val="28"/>
                <w:szCs w:val="28"/>
              </w:rPr>
              <w:t>程序，包括：本期各月份收入、</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6"/>
                <w:sz w:val="28"/>
                <w:szCs w:val="28"/>
              </w:rPr>
              <w:t>成本、毛利率波动分析，主要产</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6"/>
                <w:sz w:val="28"/>
                <w:szCs w:val="28"/>
              </w:rPr>
              <w:t>品本期收入、成本、毛利率与上</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6"/>
                <w:sz w:val="28"/>
                <w:szCs w:val="28"/>
              </w:rPr>
              <w:t>期比较分析等分析性程序，检查</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z w:val="28"/>
                <w:szCs w:val="28"/>
              </w:rPr>
              <w:t>已确认收入的准确性；</w:t>
            </w:r>
          </w:p>
          <w:p>
            <w:pPr>
              <w:pStyle w:val="TableParagraph"/>
              <w:spacing w:line="232" w:lineRule="auto" w:before="45"/>
              <w:ind w:left="103" w:right="97"/>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5</w:t>
            </w:r>
            <w:r>
              <w:rPr>
                <w:rFonts w:ascii="宋体" w:hAnsi="宋体" w:cs="宋体" w:eastAsia="宋体" w:hint="default"/>
                <w:spacing w:val="3"/>
                <w:sz w:val="28"/>
                <w:szCs w:val="28"/>
              </w:rPr>
              <w:t>）查询公司前十大客户及其</w:t>
            </w:r>
            <w:r>
              <w:rPr>
                <w:rFonts w:ascii="宋体" w:hAnsi="宋体" w:cs="宋体" w:eastAsia="宋体" w:hint="default"/>
                <w:spacing w:val="-114"/>
                <w:sz w:val="28"/>
                <w:szCs w:val="28"/>
              </w:rPr>
              <w:t> </w:t>
            </w:r>
            <w:r>
              <w:rPr>
                <w:rFonts w:ascii="宋体" w:hAnsi="宋体" w:cs="宋体" w:eastAsia="宋体" w:hint="default"/>
                <w:spacing w:val="-6"/>
                <w:sz w:val="28"/>
                <w:szCs w:val="28"/>
              </w:rPr>
              <w:t>他重大客户工商资料，识别是否</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与公司存在关联关系；</w:t>
            </w:r>
          </w:p>
          <w:p>
            <w:pPr>
              <w:pStyle w:val="TableParagraph"/>
              <w:spacing w:line="235" w:lineRule="auto" w:before="42"/>
              <w:ind w:left="103" w:right="85"/>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6</w:t>
            </w:r>
            <w:r>
              <w:rPr>
                <w:rFonts w:ascii="宋体" w:hAnsi="宋体" w:cs="宋体" w:eastAsia="宋体" w:hint="default"/>
                <w:spacing w:val="3"/>
                <w:sz w:val="28"/>
                <w:szCs w:val="28"/>
              </w:rPr>
              <w:t>）就资产负债表日前后记录</w:t>
            </w:r>
            <w:r>
              <w:rPr>
                <w:rFonts w:ascii="宋体" w:hAnsi="宋体" w:cs="宋体" w:eastAsia="宋体" w:hint="default"/>
                <w:spacing w:val="-114"/>
                <w:sz w:val="28"/>
                <w:szCs w:val="28"/>
              </w:rPr>
              <w:t> </w:t>
            </w:r>
            <w:r>
              <w:rPr>
                <w:rFonts w:ascii="宋体" w:hAnsi="宋体" w:cs="宋体" w:eastAsia="宋体" w:hint="default"/>
                <w:spacing w:val="-6"/>
                <w:sz w:val="28"/>
                <w:szCs w:val="28"/>
              </w:rPr>
              <w:t>的收入交易，选取样本，核对发</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6"/>
                <w:sz w:val="28"/>
                <w:szCs w:val="28"/>
              </w:rPr>
              <w:t>货单及其他支持性文件，以评价</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5"/>
                <w:sz w:val="28"/>
                <w:szCs w:val="28"/>
              </w:rPr>
              <w:t>收入是否被记录于恰当的会计</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期间。</w:t>
            </w:r>
          </w:p>
        </w:tc>
      </w:tr>
    </w:tbl>
    <w:p>
      <w:pPr>
        <w:spacing w:after="0" w:line="235" w:lineRule="auto"/>
        <w:jc w:val="both"/>
        <w:rPr>
          <w:rFonts w:ascii="宋体" w:hAnsi="宋体" w:cs="宋体" w:eastAsia="宋体" w:hint="default"/>
          <w:sz w:val="28"/>
          <w:szCs w:val="28"/>
        </w:rPr>
        <w:sectPr>
          <w:headerReference w:type="default" r:id="rId20"/>
          <w:pgSz w:w="11910" w:h="16840"/>
          <w:pgMar w:header="679" w:footer="979" w:top="1620" w:bottom="1160" w:left="11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315" w:type="dxa"/>
        <w:tblLayout w:type="fixed"/>
        <w:tblCellMar>
          <w:top w:w="0" w:type="dxa"/>
          <w:left w:w="0" w:type="dxa"/>
          <w:bottom w:w="0" w:type="dxa"/>
          <w:right w:w="0" w:type="dxa"/>
        </w:tblCellMar>
        <w:tblLook w:val="01E0"/>
      </w:tblPr>
      <w:tblGrid>
        <w:gridCol w:w="4153"/>
        <w:gridCol w:w="4071"/>
      </w:tblGrid>
      <w:tr>
        <w:trPr>
          <w:trHeight w:val="454" w:hRule="exact"/>
        </w:trPr>
        <w:tc>
          <w:tcPr>
            <w:tcW w:w="8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363" w:lineRule="exact"/>
              <w:ind w:left="103" w:right="0"/>
              <w:jc w:val="left"/>
              <w:rPr>
                <w:rFonts w:ascii="宋体" w:hAnsi="宋体" w:cs="宋体" w:eastAsia="宋体" w:hint="default"/>
                <w:sz w:val="28"/>
                <w:szCs w:val="28"/>
              </w:rPr>
            </w:pPr>
            <w:r>
              <w:rPr>
                <w:rFonts w:ascii="宋体" w:hAnsi="宋体" w:cs="宋体" w:eastAsia="宋体" w:hint="default"/>
                <w:b/>
                <w:bCs/>
                <w:sz w:val="28"/>
                <w:szCs w:val="28"/>
              </w:rPr>
              <w:t>（二）投资性房地产公允价值计量</w:t>
            </w:r>
            <w:r>
              <w:rPr>
                <w:rFonts w:ascii="宋体" w:hAnsi="宋体" w:cs="宋体" w:eastAsia="宋体" w:hint="default"/>
                <w:sz w:val="28"/>
                <w:szCs w:val="28"/>
              </w:rPr>
            </w:r>
          </w:p>
        </w:tc>
      </w:tr>
      <w:tr>
        <w:trPr>
          <w:trHeight w:val="11790"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38"/>
              <w:jc w:val="both"/>
              <w:rPr>
                <w:rFonts w:ascii="宋体" w:hAnsi="宋体" w:cs="宋体" w:eastAsia="宋体" w:hint="default"/>
                <w:sz w:val="28"/>
                <w:szCs w:val="28"/>
              </w:rPr>
            </w:pPr>
            <w:r>
              <w:rPr>
                <w:rFonts w:ascii="宋体" w:hAnsi="宋体" w:cs="宋体" w:eastAsia="宋体" w:hint="default"/>
                <w:sz w:val="28"/>
                <w:szCs w:val="28"/>
              </w:rPr>
              <w:t>关于投资性房地产会计政策详见</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19"/>
                <w:w w:val="100"/>
                <w:sz w:val="28"/>
                <w:szCs w:val="28"/>
              </w:rPr>
              <w:t>附注三、（十四）；关于投资性房</w:t>
            </w:r>
            <w:r>
              <w:rPr>
                <w:rFonts w:ascii="宋体" w:hAnsi="宋体" w:cs="宋体" w:eastAsia="宋体" w:hint="default"/>
                <w:spacing w:val="-130"/>
                <w:w w:val="100"/>
                <w:sz w:val="28"/>
                <w:szCs w:val="28"/>
              </w:rPr>
              <w:t> </w:t>
            </w:r>
            <w:r>
              <w:rPr>
                <w:rFonts w:ascii="宋体" w:hAnsi="宋体" w:cs="宋体" w:eastAsia="宋体" w:hint="default"/>
                <w:spacing w:val="-130"/>
                <w:w w:val="100"/>
                <w:sz w:val="28"/>
                <w:szCs w:val="28"/>
              </w:rPr>
            </w:r>
            <w:r>
              <w:rPr>
                <w:rFonts w:ascii="宋体" w:hAnsi="宋体" w:cs="宋体" w:eastAsia="宋体" w:hint="default"/>
                <w:spacing w:val="-27"/>
                <w:w w:val="100"/>
                <w:sz w:val="28"/>
                <w:szCs w:val="28"/>
              </w:rPr>
              <w:t>地产的披露详见附注五、（十六）。</w:t>
            </w:r>
          </w:p>
          <w:p>
            <w:pPr>
              <w:pStyle w:val="TableParagraph"/>
              <w:spacing w:line="240" w:lineRule="auto" w:before="9"/>
              <w:ind w:right="0"/>
              <w:jc w:val="left"/>
              <w:rPr>
                <w:rFonts w:ascii="Times New Roman" w:hAnsi="Times New Roman" w:cs="Times New Roman" w:eastAsia="Times New Roman" w:hint="default"/>
                <w:sz w:val="37"/>
                <w:szCs w:val="37"/>
              </w:rPr>
            </w:pPr>
          </w:p>
          <w:p>
            <w:pPr>
              <w:pStyle w:val="TableParagraph"/>
              <w:spacing w:line="362" w:lineRule="exact"/>
              <w:ind w:left="103" w:right="75"/>
              <w:jc w:val="left"/>
              <w:rPr>
                <w:rFonts w:ascii="宋体" w:hAnsi="宋体" w:cs="宋体" w:eastAsia="宋体" w:hint="default"/>
                <w:sz w:val="28"/>
                <w:szCs w:val="28"/>
              </w:rPr>
            </w:pPr>
            <w:r>
              <w:rPr>
                <w:rFonts w:ascii="Times New Roman" w:hAnsi="Times New Roman" w:cs="Times New Roman" w:eastAsia="Times New Roman" w:hint="default"/>
                <w:sz w:val="28"/>
                <w:szCs w:val="28"/>
              </w:rPr>
              <w:t>2019 </w:t>
            </w:r>
            <w:r>
              <w:rPr>
                <w:rFonts w:ascii="宋体" w:hAnsi="宋体" w:cs="宋体" w:eastAsia="宋体" w:hint="default"/>
                <w:sz w:val="28"/>
                <w:szCs w:val="28"/>
              </w:rPr>
              <w:t>年</w:t>
            </w:r>
            <w:r>
              <w:rPr>
                <w:rFonts w:ascii="宋体" w:hAnsi="宋体" w:cs="宋体" w:eastAsia="宋体" w:hint="default"/>
                <w:spacing w:val="-69"/>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2"/>
                <w:sz w:val="28"/>
                <w:szCs w:val="28"/>
              </w:rPr>
              <w:t> </w:t>
            </w:r>
            <w:r>
              <w:rPr>
                <w:rFonts w:ascii="宋体" w:hAnsi="宋体" w:cs="宋体" w:eastAsia="宋体" w:hint="default"/>
                <w:spacing w:val="-9"/>
                <w:sz w:val="28"/>
                <w:szCs w:val="28"/>
              </w:rPr>
              <w:t>日，中国长城合</w:t>
            </w:r>
            <w:r>
              <w:rPr>
                <w:rFonts w:ascii="宋体" w:hAnsi="宋体" w:cs="宋体" w:eastAsia="宋体" w:hint="default"/>
                <w:w w:val="100"/>
                <w:sz w:val="28"/>
                <w:szCs w:val="28"/>
              </w:rPr>
              <w:t> </w:t>
            </w:r>
            <w:r>
              <w:rPr>
                <w:rFonts w:ascii="宋体" w:hAnsi="宋体" w:cs="宋体" w:eastAsia="宋体" w:hint="default"/>
                <w:spacing w:val="23"/>
                <w:sz w:val="28"/>
                <w:szCs w:val="28"/>
              </w:rPr>
              <w:t>并口径投资性房地产期末余额</w:t>
            </w:r>
            <w:r>
              <w:rPr>
                <w:rFonts w:ascii="宋体" w:hAnsi="宋体" w:cs="宋体" w:eastAsia="宋体" w:hint="default"/>
                <w:sz w:val="28"/>
                <w:szCs w:val="28"/>
              </w:rPr>
            </w:r>
          </w:p>
          <w:p>
            <w:pPr>
              <w:pStyle w:val="TableParagraph"/>
              <w:spacing w:line="355" w:lineRule="exact"/>
              <w:ind w:left="103"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27.75</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亿元。</w:t>
            </w:r>
          </w:p>
          <w:p>
            <w:pPr>
              <w:pStyle w:val="TableParagraph"/>
              <w:spacing w:line="237" w:lineRule="auto" w:before="17"/>
              <w:ind w:left="103" w:right="-41"/>
              <w:jc w:val="left"/>
              <w:rPr>
                <w:rFonts w:ascii="宋体" w:hAnsi="宋体" w:cs="宋体" w:eastAsia="宋体" w:hint="default"/>
                <w:sz w:val="28"/>
                <w:szCs w:val="28"/>
              </w:rPr>
            </w:pPr>
            <w:r>
              <w:rPr>
                <w:rFonts w:ascii="宋体" w:hAnsi="宋体" w:cs="宋体" w:eastAsia="宋体" w:hint="default"/>
                <w:sz w:val="28"/>
                <w:szCs w:val="28"/>
              </w:rPr>
              <w:t>为了更加客观的反映中国长城持</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有的投资性房地产的真实价值，</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23"/>
                <w:sz w:val="28"/>
                <w:szCs w:val="28"/>
              </w:rPr>
              <w:t>增强中国长城财务信息的准确</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性，并与母公司中国电子信息产</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业集团有限公司的会计政策保持</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8"/>
                <w:sz w:val="28"/>
                <w:szCs w:val="28"/>
              </w:rPr>
              <w:t>一致，中国长城自</w:t>
            </w:r>
            <w:r>
              <w:rPr>
                <w:rFonts w:ascii="宋体" w:hAnsi="宋体" w:cs="宋体" w:eastAsia="宋体" w:hint="default"/>
                <w:spacing w:val="-70"/>
                <w:sz w:val="28"/>
                <w:szCs w:val="28"/>
              </w:rPr>
              <w:t> </w:t>
            </w:r>
            <w:r>
              <w:rPr>
                <w:rFonts w:ascii="Times New Roman" w:hAnsi="Times New Roman" w:cs="Times New Roman" w:eastAsia="Times New Roman" w:hint="default"/>
                <w:sz w:val="28"/>
                <w:szCs w:val="28"/>
              </w:rPr>
              <w:t>2019</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Times New Roman" w:hAnsi="Times New Roman" w:cs="Times New Roman" w:eastAsia="Times New Roman" w:hint="default"/>
                <w:sz w:val="28"/>
                <w:szCs w:val="28"/>
              </w:rPr>
              <w:t>1</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r>
              <w:rPr>
                <w:rFonts w:ascii="宋体" w:hAnsi="宋体" w:cs="宋体" w:eastAsia="宋体" w:hint="default"/>
                <w:spacing w:val="-70"/>
                <w:sz w:val="28"/>
                <w:szCs w:val="28"/>
              </w:rPr>
              <w:t> </w:t>
            </w:r>
            <w:r>
              <w:rPr>
                <w:rFonts w:ascii="Times New Roman" w:hAnsi="Times New Roman" w:cs="Times New Roman" w:eastAsia="Times New Roman" w:hint="default"/>
                <w:sz w:val="28"/>
                <w:szCs w:val="28"/>
              </w:rPr>
              <w:t>1</w:t>
            </w:r>
            <w:r>
              <w:rPr>
                <w:rFonts w:ascii="Times New Roman" w:hAnsi="Times New Roman" w:cs="Times New Roman" w:eastAsia="Times New Roman" w:hint="default"/>
                <w:spacing w:val="-67"/>
                <w:sz w:val="28"/>
                <w:szCs w:val="28"/>
              </w:rPr>
              <w:t> </w:t>
            </w:r>
            <w:r>
              <w:rPr>
                <w:rFonts w:ascii="宋体" w:hAnsi="宋体" w:cs="宋体" w:eastAsia="宋体" w:hint="default"/>
                <w:sz w:val="28"/>
                <w:szCs w:val="28"/>
              </w:rPr>
              <w:t>日起对投资性房地产的后续计量</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模式进行会计政策变更，由成本</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计量模式变更为公允价值计量模</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式。中国长城基于独立外部评估</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师的估值结果确定投资性房地产</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的公允价值。公允价值的确定涉</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及重大会计估计和判断，包括估</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值方法的选择，参数的使用等。</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使用的主要参数包括实际租金、</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9"/>
                <w:sz w:val="28"/>
                <w:szCs w:val="28"/>
              </w:rPr>
              <w:t>预计租金、租期收益率、折现率、</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空置率、投资性房地产所在地区</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的经济环境及未来趋势分析等，</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不确定性较高。由于投资性房地</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产的公允价值对于中国长城资产</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和利润的影响较大，且其公允价</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值的确定涉及重大会计估计和判</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断，因此我们将投资性房地产的</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公允价值计量识别为关键审计事</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项。</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30"/>
              <w:ind w:left="103" w:right="35"/>
              <w:jc w:val="both"/>
              <w:rPr>
                <w:rFonts w:ascii="宋体" w:hAnsi="宋体" w:cs="宋体" w:eastAsia="宋体" w:hint="default"/>
                <w:sz w:val="28"/>
                <w:szCs w:val="28"/>
              </w:rPr>
            </w:pPr>
            <w:r>
              <w:rPr>
                <w:rFonts w:ascii="宋体" w:hAnsi="宋体" w:cs="宋体" w:eastAsia="宋体" w:hint="default"/>
                <w:spacing w:val="15"/>
                <w:sz w:val="28"/>
                <w:szCs w:val="28"/>
              </w:rPr>
              <w:t>我们针对投资性房地产公允价</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
                <w:sz w:val="28"/>
                <w:szCs w:val="28"/>
              </w:rPr>
              <w:t>值计量执行的审计程序主要有：</w:t>
            </w:r>
          </w:p>
          <w:p>
            <w:pPr>
              <w:pStyle w:val="TableParagraph"/>
              <w:spacing w:line="232" w:lineRule="auto" w:before="10"/>
              <w:ind w:left="103" w:right="97"/>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1</w:t>
            </w:r>
            <w:r>
              <w:rPr>
                <w:rFonts w:ascii="宋体" w:hAnsi="宋体" w:cs="宋体" w:eastAsia="宋体" w:hint="default"/>
                <w:spacing w:val="3"/>
                <w:sz w:val="28"/>
                <w:szCs w:val="28"/>
              </w:rPr>
              <w:t>）评价独立外部评估师的独</w:t>
            </w:r>
            <w:r>
              <w:rPr>
                <w:rFonts w:ascii="宋体" w:hAnsi="宋体" w:cs="宋体" w:eastAsia="宋体" w:hint="default"/>
                <w:spacing w:val="-114"/>
                <w:sz w:val="28"/>
                <w:szCs w:val="28"/>
              </w:rPr>
              <w:t> </w:t>
            </w:r>
            <w:r>
              <w:rPr>
                <w:rFonts w:ascii="宋体" w:hAnsi="宋体" w:cs="宋体" w:eastAsia="宋体" w:hint="default"/>
                <w:spacing w:val="-6"/>
                <w:sz w:val="28"/>
                <w:szCs w:val="28"/>
              </w:rPr>
              <w:t>立性及专业胜任能力，了解资产</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评估师工作范围。</w:t>
            </w:r>
          </w:p>
          <w:p>
            <w:pPr>
              <w:pStyle w:val="TableParagraph"/>
              <w:spacing w:line="235" w:lineRule="auto" w:before="39"/>
              <w:ind w:left="103" w:right="35"/>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2</w:t>
            </w:r>
            <w:r>
              <w:rPr>
                <w:rFonts w:ascii="宋体" w:hAnsi="宋体" w:cs="宋体" w:eastAsia="宋体" w:hint="default"/>
                <w:spacing w:val="3"/>
                <w:sz w:val="28"/>
                <w:szCs w:val="28"/>
              </w:rPr>
              <w:t>）获取投资性房地产的明细</w:t>
            </w:r>
            <w:r>
              <w:rPr>
                <w:rFonts w:ascii="宋体" w:hAnsi="宋体" w:cs="宋体" w:eastAsia="宋体" w:hint="default"/>
                <w:spacing w:val="-114"/>
                <w:sz w:val="28"/>
                <w:szCs w:val="28"/>
              </w:rPr>
              <w:t> </w:t>
            </w:r>
            <w:r>
              <w:rPr>
                <w:rFonts w:ascii="宋体" w:hAnsi="宋体" w:cs="宋体" w:eastAsia="宋体" w:hint="default"/>
                <w:spacing w:val="-6"/>
                <w:sz w:val="28"/>
                <w:szCs w:val="28"/>
              </w:rPr>
              <w:t>表，了解各投资性房地产的具体</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
                <w:sz w:val="28"/>
                <w:szCs w:val="28"/>
              </w:rPr>
              <w:t>信息，包括地址、面积、状态、</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签约情况等。</w:t>
            </w:r>
          </w:p>
          <w:p>
            <w:pPr>
              <w:pStyle w:val="TableParagraph"/>
              <w:spacing w:line="237" w:lineRule="auto" w:before="38"/>
              <w:ind w:left="103" w:right="85"/>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3</w:t>
            </w:r>
            <w:r>
              <w:rPr>
                <w:rFonts w:ascii="宋体" w:hAnsi="宋体" w:cs="宋体" w:eastAsia="宋体" w:hint="default"/>
                <w:spacing w:val="3"/>
                <w:sz w:val="28"/>
                <w:szCs w:val="28"/>
              </w:rPr>
              <w:t>）取得资产评估报告，与管</w:t>
            </w:r>
            <w:r>
              <w:rPr>
                <w:rFonts w:ascii="宋体" w:hAnsi="宋体" w:cs="宋体" w:eastAsia="宋体" w:hint="default"/>
                <w:spacing w:val="-114"/>
                <w:sz w:val="28"/>
                <w:szCs w:val="28"/>
              </w:rPr>
              <w:t> </w:t>
            </w:r>
            <w:r>
              <w:rPr>
                <w:rFonts w:ascii="宋体" w:hAnsi="宋体" w:cs="宋体" w:eastAsia="宋体" w:hint="default"/>
                <w:spacing w:val="-6"/>
                <w:sz w:val="28"/>
                <w:szCs w:val="28"/>
              </w:rPr>
              <w:t>理层和资产评估师沟通，根据对</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5"/>
                <w:sz w:val="28"/>
                <w:szCs w:val="28"/>
              </w:rPr>
              <w:t>房地产行业及投资性房地产业</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务的了解，评估其估值方法的合</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6"/>
                <w:sz w:val="28"/>
                <w:szCs w:val="28"/>
              </w:rPr>
              <w:t>理性，对于评估中所使用的预计</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6"/>
                <w:sz w:val="28"/>
                <w:szCs w:val="28"/>
              </w:rPr>
              <w:t>租金、租期收益率、折现率、空</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6"/>
                <w:sz w:val="28"/>
                <w:szCs w:val="28"/>
              </w:rPr>
              <w:t>置率、开发利润率等参数，我们</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15"/>
                <w:sz w:val="28"/>
                <w:szCs w:val="28"/>
              </w:rPr>
              <w:t>将其与市场交易数据和行业数</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据进行比较；并就差异询问评估</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6"/>
                <w:sz w:val="28"/>
                <w:szCs w:val="28"/>
              </w:rPr>
              <w:t>师以评价其合理性。对于评估中</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6"/>
                <w:sz w:val="28"/>
                <w:szCs w:val="28"/>
              </w:rPr>
              <w:t>使用的实际租金，我们采用抽样</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5"/>
                <w:sz w:val="28"/>
                <w:szCs w:val="28"/>
              </w:rPr>
              <w:t>的方法核对至租赁台账及租赁</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合同。</w:t>
            </w:r>
          </w:p>
          <w:p>
            <w:pPr>
              <w:pStyle w:val="TableParagraph"/>
              <w:spacing w:line="232" w:lineRule="auto" w:before="44"/>
              <w:ind w:left="103" w:right="85"/>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4</w:t>
            </w:r>
            <w:r>
              <w:rPr>
                <w:rFonts w:ascii="宋体" w:hAnsi="宋体" w:cs="宋体" w:eastAsia="宋体" w:hint="default"/>
                <w:spacing w:val="3"/>
                <w:sz w:val="28"/>
                <w:szCs w:val="28"/>
              </w:rPr>
              <w:t>）检查财务报表中与投资性</w:t>
            </w:r>
            <w:r>
              <w:rPr>
                <w:rFonts w:ascii="宋体" w:hAnsi="宋体" w:cs="宋体" w:eastAsia="宋体" w:hint="default"/>
                <w:spacing w:val="-114"/>
                <w:sz w:val="28"/>
                <w:szCs w:val="28"/>
              </w:rPr>
              <w:t> </w:t>
            </w:r>
            <w:r>
              <w:rPr>
                <w:rFonts w:ascii="宋体" w:hAnsi="宋体" w:cs="宋体" w:eastAsia="宋体" w:hint="default"/>
                <w:spacing w:val="15"/>
                <w:sz w:val="28"/>
                <w:szCs w:val="28"/>
              </w:rPr>
              <w:t>房地产公允价值相关的信息是</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否已作出恰当列报。</w:t>
            </w:r>
          </w:p>
        </w:tc>
      </w:tr>
    </w:tbl>
    <w:p>
      <w:pPr>
        <w:spacing w:after="0" w:line="232" w:lineRule="auto"/>
        <w:jc w:val="both"/>
        <w:rPr>
          <w:rFonts w:ascii="宋体" w:hAnsi="宋体" w:cs="宋体" w:eastAsia="宋体" w:hint="default"/>
          <w:sz w:val="28"/>
          <w:szCs w:val="28"/>
        </w:rPr>
        <w:sectPr>
          <w:pgSz w:w="11910" w:h="16840"/>
          <w:pgMar w:header="679" w:footer="979" w:top="1620" w:bottom="1160" w:left="11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31"/>
        <w:ind w:left="889" w:right="0"/>
        <w:jc w:val="left"/>
        <w:rPr>
          <w:b w:val="0"/>
          <w:bCs w:val="0"/>
        </w:rPr>
      </w:pPr>
      <w:r>
        <w:rPr/>
        <w:t>四、</w:t>
      </w:r>
      <w:r>
        <w:rPr>
          <w:spacing w:val="-12"/>
        </w:rPr>
        <w:t> </w:t>
      </w:r>
      <w:r>
        <w:rPr/>
        <w:t>其他信息</w:t>
      </w:r>
      <w:r>
        <w:rPr>
          <w:b w:val="0"/>
          <w:bCs w:val="0"/>
        </w:rPr>
      </w:r>
    </w:p>
    <w:p>
      <w:pPr>
        <w:spacing w:line="240" w:lineRule="auto" w:before="4"/>
        <w:rPr>
          <w:rFonts w:ascii="宋体" w:hAnsi="宋体" w:cs="宋体" w:eastAsia="宋体" w:hint="default"/>
          <w:b/>
          <w:bCs/>
          <w:sz w:val="39"/>
          <w:szCs w:val="39"/>
        </w:rPr>
      </w:pPr>
    </w:p>
    <w:p>
      <w:pPr>
        <w:pStyle w:val="Heading3"/>
        <w:spacing w:line="290" w:lineRule="auto"/>
        <w:ind w:right="1435"/>
        <w:jc w:val="both"/>
      </w:pPr>
      <w:r>
        <w:rPr/>
        <w:t>中国长城管理层（以下简称管理层）对其他信息负责。其他信息包括</w:t>
      </w:r>
      <w:r>
        <w:rPr>
          <w:w w:val="100"/>
        </w:rPr>
        <w:t> </w:t>
      </w:r>
      <w:r>
        <w:rPr/>
        <w:t>中国长城</w:t>
      </w:r>
      <w:r>
        <w:rPr>
          <w:spacing w:val="-6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spacing w:val="-4"/>
        </w:rPr>
        <w:t>年年度报告中涵盖的信息，但不包括财务报表和我们的审计</w:t>
      </w:r>
      <w:r>
        <w:rPr>
          <w:spacing w:val="-138"/>
        </w:rPr>
        <w:t> </w:t>
      </w:r>
      <w:r>
        <w:rPr>
          <w:spacing w:val="-138"/>
        </w:rPr>
      </w:r>
      <w:r>
        <w:rPr/>
        <w:t>报告。</w:t>
      </w:r>
    </w:p>
    <w:p>
      <w:pPr>
        <w:pStyle w:val="Heading3"/>
        <w:spacing w:line="297" w:lineRule="auto" w:before="69"/>
        <w:ind w:right="1439"/>
        <w:jc w:val="both"/>
      </w:pPr>
      <w:r>
        <w:rPr/>
        <w:t>我们对财务报表发表的审计意见不涵盖其他信息，我们也不对其他信</w:t>
      </w:r>
      <w:r>
        <w:rPr>
          <w:w w:val="100"/>
        </w:rPr>
        <w:t> </w:t>
      </w:r>
      <w:r>
        <w:rPr/>
        <w:t>息发表任何形式的鉴证结论。</w:t>
      </w:r>
    </w:p>
    <w:p>
      <w:pPr>
        <w:pStyle w:val="Heading3"/>
        <w:spacing w:line="297" w:lineRule="auto" w:before="59"/>
        <w:ind w:right="1435"/>
        <w:jc w:val="both"/>
      </w:pPr>
      <w:r>
        <w:rPr/>
        <w:t>结合我们对财务报表的审计，我们的责任是阅读其他信息，在此过程</w:t>
      </w:r>
      <w:r>
        <w:rPr>
          <w:w w:val="100"/>
        </w:rPr>
        <w:t> </w:t>
      </w:r>
      <w:r>
        <w:rPr/>
        <w:t>中，考虑其他信息是否与财务报表或我们在审计过程中了解到的情况存在</w:t>
      </w:r>
      <w:r>
        <w:rPr>
          <w:spacing w:val="-77"/>
        </w:rPr>
        <w:t> </w:t>
      </w:r>
      <w:r>
        <w:rPr>
          <w:spacing w:val="-77"/>
        </w:rPr>
      </w:r>
      <w:r>
        <w:rPr/>
        <w:t>重大不一致或者似乎存在重大错报。</w:t>
      </w:r>
    </w:p>
    <w:p>
      <w:pPr>
        <w:pStyle w:val="Heading3"/>
        <w:spacing w:line="297" w:lineRule="auto" w:before="58"/>
        <w:ind w:right="1439"/>
        <w:jc w:val="both"/>
      </w:pPr>
      <w:r>
        <w:rPr/>
        <w:t>基于我们已执行的工作，如果我们确定其他信息存在重大错报，我们</w:t>
      </w:r>
      <w:r>
        <w:rPr>
          <w:w w:val="100"/>
        </w:rPr>
        <w:t> </w:t>
      </w:r>
      <w:r>
        <w:rPr/>
        <w:t>应当报告该事实。在这方面，我们无任何事项需要报告。</w:t>
      </w:r>
    </w:p>
    <w:p>
      <w:pPr>
        <w:spacing w:line="882" w:lineRule="exact" w:before="124"/>
        <w:ind w:left="886" w:right="0" w:firstLine="2"/>
        <w:jc w:val="left"/>
        <w:rPr>
          <w:rFonts w:ascii="宋体" w:hAnsi="宋体" w:cs="宋体" w:eastAsia="宋体" w:hint="default"/>
          <w:sz w:val="28"/>
          <w:szCs w:val="28"/>
        </w:rPr>
      </w:pPr>
      <w:r>
        <w:rPr>
          <w:rFonts w:ascii="宋体" w:hAnsi="宋体" w:cs="宋体" w:eastAsia="宋体" w:hint="default"/>
          <w:b/>
          <w:bCs/>
          <w:sz w:val="28"/>
          <w:szCs w:val="28"/>
        </w:rPr>
        <w:t>五、</w:t>
      </w:r>
      <w:r>
        <w:rPr>
          <w:rFonts w:ascii="宋体" w:hAnsi="宋体" w:cs="宋体" w:eastAsia="宋体" w:hint="default"/>
          <w:b/>
          <w:bCs/>
          <w:spacing w:val="-13"/>
          <w:sz w:val="28"/>
          <w:szCs w:val="28"/>
        </w:rPr>
        <w:t> </w:t>
      </w:r>
      <w:r>
        <w:rPr>
          <w:rFonts w:ascii="宋体" w:hAnsi="宋体" w:cs="宋体" w:eastAsia="宋体" w:hint="default"/>
          <w:b/>
          <w:bCs/>
          <w:sz w:val="28"/>
          <w:szCs w:val="28"/>
        </w:rPr>
        <w:t>管理层和治理层对财务报表的责任</w:t>
      </w:r>
      <w:r>
        <w:rPr>
          <w:rFonts w:ascii="宋体" w:hAnsi="宋体" w:cs="宋体" w:eastAsia="宋体" w:hint="default"/>
          <w:b/>
          <w:bCs/>
          <w:w w:val="99"/>
          <w:sz w:val="28"/>
          <w:szCs w:val="28"/>
        </w:rPr>
        <w:t> </w:t>
      </w:r>
      <w:r>
        <w:rPr>
          <w:rFonts w:ascii="宋体" w:hAnsi="宋体" w:cs="宋体" w:eastAsia="宋体" w:hint="default"/>
          <w:sz w:val="28"/>
          <w:szCs w:val="28"/>
        </w:rPr>
        <w:t>管理层负责按照企业会计准则的规定编制财务报表，使其实现公允反</w:t>
      </w:r>
    </w:p>
    <w:p>
      <w:pPr>
        <w:pStyle w:val="Heading3"/>
        <w:spacing w:line="317" w:lineRule="exact"/>
        <w:ind w:right="0" w:firstLine="0"/>
        <w:jc w:val="left"/>
      </w:pPr>
      <w:r>
        <w:rPr/>
        <w:t>映，并设计、执行和维护必要的内部控制，以使财务报表不存在由于舞弊</w:t>
      </w:r>
    </w:p>
    <w:p>
      <w:pPr>
        <w:pStyle w:val="Heading3"/>
        <w:spacing w:line="324" w:lineRule="auto" w:before="87"/>
        <w:ind w:left="886" w:right="0" w:hanging="567"/>
        <w:jc w:val="left"/>
      </w:pPr>
      <w:r>
        <w:rPr/>
        <w:t>或错误导致的重大错报。</w:t>
      </w:r>
      <w:r>
        <w:rPr>
          <w:w w:val="100"/>
        </w:rPr>
        <w:t> </w:t>
      </w:r>
      <w:r>
        <w:rPr/>
        <w:t>在编制财务报表时，管理层负责评估中国长城的持续经营能力，披露</w:t>
      </w:r>
    </w:p>
    <w:p>
      <w:pPr>
        <w:pStyle w:val="Heading3"/>
        <w:spacing w:line="297" w:lineRule="auto"/>
        <w:ind w:right="0" w:firstLine="0"/>
        <w:jc w:val="left"/>
      </w:pPr>
      <w:r>
        <w:rPr>
          <w:spacing w:val="-8"/>
          <w:w w:val="100"/>
        </w:rPr>
        <w:t>与持续经营相关的事项（如适用），并运用持续经营假设，除非计划进行清</w:t>
      </w:r>
      <w:r>
        <w:rPr>
          <w:spacing w:val="-125"/>
          <w:w w:val="100"/>
        </w:rPr>
        <w:t> </w:t>
      </w:r>
      <w:r>
        <w:rPr>
          <w:spacing w:val="-125"/>
          <w:w w:val="100"/>
        </w:rPr>
      </w:r>
      <w:r>
        <w:rPr/>
        <w:t>算、终止运营或别无其他现实的选择。</w:t>
      </w:r>
    </w:p>
    <w:p>
      <w:pPr>
        <w:spacing w:line="612" w:lineRule="auto" w:before="58"/>
        <w:ind w:left="889" w:right="4151" w:hanging="3"/>
        <w:jc w:val="left"/>
        <w:rPr>
          <w:rFonts w:ascii="宋体" w:hAnsi="宋体" w:cs="宋体" w:eastAsia="宋体" w:hint="default"/>
          <w:sz w:val="28"/>
          <w:szCs w:val="28"/>
        </w:rPr>
      </w:pPr>
      <w:r>
        <w:rPr>
          <w:rFonts w:ascii="宋体" w:hAnsi="宋体" w:cs="宋体" w:eastAsia="宋体" w:hint="default"/>
          <w:spacing w:val="-1"/>
          <w:sz w:val="28"/>
          <w:szCs w:val="28"/>
        </w:rPr>
        <w:t>治理层负责监督中国长城的财务报告过程。</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b/>
          <w:bCs/>
          <w:sz w:val="28"/>
          <w:szCs w:val="28"/>
        </w:rPr>
        <w:t>六、</w:t>
      </w:r>
      <w:r>
        <w:rPr>
          <w:rFonts w:ascii="宋体" w:hAnsi="宋体" w:cs="宋体" w:eastAsia="宋体" w:hint="default"/>
          <w:b/>
          <w:bCs/>
          <w:spacing w:val="-13"/>
          <w:sz w:val="28"/>
          <w:szCs w:val="28"/>
        </w:rPr>
        <w:t> </w:t>
      </w:r>
      <w:r>
        <w:rPr>
          <w:rFonts w:ascii="宋体" w:hAnsi="宋体" w:cs="宋体" w:eastAsia="宋体" w:hint="default"/>
          <w:b/>
          <w:bCs/>
          <w:sz w:val="28"/>
          <w:szCs w:val="28"/>
        </w:rPr>
        <w:t>注册会计师对财务报表审计的责任</w:t>
      </w:r>
      <w:r>
        <w:rPr>
          <w:rFonts w:ascii="宋体" w:hAnsi="宋体" w:cs="宋体" w:eastAsia="宋体" w:hint="default"/>
          <w:sz w:val="28"/>
          <w:szCs w:val="28"/>
        </w:rPr>
      </w:r>
    </w:p>
    <w:p>
      <w:pPr>
        <w:pStyle w:val="Heading3"/>
        <w:spacing w:line="268" w:lineRule="auto" w:before="45"/>
        <w:ind w:right="1431"/>
        <w:jc w:val="both"/>
      </w:pPr>
      <w:r>
        <w:rPr/>
        <w:t>我们的目标是对财务报表整体是否不存在由于舞弊或错误导致的重大</w:t>
      </w:r>
      <w:r>
        <w:rPr>
          <w:w w:val="100"/>
        </w:rPr>
        <w:t> </w:t>
      </w:r>
      <w:r>
        <w:rPr/>
        <w:t>错报获取合理保证，并出具包含审计意见的审计报告。合理保证是高水平</w:t>
      </w:r>
      <w:r>
        <w:rPr>
          <w:spacing w:val="-77"/>
        </w:rPr>
        <w:t> </w:t>
      </w:r>
      <w:r>
        <w:rPr>
          <w:spacing w:val="-77"/>
        </w:rPr>
      </w:r>
      <w:r>
        <w:rPr/>
        <w:t>的保证，但并不能保证按照审计准则执行的审计在某一重大错报存在时总</w:t>
      </w:r>
    </w:p>
    <w:p>
      <w:pPr>
        <w:spacing w:after="0" w:line="268" w:lineRule="auto"/>
        <w:jc w:val="both"/>
        <w:sectPr>
          <w:pgSz w:w="11910" w:h="16840"/>
          <w:pgMar w:header="679" w:footer="979" w:top="1620" w:bottom="1160" w:left="112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68" w:lineRule="auto" w:before="14"/>
        <w:ind w:right="1435" w:firstLine="0"/>
        <w:jc w:val="both"/>
      </w:pPr>
      <w:r>
        <w:rPr/>
        <w:t>能发现。错报可能由于舞弊或错误导致，如果合理预期错报单独或汇总起</w:t>
      </w:r>
      <w:r>
        <w:rPr>
          <w:spacing w:val="-77"/>
        </w:rPr>
        <w:t> </w:t>
      </w:r>
      <w:r>
        <w:rPr>
          <w:spacing w:val="-77"/>
        </w:rPr>
      </w:r>
      <w:r>
        <w:rPr/>
        <w:t>来可能影响财务报表使用者依据财务报表作出的经济决策，则通常认为错</w:t>
      </w:r>
      <w:r>
        <w:rPr>
          <w:spacing w:val="-77"/>
        </w:rPr>
        <w:t> </w:t>
      </w:r>
      <w:r>
        <w:rPr>
          <w:spacing w:val="-77"/>
        </w:rPr>
      </w:r>
      <w:r>
        <w:rPr/>
        <w:t>报是重大的。</w:t>
      </w:r>
    </w:p>
    <w:p>
      <w:pPr>
        <w:pStyle w:val="Heading3"/>
        <w:spacing w:line="268" w:lineRule="auto" w:before="48"/>
        <w:ind w:right="1439"/>
        <w:jc w:val="both"/>
      </w:pPr>
      <w:r>
        <w:rPr/>
        <w:t>在按照审计准则执行审计工作的过程中，我们运用职业判断，并保持</w:t>
      </w:r>
      <w:r>
        <w:rPr>
          <w:w w:val="100"/>
        </w:rPr>
        <w:t> </w:t>
      </w:r>
      <w:r>
        <w:rPr/>
        <w:t>职业怀疑。同时，我们也执行以下工作：</w:t>
      </w:r>
    </w:p>
    <w:p>
      <w:pPr>
        <w:pStyle w:val="Heading3"/>
        <w:spacing w:line="264" w:lineRule="auto" w:before="51"/>
        <w:ind w:right="1435"/>
        <w:jc w:val="both"/>
      </w:pPr>
      <w:r>
        <w:rPr>
          <w:spacing w:val="-4"/>
        </w:rPr>
        <w:t>（</w:t>
      </w:r>
      <w:r>
        <w:rPr>
          <w:rFonts w:ascii="Times New Roman" w:hAnsi="Times New Roman" w:cs="Times New Roman" w:eastAsia="Times New Roman" w:hint="default"/>
          <w:spacing w:val="-4"/>
        </w:rPr>
        <w:t>1</w:t>
      </w:r>
      <w:r>
        <w:rPr>
          <w:spacing w:val="-4"/>
        </w:rPr>
        <w:t>）识别和评估由于舞弊或错误导致的财务报表重大错报风险，设计</w:t>
      </w:r>
      <w:r>
        <w:rPr>
          <w:w w:val="100"/>
        </w:rPr>
        <w:t> </w:t>
      </w:r>
      <w:r>
        <w:rPr/>
        <w:t>和实施审计程序以应对这些风险，并获取充分、适当的审计证据，作为发</w:t>
      </w:r>
      <w:r>
        <w:rPr>
          <w:spacing w:val="-77"/>
        </w:rPr>
        <w:t> </w:t>
      </w:r>
      <w:r>
        <w:rPr>
          <w:spacing w:val="-77"/>
        </w:rPr>
      </w:r>
      <w:r>
        <w:rPr/>
        <w:t>表审计意见的基础。由于舞弊可能涉及串通、伪造、故意遗漏、虚假陈述</w:t>
      </w:r>
      <w:r>
        <w:rPr>
          <w:spacing w:val="-77"/>
        </w:rPr>
        <w:t> </w:t>
      </w:r>
      <w:r>
        <w:rPr>
          <w:spacing w:val="-77"/>
        </w:rPr>
      </w:r>
      <w:r>
        <w:rPr/>
        <w:t>或凌驾于内部控制之上，未能发现由于舞弊导致的重大错报的风险高于未</w:t>
      </w:r>
      <w:r>
        <w:rPr>
          <w:spacing w:val="-77"/>
        </w:rPr>
        <w:t> </w:t>
      </w:r>
      <w:r>
        <w:rPr>
          <w:spacing w:val="-77"/>
        </w:rPr>
      </w:r>
      <w:r>
        <w:rPr/>
        <w:t>能发现由于错误导致的重大错报的风险。</w:t>
      </w:r>
    </w:p>
    <w:p>
      <w:pPr>
        <w:pStyle w:val="Heading3"/>
        <w:spacing w:line="240" w:lineRule="auto" w:before="54"/>
        <w:ind w:left="886" w:right="0" w:firstLine="0"/>
        <w:jc w:val="left"/>
      </w:pPr>
      <w:r>
        <w:rPr/>
        <w:t>（</w:t>
      </w:r>
      <w:r>
        <w:rPr>
          <w:rFonts w:ascii="Times New Roman" w:hAnsi="Times New Roman" w:cs="Times New Roman" w:eastAsia="Times New Roman" w:hint="default"/>
        </w:rPr>
        <w:t>2</w:t>
      </w:r>
      <w:r>
        <w:rPr/>
        <w:t>）了解与审计相关的内部控制，以设计恰当的审计程序。</w:t>
      </w:r>
    </w:p>
    <w:p>
      <w:pPr>
        <w:pStyle w:val="Heading3"/>
        <w:spacing w:line="254" w:lineRule="auto" w:before="63"/>
        <w:ind w:right="1440"/>
        <w:jc w:val="both"/>
      </w:pPr>
      <w:r>
        <w:rPr>
          <w:spacing w:val="-4"/>
        </w:rPr>
        <w:t>（</w:t>
      </w:r>
      <w:r>
        <w:rPr>
          <w:rFonts w:ascii="Times New Roman" w:hAnsi="Times New Roman" w:cs="Times New Roman" w:eastAsia="Times New Roman" w:hint="default"/>
          <w:spacing w:val="-4"/>
        </w:rPr>
        <w:t>3</w:t>
      </w:r>
      <w:r>
        <w:rPr>
          <w:spacing w:val="-4"/>
        </w:rPr>
        <w:t>）评价管理层选用会计政策的恰当性和作出会计估计及相关披露的</w:t>
      </w:r>
      <w:r>
        <w:rPr>
          <w:w w:val="100"/>
        </w:rPr>
        <w:t> </w:t>
      </w:r>
      <w:r>
        <w:rPr/>
        <w:t>合理性。</w:t>
      </w:r>
    </w:p>
    <w:p>
      <w:pPr>
        <w:pStyle w:val="Heading3"/>
        <w:spacing w:line="266" w:lineRule="auto" w:before="65"/>
        <w:ind w:right="1432"/>
        <w:jc w:val="both"/>
      </w:pPr>
      <w:r>
        <w:rPr>
          <w:spacing w:val="-4"/>
        </w:rPr>
        <w:t>（</w:t>
      </w:r>
      <w:r>
        <w:rPr>
          <w:rFonts w:ascii="Times New Roman" w:hAnsi="Times New Roman" w:cs="Times New Roman" w:eastAsia="Times New Roman" w:hint="default"/>
          <w:spacing w:val="-4"/>
        </w:rPr>
        <w:t>4</w:t>
      </w:r>
      <w:r>
        <w:rPr>
          <w:spacing w:val="-4"/>
        </w:rPr>
        <w:t>）对管理层使用持续经营假设的恰当性得出结论。同时，根据获取</w:t>
      </w:r>
      <w:r>
        <w:rPr>
          <w:w w:val="100"/>
        </w:rPr>
        <w:t> </w:t>
      </w:r>
      <w:r>
        <w:rPr/>
        <w:t>的审计证据，就可能导致对中国长城持续经营能力产生重大疑虑的事项或</w:t>
      </w:r>
      <w:r>
        <w:rPr>
          <w:spacing w:val="-77"/>
        </w:rPr>
        <w:t> </w:t>
      </w:r>
      <w:r>
        <w:rPr>
          <w:spacing w:val="-77"/>
        </w:rPr>
      </w:r>
      <w:r>
        <w:rPr/>
        <w:t>情况是否存在重大不确定性得出结论。如果我们得出结论认为存在重大不</w:t>
      </w:r>
      <w:r>
        <w:rPr>
          <w:spacing w:val="-77"/>
        </w:rPr>
        <w:t> </w:t>
      </w:r>
      <w:r>
        <w:rPr>
          <w:spacing w:val="-77"/>
        </w:rPr>
      </w:r>
      <w:r>
        <w:rPr/>
        <w:t>确定性，审计准则要求我们在审计报告中提请报表使用者注意财务报表中</w:t>
      </w:r>
      <w:r>
        <w:rPr>
          <w:spacing w:val="-77"/>
        </w:rPr>
        <w:t> </w:t>
      </w:r>
      <w:r>
        <w:rPr>
          <w:spacing w:val="-77"/>
        </w:rPr>
      </w:r>
      <w:r>
        <w:rPr/>
        <w:t>的相关披露；如果披露不充分，我们应当发表非无保留意见。我们的结论</w:t>
      </w:r>
      <w:r>
        <w:rPr>
          <w:spacing w:val="-77"/>
        </w:rPr>
        <w:t> </w:t>
      </w:r>
      <w:r>
        <w:rPr>
          <w:spacing w:val="-77"/>
        </w:rPr>
      </w:r>
      <w:r>
        <w:rPr/>
        <w:t>基于截至审计报告日可获得的信息。然而，未来的事项或情况可能导致中</w:t>
      </w:r>
      <w:r>
        <w:rPr>
          <w:spacing w:val="-74"/>
        </w:rPr>
        <w:t> </w:t>
      </w:r>
      <w:r>
        <w:rPr>
          <w:spacing w:val="-74"/>
        </w:rPr>
      </w:r>
      <w:r>
        <w:rPr/>
        <w:t>国长城不能持续经营。</w:t>
      </w:r>
    </w:p>
    <w:p>
      <w:pPr>
        <w:pStyle w:val="Heading3"/>
        <w:spacing w:line="254" w:lineRule="auto" w:before="54"/>
        <w:ind w:right="1437"/>
        <w:jc w:val="both"/>
      </w:pPr>
      <w:r>
        <w:rPr>
          <w:spacing w:val="-4"/>
          <w:w w:val="100"/>
        </w:rPr>
        <w:t>（</w:t>
      </w:r>
      <w:r>
        <w:rPr>
          <w:rFonts w:ascii="Times New Roman" w:hAnsi="Times New Roman" w:cs="Times New Roman" w:eastAsia="Times New Roman" w:hint="default"/>
          <w:spacing w:val="-4"/>
          <w:w w:val="100"/>
        </w:rPr>
        <w:t>5</w:t>
      </w:r>
      <w:r>
        <w:rPr>
          <w:spacing w:val="-4"/>
          <w:w w:val="100"/>
        </w:rPr>
        <w:t>）评价财务报表的总体列报（包括披露）、结构和内容，并评价财</w:t>
      </w:r>
      <w:r>
        <w:rPr>
          <w:w w:val="100"/>
        </w:rPr>
        <w:t> </w:t>
      </w:r>
      <w:r>
        <w:rPr/>
        <w:t>务报表是否公允反映相关交易和事项。</w:t>
      </w:r>
    </w:p>
    <w:p>
      <w:pPr>
        <w:pStyle w:val="Heading3"/>
        <w:spacing w:line="261" w:lineRule="auto" w:before="65"/>
        <w:ind w:right="0"/>
        <w:jc w:val="left"/>
      </w:pPr>
      <w:r>
        <w:rPr>
          <w:spacing w:val="-4"/>
        </w:rPr>
        <w:t>（</w:t>
      </w:r>
      <w:r>
        <w:rPr>
          <w:rFonts w:ascii="Times New Roman" w:hAnsi="Times New Roman" w:cs="Times New Roman" w:eastAsia="Times New Roman" w:hint="default"/>
          <w:spacing w:val="-4"/>
        </w:rPr>
        <w:t>6</w:t>
      </w:r>
      <w:r>
        <w:rPr>
          <w:spacing w:val="-4"/>
        </w:rPr>
        <w:t>）就中国长城中实体或业务活动的财务信息获取充分、适当的审计</w:t>
      </w:r>
      <w:r>
        <w:rPr>
          <w:w w:val="100"/>
        </w:rPr>
        <w:t> </w:t>
      </w:r>
      <w:r>
        <w:rPr>
          <w:spacing w:val="-4"/>
        </w:rPr>
        <w:t>证据，以对财务报表发表审计意见。我们负责指导、监督和执行集团审计，</w:t>
      </w:r>
      <w:r>
        <w:rPr>
          <w:spacing w:val="-87"/>
        </w:rPr>
        <w:t> </w:t>
      </w:r>
      <w:r>
        <w:rPr>
          <w:spacing w:val="-87"/>
        </w:rPr>
      </w:r>
      <w:r>
        <w:rPr/>
        <w:t>并对审计意见承担全部责任。</w:t>
      </w:r>
    </w:p>
    <w:p>
      <w:pPr>
        <w:pStyle w:val="Heading3"/>
        <w:spacing w:line="268" w:lineRule="auto" w:before="57"/>
        <w:ind w:right="1439"/>
        <w:jc w:val="both"/>
      </w:pPr>
      <w:r>
        <w:rPr/>
        <w:t>我们与治理层就计划的审计范围、时间安排和重大审计发现等事项进</w:t>
      </w:r>
      <w:r>
        <w:rPr>
          <w:w w:val="100"/>
        </w:rPr>
        <w:t> </w:t>
      </w:r>
      <w:r>
        <w:rPr/>
        <w:t>行沟通，包括沟通我们在审计中识别出的值得关注的内部控制缺陷。</w:t>
      </w:r>
    </w:p>
    <w:p>
      <w:pPr>
        <w:pStyle w:val="Heading3"/>
        <w:spacing w:line="268" w:lineRule="auto" w:before="51"/>
        <w:ind w:right="1433"/>
        <w:jc w:val="both"/>
      </w:pPr>
      <w:r>
        <w:rPr/>
        <w:t>我们还就已遵守与独立性相关的职业道德要求向治理层提供声明，并</w:t>
      </w:r>
      <w:r>
        <w:rPr>
          <w:w w:val="100"/>
        </w:rPr>
        <w:t> </w:t>
      </w:r>
      <w:r>
        <w:rPr/>
        <w:t>与治理层沟通可能被合理认为影响我们独立性的所有关系和其他事项，以</w:t>
      </w:r>
      <w:r>
        <w:rPr>
          <w:spacing w:val="-75"/>
        </w:rPr>
        <w:t> </w:t>
      </w:r>
      <w:r>
        <w:rPr>
          <w:spacing w:val="-75"/>
        </w:rPr>
      </w:r>
      <w:r>
        <w:rPr>
          <w:spacing w:val="-11"/>
          <w:w w:val="100"/>
        </w:rPr>
        <w:t>及相关的防范措施（如适用）。</w:t>
      </w:r>
    </w:p>
    <w:p>
      <w:pPr>
        <w:spacing w:after="0" w:line="268" w:lineRule="auto"/>
        <w:jc w:val="both"/>
        <w:sectPr>
          <w:pgSz w:w="11910" w:h="16840"/>
          <w:pgMar w:header="679" w:footer="979" w:top="1620" w:bottom="1160" w:left="112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97" w:lineRule="auto" w:before="14"/>
        <w:ind w:right="1435"/>
        <w:jc w:val="both"/>
      </w:pPr>
      <w:r>
        <w:rPr/>
        <w:t>从与治理层沟通过的事项中，我们确定哪些事项对本期财务报表审计</w:t>
      </w:r>
      <w:r>
        <w:rPr>
          <w:w w:val="100"/>
        </w:rPr>
        <w:t> </w:t>
      </w:r>
      <w:r>
        <w:rPr/>
        <w:t>最为重要，因而构成关键审计事项。我们在审计报告中描述这些事项，除</w:t>
      </w:r>
      <w:r>
        <w:rPr>
          <w:spacing w:val="-77"/>
        </w:rPr>
        <w:t> </w:t>
      </w:r>
      <w:r>
        <w:rPr>
          <w:spacing w:val="-77"/>
        </w:rPr>
      </w:r>
      <w:r>
        <w:rPr/>
        <w:t>非法律法规禁止公开披露这些事项，或在极少数情形下，如果合理预期在</w:t>
      </w:r>
      <w:r>
        <w:rPr>
          <w:spacing w:val="-77"/>
        </w:rPr>
        <w:t> </w:t>
      </w:r>
      <w:r>
        <w:rPr>
          <w:spacing w:val="-77"/>
        </w:rPr>
      </w:r>
      <w:r>
        <w:rPr/>
        <w:t>审计报告中沟通某事项造成的负面后果超过在公众利益方面产生的益处，</w:t>
      </w:r>
      <w:r>
        <w:rPr>
          <w:spacing w:val="-77"/>
        </w:rPr>
        <w:t> </w:t>
      </w:r>
      <w:r>
        <w:rPr>
          <w:spacing w:val="-77"/>
        </w:rPr>
      </w:r>
      <w:r>
        <w:rPr/>
        <w:t>我们确定不应在审计报告中沟通该事项。</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8"/>
          <w:szCs w:val="28"/>
        </w:rPr>
      </w:pPr>
    </w:p>
    <w:p>
      <w:pPr>
        <w:pStyle w:val="Heading2"/>
        <w:tabs>
          <w:tab w:pos="4242" w:val="left" w:leader="none"/>
        </w:tabs>
        <w:spacing w:line="240" w:lineRule="auto"/>
        <w:ind w:left="596" w:right="0"/>
        <w:jc w:val="left"/>
        <w:rPr>
          <w:b w:val="0"/>
          <w:bCs w:val="0"/>
        </w:rPr>
      </w:pPr>
      <w:r>
        <w:rPr>
          <w:w w:val="95"/>
        </w:rPr>
        <w:t>立信会计师事务所</w:t>
        <w:tab/>
      </w:r>
      <w:r>
        <w:rPr/>
        <w:t>中国注册会计师：许培梅</w:t>
      </w:r>
      <w:r>
        <w:rPr>
          <w:b w:val="0"/>
          <w:bCs w:val="0"/>
        </w:rPr>
      </w:r>
    </w:p>
    <w:p>
      <w:pPr>
        <w:pStyle w:val="Heading2"/>
        <w:tabs>
          <w:tab w:pos="4290" w:val="left" w:leader="none"/>
        </w:tabs>
        <w:spacing w:line="240" w:lineRule="auto" w:before="36"/>
        <w:ind w:left="596" w:right="0"/>
        <w:jc w:val="left"/>
        <w:rPr>
          <w:b w:val="0"/>
          <w:bCs w:val="0"/>
        </w:rPr>
      </w:pPr>
      <w:r>
        <w:rPr>
          <w:w w:val="95"/>
        </w:rPr>
        <w:t>（特殊普通合伙）</w:t>
        <w:tab/>
      </w:r>
      <w:r>
        <w:rPr/>
        <w:t>（项目合伙人）</w:t>
      </w:r>
      <w:r>
        <w:rPr>
          <w:b w:val="0"/>
          <w:bCs w:val="0"/>
        </w:rPr>
      </w:r>
    </w:p>
    <w:p>
      <w:pPr>
        <w:spacing w:line="240" w:lineRule="auto" w:before="0"/>
        <w:rPr>
          <w:rFonts w:ascii="宋体" w:hAnsi="宋体" w:cs="宋体" w:eastAsia="宋体" w:hint="default"/>
          <w:b/>
          <w:bCs/>
          <w:sz w:val="28"/>
          <w:szCs w:val="28"/>
        </w:rPr>
      </w:pPr>
    </w:p>
    <w:p>
      <w:pPr>
        <w:spacing w:line="240" w:lineRule="auto" w:before="3"/>
        <w:rPr>
          <w:rFonts w:ascii="宋体" w:hAnsi="宋体" w:cs="宋体" w:eastAsia="宋体" w:hint="default"/>
          <w:b/>
          <w:bCs/>
          <w:sz w:val="30"/>
          <w:szCs w:val="30"/>
        </w:rPr>
      </w:pPr>
    </w:p>
    <w:p>
      <w:pPr>
        <w:pStyle w:val="Heading2"/>
        <w:spacing w:line="240" w:lineRule="auto"/>
        <w:ind w:left="4091" w:right="3486"/>
        <w:jc w:val="center"/>
        <w:rPr>
          <w:b w:val="0"/>
          <w:bCs w:val="0"/>
        </w:rPr>
      </w:pPr>
      <w:r>
        <w:rPr/>
        <w:t>中国注册会计师：顾欣</w:t>
      </w:r>
      <w:r>
        <w:rPr>
          <w:b w:val="0"/>
          <w:bCs w:val="0"/>
        </w:rPr>
      </w:r>
    </w:p>
    <w:p>
      <w:pPr>
        <w:spacing w:line="240" w:lineRule="auto" w:before="0"/>
        <w:rPr>
          <w:rFonts w:ascii="宋体" w:hAnsi="宋体" w:cs="宋体" w:eastAsia="宋体" w:hint="default"/>
          <w:b/>
          <w:bCs/>
          <w:sz w:val="28"/>
          <w:szCs w:val="28"/>
        </w:rPr>
      </w:pPr>
    </w:p>
    <w:p>
      <w:pPr>
        <w:spacing w:line="240" w:lineRule="auto" w:before="3"/>
        <w:rPr>
          <w:rFonts w:ascii="宋体" w:hAnsi="宋体" w:cs="宋体" w:eastAsia="宋体" w:hint="default"/>
          <w:b/>
          <w:bCs/>
          <w:sz w:val="30"/>
          <w:szCs w:val="30"/>
        </w:rPr>
      </w:pPr>
    </w:p>
    <w:p>
      <w:pPr>
        <w:pStyle w:val="Heading2"/>
        <w:tabs>
          <w:tab w:pos="4998" w:val="left" w:leader="none"/>
        </w:tabs>
        <w:spacing w:line="240" w:lineRule="auto"/>
        <w:ind w:left="1016" w:right="0"/>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rFonts w:ascii="Times New Roman" w:hAnsi="Times New Roman" w:cs="Times New Roman" w:eastAsia="Times New Roman" w:hint="default"/>
          <w:spacing w:val="-1"/>
        </w:rPr>
        <w:t>2020</w:t>
      </w:r>
      <w:r>
        <w:rPr>
          <w:rFonts w:ascii="Times New Roman" w:hAnsi="Times New Roman" w:cs="Times New Roman" w:eastAsia="Times New Roman" w:hint="default"/>
        </w:rPr>
        <w:t> </w:t>
      </w:r>
      <w:r>
        <w:rPr/>
        <w:t>年</w:t>
      </w:r>
      <w:r>
        <w:rPr>
          <w:spacing w:val="-69"/>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71"/>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w:t>
      </w:r>
      <w:r>
        <w:rPr>
          <w:b w:val="0"/>
          <w:bCs w:val="0"/>
        </w:rPr>
      </w:r>
    </w:p>
    <w:p>
      <w:pPr>
        <w:spacing w:after="0" w:line="240" w:lineRule="auto"/>
        <w:jc w:val="left"/>
        <w:sectPr>
          <w:pgSz w:w="11910" w:h="16840"/>
          <w:pgMar w:header="679" w:footer="979" w:top="1620" w:bottom="1160" w:left="1120" w:right="0"/>
        </w:sectPr>
      </w:pPr>
    </w:p>
    <w:p>
      <w:pPr>
        <w:spacing w:before="35"/>
        <w:ind w:left="2350" w:right="3926" w:firstLine="0"/>
        <w:jc w:val="center"/>
        <w:rPr>
          <w:rFonts w:ascii="宋体" w:hAnsi="宋体" w:cs="宋体" w:eastAsia="宋体" w:hint="default"/>
          <w:sz w:val="18"/>
          <w:szCs w:val="18"/>
        </w:rPr>
      </w:pPr>
      <w:r>
        <w:rPr>
          <w:rFonts w:ascii="宋体" w:hAnsi="宋体" w:cs="宋体" w:eastAsia="宋体" w:hint="default"/>
          <w:b/>
          <w:bCs/>
          <w:sz w:val="18"/>
          <w:szCs w:val="18"/>
        </w:rPr>
        <w:t>合并资产负债表</w:t>
      </w:r>
      <w:r>
        <w:rPr>
          <w:rFonts w:ascii="宋体" w:hAnsi="宋体" w:cs="宋体" w:eastAsia="宋体" w:hint="default"/>
          <w:sz w:val="18"/>
          <w:szCs w:val="18"/>
        </w:rPr>
      </w:r>
    </w:p>
    <w:p>
      <w:pPr>
        <w:pStyle w:val="Heading5"/>
        <w:spacing w:line="240" w:lineRule="auto" w:before="34"/>
        <w:ind w:left="2348" w:right="3926"/>
        <w:jc w:val="center"/>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b w:val="0"/>
          <w:bCs w:val="0"/>
        </w:rPr>
      </w:r>
    </w:p>
    <w:p>
      <w:pPr>
        <w:pStyle w:val="Heading5"/>
        <w:spacing w:line="240" w:lineRule="auto" w:before="2"/>
        <w:ind w:left="2353" w:right="3926"/>
        <w:jc w:val="center"/>
        <w:rPr>
          <w:b w:val="0"/>
          <w:bCs w:val="0"/>
        </w:rPr>
      </w:pPr>
      <w:r>
        <w:rPr/>
        <w:t>（除特别注明外，金额单位均为人民币元）</w:t>
      </w:r>
      <w:r>
        <w:rPr>
          <w:b w:val="0"/>
          <w:bCs w:val="0"/>
        </w:rPr>
      </w:r>
    </w:p>
    <w:p>
      <w:pPr>
        <w:spacing w:line="240" w:lineRule="auto" w:before="9"/>
        <w:rPr>
          <w:rFonts w:ascii="宋体" w:hAnsi="宋体" w:cs="宋体" w:eastAsia="宋体" w:hint="default"/>
          <w:b/>
          <w:bCs/>
          <w:sz w:val="15"/>
          <w:szCs w:val="15"/>
        </w:rPr>
      </w:pPr>
    </w:p>
    <w:tbl>
      <w:tblPr>
        <w:tblW w:w="0" w:type="auto"/>
        <w:jc w:val="left"/>
        <w:tblInd w:w="105" w:type="dxa"/>
        <w:tblLayout w:type="fixed"/>
        <w:tblCellMar>
          <w:top w:w="0" w:type="dxa"/>
          <w:left w:w="0" w:type="dxa"/>
          <w:bottom w:w="0" w:type="dxa"/>
          <w:right w:w="0" w:type="dxa"/>
        </w:tblCellMar>
        <w:tblLook w:val="01E0"/>
      </w:tblPr>
      <w:tblGrid>
        <w:gridCol w:w="4076"/>
        <w:gridCol w:w="1133"/>
        <w:gridCol w:w="1702"/>
        <w:gridCol w:w="1618"/>
      </w:tblGrid>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6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3,979,276,595.36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3,395,465,223.99</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8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418,768,388.48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5"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2,731,217.74</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1,518,091,014.75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754,922,504.48</w:t>
            </w: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3,012,407,025.01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2,967,217,578.89</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5,619,108.20</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1,211,495,154.18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219,350,720.55</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90,835,520.28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64,216,862.12</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3,642,039,493.12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1,984,172,857.87</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18,968,121.42</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（十一）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129,920,481.21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95,325,375.40</w:t>
            </w: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14,027,420,902.01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9,483,402,341.04</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（十二）</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371,503,216.42</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（十三）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9,251,878.55</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（十四）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647,687,326.61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313,773,928.61</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（十五）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213,398,640.00</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（十六）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2,774,996,188.59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1,758,671,860.90</w:t>
            </w: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（十七）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2,781,574,403.89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1,927,309,832.29</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（十八）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376,463,927.65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2,208,899,418.95</w:t>
            </w: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（十九）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456,751,611.73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473,557,598.51</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18"/>
                <w:szCs w:val="18"/>
              </w:rPr>
            </w:pPr>
            <w:r>
              <w:rPr>
                <w:rFonts w:ascii="宋体" w:hAnsi="宋体" w:cs="宋体" w:eastAsia="宋体" w:hint="default"/>
                <w:sz w:val="18"/>
                <w:szCs w:val="18"/>
              </w:rPr>
              <w:t>（二十）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47,727,678.81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65,681,230.31</w:t>
            </w: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（二十一）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24,684,354.48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24,144,802.73</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（二十二）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26,702,740.12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21,309,205.26</w:t>
            </w: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（二十三）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103,232,445.47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95,675,220.94</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（二十四）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180,820,551.63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134,809,668.52</w:t>
            </w:r>
          </w:p>
        </w:tc>
      </w:tr>
      <w:tr>
        <w:trPr>
          <w:trHeight w:val="28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7,643,291,747.53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7,395,335,983.44</w:t>
            </w:r>
          </w:p>
        </w:tc>
      </w:tr>
      <w:tr>
        <w:trPr>
          <w:trHeight w:val="28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21,670,712,649.54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16,878,738,324.48</w:t>
            </w:r>
          </w:p>
        </w:tc>
      </w:tr>
    </w:tbl>
    <w:p>
      <w:pPr>
        <w:spacing w:before="10"/>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2457" w:val="left" w:leader="none"/>
          <w:tab w:pos="3974" w:val="left" w:leader="none"/>
          <w:tab w:pos="6571" w:val="left" w:leader="none"/>
        </w:tabs>
        <w:spacing w:before="76"/>
        <w:ind w:left="218" w:right="0" w:firstLine="0"/>
        <w:jc w:val="left"/>
        <w:rPr>
          <w:rFonts w:ascii="宋体" w:hAnsi="宋体" w:cs="宋体" w:eastAsia="宋体" w:hint="default"/>
          <w:sz w:val="18"/>
          <w:szCs w:val="18"/>
        </w:rPr>
      </w:pPr>
      <w:r>
        <w:rPr>
          <w:rFonts w:ascii="宋体" w:hAnsi="宋体" w:cs="宋体" w:eastAsia="宋体" w:hint="default"/>
          <w:spacing w:val="-2"/>
          <w:sz w:val="18"/>
          <w:szCs w:val="18"/>
        </w:rPr>
        <w:t>企业法定代表人：宋黎定</w:t>
        <w:tab/>
      </w:r>
      <w:r>
        <w:rPr>
          <w:rFonts w:ascii="宋体" w:hAnsi="宋体" w:cs="宋体" w:eastAsia="宋体" w:hint="default"/>
          <w:spacing w:val="-3"/>
          <w:sz w:val="18"/>
          <w:szCs w:val="18"/>
        </w:rPr>
        <w:t>公司总裁：徐刚</w:t>
        <w:tab/>
      </w:r>
      <w:r>
        <w:rPr>
          <w:rFonts w:ascii="宋体" w:hAnsi="宋体" w:cs="宋体" w:eastAsia="宋体" w:hint="default"/>
          <w:spacing w:val="-2"/>
          <w:sz w:val="18"/>
          <w:szCs w:val="18"/>
        </w:rPr>
        <w:t>主管会计工作负责人：许海东</w:t>
        <w:tab/>
        <w:t>会计机构负责人：许少霞</w:t>
      </w:r>
    </w:p>
    <w:p>
      <w:pPr>
        <w:spacing w:after="0"/>
        <w:jc w:val="left"/>
        <w:rPr>
          <w:rFonts w:ascii="宋体" w:hAnsi="宋体" w:cs="宋体" w:eastAsia="宋体" w:hint="default"/>
          <w:sz w:val="18"/>
          <w:szCs w:val="18"/>
        </w:rPr>
        <w:sectPr>
          <w:headerReference w:type="default" r:id="rId21"/>
          <w:footerReference w:type="default" r:id="rId22"/>
          <w:pgSz w:w="11910" w:h="16840"/>
          <w:pgMar w:header="973" w:footer="781" w:top="1160" w:bottom="980" w:left="1580" w:right="0"/>
          <w:pgNumType w:start="1"/>
        </w:sectPr>
      </w:pPr>
    </w:p>
    <w:p>
      <w:pPr>
        <w:spacing w:before="38"/>
        <w:ind w:left="2350" w:right="3926" w:firstLine="0"/>
        <w:jc w:val="center"/>
        <w:rPr>
          <w:rFonts w:ascii="宋体" w:hAnsi="宋体" w:cs="宋体" w:eastAsia="宋体" w:hint="default"/>
          <w:sz w:val="18"/>
          <w:szCs w:val="18"/>
        </w:rPr>
      </w:pPr>
      <w:r>
        <w:rPr>
          <w:rFonts w:ascii="宋体" w:hAnsi="宋体" w:cs="宋体" w:eastAsia="宋体" w:hint="default"/>
          <w:b/>
          <w:bCs/>
          <w:sz w:val="18"/>
          <w:szCs w:val="18"/>
        </w:rPr>
        <w:t>合并资产负债表（续）</w:t>
      </w:r>
      <w:r>
        <w:rPr>
          <w:rFonts w:ascii="宋体" w:hAnsi="宋体" w:cs="宋体" w:eastAsia="宋体" w:hint="default"/>
          <w:sz w:val="18"/>
          <w:szCs w:val="18"/>
        </w:rPr>
      </w:r>
    </w:p>
    <w:p>
      <w:pPr>
        <w:spacing w:before="38"/>
        <w:ind w:left="2348" w:right="3926"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before="61"/>
        <w:ind w:left="2351" w:right="3926"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p>
      <w:pPr>
        <w:spacing w:line="240" w:lineRule="auto" w:before="13"/>
        <w:rPr>
          <w:rFonts w:ascii="宋体" w:hAnsi="宋体" w:cs="宋体" w:eastAsia="宋体"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3929"/>
        <w:gridCol w:w="996"/>
        <w:gridCol w:w="1843"/>
        <w:gridCol w:w="1760"/>
      </w:tblGrid>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5"/>
                <w:szCs w:val="15"/>
              </w:rPr>
            </w:pPr>
            <w:r>
              <w:rPr>
                <w:rFonts w:ascii="宋体" w:hAnsi="宋体" w:cs="宋体" w:eastAsia="宋体" w:hint="default"/>
                <w:sz w:val="15"/>
                <w:szCs w:val="15"/>
              </w:rPr>
              <w:t>负债和所有者权益</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24" w:right="0"/>
              <w:jc w:val="left"/>
              <w:rPr>
                <w:rFonts w:ascii="宋体" w:hAnsi="宋体" w:cs="宋体" w:eastAsia="宋体" w:hint="default"/>
                <w:sz w:val="15"/>
                <w:szCs w:val="15"/>
              </w:rPr>
            </w:pPr>
            <w:r>
              <w:rPr>
                <w:rFonts w:ascii="宋体" w:hAnsi="宋体" w:cs="宋体" w:eastAsia="宋体" w:hint="default"/>
                <w:sz w:val="15"/>
                <w:szCs w:val="15"/>
              </w:rPr>
              <w:t>上年年末余额</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（二十五）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3,954,600,892.89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2"/>
                <w:sz w:val="15"/>
              </w:rPr>
              <w:t>2,023,011,798.95</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向中央银行借款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拆入资金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以公允价值计量且其变动计入当期损益的金融负债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衍生金融负债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（二十六）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701,826,799.48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566,228,681.78</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（二十七）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2,861,896,218.31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2,147,640,016.23</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（二十八）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293,987,598.79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146,425,887.90</w:t>
            </w:r>
          </w:p>
        </w:tc>
      </w:tr>
      <w:tr>
        <w:trPr>
          <w:trHeight w:val="22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卖出回购金融资产款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吸收存款及同业存放</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1"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4" w:right="0"/>
              <w:jc w:val="left"/>
              <w:rPr>
                <w:rFonts w:ascii="宋体" w:hAnsi="宋体" w:cs="宋体" w:eastAsia="宋体" w:hint="default"/>
                <w:sz w:val="15"/>
                <w:szCs w:val="15"/>
              </w:rPr>
            </w:pPr>
            <w:r>
              <w:rPr>
                <w:rFonts w:ascii="宋体" w:hAnsi="宋体" w:cs="宋体" w:eastAsia="宋体" w:hint="default"/>
                <w:sz w:val="15"/>
                <w:szCs w:val="15"/>
              </w:rPr>
              <w:t>代理承销证券款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（二十九）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366,472,710.52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320,101,474.44</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5"/>
                <w:szCs w:val="15"/>
              </w:rPr>
            </w:pPr>
            <w:r>
              <w:rPr>
                <w:rFonts w:ascii="宋体" w:hAnsi="宋体" w:cs="宋体" w:eastAsia="宋体" w:hint="default"/>
                <w:sz w:val="15"/>
                <w:szCs w:val="15"/>
              </w:rPr>
              <w:t>（三十）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141,226,158.12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304,108,228.42</w:t>
            </w:r>
          </w:p>
        </w:tc>
      </w:tr>
      <w:tr>
        <w:trPr>
          <w:trHeight w:val="22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（三十一）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15"/>
                <w:szCs w:val="15"/>
              </w:rPr>
            </w:pPr>
            <w:r>
              <w:rPr>
                <w:rFonts w:ascii="Times New Roman"/>
                <w:spacing w:val="-1"/>
                <w:sz w:val="15"/>
              </w:rPr>
              <w:t>1,171,052,210.63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767,881,000.94</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应付手续费及佣金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应付分保账款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持有待售负债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（三十二）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10,000,000.00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784,000,000.00</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（三十三）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2"/>
                <w:sz w:val="15"/>
              </w:rPr>
              <w:t>110,820,725.29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2"/>
                <w:sz w:val="15"/>
              </w:rPr>
              <w:t>110,747,682.77</w:t>
            </w:r>
          </w:p>
        </w:tc>
      </w:tr>
      <w:tr>
        <w:trPr>
          <w:trHeight w:val="22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b/>
                <w:bCs/>
                <w:sz w:val="15"/>
                <w:szCs w:val="15"/>
              </w:rPr>
              <w:t>流动负债合计</w:t>
            </w:r>
            <w:r>
              <w:rPr>
                <w:rFonts w:ascii="宋体" w:hAnsi="宋体" w:cs="宋体" w:eastAsia="宋体" w:hint="default"/>
                <w:sz w:val="15"/>
                <w:szCs w:val="15"/>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15"/>
                <w:szCs w:val="15"/>
              </w:rPr>
            </w:pPr>
            <w:r>
              <w:rPr>
                <w:rFonts w:ascii="Times New Roman"/>
                <w:spacing w:val="-2"/>
                <w:sz w:val="15"/>
              </w:rPr>
              <w:t>9,611,883,314.03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7,170,144,771.43</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保险合同准备金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（三十四）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2,207,104,307.23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1,243,584,695.47</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05"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（三十五）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442,829,859.46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535,381,362.88</w:t>
            </w:r>
          </w:p>
        </w:tc>
      </w:tr>
      <w:tr>
        <w:trPr>
          <w:trHeight w:val="231"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4" w:right="0"/>
              <w:jc w:val="left"/>
              <w:rPr>
                <w:rFonts w:ascii="宋体" w:hAnsi="宋体" w:cs="宋体" w:eastAsia="宋体" w:hint="default"/>
                <w:sz w:val="15"/>
                <w:szCs w:val="15"/>
              </w:rPr>
            </w:pPr>
            <w:r>
              <w:rPr>
                <w:rFonts w:ascii="宋体" w:hAnsi="宋体" w:cs="宋体" w:eastAsia="宋体" w:hint="default"/>
                <w:sz w:val="15"/>
                <w:szCs w:val="15"/>
              </w:rPr>
              <w:t>长期应付职工薪酬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宋体" w:hAnsi="宋体" w:cs="宋体" w:eastAsia="宋体" w:hint="default"/>
                <w:sz w:val="15"/>
                <w:szCs w:val="15"/>
              </w:rPr>
            </w:pPr>
            <w:r>
              <w:rPr>
                <w:rFonts w:ascii="宋体" w:hAnsi="宋体" w:cs="宋体" w:eastAsia="宋体" w:hint="default"/>
                <w:sz w:val="15"/>
                <w:szCs w:val="15"/>
              </w:rPr>
              <w:t>（三十六）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spacing w:val="-1"/>
                <w:sz w:val="15"/>
              </w:rPr>
              <w:t>490,191.34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721,678.96</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（三十七）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18,750,800.45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22,427,073.43</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递延收益</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（三十八）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369,686,266.38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349,014,327.29</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（二十三）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369,224,159.00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139,015,277.48</w:t>
            </w:r>
          </w:p>
        </w:tc>
      </w:tr>
      <w:tr>
        <w:trPr>
          <w:trHeight w:val="22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b/>
                <w:bCs/>
                <w:sz w:val="15"/>
                <w:szCs w:val="15"/>
              </w:rPr>
              <w:t>非流动负债合计</w:t>
            </w:r>
            <w:r>
              <w:rPr>
                <w:rFonts w:ascii="宋体" w:hAnsi="宋体" w:cs="宋体" w:eastAsia="宋体" w:hint="default"/>
                <w:sz w:val="15"/>
                <w:szCs w:val="15"/>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3,408,085,583.86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2,290,144,415.51</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b/>
                <w:bCs/>
                <w:sz w:val="15"/>
                <w:szCs w:val="15"/>
              </w:rPr>
              <w:t>负债合计</w:t>
            </w:r>
            <w:r>
              <w:rPr>
                <w:rFonts w:ascii="宋体" w:hAnsi="宋体" w:cs="宋体" w:eastAsia="宋体" w:hint="default"/>
                <w:sz w:val="15"/>
                <w:szCs w:val="15"/>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13,019,968,897.89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9,460,289,186.94</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（三十九）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2,928,182,053.00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2,936,165,560.00</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05"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5"/>
                <w:szCs w:val="15"/>
              </w:rPr>
            </w:pPr>
            <w:r>
              <w:rPr>
                <w:rFonts w:ascii="宋体" w:hAnsi="宋体" w:cs="宋体" w:eastAsia="宋体" w:hint="default"/>
                <w:sz w:val="15"/>
                <w:szCs w:val="15"/>
              </w:rPr>
              <w:t>（四十）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600,594,934.59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566,164,360.16</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（四十一）</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7,983,507.00</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（四十二）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364,356,267.03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2"/>
                <w:sz w:val="15"/>
              </w:rPr>
              <w:t>107,988,111.91</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（四十三）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2,784,004.95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1,235,782.10</w:t>
            </w:r>
          </w:p>
        </w:tc>
      </w:tr>
      <w:tr>
        <w:trPr>
          <w:trHeight w:val="229"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（四十四）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Times New Roman" w:hAnsi="Times New Roman" w:cs="Times New Roman" w:eastAsia="Times New Roman" w:hint="default"/>
                <w:sz w:val="15"/>
                <w:szCs w:val="15"/>
              </w:rPr>
            </w:pPr>
            <w:r>
              <w:rPr>
                <w:rFonts w:ascii="Times New Roman"/>
                <w:spacing w:val="-1"/>
                <w:sz w:val="15"/>
              </w:rPr>
              <w:t>358,183,188.47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5"/>
                <w:szCs w:val="15"/>
              </w:rPr>
            </w:pPr>
            <w:r>
              <w:rPr>
                <w:rFonts w:ascii="Times New Roman"/>
                <w:spacing w:val="-1"/>
                <w:sz w:val="15"/>
              </w:rPr>
              <w:t>308,621,714.83</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5"/>
                <w:szCs w:val="15"/>
              </w:rPr>
            </w:pPr>
            <w:r>
              <w:rPr>
                <w:rFonts w:ascii="宋体" w:hAnsi="宋体" w:cs="宋体" w:eastAsia="宋体" w:hint="default"/>
                <w:sz w:val="15"/>
                <w:szCs w:val="15"/>
              </w:rPr>
              <w:t>（四十五）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4,041,679,369.84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3,071,103,612.60</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归属于母公司所有者权益合计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8,295,779,817.88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6,983,295,634.60</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354,963,933.77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435,153,502.94</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8,650,743,751.65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7,418,449,137.54</w:t>
            </w:r>
          </w:p>
        </w:tc>
      </w:tr>
      <w:tr>
        <w:trPr>
          <w:trHeight w:val="23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b/>
                <w:bCs/>
                <w:sz w:val="15"/>
                <w:szCs w:val="15"/>
              </w:rPr>
              <w:t>负债和所有者权益总计</w:t>
            </w:r>
            <w:r>
              <w:rPr>
                <w:rFonts w:ascii="宋体" w:hAnsi="宋体" w:cs="宋体" w:eastAsia="宋体" w:hint="default"/>
                <w:sz w:val="15"/>
                <w:szCs w:val="15"/>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15"/>
                <w:szCs w:val="15"/>
              </w:rPr>
            </w:pPr>
            <w:r>
              <w:rPr>
                <w:rFonts w:ascii="Times New Roman"/>
                <w:spacing w:val="-1"/>
                <w:sz w:val="15"/>
              </w:rPr>
              <w:t>21,670,712,649.54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5"/>
                <w:szCs w:val="15"/>
              </w:rPr>
            </w:pPr>
            <w:r>
              <w:rPr>
                <w:rFonts w:ascii="Times New Roman"/>
                <w:spacing w:val="-1"/>
                <w:sz w:val="15"/>
              </w:rPr>
              <w:t>16,878,738,324.48</w:t>
            </w:r>
          </w:p>
        </w:tc>
      </w:tr>
    </w:tbl>
    <w:p>
      <w:pPr>
        <w:spacing w:before="92"/>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2457" w:val="left" w:leader="none"/>
          <w:tab w:pos="3974" w:val="left" w:leader="none"/>
          <w:tab w:pos="6571" w:val="left" w:leader="none"/>
        </w:tabs>
        <w:spacing w:before="74"/>
        <w:ind w:left="218" w:right="0" w:firstLine="0"/>
        <w:jc w:val="left"/>
        <w:rPr>
          <w:rFonts w:ascii="宋体" w:hAnsi="宋体" w:cs="宋体" w:eastAsia="宋体" w:hint="default"/>
          <w:sz w:val="18"/>
          <w:szCs w:val="18"/>
        </w:rPr>
      </w:pPr>
      <w:r>
        <w:rPr>
          <w:rFonts w:ascii="宋体" w:hAnsi="宋体" w:cs="宋体" w:eastAsia="宋体" w:hint="default"/>
          <w:spacing w:val="-2"/>
          <w:sz w:val="18"/>
          <w:szCs w:val="18"/>
        </w:rPr>
        <w:t>企业法定代表人：宋黎定</w:t>
        <w:tab/>
      </w:r>
      <w:r>
        <w:rPr>
          <w:rFonts w:ascii="宋体" w:hAnsi="宋体" w:cs="宋体" w:eastAsia="宋体" w:hint="default"/>
          <w:spacing w:val="-3"/>
          <w:sz w:val="18"/>
          <w:szCs w:val="18"/>
        </w:rPr>
        <w:t>公司总裁：徐刚</w:t>
        <w:tab/>
      </w:r>
      <w:r>
        <w:rPr>
          <w:rFonts w:ascii="宋体" w:hAnsi="宋体" w:cs="宋体" w:eastAsia="宋体" w:hint="default"/>
          <w:spacing w:val="-2"/>
          <w:sz w:val="18"/>
          <w:szCs w:val="18"/>
        </w:rPr>
        <w:t>主管会计工作负责人：许海东</w:t>
        <w:tab/>
        <w:t>会计机构负责人：许少霞</w:t>
      </w:r>
    </w:p>
    <w:p>
      <w:pPr>
        <w:spacing w:after="0"/>
        <w:jc w:val="left"/>
        <w:rPr>
          <w:rFonts w:ascii="宋体" w:hAnsi="宋体" w:cs="宋体" w:eastAsia="宋体" w:hint="default"/>
          <w:sz w:val="18"/>
          <w:szCs w:val="18"/>
        </w:rPr>
        <w:sectPr>
          <w:pgSz w:w="11910" w:h="16840"/>
          <w:pgMar w:header="973" w:footer="781" w:top="1160" w:bottom="980" w:left="1580" w:right="0"/>
        </w:sectPr>
      </w:pPr>
    </w:p>
    <w:p>
      <w:pPr>
        <w:spacing w:before="38"/>
        <w:ind w:left="2348" w:right="3926" w:firstLine="0"/>
        <w:jc w:val="center"/>
        <w:rPr>
          <w:rFonts w:ascii="宋体" w:hAnsi="宋体" w:cs="宋体" w:eastAsia="宋体" w:hint="default"/>
          <w:sz w:val="18"/>
          <w:szCs w:val="18"/>
        </w:rPr>
      </w:pPr>
      <w:r>
        <w:rPr>
          <w:rFonts w:ascii="宋体" w:hAnsi="宋体" w:cs="宋体" w:eastAsia="宋体" w:hint="default"/>
          <w:b/>
          <w:bCs/>
          <w:sz w:val="18"/>
          <w:szCs w:val="18"/>
        </w:rPr>
        <w:t>母公司资产负债表</w:t>
      </w:r>
      <w:r>
        <w:rPr>
          <w:rFonts w:ascii="宋体" w:hAnsi="宋体" w:cs="宋体" w:eastAsia="宋体" w:hint="default"/>
          <w:sz w:val="18"/>
          <w:szCs w:val="18"/>
        </w:rPr>
      </w:r>
    </w:p>
    <w:p>
      <w:pPr>
        <w:spacing w:before="38"/>
        <w:ind w:left="2348" w:right="3926"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before="22"/>
        <w:ind w:left="2349" w:right="3926"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p>
      <w:pPr>
        <w:spacing w:line="240" w:lineRule="auto" w:before="0"/>
        <w:rPr>
          <w:rFonts w:ascii="宋体" w:hAnsi="宋体" w:cs="宋体" w:eastAsia="宋体" w:hint="default"/>
          <w:b/>
          <w:bCs/>
          <w:sz w:val="14"/>
          <w:szCs w:val="14"/>
        </w:rPr>
      </w:pPr>
    </w:p>
    <w:tbl>
      <w:tblPr>
        <w:tblW w:w="0" w:type="auto"/>
        <w:jc w:val="left"/>
        <w:tblInd w:w="105" w:type="dxa"/>
        <w:tblLayout w:type="fixed"/>
        <w:tblCellMar>
          <w:top w:w="0" w:type="dxa"/>
          <w:left w:w="0" w:type="dxa"/>
          <w:bottom w:w="0" w:type="dxa"/>
          <w:right w:w="0" w:type="dxa"/>
        </w:tblCellMar>
        <w:tblLook w:val="01E0"/>
      </w:tblPr>
      <w:tblGrid>
        <w:gridCol w:w="4220"/>
        <w:gridCol w:w="1128"/>
        <w:gridCol w:w="1704"/>
        <w:gridCol w:w="1702"/>
      </w:tblGrid>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23"/>
              <w:jc w:val="right"/>
              <w:rPr>
                <w:rFonts w:ascii="宋体" w:hAnsi="宋体" w:cs="宋体" w:eastAsia="宋体" w:hint="default"/>
                <w:sz w:val="18"/>
                <w:szCs w:val="18"/>
              </w:rPr>
            </w:pPr>
            <w:r>
              <w:rPr>
                <w:rFonts w:ascii="宋体" w:hAnsi="宋体" w:cs="宋体" w:eastAsia="宋体" w:hint="default"/>
                <w:sz w:val="18"/>
                <w:szCs w:val="18"/>
              </w:rPr>
              <w:t>资产</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附注十五</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0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815,554,496.84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1,004,581,514.25</w:t>
            </w: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265,759,389.28</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w:t>
            </w:r>
          </w:p>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（一）</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2"/>
                <w:sz w:val="18"/>
              </w:rPr>
              <w:t>218,810,111.80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207,803,710.72</w:t>
            </w: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333,677,061.84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291,459,712.34</w:t>
            </w: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8"/>
                <w:szCs w:val="18"/>
              </w:rPr>
            </w:pPr>
            <w:r>
              <w:rPr>
                <w:rFonts w:ascii="Times New Roman"/>
                <w:spacing w:val="-1"/>
                <w:sz w:val="18"/>
              </w:rPr>
              <w:t>49,804,876.62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8"/>
                <w:szCs w:val="18"/>
              </w:rPr>
            </w:pPr>
            <w:r>
              <w:rPr>
                <w:rFonts w:ascii="Times New Roman"/>
                <w:spacing w:val="-1"/>
                <w:sz w:val="18"/>
              </w:rPr>
              <w:t>36,230,360.65</w:t>
            </w: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1,081,392,070.05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437,181,743.46</w:t>
            </w: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1,726,178,201.25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192,559,192.98</w:t>
            </w: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42"/>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19,891,246.61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14,058,186.51</w:t>
            </w: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4,511,067,454.29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2,183,874,420.91</w:t>
            </w: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211,787,459.16</w:t>
            </w: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2"/>
                <w:sz w:val="18"/>
              </w:rPr>
              <w:t>1,111,000,000.00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675,000,000.00</w:t>
            </w: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（四）</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5,801,739,153.98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4,538,290,408.70</w:t>
            </w: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12,364,400.00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2,200,552,488.59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1,164,431,257.85</w:t>
            </w: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612,458,640.49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477,954,225.13</w:t>
            </w: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56,164,134.30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1,542,384,441.25</w:t>
            </w: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105,272,118.65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121,347,720.95</w:t>
            </w: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2,467,719.77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1,691,334.30</w:t>
            </w: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35,492,686.70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45,798,238.33</w:t>
            </w: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72,183,237.72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76,295,317.40</w:t>
            </w:r>
          </w:p>
        </w:tc>
      </w:tr>
      <w:tr>
        <w:trPr>
          <w:trHeight w:val="33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10,009,694,580.20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8,854,980,403.07</w:t>
            </w:r>
          </w:p>
        </w:tc>
      </w:tr>
      <w:tr>
        <w:trPr>
          <w:trHeight w:val="32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14,520,762,034.49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11,038,854,823.98</w:t>
            </w:r>
          </w:p>
        </w:tc>
      </w:tr>
    </w:tbl>
    <w:p>
      <w:pPr>
        <w:spacing w:before="92"/>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2457" w:val="left" w:leader="none"/>
          <w:tab w:pos="3974" w:val="left" w:leader="none"/>
          <w:tab w:pos="6571" w:val="left" w:leader="none"/>
        </w:tabs>
        <w:spacing w:before="74"/>
        <w:ind w:left="218" w:right="0" w:firstLine="0"/>
        <w:jc w:val="left"/>
        <w:rPr>
          <w:rFonts w:ascii="宋体" w:hAnsi="宋体" w:cs="宋体" w:eastAsia="宋体" w:hint="default"/>
          <w:sz w:val="18"/>
          <w:szCs w:val="18"/>
        </w:rPr>
      </w:pPr>
      <w:r>
        <w:rPr>
          <w:rFonts w:ascii="宋体" w:hAnsi="宋体" w:cs="宋体" w:eastAsia="宋体" w:hint="default"/>
          <w:spacing w:val="-2"/>
          <w:sz w:val="18"/>
          <w:szCs w:val="18"/>
        </w:rPr>
        <w:t>企业法定代表人：宋黎定</w:t>
        <w:tab/>
      </w:r>
      <w:r>
        <w:rPr>
          <w:rFonts w:ascii="宋体" w:hAnsi="宋体" w:cs="宋体" w:eastAsia="宋体" w:hint="default"/>
          <w:spacing w:val="-3"/>
          <w:sz w:val="18"/>
          <w:szCs w:val="18"/>
        </w:rPr>
        <w:t>公司总裁：徐刚</w:t>
        <w:tab/>
      </w:r>
      <w:r>
        <w:rPr>
          <w:rFonts w:ascii="宋体" w:hAnsi="宋体" w:cs="宋体" w:eastAsia="宋体" w:hint="default"/>
          <w:spacing w:val="-2"/>
          <w:sz w:val="18"/>
          <w:szCs w:val="18"/>
        </w:rPr>
        <w:t>主管会计工作负责人：许海东</w:t>
        <w:tab/>
        <w:t>会计机构负责人：许少霞</w:t>
      </w:r>
    </w:p>
    <w:p>
      <w:pPr>
        <w:spacing w:after="0"/>
        <w:jc w:val="left"/>
        <w:rPr>
          <w:rFonts w:ascii="宋体" w:hAnsi="宋体" w:cs="宋体" w:eastAsia="宋体" w:hint="default"/>
          <w:sz w:val="18"/>
          <w:szCs w:val="18"/>
        </w:rPr>
        <w:sectPr>
          <w:pgSz w:w="11910" w:h="16840"/>
          <w:pgMar w:header="973" w:footer="781" w:top="1160" w:bottom="980" w:left="1580" w:right="0"/>
        </w:sectPr>
      </w:pPr>
    </w:p>
    <w:p>
      <w:pPr>
        <w:spacing w:before="38"/>
        <w:ind w:left="2347" w:right="3926" w:firstLine="0"/>
        <w:jc w:val="center"/>
        <w:rPr>
          <w:rFonts w:ascii="宋体" w:hAnsi="宋体" w:cs="宋体" w:eastAsia="宋体" w:hint="default"/>
          <w:sz w:val="18"/>
          <w:szCs w:val="18"/>
        </w:rPr>
      </w:pPr>
      <w:r>
        <w:rPr>
          <w:rFonts w:ascii="宋体" w:hAnsi="宋体" w:cs="宋体" w:eastAsia="宋体" w:hint="default"/>
          <w:b/>
          <w:bCs/>
          <w:sz w:val="18"/>
          <w:szCs w:val="18"/>
        </w:rPr>
        <w:t>母公司资产负债表（续）</w:t>
      </w:r>
      <w:r>
        <w:rPr>
          <w:rFonts w:ascii="宋体" w:hAnsi="宋体" w:cs="宋体" w:eastAsia="宋体" w:hint="default"/>
          <w:sz w:val="18"/>
          <w:szCs w:val="18"/>
        </w:rPr>
      </w:r>
    </w:p>
    <w:p>
      <w:pPr>
        <w:spacing w:before="38"/>
        <w:ind w:left="2348" w:right="3926"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before="22"/>
        <w:ind w:left="2349" w:right="3926"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p>
      <w:pPr>
        <w:spacing w:line="240" w:lineRule="auto" w:before="0"/>
        <w:rPr>
          <w:rFonts w:ascii="宋体" w:hAnsi="宋体" w:cs="宋体" w:eastAsia="宋体" w:hint="default"/>
          <w:b/>
          <w:bCs/>
          <w:sz w:val="14"/>
          <w:szCs w:val="14"/>
        </w:rPr>
      </w:pPr>
    </w:p>
    <w:tbl>
      <w:tblPr>
        <w:tblW w:w="0" w:type="auto"/>
        <w:jc w:val="left"/>
        <w:tblInd w:w="105" w:type="dxa"/>
        <w:tblLayout w:type="fixed"/>
        <w:tblCellMar>
          <w:top w:w="0" w:type="dxa"/>
          <w:left w:w="0" w:type="dxa"/>
          <w:bottom w:w="0" w:type="dxa"/>
          <w:right w:w="0" w:type="dxa"/>
        </w:tblCellMar>
        <w:tblLook w:val="01E0"/>
      </w:tblPr>
      <w:tblGrid>
        <w:gridCol w:w="4352"/>
        <w:gridCol w:w="996"/>
        <w:gridCol w:w="1704"/>
        <w:gridCol w:w="1702"/>
      </w:tblGrid>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负债和所有者权益</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1" w:right="0"/>
              <w:jc w:val="left"/>
              <w:rPr>
                <w:rFonts w:ascii="宋体" w:hAnsi="宋体" w:cs="宋体" w:eastAsia="宋体" w:hint="default"/>
                <w:sz w:val="18"/>
                <w:szCs w:val="18"/>
              </w:rPr>
            </w:pPr>
            <w:r>
              <w:rPr>
                <w:rFonts w:ascii="宋体" w:hAnsi="宋体" w:cs="宋体" w:eastAsia="宋体" w:hint="default"/>
                <w:sz w:val="18"/>
                <w:szCs w:val="18"/>
              </w:rPr>
              <w:t>附注十五</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288"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3,465,000,000.00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1,665,000,000.00</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以公允价值计量且其变动计入当期损益的金融负</w:t>
            </w:r>
          </w:p>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194,245,895.73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96,018,562.15</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557,426,799.43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399,008,076.19</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182,536,384.00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55,659,405.89</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102,188,847.79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100,293,954.37</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18,551,217.34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174,780,122.75</w:t>
            </w:r>
          </w:p>
        </w:tc>
      </w:tr>
      <w:tr>
        <w:trPr>
          <w:trHeight w:val="289"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953,481,672.75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621,528,167.51</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504,000,000.00</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39,812,751.01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36,139,686.89</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5,523,243,568.05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3,652,427,975.75</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2,207,104,307.23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1,203,584,695.47</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2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88,000,000.00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490,191.34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721,678.96</w:t>
            </w:r>
          </w:p>
        </w:tc>
      </w:tr>
      <w:tr>
        <w:trPr>
          <w:trHeight w:val="288"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79,848,338.26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79,848,338.26</w:t>
            </w:r>
          </w:p>
        </w:tc>
      </w:tr>
      <w:tr>
        <w:trPr>
          <w:trHeight w:val="291"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8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192,090,185.57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196,053,094.87</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194,624,177.50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2"/>
                <w:sz w:val="18"/>
              </w:rPr>
              <w:t>111,054,776.05</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2,762,157,199.90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1,691,262,583.61</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8,285,400,767.95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5,343,690,559.36</w:t>
            </w:r>
          </w:p>
        </w:tc>
      </w:tr>
      <w:tr>
        <w:trPr>
          <w:trHeight w:val="288"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2,928,182,053.00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2,936,165,560.00</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2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772,640,798.57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776,973,337.42</w:t>
            </w:r>
          </w:p>
        </w:tc>
      </w:tr>
      <w:tr>
        <w:trPr>
          <w:trHeight w:val="288"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7,983,507.00</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328,388,055.55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132,664,973.13</w:t>
            </w:r>
          </w:p>
        </w:tc>
      </w:tr>
      <w:tr>
        <w:trPr>
          <w:trHeight w:val="291"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628,012,410.21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578,450,936.57</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1,578,137,949.21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1,278,892,964.50</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6,235,361,266.54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5,695,164,264.62</w:t>
            </w:r>
          </w:p>
        </w:tc>
      </w:tr>
      <w:tr>
        <w:trPr>
          <w:trHeight w:val="290" w:hRule="exact"/>
        </w:trPr>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14,520,762,034.49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11,038,854,823.98</w:t>
            </w:r>
          </w:p>
        </w:tc>
      </w:tr>
    </w:tbl>
    <w:p>
      <w:pPr>
        <w:spacing w:before="92"/>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2457" w:val="left" w:leader="none"/>
          <w:tab w:pos="3974" w:val="left" w:leader="none"/>
          <w:tab w:pos="6571" w:val="left" w:leader="none"/>
        </w:tabs>
        <w:spacing w:before="74"/>
        <w:ind w:left="218" w:right="0" w:firstLine="0"/>
        <w:jc w:val="left"/>
        <w:rPr>
          <w:rFonts w:ascii="宋体" w:hAnsi="宋体" w:cs="宋体" w:eastAsia="宋体" w:hint="default"/>
          <w:sz w:val="18"/>
          <w:szCs w:val="18"/>
        </w:rPr>
      </w:pPr>
      <w:r>
        <w:rPr>
          <w:rFonts w:ascii="宋体" w:hAnsi="宋体" w:cs="宋体" w:eastAsia="宋体" w:hint="default"/>
          <w:spacing w:val="-2"/>
          <w:sz w:val="18"/>
          <w:szCs w:val="18"/>
        </w:rPr>
        <w:t>企业法定代表人：宋黎定</w:t>
        <w:tab/>
      </w:r>
      <w:r>
        <w:rPr>
          <w:rFonts w:ascii="宋体" w:hAnsi="宋体" w:cs="宋体" w:eastAsia="宋体" w:hint="default"/>
          <w:spacing w:val="-3"/>
          <w:sz w:val="18"/>
          <w:szCs w:val="18"/>
        </w:rPr>
        <w:t>公司总裁：徐刚</w:t>
        <w:tab/>
      </w:r>
      <w:r>
        <w:rPr>
          <w:rFonts w:ascii="宋体" w:hAnsi="宋体" w:cs="宋体" w:eastAsia="宋体" w:hint="default"/>
          <w:spacing w:val="-2"/>
          <w:sz w:val="18"/>
          <w:szCs w:val="18"/>
        </w:rPr>
        <w:t>主管会计工作负责人：许海东</w:t>
        <w:tab/>
        <w:t>会计机构负责人：许少霞</w:t>
      </w:r>
    </w:p>
    <w:p>
      <w:pPr>
        <w:spacing w:after="0"/>
        <w:jc w:val="left"/>
        <w:rPr>
          <w:rFonts w:ascii="宋体" w:hAnsi="宋体" w:cs="宋体" w:eastAsia="宋体" w:hint="default"/>
          <w:sz w:val="18"/>
          <w:szCs w:val="18"/>
        </w:rPr>
        <w:sectPr>
          <w:pgSz w:w="11910" w:h="16840"/>
          <w:pgMar w:header="973" w:footer="781" w:top="1160" w:bottom="980" w:left="1580" w:right="0"/>
        </w:sectPr>
      </w:pPr>
    </w:p>
    <w:p>
      <w:pPr>
        <w:spacing w:before="38"/>
        <w:ind w:left="2348" w:right="3926" w:firstLine="0"/>
        <w:jc w:val="center"/>
        <w:rPr>
          <w:rFonts w:ascii="宋体" w:hAnsi="宋体" w:cs="宋体" w:eastAsia="宋体" w:hint="default"/>
          <w:sz w:val="18"/>
          <w:szCs w:val="18"/>
        </w:rPr>
      </w:pPr>
      <w:r>
        <w:rPr>
          <w:rFonts w:ascii="宋体" w:hAnsi="宋体" w:cs="宋体" w:eastAsia="宋体" w:hint="default"/>
          <w:b/>
          <w:bCs/>
          <w:sz w:val="18"/>
          <w:szCs w:val="18"/>
        </w:rPr>
        <w:t>合并利润表</w:t>
      </w:r>
      <w:r>
        <w:rPr>
          <w:rFonts w:ascii="宋体" w:hAnsi="宋体" w:cs="宋体" w:eastAsia="宋体" w:hint="default"/>
          <w:sz w:val="18"/>
          <w:szCs w:val="18"/>
        </w:rPr>
      </w:r>
    </w:p>
    <w:p>
      <w:pPr>
        <w:spacing w:before="38"/>
        <w:ind w:left="2350" w:right="3926"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29"/>
        <w:ind w:left="2349" w:right="3926"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p>
      <w:pPr>
        <w:spacing w:line="240" w:lineRule="auto" w:before="11"/>
        <w:rPr>
          <w:rFonts w:ascii="宋体" w:hAnsi="宋体" w:cs="宋体" w:eastAsia="宋体" w:hint="default"/>
          <w:b/>
          <w:bCs/>
          <w:sz w:val="13"/>
          <w:szCs w:val="13"/>
        </w:rPr>
      </w:pPr>
    </w:p>
    <w:tbl>
      <w:tblPr>
        <w:tblW w:w="0" w:type="auto"/>
        <w:jc w:val="left"/>
        <w:tblInd w:w="105" w:type="dxa"/>
        <w:tblLayout w:type="fixed"/>
        <w:tblCellMar>
          <w:top w:w="0" w:type="dxa"/>
          <w:left w:w="0" w:type="dxa"/>
          <w:bottom w:w="0" w:type="dxa"/>
          <w:right w:w="0" w:type="dxa"/>
        </w:tblCellMar>
        <w:tblLook w:val="01E0"/>
      </w:tblPr>
      <w:tblGrid>
        <w:gridCol w:w="3929"/>
        <w:gridCol w:w="1138"/>
        <w:gridCol w:w="1730"/>
        <w:gridCol w:w="1731"/>
      </w:tblGrid>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right="3"/>
              <w:jc w:val="center"/>
              <w:rPr>
                <w:rFonts w:ascii="宋体" w:hAnsi="宋体" w:cs="宋体" w:eastAsia="宋体" w:hint="default"/>
                <w:sz w:val="13"/>
                <w:szCs w:val="13"/>
              </w:rPr>
            </w:pPr>
            <w:r>
              <w:rPr>
                <w:rFonts w:ascii="宋体" w:hAnsi="宋体" w:cs="宋体" w:eastAsia="宋体" w:hint="default"/>
                <w:sz w:val="13"/>
                <w:szCs w:val="13"/>
              </w:rPr>
              <w:t>附注五</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right="0"/>
              <w:jc w:val="center"/>
              <w:rPr>
                <w:rFonts w:ascii="宋体" w:hAnsi="宋体" w:cs="宋体" w:eastAsia="宋体" w:hint="default"/>
                <w:sz w:val="13"/>
                <w:szCs w:val="13"/>
              </w:rPr>
            </w:pPr>
            <w:r>
              <w:rPr>
                <w:rFonts w:ascii="宋体" w:hAnsi="宋体" w:cs="宋体" w:eastAsia="宋体" w:hint="default"/>
                <w:sz w:val="13"/>
                <w:szCs w:val="13"/>
              </w:rPr>
              <w:t>本期金额</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right="1"/>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一、营业总收入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10,843,784,576.71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10,009,483,496.74</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其中：营业收入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（四十六）</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10,843,784,576.71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10,009,483,496.74</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利息收入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已赚保费</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手续费及佣金收入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二、营业总成本</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10,278,010,419.54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9,547,874,281.64</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left="364" w:right="0"/>
              <w:jc w:val="left"/>
              <w:rPr>
                <w:rFonts w:ascii="宋体" w:hAnsi="宋体" w:cs="宋体" w:eastAsia="宋体" w:hint="default"/>
                <w:sz w:val="13"/>
                <w:szCs w:val="13"/>
              </w:rPr>
            </w:pPr>
            <w:r>
              <w:rPr>
                <w:rFonts w:ascii="宋体" w:hAnsi="宋体" w:cs="宋体" w:eastAsia="宋体" w:hint="default"/>
                <w:sz w:val="13"/>
                <w:szCs w:val="13"/>
              </w:rPr>
              <w:t>其中：营业成本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right="3"/>
              <w:jc w:val="center"/>
              <w:rPr>
                <w:rFonts w:ascii="宋体" w:hAnsi="宋体" w:cs="宋体" w:eastAsia="宋体" w:hint="default"/>
                <w:sz w:val="13"/>
                <w:szCs w:val="13"/>
              </w:rPr>
            </w:pPr>
            <w:r>
              <w:rPr>
                <w:rFonts w:ascii="宋体" w:hAnsi="宋体" w:cs="宋体" w:eastAsia="宋体" w:hint="default"/>
                <w:sz w:val="13"/>
                <w:szCs w:val="13"/>
              </w:rPr>
              <w:t>（四十六）</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8,169,123,797.46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7,791,560,120.92</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利息支出</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手续费及佣金支出</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退保金</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赔付支出净额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left="755" w:right="0"/>
              <w:jc w:val="left"/>
              <w:rPr>
                <w:rFonts w:ascii="宋体" w:hAnsi="宋体" w:cs="宋体" w:eastAsia="宋体" w:hint="default"/>
                <w:sz w:val="13"/>
                <w:szCs w:val="13"/>
              </w:rPr>
            </w:pPr>
            <w:r>
              <w:rPr>
                <w:rFonts w:ascii="宋体" w:hAnsi="宋体" w:cs="宋体" w:eastAsia="宋体" w:hint="default"/>
                <w:sz w:val="13"/>
                <w:szCs w:val="13"/>
              </w:rPr>
              <w:t>提取保险责任准备金净额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保单红利支出</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分保费用</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税金及附加</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（四十七）</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74,125,242.07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73,435,748.64</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销售费用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（四十八）</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490,627,552.30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377,184,892.46</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管理费用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（四十九）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3"/>
                <w:szCs w:val="13"/>
              </w:rPr>
            </w:pPr>
            <w:r>
              <w:rPr>
                <w:rFonts w:ascii="Times New Roman"/>
                <w:spacing w:val="-1"/>
                <w:sz w:val="13"/>
              </w:rPr>
              <w:t>587,422,110.46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3"/>
                <w:szCs w:val="13"/>
              </w:rPr>
            </w:pPr>
            <w:r>
              <w:rPr>
                <w:rFonts w:ascii="Times New Roman"/>
                <w:sz w:val="13"/>
              </w:rPr>
              <w:t>604,683,004.58</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研发费用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（五十）</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849,138,654.98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658,444,267.32</w:t>
            </w:r>
          </w:p>
        </w:tc>
      </w:tr>
      <w:tr>
        <w:trPr>
          <w:trHeight w:val="181"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财务费用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（五十一）</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3"/>
                <w:szCs w:val="13"/>
              </w:rPr>
            </w:pPr>
            <w:r>
              <w:rPr>
                <w:rFonts w:ascii="Times New Roman"/>
                <w:sz w:val="13"/>
              </w:rPr>
              <w:t>107,573,062.27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Times New Roman" w:hAnsi="Times New Roman" w:cs="Times New Roman" w:eastAsia="Times New Roman" w:hint="default"/>
                <w:sz w:val="13"/>
                <w:szCs w:val="13"/>
              </w:rPr>
            </w:pPr>
            <w:r>
              <w:rPr>
                <w:rFonts w:ascii="Times New Roman"/>
                <w:sz w:val="13"/>
              </w:rPr>
              <w:t>42,566,247.72</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其中：利息费用</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3"/>
                <w:szCs w:val="13"/>
              </w:rPr>
            </w:pPr>
            <w:r>
              <w:rPr>
                <w:rFonts w:ascii="Times New Roman"/>
                <w:sz w:val="13"/>
              </w:rPr>
              <w:t>142,666,988.47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80,751,865.69</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144" w:right="0"/>
              <w:jc w:val="left"/>
              <w:rPr>
                <w:rFonts w:ascii="宋体" w:hAnsi="宋体" w:cs="宋体" w:eastAsia="宋体" w:hint="default"/>
                <w:sz w:val="13"/>
                <w:szCs w:val="13"/>
              </w:rPr>
            </w:pPr>
            <w:r>
              <w:rPr>
                <w:rFonts w:ascii="宋体" w:hAnsi="宋体" w:cs="宋体" w:eastAsia="宋体" w:hint="default"/>
                <w:sz w:val="13"/>
                <w:szCs w:val="13"/>
              </w:rPr>
              <w:t>利息收入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36,592,430.39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36,884,298.96</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加：其他收益</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（五十二）</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3"/>
                <w:szCs w:val="13"/>
              </w:rPr>
            </w:pPr>
            <w:r>
              <w:rPr>
                <w:rFonts w:ascii="Times New Roman"/>
                <w:sz w:val="13"/>
              </w:rPr>
              <w:t>599,921,753.43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3"/>
                <w:szCs w:val="13"/>
              </w:rPr>
            </w:pPr>
            <w:r>
              <w:rPr>
                <w:rFonts w:ascii="Times New Roman"/>
                <w:sz w:val="13"/>
              </w:rPr>
              <w:t>182,492,770.47</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626" w:right="0"/>
              <w:jc w:val="left"/>
              <w:rPr>
                <w:rFonts w:ascii="宋体" w:hAnsi="宋体" w:cs="宋体" w:eastAsia="宋体" w:hint="default"/>
                <w:sz w:val="13"/>
                <w:szCs w:val="13"/>
              </w:rPr>
            </w:pPr>
            <w:r>
              <w:rPr>
                <w:rFonts w:ascii="宋体" w:hAnsi="宋体" w:cs="宋体" w:eastAsia="宋体" w:hint="default"/>
                <w:sz w:val="13"/>
                <w:szCs w:val="13"/>
              </w:rPr>
              <w:t>投资收益（损失以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（五十三）</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8,827,041.99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812,413,667.15</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left="626" w:right="0"/>
              <w:jc w:val="left"/>
              <w:rPr>
                <w:rFonts w:ascii="宋体" w:hAnsi="宋体" w:cs="宋体" w:eastAsia="宋体" w:hint="default"/>
                <w:sz w:val="13"/>
                <w:szCs w:val="13"/>
              </w:rPr>
            </w:pPr>
            <w:r>
              <w:rPr>
                <w:rFonts w:ascii="宋体" w:hAnsi="宋体" w:cs="宋体" w:eastAsia="宋体" w:hint="default"/>
                <w:sz w:val="13"/>
                <w:szCs w:val="13"/>
              </w:rPr>
              <w:t>其中：对联营企业和合营企业的投资收益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pacing w:val="-1"/>
                <w:sz w:val="13"/>
              </w:rPr>
              <w:t>10,463,411.16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-2,658,316.54</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5" w:right="0"/>
              <w:jc w:val="left"/>
              <w:rPr>
                <w:rFonts w:ascii="宋体" w:hAnsi="宋体" w:cs="宋体" w:eastAsia="宋体" w:hint="default"/>
                <w:sz w:val="13"/>
                <w:szCs w:val="13"/>
              </w:rPr>
            </w:pPr>
            <w:r>
              <w:rPr>
                <w:rFonts w:ascii="宋体" w:hAnsi="宋体" w:cs="宋体" w:eastAsia="宋体" w:hint="default"/>
                <w:sz w:val="13"/>
                <w:szCs w:val="13"/>
              </w:rPr>
              <w:t>以摊余成本计量的金融资产终止确认收益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3"/>
                <w:szCs w:val="13"/>
              </w:rPr>
            </w:pPr>
            <w:r>
              <w:rPr>
                <w:rFonts w:ascii="Times New Roman"/>
                <w:sz w:val="13"/>
              </w:rPr>
              <w:t>-16,485,645.87</w:t>
            </w: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626" w:right="0"/>
              <w:jc w:val="left"/>
              <w:rPr>
                <w:rFonts w:ascii="宋体" w:hAnsi="宋体" w:cs="宋体" w:eastAsia="宋体" w:hint="default"/>
                <w:sz w:val="13"/>
                <w:szCs w:val="13"/>
              </w:rPr>
            </w:pPr>
            <w:r>
              <w:rPr>
                <w:rFonts w:ascii="宋体" w:hAnsi="宋体" w:cs="宋体" w:eastAsia="宋体" w:hint="default"/>
                <w:sz w:val="13"/>
                <w:szCs w:val="13"/>
              </w:rPr>
              <w:t>汇兑收益（损失以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626" w:right="0"/>
              <w:jc w:val="left"/>
              <w:rPr>
                <w:rFonts w:ascii="宋体" w:hAnsi="宋体" w:cs="宋体" w:eastAsia="宋体" w:hint="default"/>
                <w:sz w:val="13"/>
                <w:szCs w:val="13"/>
              </w:rPr>
            </w:pPr>
            <w:r>
              <w:rPr>
                <w:rFonts w:ascii="宋体" w:hAnsi="宋体" w:cs="宋体" w:eastAsia="宋体" w:hint="default"/>
                <w:sz w:val="13"/>
                <w:szCs w:val="13"/>
              </w:rPr>
              <w:t>净敞口套期收益（损失以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626" w:right="0"/>
              <w:jc w:val="left"/>
              <w:rPr>
                <w:rFonts w:ascii="宋体" w:hAnsi="宋体" w:cs="宋体" w:eastAsia="宋体" w:hint="default"/>
                <w:sz w:val="13"/>
                <w:szCs w:val="13"/>
              </w:rPr>
            </w:pPr>
            <w:r>
              <w:rPr>
                <w:rFonts w:ascii="宋体" w:hAnsi="宋体" w:cs="宋体" w:eastAsia="宋体" w:hint="default"/>
                <w:sz w:val="13"/>
                <w:szCs w:val="13"/>
              </w:rPr>
              <w:t>公允价值变动收益（损失以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（五十四）</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279,371,153.85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148,661,957.96</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626" w:right="0"/>
              <w:jc w:val="left"/>
              <w:rPr>
                <w:rFonts w:ascii="宋体" w:hAnsi="宋体" w:cs="宋体" w:eastAsia="宋体" w:hint="default"/>
                <w:sz w:val="13"/>
                <w:szCs w:val="13"/>
              </w:rPr>
            </w:pPr>
            <w:r>
              <w:rPr>
                <w:rFonts w:ascii="宋体" w:hAnsi="宋体" w:cs="宋体" w:eastAsia="宋体" w:hint="default"/>
                <w:sz w:val="13"/>
                <w:szCs w:val="13"/>
              </w:rPr>
              <w:t>信用减值损失（损失以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right="3"/>
              <w:jc w:val="center"/>
              <w:rPr>
                <w:rFonts w:ascii="宋体" w:hAnsi="宋体" w:cs="宋体" w:eastAsia="宋体" w:hint="default"/>
                <w:sz w:val="13"/>
                <w:szCs w:val="13"/>
              </w:rPr>
            </w:pPr>
            <w:r>
              <w:rPr>
                <w:rFonts w:ascii="宋体" w:hAnsi="宋体" w:cs="宋体" w:eastAsia="宋体" w:hint="default"/>
                <w:sz w:val="13"/>
                <w:szCs w:val="13"/>
              </w:rPr>
              <w:t>（五十五）</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-30,818,930.87</w:t>
            </w: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626" w:right="0"/>
              <w:jc w:val="left"/>
              <w:rPr>
                <w:rFonts w:ascii="宋体" w:hAnsi="宋体" w:cs="宋体" w:eastAsia="宋体" w:hint="default"/>
                <w:sz w:val="13"/>
                <w:szCs w:val="13"/>
              </w:rPr>
            </w:pPr>
            <w:r>
              <w:rPr>
                <w:rFonts w:ascii="宋体" w:hAnsi="宋体" w:cs="宋体" w:eastAsia="宋体" w:hint="default"/>
                <w:sz w:val="13"/>
                <w:szCs w:val="13"/>
              </w:rPr>
              <w:t>资产减值损失（损失以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（五十六）</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-76,174,647.54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-95,483,170.08</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626" w:right="0"/>
              <w:jc w:val="left"/>
              <w:rPr>
                <w:rFonts w:ascii="宋体" w:hAnsi="宋体" w:cs="宋体" w:eastAsia="宋体" w:hint="default"/>
                <w:sz w:val="13"/>
                <w:szCs w:val="13"/>
              </w:rPr>
            </w:pPr>
            <w:r>
              <w:rPr>
                <w:rFonts w:ascii="宋体" w:hAnsi="宋体" w:cs="宋体" w:eastAsia="宋体" w:hint="default"/>
                <w:sz w:val="13"/>
                <w:szCs w:val="13"/>
              </w:rPr>
              <w:t>资产处置收益（损失以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（五十七）</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159,137.94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-2,295,823.91</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3"/>
                <w:szCs w:val="13"/>
              </w:rPr>
            </w:pPr>
            <w:r>
              <w:rPr>
                <w:rFonts w:ascii="宋体" w:hAnsi="宋体" w:cs="宋体" w:eastAsia="宋体" w:hint="default"/>
                <w:sz w:val="13"/>
                <w:szCs w:val="13"/>
              </w:rPr>
              <w:t>三、营业利润（亏损以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1,347,059,665.97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1,507,398,616.69</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加：营业外收入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（五十八）</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14,621,814.51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3,853,351.86</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减：营业外支出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（五十九）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pacing w:val="-1"/>
                <w:sz w:val="13"/>
              </w:rPr>
              <w:t>11,400,182.44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10,988,926.81</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3"/>
                <w:szCs w:val="13"/>
              </w:rPr>
            </w:pPr>
            <w:r>
              <w:rPr>
                <w:rFonts w:ascii="宋体" w:hAnsi="宋体" w:cs="宋体" w:eastAsia="宋体" w:hint="default"/>
                <w:sz w:val="13"/>
                <w:szCs w:val="13"/>
              </w:rPr>
              <w:t>四、利润总额（亏损总额以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1,350,281,298.04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1,500,263,041.74</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left="364" w:right="0"/>
              <w:jc w:val="left"/>
              <w:rPr>
                <w:rFonts w:ascii="宋体" w:hAnsi="宋体" w:cs="宋体" w:eastAsia="宋体" w:hint="default"/>
                <w:sz w:val="13"/>
                <w:szCs w:val="13"/>
              </w:rPr>
            </w:pPr>
            <w:r>
              <w:rPr>
                <w:rFonts w:ascii="宋体" w:hAnsi="宋体" w:cs="宋体" w:eastAsia="宋体" w:hint="default"/>
                <w:sz w:val="13"/>
                <w:szCs w:val="13"/>
              </w:rPr>
              <w:t>减：所得税费用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right="3"/>
              <w:jc w:val="center"/>
              <w:rPr>
                <w:rFonts w:ascii="宋体" w:hAnsi="宋体" w:cs="宋体" w:eastAsia="宋体" w:hint="default"/>
                <w:sz w:val="13"/>
                <w:szCs w:val="13"/>
              </w:rPr>
            </w:pPr>
            <w:r>
              <w:rPr>
                <w:rFonts w:ascii="宋体" w:hAnsi="宋体" w:cs="宋体" w:eastAsia="宋体" w:hint="default"/>
                <w:sz w:val="13"/>
                <w:szCs w:val="13"/>
              </w:rPr>
              <w:t>（六十）</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184,417,419.63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295,346,345.59</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3"/>
                <w:szCs w:val="13"/>
              </w:rPr>
            </w:pPr>
            <w:r>
              <w:rPr>
                <w:rFonts w:ascii="宋体" w:hAnsi="宋体" w:cs="宋体" w:eastAsia="宋体" w:hint="default"/>
                <w:sz w:val="13"/>
                <w:szCs w:val="13"/>
              </w:rPr>
              <w:t>五、净利润（净亏损以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1,165,863,878.41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1,204,916,696.15</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（一）按经营持续性分类</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．持续经营净利润（净亏损以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1,165,863,878.41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1,204,916,696.15</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．终止经营净利润（净亏损以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left="364" w:right="0"/>
              <w:jc w:val="left"/>
              <w:rPr>
                <w:rFonts w:ascii="宋体" w:hAnsi="宋体" w:cs="宋体" w:eastAsia="宋体" w:hint="default"/>
                <w:sz w:val="13"/>
                <w:szCs w:val="13"/>
              </w:rPr>
            </w:pPr>
            <w:r>
              <w:rPr>
                <w:rFonts w:ascii="宋体" w:hAnsi="宋体" w:cs="宋体" w:eastAsia="宋体" w:hint="default"/>
                <w:sz w:val="13"/>
                <w:szCs w:val="13"/>
              </w:rPr>
              <w:t>（二）按所有权归属分类</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right="278"/>
              <w:jc w:val="right"/>
              <w:rPr>
                <w:rFonts w:ascii="宋体" w:hAnsi="宋体" w:cs="宋体" w:eastAsia="宋体" w:hint="default"/>
                <w:sz w:val="13"/>
                <w:szCs w:val="13"/>
              </w:rPr>
            </w:pPr>
            <w:r>
              <w:rPr>
                <w:rFonts w:ascii="Times New Roman" w:hAnsi="Times New Roman" w:cs="Times New Roman" w:eastAsia="Times New Roman" w:hint="default"/>
                <w:w w:val="95"/>
                <w:sz w:val="13"/>
                <w:szCs w:val="13"/>
              </w:rPr>
              <w:t>1</w:t>
            </w:r>
            <w:r>
              <w:rPr>
                <w:rFonts w:ascii="宋体" w:hAnsi="宋体" w:cs="宋体" w:eastAsia="宋体" w:hint="default"/>
                <w:w w:val="95"/>
                <w:sz w:val="13"/>
                <w:szCs w:val="13"/>
              </w:rPr>
              <w:t>．归属于母公司股东的净利润（净亏损以</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号填列）</w:t>
            </w:r>
            <w:r>
              <w:rPr>
                <w:rFonts w:ascii="宋体" w:hAnsi="宋体" w:cs="宋体" w:eastAsia="宋体" w:hint="default"/>
                <w:sz w:val="13"/>
                <w:szCs w:val="13"/>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pacing w:val="-1"/>
                <w:sz w:val="13"/>
              </w:rPr>
              <w:t>1,114,993,660.75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1,120,739,247.50</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．少数股东损益（净亏损以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50,870,217.66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84,177,448.65</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六、其他综合收益的税后净额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
              <w:jc w:val="center"/>
              <w:rPr>
                <w:rFonts w:ascii="宋体" w:hAnsi="宋体" w:cs="宋体" w:eastAsia="宋体" w:hint="default"/>
                <w:sz w:val="13"/>
                <w:szCs w:val="13"/>
              </w:rPr>
            </w:pPr>
            <w:r>
              <w:rPr>
                <w:rFonts w:ascii="宋体" w:hAnsi="宋体" w:cs="宋体" w:eastAsia="宋体" w:hint="default"/>
                <w:sz w:val="13"/>
                <w:szCs w:val="13"/>
              </w:rPr>
              <w:t>（四十二）</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3"/>
                <w:szCs w:val="13"/>
              </w:rPr>
            </w:pPr>
            <w:r>
              <w:rPr>
                <w:rFonts w:ascii="Times New Roman"/>
                <w:sz w:val="13"/>
              </w:rPr>
              <w:t>394,191,425.30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-1,125,607,167.87</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归属于母公司所有者的其他综合收益的税后净额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375,061,437.80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-1,125,949,284.48</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（一）不能重分类进损益的其他综合收益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8,850,541.00</w:t>
            </w: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．重新计量设定受益计划变动额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．权益法下不能转损益的其他综合收益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．其他权益工具投资公允价值变动</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8,850,541.00</w:t>
            </w: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．企业自身信用风险公允价值变动</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（二）将重分类进损益的其他综合收益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3"/>
                <w:szCs w:val="13"/>
              </w:rPr>
            </w:pPr>
            <w:r>
              <w:rPr>
                <w:rFonts w:ascii="Times New Roman"/>
                <w:sz w:val="13"/>
              </w:rPr>
              <w:t>366,210,896.80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-1,125,949,284.48</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．权益法下可转损益的其他综合收益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．其他债权投资公允价值变动</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-253,487.64</w:t>
            </w: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．可供出售金融资产公允价值变动损益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-1,133,449,602.53</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．金融资产重分类计入其他综合收益的金额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．持有至到期投资重分类为可供出售金融资产损益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．其他债权投资信用减值准备</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176"/>
              <w:jc w:val="right"/>
              <w:rPr>
                <w:rFonts w:ascii="宋体" w:hAnsi="宋体" w:cs="宋体" w:eastAsia="宋体" w:hint="default"/>
                <w:sz w:val="13"/>
                <w:szCs w:val="13"/>
              </w:rPr>
            </w:pPr>
            <w:r>
              <w:rPr>
                <w:rFonts w:ascii="Times New Roman" w:hAnsi="Times New Roman" w:cs="Times New Roman" w:eastAsia="Times New Roman" w:hint="default"/>
                <w:w w:val="95"/>
                <w:sz w:val="13"/>
                <w:szCs w:val="13"/>
              </w:rPr>
              <w:t>7</w:t>
            </w:r>
            <w:r>
              <w:rPr>
                <w:rFonts w:ascii="宋体" w:hAnsi="宋体" w:cs="宋体" w:eastAsia="宋体" w:hint="default"/>
                <w:w w:val="95"/>
                <w:sz w:val="13"/>
                <w:szCs w:val="13"/>
              </w:rPr>
              <w:t>．现金流量套期储备（现金流量套期损益的有效部分）</w:t>
            </w:r>
            <w:r>
              <w:rPr>
                <w:rFonts w:ascii="宋体" w:hAnsi="宋体" w:cs="宋体" w:eastAsia="宋体" w:hint="default"/>
                <w:sz w:val="13"/>
                <w:szCs w:val="13"/>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8</w:t>
            </w:r>
            <w:r>
              <w:rPr>
                <w:rFonts w:ascii="宋体" w:hAnsi="宋体" w:cs="宋体" w:eastAsia="宋体" w:hint="default"/>
                <w:sz w:val="13"/>
                <w:szCs w:val="13"/>
              </w:rPr>
              <w:t>．外币财务报表折算差额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-600,646.33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2,793,394.88</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9</w:t>
            </w:r>
            <w:r>
              <w:rPr>
                <w:rFonts w:ascii="宋体" w:hAnsi="宋体" w:cs="宋体" w:eastAsia="宋体" w:hint="default"/>
                <w:sz w:val="13"/>
                <w:szCs w:val="13"/>
              </w:rPr>
              <w:t>．其他</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367,065,030.77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4,706,923.17</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归属于少数股东的其他综合收益的税后净额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19,129,987.50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3"/>
                <w:szCs w:val="13"/>
              </w:rPr>
            </w:pPr>
            <w:r>
              <w:rPr>
                <w:rFonts w:ascii="Times New Roman"/>
                <w:spacing w:val="-1"/>
                <w:sz w:val="13"/>
              </w:rPr>
              <w:t>342,116.61</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七、综合收益总额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1,560,055,303.71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79,309,528.28</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归属于母公司所有者的综合收益总额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1,490,055,098.55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3"/>
                <w:szCs w:val="13"/>
              </w:rPr>
            </w:pPr>
            <w:r>
              <w:rPr>
                <w:rFonts w:ascii="Times New Roman"/>
                <w:sz w:val="13"/>
              </w:rPr>
              <w:t>-5,210,036.98</w:t>
            </w: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归属于少数股东的综合收益总额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70,000,205.16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3"/>
                <w:szCs w:val="13"/>
              </w:rPr>
            </w:pPr>
            <w:r>
              <w:rPr>
                <w:rFonts w:ascii="Times New Roman"/>
                <w:sz w:val="13"/>
              </w:rPr>
              <w:t>84,519,565.26</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left="103" w:right="0"/>
              <w:jc w:val="left"/>
              <w:rPr>
                <w:rFonts w:ascii="宋体" w:hAnsi="宋体" w:cs="宋体" w:eastAsia="宋体" w:hint="default"/>
                <w:sz w:val="13"/>
                <w:szCs w:val="13"/>
              </w:rPr>
            </w:pPr>
            <w:r>
              <w:rPr>
                <w:rFonts w:ascii="宋体" w:hAnsi="宋体" w:cs="宋体" w:eastAsia="宋体" w:hint="default"/>
                <w:sz w:val="13"/>
                <w:szCs w:val="13"/>
              </w:rPr>
              <w:t>八、每股收益：</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50" w:lineRule="exact"/>
              <w:ind w:right="3"/>
              <w:jc w:val="center"/>
              <w:rPr>
                <w:rFonts w:ascii="宋体" w:hAnsi="宋体" w:cs="宋体" w:eastAsia="宋体" w:hint="default"/>
                <w:sz w:val="13"/>
                <w:szCs w:val="13"/>
              </w:rPr>
            </w:pPr>
            <w:r>
              <w:rPr>
                <w:rFonts w:ascii="宋体" w:hAnsi="宋体" w:cs="宋体" w:eastAsia="宋体" w:hint="default"/>
                <w:sz w:val="13"/>
                <w:szCs w:val="13"/>
              </w:rPr>
              <w:t>（六十一）</w:t>
            </w: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364" w:right="0"/>
              <w:jc w:val="left"/>
              <w:rPr>
                <w:rFonts w:ascii="宋体" w:hAnsi="宋体" w:cs="宋体" w:eastAsia="宋体" w:hint="default"/>
                <w:sz w:val="13"/>
                <w:szCs w:val="13"/>
              </w:rPr>
            </w:pPr>
            <w:r>
              <w:rPr>
                <w:rFonts w:ascii="宋体" w:hAnsi="宋体" w:cs="宋体" w:eastAsia="宋体" w:hint="default"/>
                <w:sz w:val="13"/>
                <w:szCs w:val="13"/>
              </w:rPr>
              <w:t>（一）基本每股收益（元</w:t>
            </w:r>
            <w:r>
              <w:rPr>
                <w:rFonts w:ascii="Times New Roman" w:hAnsi="Times New Roman" w:cs="Times New Roman" w:eastAsia="Times New Roman" w:hint="default"/>
                <w:sz w:val="13"/>
                <w:szCs w:val="13"/>
              </w:rPr>
              <w:t>/</w:t>
            </w:r>
            <w:r>
              <w:rPr>
                <w:rFonts w:ascii="宋体" w:hAnsi="宋体" w:cs="宋体" w:eastAsia="宋体" w:hint="default"/>
                <w:sz w:val="13"/>
                <w:szCs w:val="13"/>
              </w:rPr>
              <w:t>股）</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3"/>
                <w:szCs w:val="13"/>
              </w:rPr>
            </w:pPr>
            <w:r>
              <w:rPr>
                <w:rFonts w:ascii="Times New Roman"/>
                <w:sz w:val="13"/>
              </w:rPr>
              <w:t>0.380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3"/>
                <w:szCs w:val="13"/>
              </w:rPr>
            </w:pPr>
            <w:r>
              <w:rPr>
                <w:rFonts w:ascii="Times New Roman"/>
                <w:sz w:val="13"/>
              </w:rPr>
              <w:t>0.381</w:t>
            </w:r>
          </w:p>
        </w:tc>
      </w:tr>
      <w:tr>
        <w:trPr>
          <w:trHeight w:val="1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364" w:right="0"/>
              <w:jc w:val="left"/>
              <w:rPr>
                <w:rFonts w:ascii="宋体" w:hAnsi="宋体" w:cs="宋体" w:eastAsia="宋体" w:hint="default"/>
                <w:sz w:val="13"/>
                <w:szCs w:val="13"/>
              </w:rPr>
            </w:pPr>
            <w:r>
              <w:rPr>
                <w:rFonts w:ascii="宋体" w:hAnsi="宋体" w:cs="宋体" w:eastAsia="宋体" w:hint="default"/>
                <w:sz w:val="13"/>
                <w:szCs w:val="13"/>
              </w:rPr>
              <w:t>（二）稀释每股收益（元</w:t>
            </w:r>
            <w:r>
              <w:rPr>
                <w:rFonts w:ascii="Times New Roman" w:hAnsi="Times New Roman" w:cs="Times New Roman" w:eastAsia="Times New Roman" w:hint="default"/>
                <w:sz w:val="13"/>
                <w:szCs w:val="13"/>
              </w:rPr>
              <w:t>/</w:t>
            </w:r>
            <w:r>
              <w:rPr>
                <w:rFonts w:ascii="宋体" w:hAnsi="宋体" w:cs="宋体" w:eastAsia="宋体" w:hint="default"/>
                <w:sz w:val="13"/>
                <w:szCs w:val="13"/>
              </w:rPr>
              <w:t>股）</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0.380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3"/>
                <w:szCs w:val="13"/>
              </w:rPr>
            </w:pPr>
            <w:r>
              <w:rPr>
                <w:rFonts w:ascii="Times New Roman"/>
                <w:sz w:val="13"/>
              </w:rPr>
              <w:t>0.381</w:t>
            </w:r>
          </w:p>
        </w:tc>
      </w:tr>
    </w:tbl>
    <w:p>
      <w:pPr>
        <w:spacing w:line="240" w:lineRule="auto" w:before="8"/>
        <w:rPr>
          <w:rFonts w:ascii="宋体" w:hAnsi="宋体" w:cs="宋体" w:eastAsia="宋体" w:hint="default"/>
          <w:b/>
          <w:bCs/>
          <w:sz w:val="4"/>
          <w:szCs w:val="4"/>
        </w:rPr>
      </w:pPr>
    </w:p>
    <w:p>
      <w:pPr>
        <w:spacing w:before="54"/>
        <w:ind w:left="218" w:right="0" w:firstLine="0"/>
        <w:jc w:val="left"/>
        <w:rPr>
          <w:rFonts w:ascii="宋体" w:hAnsi="宋体" w:cs="宋体" w:eastAsia="宋体" w:hint="default"/>
          <w:sz w:val="15"/>
          <w:szCs w:val="15"/>
        </w:rPr>
      </w:pPr>
      <w:r>
        <w:rPr>
          <w:rFonts w:ascii="宋体" w:hAnsi="宋体" w:cs="宋体" w:eastAsia="宋体" w:hint="default"/>
          <w:sz w:val="15"/>
          <w:szCs w:val="15"/>
        </w:rPr>
        <w:t>本期发生同一控制下企业合并的，被合并方在合并前实现的净利润为：</w:t>
      </w:r>
      <w:r>
        <w:rPr>
          <w:rFonts w:ascii="Times New Roman" w:hAnsi="Times New Roman" w:cs="Times New Roman" w:eastAsia="Times New Roman" w:hint="default"/>
          <w:sz w:val="15"/>
          <w:szCs w:val="15"/>
        </w:rPr>
        <w:t>-10,248,573.27      </w:t>
      </w:r>
      <w:r>
        <w:rPr>
          <w:rFonts w:ascii="Times New Roman" w:hAnsi="Times New Roman" w:cs="Times New Roman" w:eastAsia="Times New Roman" w:hint="default"/>
          <w:spacing w:val="15"/>
          <w:sz w:val="15"/>
          <w:szCs w:val="15"/>
        </w:rPr>
        <w:t> </w:t>
      </w:r>
      <w:r>
        <w:rPr>
          <w:rFonts w:ascii="宋体" w:hAnsi="宋体" w:cs="宋体" w:eastAsia="宋体" w:hint="default"/>
          <w:spacing w:val="2"/>
          <w:sz w:val="15"/>
          <w:szCs w:val="15"/>
        </w:rPr>
        <w:t>元，上期被合并方实现的净利润为：</w:t>
      </w:r>
    </w:p>
    <w:p>
      <w:pPr>
        <w:spacing w:before="104"/>
        <w:ind w:left="218" w:right="0" w:firstLine="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5,862,843.29</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0"/>
          <w:sz w:val="15"/>
          <w:szCs w:val="15"/>
        </w:rPr>
        <w:t> </w:t>
      </w:r>
      <w:r>
        <w:rPr>
          <w:rFonts w:ascii="宋体" w:hAnsi="宋体" w:cs="宋体" w:eastAsia="宋体" w:hint="default"/>
          <w:spacing w:val="-2"/>
          <w:sz w:val="15"/>
          <w:szCs w:val="15"/>
        </w:rPr>
        <w:t>元。后附财务报表附注为财务报表的组成部分。</w:t>
      </w:r>
    </w:p>
    <w:p>
      <w:pPr>
        <w:tabs>
          <w:tab w:pos="2457" w:val="left" w:leader="none"/>
          <w:tab w:pos="3974" w:val="left" w:leader="none"/>
          <w:tab w:pos="6571" w:val="left" w:leader="none"/>
        </w:tabs>
        <w:spacing w:before="79"/>
        <w:ind w:left="218" w:right="0" w:firstLine="0"/>
        <w:jc w:val="left"/>
        <w:rPr>
          <w:rFonts w:ascii="宋体" w:hAnsi="宋体" w:cs="宋体" w:eastAsia="宋体" w:hint="default"/>
          <w:sz w:val="18"/>
          <w:szCs w:val="18"/>
        </w:rPr>
      </w:pPr>
      <w:r>
        <w:rPr>
          <w:rFonts w:ascii="宋体" w:hAnsi="宋体" w:cs="宋体" w:eastAsia="宋体" w:hint="default"/>
          <w:spacing w:val="-2"/>
          <w:sz w:val="18"/>
          <w:szCs w:val="18"/>
        </w:rPr>
        <w:t>企业法定代表人：宋黎定</w:t>
        <w:tab/>
      </w:r>
      <w:r>
        <w:rPr>
          <w:rFonts w:ascii="宋体" w:hAnsi="宋体" w:cs="宋体" w:eastAsia="宋体" w:hint="default"/>
          <w:spacing w:val="-3"/>
          <w:sz w:val="18"/>
          <w:szCs w:val="18"/>
        </w:rPr>
        <w:t>公司总裁：徐刚</w:t>
        <w:tab/>
      </w:r>
      <w:r>
        <w:rPr>
          <w:rFonts w:ascii="宋体" w:hAnsi="宋体" w:cs="宋体" w:eastAsia="宋体" w:hint="default"/>
          <w:spacing w:val="-2"/>
          <w:sz w:val="18"/>
          <w:szCs w:val="18"/>
        </w:rPr>
        <w:t>主管会计工作负责人：许海东</w:t>
        <w:tab/>
        <w:t>会计机构负责人：许少霞</w:t>
      </w:r>
    </w:p>
    <w:p>
      <w:pPr>
        <w:spacing w:after="0"/>
        <w:jc w:val="left"/>
        <w:rPr>
          <w:rFonts w:ascii="宋体" w:hAnsi="宋体" w:cs="宋体" w:eastAsia="宋体" w:hint="default"/>
          <w:sz w:val="18"/>
          <w:szCs w:val="18"/>
        </w:rPr>
        <w:sectPr>
          <w:pgSz w:w="11910" w:h="16840"/>
          <w:pgMar w:header="973" w:footer="781" w:top="1160" w:bottom="980" w:left="1580" w:right="0"/>
        </w:sectPr>
      </w:pPr>
    </w:p>
    <w:p>
      <w:pPr>
        <w:spacing w:line="240" w:lineRule="auto" w:before="9"/>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213"/>
        <w:gridCol w:w="996"/>
        <w:gridCol w:w="1658"/>
        <w:gridCol w:w="1661"/>
      </w:tblGrid>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附注十五</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2,097,266,616.26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2,634,839,349.87</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1,617,785,145.80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2,215,473,140.69</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26,920,658.02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24,313,505.37</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86,930,997.25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96,805,180.45</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123,907,670.62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164,071,429.03</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219,534,816.46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165,718,488.72</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2"/>
                <w:sz w:val="18"/>
              </w:rPr>
              <w:t>116,582,811.13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42,962,929.53</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5"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125,816,913.03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47,384,451.99</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6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9,838,267.12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5,116,671.99</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30,601,005.04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21,155,435.73</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2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（六）</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123,712,120.98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916,579,318.91</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7"/>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3,162,465.77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-2,408,230.35</w:t>
            </w:r>
          </w:p>
        </w:tc>
      </w:tr>
      <w:tr>
        <w:trPr>
          <w:trHeight w:val="478"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5"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认收益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25"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25"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235,355,750.88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83,389,699.62</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25"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54,613,713.25</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25"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-19,850,017.04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-31,267,140.53</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25"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-166,353.44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-1,196,698.07</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329,870,736.65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914,155,291.74</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8,990,108.95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3,126,959.93</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1,272,460.15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8,264,424.41</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337,588,385.45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909,017,827.26</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11,728,802.55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8"/>
                <w:szCs w:val="18"/>
              </w:rPr>
            </w:pPr>
            <w:r>
              <w:rPr>
                <w:rFonts w:ascii="Times New Roman"/>
                <w:spacing w:val="-1"/>
                <w:sz w:val="18"/>
              </w:rPr>
              <w:t>204,505,911.32</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325,859,582.90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704,511,915.94</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325,859,582.90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704,511,915.94</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363,828,470.87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-1,127,484,558.78</w:t>
            </w:r>
          </w:p>
        </w:tc>
      </w:tr>
      <w:tr>
        <w:trPr>
          <w:trHeight w:val="24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5"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4,609,975.00</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4,609,975.00</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359,218,495.87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-1,127,484,558.78</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-1,132,191,481.95</w:t>
            </w:r>
          </w:p>
        </w:tc>
      </w:tr>
      <w:tr>
        <w:trPr>
          <w:trHeight w:val="47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资产损益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．现金流量套期储备（现金流量套期损益</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的有效部分）</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359,218,495.87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4,706,923.17</w:t>
            </w: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689,688,053.77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-422,972,642.84</w:t>
            </w: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5" w:right="0"/>
              <w:jc w:val="left"/>
              <w:rPr>
                <w:rFonts w:ascii="宋体" w:hAnsi="宋体" w:cs="宋体" w:eastAsia="宋体" w:hint="default"/>
                <w:sz w:val="18"/>
                <w:szCs w:val="18"/>
              </w:rPr>
            </w:pPr>
            <w:r>
              <w:rPr>
                <w:rFonts w:ascii="宋体" w:hAnsi="宋体" w:cs="宋体" w:eastAsia="宋体" w:hint="default"/>
                <w:sz w:val="18"/>
                <w:szCs w:val="18"/>
              </w:rPr>
              <w:t>（一）基本每股收益（元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65" w:right="0"/>
              <w:jc w:val="left"/>
              <w:rPr>
                <w:rFonts w:ascii="宋体" w:hAnsi="宋体" w:cs="宋体" w:eastAsia="宋体" w:hint="default"/>
                <w:sz w:val="18"/>
                <w:szCs w:val="18"/>
              </w:rPr>
            </w:pPr>
            <w:r>
              <w:rPr>
                <w:rFonts w:ascii="宋体" w:hAnsi="宋体" w:cs="宋体" w:eastAsia="宋体" w:hint="default"/>
                <w:sz w:val="18"/>
                <w:szCs w:val="18"/>
              </w:rPr>
              <w:t>（二）稀释每股收益（元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bl>
    <w:p>
      <w:pPr>
        <w:spacing w:before="92"/>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2457" w:val="left" w:leader="none"/>
          <w:tab w:pos="3974" w:val="left" w:leader="none"/>
          <w:tab w:pos="6571" w:val="left" w:leader="none"/>
        </w:tabs>
        <w:spacing w:before="74"/>
        <w:ind w:left="218" w:right="0" w:firstLine="0"/>
        <w:jc w:val="left"/>
        <w:rPr>
          <w:rFonts w:ascii="宋体" w:hAnsi="宋体" w:cs="宋体" w:eastAsia="宋体" w:hint="default"/>
          <w:sz w:val="18"/>
          <w:szCs w:val="18"/>
        </w:rPr>
      </w:pPr>
      <w:r>
        <w:rPr>
          <w:rFonts w:ascii="宋体" w:hAnsi="宋体" w:cs="宋体" w:eastAsia="宋体" w:hint="default"/>
          <w:spacing w:val="-2"/>
          <w:sz w:val="18"/>
          <w:szCs w:val="18"/>
        </w:rPr>
        <w:t>企业法定代表人：宋黎定</w:t>
        <w:tab/>
      </w:r>
      <w:r>
        <w:rPr>
          <w:rFonts w:ascii="宋体" w:hAnsi="宋体" w:cs="宋体" w:eastAsia="宋体" w:hint="default"/>
          <w:spacing w:val="-3"/>
          <w:sz w:val="18"/>
          <w:szCs w:val="18"/>
        </w:rPr>
        <w:t>公司总裁：徐刚</w:t>
        <w:tab/>
      </w:r>
      <w:r>
        <w:rPr>
          <w:rFonts w:ascii="宋体" w:hAnsi="宋体" w:cs="宋体" w:eastAsia="宋体" w:hint="default"/>
          <w:spacing w:val="-2"/>
          <w:sz w:val="18"/>
          <w:szCs w:val="18"/>
        </w:rPr>
        <w:t>主管会计工作负责人：许海东</w:t>
        <w:tab/>
        <w:t>会计机构负责人：许少霞</w:t>
      </w:r>
    </w:p>
    <w:p>
      <w:pPr>
        <w:spacing w:after="0"/>
        <w:jc w:val="left"/>
        <w:rPr>
          <w:rFonts w:ascii="宋体" w:hAnsi="宋体" w:cs="宋体" w:eastAsia="宋体" w:hint="default"/>
          <w:sz w:val="18"/>
          <w:szCs w:val="18"/>
        </w:rPr>
        <w:sectPr>
          <w:headerReference w:type="default" r:id="rId23"/>
          <w:pgSz w:w="11910" w:h="16840"/>
          <w:pgMar w:header="993" w:footer="781" w:top="2060" w:bottom="980" w:left="1580" w:right="0"/>
        </w:sectPr>
      </w:pPr>
    </w:p>
    <w:p>
      <w:pPr>
        <w:spacing w:line="240" w:lineRule="auto" w:before="2"/>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4076"/>
        <w:gridCol w:w="989"/>
        <w:gridCol w:w="1704"/>
        <w:gridCol w:w="1760"/>
      </w:tblGrid>
      <w:tr>
        <w:trPr>
          <w:trHeight w:val="27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47"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73" w:right="0"/>
              <w:jc w:val="left"/>
              <w:rPr>
                <w:rFonts w:ascii="宋体" w:hAnsi="宋体" w:cs="宋体" w:eastAsia="宋体" w:hint="default"/>
                <w:sz w:val="15"/>
                <w:szCs w:val="15"/>
              </w:rPr>
            </w:pPr>
            <w:r>
              <w:rPr>
                <w:rFonts w:ascii="宋体" w:hAnsi="宋体" w:cs="宋体" w:eastAsia="宋体" w:hint="default"/>
                <w:sz w:val="15"/>
                <w:szCs w:val="15"/>
              </w:rPr>
              <w:t>上期金额</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一、经营活动产生的现金流量</w:t>
            </w:r>
            <w:r>
              <w:rPr>
                <w:rFonts w:ascii="宋体" w:hAnsi="宋体" w:cs="宋体" w:eastAsia="宋体" w:hint="default"/>
                <w:sz w:val="15"/>
                <w:szCs w:val="15"/>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2"/>
                <w:sz w:val="15"/>
              </w:rPr>
              <w:t>10,165,511,334.41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2"/>
                <w:sz w:val="15"/>
              </w:rPr>
              <w:t>9,311,577,456.61</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收到再保业务现金净额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代理买卖证券收到的现金净额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132,074,672.82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126,723,057.81</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0"/>
              <w:jc w:val="center"/>
              <w:rPr>
                <w:rFonts w:ascii="宋体" w:hAnsi="宋体" w:cs="宋体" w:eastAsia="宋体" w:hint="default"/>
                <w:sz w:val="15"/>
                <w:szCs w:val="15"/>
              </w:rPr>
            </w:pPr>
            <w:r>
              <w:rPr>
                <w:rFonts w:ascii="宋体" w:hAnsi="宋体" w:cs="宋体" w:eastAsia="宋体" w:hint="default"/>
                <w:sz w:val="15"/>
                <w:szCs w:val="15"/>
              </w:rPr>
              <w:t>（六十二）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1"/>
                <w:sz w:val="15"/>
              </w:rPr>
              <w:t>861,814,330.93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1"/>
                <w:sz w:val="15"/>
              </w:rPr>
              <w:t>438,784,719.95</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2"/>
                <w:sz w:val="15"/>
              </w:rPr>
              <w:t>11,159,400,338.16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9,877,085,234.37</w:t>
            </w:r>
          </w:p>
        </w:tc>
      </w:tr>
      <w:tr>
        <w:trPr>
          <w:trHeight w:val="212"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405"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1"/>
                <w:sz w:val="15"/>
              </w:rPr>
              <w:t>8,227,855,524.79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1"/>
                <w:sz w:val="15"/>
              </w:rPr>
              <w:t>7,078,028,976.47</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拆出资金净增加额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1,777,898,982.42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1,663,558,739.26</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1"/>
                <w:sz w:val="15"/>
              </w:rPr>
              <w:t>328,953,477.82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1"/>
                <w:sz w:val="15"/>
              </w:rPr>
              <w:t>264,071,830.33</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（六十二）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715,538,538.01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799,003,441.46</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2"/>
                <w:sz w:val="15"/>
              </w:rPr>
              <w:t>11,050,246,523.04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1"/>
                <w:sz w:val="15"/>
              </w:rPr>
              <w:t>9,804,662,987.52</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109,153,815.12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72,422,246.85</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495,000,000.00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1,800,461,549.37</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2"/>
                <w:sz w:val="15"/>
              </w:rPr>
              <w:t>11,048,878.11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5"/>
                <w:szCs w:val="15"/>
              </w:rPr>
            </w:pPr>
            <w:r>
              <w:rPr>
                <w:rFonts w:ascii="Times New Roman"/>
                <w:spacing w:val="-2"/>
                <w:sz w:val="15"/>
              </w:rPr>
              <w:t>21,012,811.04</w:t>
            </w:r>
          </w:p>
        </w:tc>
      </w:tr>
      <w:tr>
        <w:trPr>
          <w:trHeight w:val="410"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pacing w:val="-4"/>
                <w:sz w:val="15"/>
                <w:szCs w:val="15"/>
              </w:rPr>
              <w:t>处置固定资产、无形资产和其他长期资产收回的现金净</w:t>
            </w:r>
          </w:p>
          <w:p>
            <w:pPr>
              <w:pStyle w:val="TableParagraph"/>
              <w:spacing w:line="240" w:lineRule="auto" w:before="3"/>
              <w:ind w:left="103"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210,015,797.22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78,948,873.13</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（六十三）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2"/>
                <w:sz w:val="15"/>
              </w:rPr>
              <w:t>11,001,979.39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50,766,936.18</w:t>
            </w:r>
          </w:p>
        </w:tc>
      </w:tr>
      <w:tr>
        <w:trPr>
          <w:trHeight w:val="212"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727,066,654.72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1,951,190,169.72</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743,842,412.05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839,173,969.32</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955,590,000.00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1,538,961,787.86</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（六十二）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125,379,381.10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81,246,980.01</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2"/>
                <w:sz w:val="15"/>
              </w:rPr>
              <w:t>1,824,811,793.15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2,459,382,737.19</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-1,097,745,138.43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-508,192,567.47</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34,000,000.00</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24,000,000.00</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5,805,694,852.64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3,495,636,715.46</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（六十二）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50,000,000.00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46,980,000.00</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5,855,694,852.64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3,576,616,715.46</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3,692,867,660.44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2,417,723,410.51</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370,549,681.62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339,886,240.29</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13,141,450.12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3,433,696.19</w:t>
            </w:r>
          </w:p>
        </w:tc>
      </w:tr>
      <w:tr>
        <w:trPr>
          <w:trHeight w:val="212"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right="0"/>
              <w:jc w:val="center"/>
              <w:rPr>
                <w:rFonts w:ascii="宋体" w:hAnsi="宋体" w:cs="宋体" w:eastAsia="宋体" w:hint="default"/>
                <w:sz w:val="15"/>
                <w:szCs w:val="15"/>
              </w:rPr>
            </w:pPr>
            <w:r>
              <w:rPr>
                <w:rFonts w:ascii="宋体" w:hAnsi="宋体" w:cs="宋体" w:eastAsia="宋体" w:hint="default"/>
                <w:sz w:val="15"/>
                <w:szCs w:val="15"/>
              </w:rPr>
              <w:t>（六十二）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5"/>
                <w:szCs w:val="15"/>
              </w:rPr>
            </w:pPr>
            <w:r>
              <w:rPr>
                <w:rFonts w:ascii="Times New Roman"/>
                <w:spacing w:val="-1"/>
                <w:sz w:val="15"/>
              </w:rPr>
              <w:t>201,340,065.06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5"/>
                <w:szCs w:val="15"/>
              </w:rPr>
            </w:pPr>
            <w:r>
              <w:rPr>
                <w:rFonts w:ascii="Times New Roman"/>
                <w:spacing w:val="-1"/>
                <w:sz w:val="15"/>
              </w:rPr>
              <w:t>121,134,131.59</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4,264,757,407.12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2,878,743,782.39</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1,590,937,445.52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697,872,933.07</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-6,035,445.79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16,006,154.15</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596,310,676.42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278,108,766.60</w:t>
            </w:r>
          </w:p>
        </w:tc>
      </w:tr>
      <w:tr>
        <w:trPr>
          <w:trHeight w:val="209"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3,221,773,605.00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2,943,664,838.40</w:t>
            </w:r>
          </w:p>
        </w:tc>
      </w:tr>
      <w:tr>
        <w:trPr>
          <w:trHeight w:val="211"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3,818,084,281.42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3,221,773,605.00</w:t>
            </w:r>
          </w:p>
        </w:tc>
      </w:tr>
    </w:tbl>
    <w:p>
      <w:pPr>
        <w:spacing w:before="92"/>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2457" w:val="left" w:leader="none"/>
          <w:tab w:pos="3974" w:val="left" w:leader="none"/>
          <w:tab w:pos="6571" w:val="left" w:leader="none"/>
        </w:tabs>
        <w:spacing w:before="74"/>
        <w:ind w:left="218" w:right="0" w:firstLine="0"/>
        <w:jc w:val="left"/>
        <w:rPr>
          <w:rFonts w:ascii="宋体" w:hAnsi="宋体" w:cs="宋体" w:eastAsia="宋体" w:hint="default"/>
          <w:sz w:val="18"/>
          <w:szCs w:val="18"/>
        </w:rPr>
      </w:pPr>
      <w:r>
        <w:rPr>
          <w:rFonts w:ascii="宋体" w:hAnsi="宋体" w:cs="宋体" w:eastAsia="宋体" w:hint="default"/>
          <w:spacing w:val="-2"/>
          <w:sz w:val="18"/>
          <w:szCs w:val="18"/>
        </w:rPr>
        <w:t>企业法定代表人：宋黎定</w:t>
        <w:tab/>
      </w:r>
      <w:r>
        <w:rPr>
          <w:rFonts w:ascii="宋体" w:hAnsi="宋体" w:cs="宋体" w:eastAsia="宋体" w:hint="default"/>
          <w:spacing w:val="-3"/>
          <w:sz w:val="18"/>
          <w:szCs w:val="18"/>
        </w:rPr>
        <w:t>公司总裁：徐刚</w:t>
        <w:tab/>
      </w:r>
      <w:r>
        <w:rPr>
          <w:rFonts w:ascii="宋体" w:hAnsi="宋体" w:cs="宋体" w:eastAsia="宋体" w:hint="default"/>
          <w:spacing w:val="-2"/>
          <w:sz w:val="18"/>
          <w:szCs w:val="18"/>
        </w:rPr>
        <w:t>主管会计工作负责人：许海东</w:t>
        <w:tab/>
        <w:t>会计机构负责人：许少霞</w:t>
      </w:r>
    </w:p>
    <w:p>
      <w:pPr>
        <w:spacing w:after="0"/>
        <w:jc w:val="left"/>
        <w:rPr>
          <w:rFonts w:ascii="宋体" w:hAnsi="宋体" w:cs="宋体" w:eastAsia="宋体" w:hint="default"/>
          <w:sz w:val="18"/>
          <w:szCs w:val="18"/>
        </w:rPr>
        <w:sectPr>
          <w:headerReference w:type="default" r:id="rId24"/>
          <w:pgSz w:w="11910" w:h="16840"/>
          <w:pgMar w:header="993" w:footer="781" w:top="2060" w:bottom="980" w:left="1580" w:right="0"/>
        </w:sectPr>
      </w:pPr>
    </w:p>
    <w:p>
      <w:pPr>
        <w:spacing w:line="240" w:lineRule="auto" w:before="11"/>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210"/>
        <w:gridCol w:w="855"/>
        <w:gridCol w:w="1704"/>
        <w:gridCol w:w="1760"/>
      </w:tblGrid>
      <w:tr>
        <w:trPr>
          <w:trHeight w:val="31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1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2,372,804,198.62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3,109,293,702.55</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24,539,797.87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49,550,879.60</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256,768,393.75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758,716,154.40</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2,654,112,390.24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3,917,560,736.55</w:t>
            </w:r>
          </w:p>
        </w:tc>
      </w:tr>
      <w:tr>
        <w:trPr>
          <w:trHeight w:val="31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1,676,679,937.99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2,616,155,946.70</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426,564,891.56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389,926,180.29</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69,670,520.80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81,226,921.95</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360,375,840.19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468,613,547.35</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2,533,291,190.54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3,555,922,596.29</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120,821,199.70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361,638,140.26</w:t>
            </w:r>
          </w:p>
        </w:tc>
      </w:tr>
      <w:tr>
        <w:trPr>
          <w:trHeight w:val="31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31,776,871.17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1,105,842,790.75</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123,922,550.85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119,503,948.70</w:t>
            </w:r>
          </w:p>
        </w:tc>
      </w:tr>
      <w:tr>
        <w:trPr>
          <w:trHeight w:val="6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103" w:right="102" w:firstLine="36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 的现金净额</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163,923,229.82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762,359.19</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15"/>
              <w:jc w:val="right"/>
              <w:rPr>
                <w:rFonts w:ascii="宋体" w:hAnsi="宋体" w:cs="宋体" w:eastAsia="宋体" w:hint="default"/>
                <w:sz w:val="18"/>
                <w:szCs w:val="18"/>
              </w:rPr>
            </w:pPr>
            <w:r>
              <w:rPr>
                <w:rFonts w:ascii="宋体" w:hAnsi="宋体" w:cs="宋体" w:eastAsia="宋体" w:hint="default"/>
                <w:spacing w:val="-1"/>
                <w:sz w:val="18"/>
                <w:szCs w:val="18"/>
              </w:rPr>
              <w:t>处置子公司及其他营业单位收到的现金净额</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51,508,800.00</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900,345,536.10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154,000,000.00</w:t>
            </w:r>
          </w:p>
        </w:tc>
      </w:tr>
      <w:tr>
        <w:trPr>
          <w:trHeight w:val="31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1,219,968,187.94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1,431,617,898.64</w:t>
            </w:r>
          </w:p>
        </w:tc>
      </w:tr>
      <w:tr>
        <w:trPr>
          <w:trHeight w:val="6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103" w:right="102" w:firstLine="362"/>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 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227,339,060.50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407,148,392.36</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1,085,779,268.07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1,267,834,800.00</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15"/>
              <w:jc w:val="right"/>
              <w:rPr>
                <w:rFonts w:ascii="宋体" w:hAnsi="宋体" w:cs="宋体" w:eastAsia="宋体" w:hint="default"/>
                <w:sz w:val="18"/>
                <w:szCs w:val="18"/>
              </w:rPr>
            </w:pPr>
            <w:r>
              <w:rPr>
                <w:rFonts w:ascii="宋体" w:hAnsi="宋体" w:cs="宋体" w:eastAsia="宋体" w:hint="default"/>
                <w:spacing w:val="-1"/>
                <w:sz w:val="18"/>
                <w:szCs w:val="18"/>
              </w:rPr>
              <w:t>取得子公司及其他营业单位支付的现金净额</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2,221,379,381.10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871,246,980.01</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3,534,497,709.67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2,546,230,172.37</w:t>
            </w:r>
          </w:p>
        </w:tc>
      </w:tr>
      <w:tr>
        <w:trPr>
          <w:trHeight w:val="31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-2,314,529,521.73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-1,114,612,273.73</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4,557,519,611.76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2,838,342,324.81</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400,000,000.00</w:t>
            </w: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4,957,519,611.76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2,838,342,324.81</w:t>
            </w:r>
          </w:p>
        </w:tc>
      </w:tr>
      <w:tr>
        <w:trPr>
          <w:trHeight w:val="31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2,254,000,000.00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1,373,748,501.49</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334,853,631.55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278,260,754.29</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362,906,944.45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112,000,000.00</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2,951,760,576.00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1,764,009,255.78</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2,005,759,035.76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1,074,333,069.03</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-1,057,731.14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-1,184,088.83</w:t>
            </w:r>
          </w:p>
        </w:tc>
      </w:tr>
      <w:tr>
        <w:trPr>
          <w:trHeight w:val="31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-189,007,017.41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320,174,846.73</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892,561,514.25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572,386,667.52</w:t>
            </w:r>
          </w:p>
        </w:tc>
      </w:tr>
      <w:tr>
        <w:trPr>
          <w:trHeight w:val="310"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703,554,496.84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892,561,514.25</w:t>
            </w:r>
          </w:p>
        </w:tc>
      </w:tr>
    </w:tbl>
    <w:p>
      <w:pPr>
        <w:spacing w:before="92"/>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2457" w:val="left" w:leader="none"/>
          <w:tab w:pos="3974" w:val="left" w:leader="none"/>
          <w:tab w:pos="6571" w:val="left" w:leader="none"/>
        </w:tabs>
        <w:spacing w:before="83"/>
        <w:ind w:left="218" w:right="0" w:firstLine="0"/>
        <w:jc w:val="left"/>
        <w:rPr>
          <w:rFonts w:ascii="宋体" w:hAnsi="宋体" w:cs="宋体" w:eastAsia="宋体" w:hint="default"/>
          <w:sz w:val="18"/>
          <w:szCs w:val="18"/>
        </w:rPr>
      </w:pPr>
      <w:r>
        <w:rPr>
          <w:rFonts w:ascii="宋体" w:hAnsi="宋体" w:cs="宋体" w:eastAsia="宋体" w:hint="default"/>
          <w:spacing w:val="-2"/>
          <w:sz w:val="18"/>
          <w:szCs w:val="18"/>
        </w:rPr>
        <w:t>企业法定代表人：宋黎定</w:t>
        <w:tab/>
      </w:r>
      <w:r>
        <w:rPr>
          <w:rFonts w:ascii="宋体" w:hAnsi="宋体" w:cs="宋体" w:eastAsia="宋体" w:hint="default"/>
          <w:spacing w:val="-3"/>
          <w:sz w:val="18"/>
          <w:szCs w:val="18"/>
        </w:rPr>
        <w:t>公司总裁：徐刚</w:t>
        <w:tab/>
      </w:r>
      <w:r>
        <w:rPr>
          <w:rFonts w:ascii="宋体" w:hAnsi="宋体" w:cs="宋体" w:eastAsia="宋体" w:hint="default"/>
          <w:spacing w:val="-2"/>
          <w:sz w:val="18"/>
          <w:szCs w:val="18"/>
        </w:rPr>
        <w:t>主管会计工作负责人：许海东</w:t>
        <w:tab/>
        <w:t>会计机构负责人：许少霞</w:t>
      </w:r>
    </w:p>
    <w:p>
      <w:pPr>
        <w:spacing w:after="0"/>
        <w:jc w:val="left"/>
        <w:rPr>
          <w:rFonts w:ascii="宋体" w:hAnsi="宋体" w:cs="宋体" w:eastAsia="宋体" w:hint="default"/>
          <w:sz w:val="18"/>
          <w:szCs w:val="18"/>
        </w:rPr>
        <w:sectPr>
          <w:headerReference w:type="default" r:id="rId25"/>
          <w:pgSz w:w="11910" w:h="16840"/>
          <w:pgMar w:header="993" w:footer="781" w:top="1980" w:bottom="980" w:left="1580" w:right="0"/>
        </w:sectPr>
      </w:pPr>
    </w:p>
    <w:p>
      <w:pPr>
        <w:spacing w:before="38"/>
        <w:ind w:left="5943" w:right="5940" w:firstLine="0"/>
        <w:jc w:val="center"/>
        <w:rPr>
          <w:rFonts w:ascii="宋体" w:hAnsi="宋体" w:cs="宋体" w:eastAsia="宋体" w:hint="default"/>
          <w:sz w:val="18"/>
          <w:szCs w:val="18"/>
        </w:rPr>
      </w:pPr>
      <w:r>
        <w:rPr>
          <w:rFonts w:ascii="宋体" w:hAnsi="宋体" w:cs="宋体" w:eastAsia="宋体" w:hint="default"/>
          <w:b/>
          <w:bCs/>
          <w:sz w:val="18"/>
          <w:szCs w:val="18"/>
        </w:rPr>
        <w:t>合并所有者权益变动表</w:t>
      </w:r>
      <w:r>
        <w:rPr>
          <w:rFonts w:ascii="宋体" w:hAnsi="宋体" w:cs="宋体" w:eastAsia="宋体" w:hint="default"/>
          <w:sz w:val="18"/>
          <w:szCs w:val="18"/>
        </w:rPr>
      </w:r>
    </w:p>
    <w:p>
      <w:pPr>
        <w:spacing w:before="38"/>
        <w:ind w:left="5943" w:right="5939"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22"/>
        <w:ind w:left="5943" w:right="5939"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2177"/>
        <w:gridCol w:w="1154"/>
        <w:gridCol w:w="617"/>
        <w:gridCol w:w="612"/>
        <w:gridCol w:w="517"/>
        <w:gridCol w:w="1027"/>
        <w:gridCol w:w="943"/>
        <w:gridCol w:w="1066"/>
        <w:gridCol w:w="900"/>
        <w:gridCol w:w="1030"/>
        <w:gridCol w:w="614"/>
        <w:gridCol w:w="1126"/>
        <w:gridCol w:w="1126"/>
        <w:gridCol w:w="1073"/>
        <w:gridCol w:w="1147"/>
      </w:tblGrid>
      <w:tr>
        <w:trPr>
          <w:trHeight w:val="211" w:hRule="exact"/>
        </w:trPr>
        <w:tc>
          <w:tcPr>
            <w:tcW w:w="21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952"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
              <w:jc w:val="center"/>
              <w:rPr>
                <w:rFonts w:ascii="宋体" w:hAnsi="宋体" w:cs="宋体" w:eastAsia="宋体" w:hint="default"/>
                <w:sz w:val="13"/>
                <w:szCs w:val="13"/>
              </w:rPr>
            </w:pPr>
            <w:r>
              <w:rPr>
                <w:rFonts w:ascii="宋体" w:hAnsi="宋体" w:cs="宋体" w:eastAsia="宋体" w:hint="default"/>
                <w:sz w:val="13"/>
                <w:szCs w:val="13"/>
              </w:rPr>
              <w:t>本期金额</w:t>
            </w:r>
          </w:p>
        </w:tc>
      </w:tr>
      <w:tr>
        <w:trPr>
          <w:trHeight w:val="209" w:hRule="exact"/>
        </w:trPr>
        <w:tc>
          <w:tcPr>
            <w:tcW w:w="2177" w:type="dxa"/>
            <w:vMerge/>
            <w:tcBorders>
              <w:left w:val="single" w:sz="4" w:space="0" w:color="000000"/>
              <w:right w:val="single" w:sz="4" w:space="0" w:color="000000"/>
            </w:tcBorders>
          </w:tcPr>
          <w:p>
            <w:pPr/>
          </w:p>
        </w:tc>
        <w:tc>
          <w:tcPr>
            <w:tcW w:w="1073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10"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11" w:hRule="exact"/>
        </w:trPr>
        <w:tc>
          <w:tcPr>
            <w:tcW w:w="2177" w:type="dxa"/>
            <w:vMerge/>
            <w:tcBorders>
              <w:left w:val="single" w:sz="4" w:space="0" w:color="000000"/>
              <w:right w:val="single" w:sz="4" w:space="0" w:color="000000"/>
            </w:tcBorders>
          </w:tcPr>
          <w:p>
            <w:pP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7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75"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left="247"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94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left="136"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left="184"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left="24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614" w:type="dxa"/>
            <w:vMerge w:val="restart"/>
            <w:tcBorders>
              <w:top w:val="single" w:sz="4" w:space="0" w:color="000000"/>
              <w:left w:val="single" w:sz="4" w:space="0" w:color="000000"/>
              <w:right w:val="single" w:sz="4" w:space="0" w:color="000000"/>
            </w:tcBorders>
          </w:tcPr>
          <w:p>
            <w:pPr>
              <w:pStyle w:val="TableParagraph"/>
              <w:spacing w:line="285" w:lineRule="auto" w:before="13"/>
              <w:ind w:left="103" w:right="110"/>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left="230"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小计</w:t>
            </w:r>
          </w:p>
        </w:tc>
        <w:tc>
          <w:tcPr>
            <w:tcW w:w="1073" w:type="dxa"/>
            <w:vMerge/>
            <w:tcBorders>
              <w:left w:val="single" w:sz="4" w:space="0" w:color="000000"/>
              <w:right w:val="single" w:sz="4" w:space="0" w:color="000000"/>
            </w:tcBorders>
          </w:tcPr>
          <w:p>
            <w:pPr/>
          </w:p>
        </w:tc>
        <w:tc>
          <w:tcPr>
            <w:tcW w:w="1147" w:type="dxa"/>
            <w:vMerge/>
            <w:tcBorders>
              <w:left w:val="single" w:sz="4" w:space="0" w:color="000000"/>
              <w:right w:val="single" w:sz="4" w:space="0" w:color="000000"/>
            </w:tcBorders>
          </w:tcPr>
          <w:p>
            <w:pPr/>
          </w:p>
        </w:tc>
      </w:tr>
      <w:tr>
        <w:trPr>
          <w:trHeight w:val="209" w:hRule="exact"/>
        </w:trPr>
        <w:tc>
          <w:tcPr>
            <w:tcW w:w="217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27"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2,936,165,560.00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566,164,360.16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48" w:right="0"/>
              <w:jc w:val="left"/>
              <w:rPr>
                <w:rFonts w:ascii="Times New Roman" w:hAnsi="Times New Roman" w:cs="Times New Roman" w:eastAsia="Times New Roman" w:hint="default"/>
                <w:sz w:val="13"/>
                <w:szCs w:val="13"/>
              </w:rPr>
            </w:pPr>
            <w:r>
              <w:rPr>
                <w:rFonts w:ascii="Times New Roman"/>
                <w:sz w:val="13"/>
              </w:rPr>
              <w:t>7,983,507.00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5" w:right="0"/>
              <w:jc w:val="center"/>
              <w:rPr>
                <w:rFonts w:ascii="Times New Roman" w:hAnsi="Times New Roman" w:cs="Times New Roman" w:eastAsia="Times New Roman" w:hint="default"/>
                <w:sz w:val="13"/>
                <w:szCs w:val="13"/>
              </w:rPr>
            </w:pPr>
            <w:r>
              <w:rPr>
                <w:rFonts w:ascii="Times New Roman"/>
                <w:sz w:val="13"/>
              </w:rPr>
              <w:t>107,988,111.91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1,235,782.10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308,621,714.83</w:t>
            </w: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13"/>
                <w:szCs w:val="13"/>
              </w:rPr>
            </w:pPr>
            <w:r>
              <w:rPr>
                <w:rFonts w:ascii="Times New Roman"/>
                <w:sz w:val="13"/>
              </w:rPr>
              <w:t>3,071,103,612.60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3"/>
                <w:szCs w:val="13"/>
              </w:rPr>
            </w:pPr>
            <w:r>
              <w:rPr>
                <w:rFonts w:ascii="Times New Roman"/>
                <w:sz w:val="13"/>
              </w:rPr>
              <w:t>6,983,295,634.60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435,153,502.94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7,418,449,137.54</w:t>
            </w: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36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13"/>
                <w:szCs w:val="13"/>
              </w:rPr>
            </w:pPr>
            <w:r>
              <w:rPr>
                <w:rFonts w:ascii="Times New Roman"/>
                <w:sz w:val="13"/>
              </w:rPr>
              <w:t>-118,693,282.68</w:t>
            </w: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16,975,515.35</w:t>
            </w: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0" w:right="0"/>
              <w:jc w:val="center"/>
              <w:rPr>
                <w:rFonts w:ascii="Times New Roman" w:hAnsi="Times New Roman" w:cs="Times New Roman" w:eastAsia="Times New Roman" w:hint="default"/>
                <w:sz w:val="13"/>
                <w:szCs w:val="13"/>
              </w:rPr>
            </w:pPr>
            <w:r>
              <w:rPr>
                <w:rFonts w:ascii="Times New Roman"/>
                <w:sz w:val="13"/>
              </w:rPr>
              <w:t>154,280,866.83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3"/>
                <w:szCs w:val="13"/>
              </w:rPr>
            </w:pPr>
            <w:r>
              <w:rPr>
                <w:rFonts w:ascii="Times New Roman"/>
                <w:sz w:val="13"/>
              </w:rPr>
              <w:t>52,563,099.50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52,563,099.50</w:t>
            </w:r>
          </w:p>
        </w:tc>
      </w:tr>
      <w:tr>
        <w:trPr>
          <w:trHeight w:val="19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62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626"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62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2,936,165,560.00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566,164,360.16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48" w:right="0"/>
              <w:jc w:val="left"/>
              <w:rPr>
                <w:rFonts w:ascii="Times New Roman" w:hAnsi="Times New Roman" w:cs="Times New Roman" w:eastAsia="Times New Roman" w:hint="default"/>
                <w:sz w:val="13"/>
                <w:szCs w:val="13"/>
              </w:rPr>
            </w:pPr>
            <w:r>
              <w:rPr>
                <w:rFonts w:ascii="Times New Roman"/>
                <w:sz w:val="13"/>
              </w:rPr>
              <w:t>7,983,507.00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7" w:right="0"/>
              <w:jc w:val="center"/>
              <w:rPr>
                <w:rFonts w:ascii="Times New Roman" w:hAnsi="Times New Roman" w:cs="Times New Roman" w:eastAsia="Times New Roman" w:hint="default"/>
                <w:sz w:val="13"/>
                <w:szCs w:val="13"/>
              </w:rPr>
            </w:pPr>
            <w:r>
              <w:rPr>
                <w:rFonts w:ascii="Times New Roman"/>
                <w:sz w:val="13"/>
              </w:rPr>
              <w:t>-10,705,170.77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1,235,782.10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325,597,230.18</w:t>
            </w: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13"/>
                <w:szCs w:val="13"/>
              </w:rPr>
            </w:pPr>
            <w:r>
              <w:rPr>
                <w:rFonts w:ascii="Times New Roman"/>
                <w:sz w:val="13"/>
              </w:rPr>
              <w:t>3,225,384,479.43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3"/>
                <w:szCs w:val="13"/>
              </w:rPr>
            </w:pPr>
            <w:r>
              <w:rPr>
                <w:rFonts w:ascii="Times New Roman"/>
                <w:sz w:val="13"/>
              </w:rPr>
              <w:t>7,035,858,734.10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435,153,502.94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7,471,012,237.04</w:t>
            </w:r>
          </w:p>
        </w:tc>
      </w:tr>
      <w:tr>
        <w:trPr>
          <w:trHeight w:val="37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三、本期增减变动金额（减少以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-7,983,507.00</w:t>
            </w: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34,430,574.43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left="105" w:right="0"/>
              <w:jc w:val="left"/>
              <w:rPr>
                <w:rFonts w:ascii="Times New Roman" w:hAnsi="Times New Roman" w:cs="Times New Roman" w:eastAsia="Times New Roman" w:hint="default"/>
                <w:sz w:val="13"/>
                <w:szCs w:val="13"/>
              </w:rPr>
            </w:pPr>
            <w:r>
              <w:rPr>
                <w:rFonts w:ascii="Times New Roman"/>
                <w:sz w:val="13"/>
              </w:rPr>
              <w:t>-7,983,507.00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left="35" w:right="0"/>
              <w:jc w:val="center"/>
              <w:rPr>
                <w:rFonts w:ascii="Times New Roman" w:hAnsi="Times New Roman" w:cs="Times New Roman" w:eastAsia="Times New Roman" w:hint="default"/>
                <w:sz w:val="13"/>
                <w:szCs w:val="13"/>
              </w:rPr>
            </w:pPr>
            <w:r>
              <w:rPr>
                <w:rFonts w:ascii="Times New Roman"/>
                <w:sz w:val="13"/>
              </w:rPr>
              <w:t>375,061,437.80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1,548,222.85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32,585,958.29</w:t>
            </w: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left="90" w:right="0"/>
              <w:jc w:val="center"/>
              <w:rPr>
                <w:rFonts w:ascii="Times New Roman" w:hAnsi="Times New Roman" w:cs="Times New Roman" w:eastAsia="Times New Roman" w:hint="default"/>
                <w:sz w:val="13"/>
                <w:szCs w:val="13"/>
              </w:rPr>
            </w:pPr>
            <w:r>
              <w:rPr>
                <w:rFonts w:ascii="Times New Roman"/>
                <w:sz w:val="13"/>
              </w:rPr>
              <w:t>816,294,890.41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1,259,921,083.78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-80,189,569.17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1,179,731,514.61</w:t>
            </w: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5" w:right="0"/>
              <w:jc w:val="center"/>
              <w:rPr>
                <w:rFonts w:ascii="Times New Roman" w:hAnsi="Times New Roman" w:cs="Times New Roman" w:eastAsia="Times New Roman" w:hint="default"/>
                <w:sz w:val="13"/>
                <w:szCs w:val="13"/>
              </w:rPr>
            </w:pPr>
            <w:r>
              <w:rPr>
                <w:rFonts w:ascii="Times New Roman"/>
                <w:sz w:val="13"/>
              </w:rPr>
              <w:t>375,061,437.80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13"/>
                <w:szCs w:val="13"/>
              </w:rPr>
            </w:pPr>
            <w:r>
              <w:rPr>
                <w:rFonts w:ascii="Times New Roman"/>
                <w:sz w:val="13"/>
              </w:rPr>
              <w:t>1,114,993,660.75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3"/>
                <w:szCs w:val="13"/>
              </w:rPr>
            </w:pPr>
            <w:r>
              <w:rPr>
                <w:rFonts w:ascii="Times New Roman"/>
                <w:sz w:val="13"/>
              </w:rPr>
              <w:t>1,490,055,098.55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70,000,205.16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1,560,055,303.71</w:t>
            </w:r>
          </w:p>
        </w:tc>
      </w:tr>
      <w:tr>
        <w:trPr>
          <w:trHeight w:val="19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3"/>
                <w:szCs w:val="13"/>
              </w:rPr>
            </w:pPr>
            <w:r>
              <w:rPr>
                <w:rFonts w:ascii="Times New Roman"/>
                <w:sz w:val="13"/>
              </w:rPr>
              <w:t>-7,983,507.00</w:t>
            </w: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3"/>
                <w:szCs w:val="13"/>
              </w:rPr>
            </w:pPr>
            <w:r>
              <w:rPr>
                <w:rFonts w:ascii="Times New Roman"/>
                <w:sz w:val="13"/>
              </w:rPr>
              <w:t>39,982,476.93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5" w:right="0"/>
              <w:jc w:val="left"/>
              <w:rPr>
                <w:rFonts w:ascii="Times New Roman" w:hAnsi="Times New Roman" w:cs="Times New Roman" w:eastAsia="Times New Roman" w:hint="default"/>
                <w:sz w:val="13"/>
                <w:szCs w:val="13"/>
              </w:rPr>
            </w:pPr>
            <w:r>
              <w:rPr>
                <w:rFonts w:ascii="Times New Roman"/>
                <w:sz w:val="13"/>
              </w:rPr>
              <w:t>-7,983,507.00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center"/>
              <w:rPr>
                <w:rFonts w:ascii="Times New Roman" w:hAnsi="Times New Roman" w:cs="Times New Roman" w:eastAsia="Times New Roman" w:hint="default"/>
                <w:sz w:val="13"/>
                <w:szCs w:val="13"/>
              </w:rPr>
            </w:pPr>
            <w:r>
              <w:rPr>
                <w:rFonts w:ascii="Times New Roman"/>
                <w:sz w:val="13"/>
              </w:rPr>
              <w:t>-119,304,534.05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4"/>
              <w:jc w:val="right"/>
              <w:rPr>
                <w:rFonts w:ascii="Times New Roman" w:hAnsi="Times New Roman" w:cs="Times New Roman" w:eastAsia="Times New Roman" w:hint="default"/>
                <w:sz w:val="13"/>
                <w:szCs w:val="13"/>
              </w:rPr>
            </w:pPr>
            <w:r>
              <w:rPr>
                <w:rFonts w:ascii="Times New Roman"/>
                <w:sz w:val="13"/>
              </w:rPr>
              <w:t>-79,322,057.12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3"/>
                <w:szCs w:val="13"/>
              </w:rPr>
            </w:pPr>
            <w:r>
              <w:rPr>
                <w:rFonts w:ascii="Times New Roman"/>
                <w:sz w:val="13"/>
              </w:rPr>
              <w:t>-125,953,790.18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4"/>
              <w:jc w:val="right"/>
              <w:rPr>
                <w:rFonts w:ascii="Times New Roman" w:hAnsi="Times New Roman" w:cs="Times New Roman" w:eastAsia="Times New Roman" w:hint="default"/>
                <w:sz w:val="13"/>
                <w:szCs w:val="13"/>
              </w:rPr>
            </w:pPr>
            <w:r>
              <w:rPr>
                <w:rFonts w:ascii="Times New Roman"/>
                <w:sz w:val="13"/>
              </w:rPr>
              <w:t>-205,275,847.30</w:t>
            </w: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w w:val="99"/>
                <w:sz w:val="13"/>
                <w:szCs w:val="13"/>
              </w:rPr>
              <w:t>本</w:t>
            </w:r>
            <w:r>
              <w:rPr>
                <w:rFonts w:ascii="宋体" w:hAnsi="宋体" w:cs="宋体" w:eastAsia="宋体" w:hint="default"/>
                <w:sz w:val="13"/>
                <w:szCs w:val="13"/>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703,301.58</w:t>
            </w: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703,301.58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116,886.72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820,188.30</w:t>
            </w: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-7,983,507.00</w:t>
            </w: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39,279,175.35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Times New Roman" w:hAnsi="Times New Roman" w:cs="Times New Roman" w:eastAsia="Times New Roman" w:hint="default"/>
                <w:sz w:val="13"/>
                <w:szCs w:val="13"/>
              </w:rPr>
            </w:pPr>
            <w:r>
              <w:rPr>
                <w:rFonts w:ascii="Times New Roman"/>
                <w:sz w:val="13"/>
              </w:rPr>
              <w:t>-7,983,507.00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center"/>
              <w:rPr>
                <w:rFonts w:ascii="Times New Roman" w:hAnsi="Times New Roman" w:cs="Times New Roman" w:eastAsia="Times New Roman" w:hint="default"/>
                <w:sz w:val="13"/>
                <w:szCs w:val="13"/>
              </w:rPr>
            </w:pPr>
            <w:r>
              <w:rPr>
                <w:rFonts w:ascii="Times New Roman"/>
                <w:sz w:val="13"/>
              </w:rPr>
              <w:t>-119,304,534.05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Times New Roman" w:hAnsi="Times New Roman" w:cs="Times New Roman" w:eastAsia="Times New Roman" w:hint="default"/>
                <w:sz w:val="13"/>
                <w:szCs w:val="13"/>
              </w:rPr>
            </w:pPr>
            <w:r>
              <w:rPr>
                <w:rFonts w:ascii="Times New Roman"/>
                <w:sz w:val="13"/>
              </w:rPr>
              <w:t>-80,025,358.70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-126,070,676.90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Times New Roman" w:hAnsi="Times New Roman" w:cs="Times New Roman" w:eastAsia="Times New Roman" w:hint="default"/>
                <w:sz w:val="13"/>
                <w:szCs w:val="13"/>
              </w:rPr>
            </w:pPr>
            <w:r>
              <w:rPr>
                <w:rFonts w:ascii="Times New Roman"/>
                <w:sz w:val="13"/>
              </w:rPr>
              <w:t>-206,096,035.60</w:t>
            </w: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32,585,958.29</w:t>
            </w: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7" w:right="0"/>
              <w:jc w:val="center"/>
              <w:rPr>
                <w:rFonts w:ascii="Times New Roman" w:hAnsi="Times New Roman" w:cs="Times New Roman" w:eastAsia="Times New Roman" w:hint="default"/>
                <w:sz w:val="13"/>
                <w:szCs w:val="13"/>
              </w:rPr>
            </w:pPr>
            <w:r>
              <w:rPr>
                <w:rFonts w:ascii="Times New Roman"/>
                <w:sz w:val="13"/>
              </w:rPr>
              <w:t>-179,394,236.29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Times New Roman" w:hAnsi="Times New Roman" w:cs="Times New Roman" w:eastAsia="Times New Roman" w:hint="default"/>
                <w:sz w:val="13"/>
                <w:szCs w:val="13"/>
              </w:rPr>
            </w:pPr>
            <w:r>
              <w:rPr>
                <w:rFonts w:ascii="Times New Roman"/>
                <w:sz w:val="13"/>
              </w:rPr>
              <w:t>-146,808,278.00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-24,267,785.20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Times New Roman" w:hAnsi="Times New Roman" w:cs="Times New Roman" w:eastAsia="Times New Roman" w:hint="default"/>
                <w:sz w:val="13"/>
                <w:szCs w:val="13"/>
              </w:rPr>
            </w:pPr>
            <w:r>
              <w:rPr>
                <w:rFonts w:ascii="Times New Roman"/>
                <w:sz w:val="13"/>
              </w:rPr>
              <w:t>-171,076,063.20</w:t>
            </w:r>
          </w:p>
        </w:tc>
      </w:tr>
      <w:tr>
        <w:trPr>
          <w:trHeight w:val="19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3"/>
                <w:szCs w:val="13"/>
              </w:rPr>
            </w:pPr>
            <w:r>
              <w:rPr>
                <w:rFonts w:ascii="Times New Roman"/>
                <w:sz w:val="13"/>
              </w:rPr>
              <w:t>32,585,958.29</w:t>
            </w: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2" w:right="0"/>
              <w:jc w:val="center"/>
              <w:rPr>
                <w:rFonts w:ascii="Times New Roman" w:hAnsi="Times New Roman" w:cs="Times New Roman" w:eastAsia="Times New Roman" w:hint="default"/>
                <w:sz w:val="13"/>
                <w:szCs w:val="13"/>
              </w:rPr>
            </w:pPr>
            <w:r>
              <w:rPr>
                <w:rFonts w:ascii="Times New Roman"/>
                <w:sz w:val="13"/>
              </w:rPr>
              <w:t>-32,585,958.29</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7" w:right="0"/>
              <w:jc w:val="center"/>
              <w:rPr>
                <w:rFonts w:ascii="Times New Roman" w:hAnsi="Times New Roman" w:cs="Times New Roman" w:eastAsia="Times New Roman" w:hint="default"/>
                <w:sz w:val="13"/>
                <w:szCs w:val="13"/>
              </w:rPr>
            </w:pPr>
            <w:r>
              <w:rPr>
                <w:rFonts w:ascii="Times New Roman"/>
                <w:sz w:val="13"/>
              </w:rPr>
              <w:t>-146,808,278.00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Times New Roman" w:hAnsi="Times New Roman" w:cs="Times New Roman" w:eastAsia="Times New Roman" w:hint="default"/>
                <w:sz w:val="13"/>
                <w:szCs w:val="13"/>
              </w:rPr>
            </w:pPr>
            <w:r>
              <w:rPr>
                <w:rFonts w:ascii="Times New Roman"/>
                <w:sz w:val="13"/>
              </w:rPr>
              <w:t>-146,808,278.00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-24,267,785.20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Times New Roman" w:hAnsi="Times New Roman" w:cs="Times New Roman" w:eastAsia="Times New Roman" w:hint="default"/>
                <w:sz w:val="13"/>
                <w:szCs w:val="13"/>
              </w:rPr>
            </w:pPr>
            <w:r>
              <w:rPr>
                <w:rFonts w:ascii="Times New Roman"/>
                <w:sz w:val="13"/>
              </w:rPr>
              <w:t>-171,076,063.20</w:t>
            </w: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38"/>
              <w:jc w:val="right"/>
              <w:rPr>
                <w:rFonts w:ascii="宋体" w:hAnsi="宋体" w:cs="宋体" w:eastAsia="宋体" w:hint="default"/>
                <w:sz w:val="13"/>
                <w:szCs w:val="13"/>
              </w:rPr>
            </w:pPr>
            <w:r>
              <w:rPr>
                <w:rFonts w:ascii="Times New Roman" w:hAnsi="Times New Roman" w:cs="Times New Roman" w:eastAsia="Times New Roman" w:hint="default"/>
                <w:spacing w:val="-4"/>
                <w:w w:val="95"/>
                <w:sz w:val="13"/>
                <w:szCs w:val="13"/>
              </w:rPr>
              <w:t>1</w:t>
            </w:r>
            <w:r>
              <w:rPr>
                <w:rFonts w:ascii="宋体" w:hAnsi="宋体" w:cs="宋体" w:eastAsia="宋体" w:hint="default"/>
                <w:spacing w:val="-4"/>
                <w:w w:val="95"/>
                <w:sz w:val="13"/>
                <w:szCs w:val="13"/>
              </w:rPr>
              <w:t>．资本公积转增资本（或股本）</w:t>
            </w:r>
            <w:r>
              <w:rPr>
                <w:rFonts w:ascii="宋体" w:hAnsi="宋体" w:cs="宋体" w:eastAsia="宋体" w:hint="default"/>
                <w:spacing w:val="-4"/>
                <w:sz w:val="13"/>
                <w:szCs w:val="13"/>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9"/>
              <w:jc w:val="right"/>
              <w:rPr>
                <w:rFonts w:ascii="宋体" w:hAnsi="宋体" w:cs="宋体" w:eastAsia="宋体" w:hint="default"/>
                <w:sz w:val="13"/>
                <w:szCs w:val="13"/>
              </w:rPr>
            </w:pPr>
            <w:r>
              <w:rPr>
                <w:rFonts w:ascii="Times New Roman" w:hAnsi="Times New Roman" w:cs="Times New Roman" w:eastAsia="Times New Roman" w:hint="default"/>
                <w:spacing w:val="-4"/>
                <w:w w:val="95"/>
                <w:sz w:val="13"/>
                <w:szCs w:val="13"/>
              </w:rPr>
              <w:t>2</w:t>
            </w:r>
            <w:r>
              <w:rPr>
                <w:rFonts w:ascii="宋体" w:hAnsi="宋体" w:cs="宋体" w:eastAsia="宋体" w:hint="default"/>
                <w:spacing w:val="-4"/>
                <w:w w:val="95"/>
                <w:sz w:val="13"/>
                <w:szCs w:val="13"/>
              </w:rPr>
              <w:t>．盈余公积转增资本（或股本）</w:t>
            </w:r>
            <w:r>
              <w:rPr>
                <w:rFonts w:ascii="宋体" w:hAnsi="宋体" w:cs="宋体" w:eastAsia="宋体" w:hint="default"/>
                <w:spacing w:val="-4"/>
                <w:sz w:val="13"/>
                <w:szCs w:val="13"/>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存收益</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．其他综合收益结转留存收益</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1,548,222.85</w:t>
            </w: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3"/>
                <w:szCs w:val="13"/>
              </w:rPr>
            </w:pPr>
            <w:r>
              <w:rPr>
                <w:rFonts w:ascii="Times New Roman"/>
                <w:sz w:val="13"/>
              </w:rPr>
              <w:t>1,548,222.85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31,801.05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1,580,023.90</w:t>
            </w:r>
          </w:p>
        </w:tc>
      </w:tr>
      <w:tr>
        <w:trPr>
          <w:trHeight w:val="19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3"/>
                <w:szCs w:val="13"/>
              </w:rPr>
            </w:pPr>
            <w:r>
              <w:rPr>
                <w:rFonts w:ascii="Times New Roman"/>
                <w:sz w:val="13"/>
              </w:rPr>
              <w:t>4,397,272.99</w:t>
            </w: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3"/>
                <w:szCs w:val="13"/>
              </w:rPr>
            </w:pPr>
            <w:r>
              <w:rPr>
                <w:rFonts w:ascii="Times New Roman"/>
                <w:sz w:val="13"/>
              </w:rPr>
              <w:t>4,397,272.99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3"/>
                <w:szCs w:val="13"/>
              </w:rPr>
            </w:pPr>
            <w:r>
              <w:rPr>
                <w:rFonts w:ascii="Times New Roman"/>
                <w:sz w:val="13"/>
              </w:rPr>
              <w:t>730,940.46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3"/>
                <w:szCs w:val="13"/>
              </w:rPr>
            </w:pPr>
            <w:r>
              <w:rPr>
                <w:rFonts w:ascii="Times New Roman"/>
                <w:sz w:val="13"/>
              </w:rPr>
              <w:t>5,128,213.45</w:t>
            </w: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2,849,050.14</w:t>
            </w: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3"/>
                <w:szCs w:val="13"/>
              </w:rPr>
            </w:pPr>
            <w:r>
              <w:rPr>
                <w:rFonts w:ascii="Times New Roman"/>
                <w:sz w:val="13"/>
              </w:rPr>
              <w:t>2,849,050.14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699,139.41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3,548,189.55</w:t>
            </w: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5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-5,551,902.50</w:t>
            </w: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3"/>
                <w:szCs w:val="13"/>
              </w:rPr>
            </w:pPr>
            <w:r>
              <w:rPr>
                <w:rFonts w:ascii="Times New Roman"/>
                <w:sz w:val="13"/>
              </w:rPr>
              <w:t>-5,551,902.50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-5,551,902.50</w:t>
            </w:r>
          </w:p>
        </w:tc>
      </w:tr>
      <w:tr>
        <w:trPr>
          <w:trHeight w:val="19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2,928,182,053.00</w:t>
            </w:r>
          </w:p>
        </w:tc>
        <w:tc>
          <w:tcPr>
            <w:tcW w:w="61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600,594,934.59</w:t>
            </w:r>
          </w:p>
        </w:tc>
        <w:tc>
          <w:tcPr>
            <w:tcW w:w="94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5" w:right="0"/>
              <w:jc w:val="center"/>
              <w:rPr>
                <w:rFonts w:ascii="Times New Roman" w:hAnsi="Times New Roman" w:cs="Times New Roman" w:eastAsia="Times New Roman" w:hint="default"/>
                <w:sz w:val="13"/>
                <w:szCs w:val="13"/>
              </w:rPr>
            </w:pPr>
            <w:r>
              <w:rPr>
                <w:rFonts w:ascii="Times New Roman"/>
                <w:sz w:val="13"/>
              </w:rPr>
              <w:t>364,356,267.03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3"/>
                <w:szCs w:val="13"/>
              </w:rPr>
            </w:pPr>
            <w:r>
              <w:rPr>
                <w:rFonts w:ascii="Times New Roman"/>
                <w:sz w:val="13"/>
              </w:rPr>
              <w:t>2,784,004.95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358,183,188.47</w:t>
            </w:r>
          </w:p>
        </w:tc>
        <w:tc>
          <w:tcPr>
            <w:tcW w:w="6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13"/>
                <w:szCs w:val="13"/>
              </w:rPr>
            </w:pPr>
            <w:r>
              <w:rPr>
                <w:rFonts w:ascii="Times New Roman"/>
                <w:sz w:val="13"/>
              </w:rPr>
              <w:t>4,041,679,369.84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3"/>
                <w:szCs w:val="13"/>
              </w:rPr>
            </w:pPr>
            <w:r>
              <w:rPr>
                <w:rFonts w:ascii="Times New Roman"/>
                <w:sz w:val="13"/>
              </w:rPr>
              <w:t>8,295,779,817.88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354,963,933.77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8,650,743,751.65</w:t>
            </w:r>
          </w:p>
        </w:tc>
      </w:tr>
    </w:tbl>
    <w:p>
      <w:pPr>
        <w:spacing w:before="92"/>
        <w:ind w:left="22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4189" w:val="left" w:leader="none"/>
          <w:tab w:pos="7428" w:val="left" w:leader="none"/>
          <w:tab w:pos="11753" w:val="left" w:leader="none"/>
        </w:tabs>
        <w:spacing w:before="83"/>
        <w:ind w:left="22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企业法定代表人：宋黎定</w:t>
        <w:tab/>
      </w:r>
      <w:r>
        <w:rPr>
          <w:rFonts w:ascii="宋体" w:hAnsi="宋体" w:cs="宋体" w:eastAsia="宋体" w:hint="default"/>
          <w:spacing w:val="-1"/>
          <w:sz w:val="18"/>
          <w:szCs w:val="18"/>
        </w:rPr>
        <w:t>公司总裁：徐刚</w:t>
        <w:tab/>
      </w:r>
      <w:r>
        <w:rPr>
          <w:rFonts w:ascii="宋体" w:hAnsi="宋体" w:cs="宋体" w:eastAsia="宋体" w:hint="default"/>
          <w:sz w:val="18"/>
          <w:szCs w:val="18"/>
        </w:rPr>
        <w:t>主管会计工作负责人：许海东</w:t>
        <w:tab/>
      </w:r>
      <w:r>
        <w:rPr>
          <w:rFonts w:ascii="宋体" w:hAnsi="宋体" w:cs="宋体" w:eastAsia="宋体" w:hint="default"/>
          <w:spacing w:val="-1"/>
          <w:sz w:val="18"/>
          <w:szCs w:val="18"/>
        </w:rPr>
        <w:t>会计机构负责人：许少霞</w:t>
      </w:r>
    </w:p>
    <w:p>
      <w:pPr>
        <w:spacing w:after="0"/>
        <w:jc w:val="left"/>
        <w:rPr>
          <w:rFonts w:ascii="宋体" w:hAnsi="宋体" w:cs="宋体" w:eastAsia="宋体" w:hint="default"/>
          <w:sz w:val="18"/>
          <w:szCs w:val="18"/>
        </w:rPr>
        <w:sectPr>
          <w:headerReference w:type="default" r:id="rId26"/>
          <w:footerReference w:type="default" r:id="rId27"/>
          <w:pgSz w:w="16840" w:h="11910" w:orient="landscape"/>
          <w:pgMar w:header="1448" w:footer="781" w:top="1640" w:bottom="980" w:left="740" w:right="740"/>
          <w:pgNumType w:start="9"/>
        </w:sectPr>
      </w:pPr>
    </w:p>
    <w:p>
      <w:pPr>
        <w:spacing w:before="38"/>
        <w:ind w:left="6243" w:right="6240" w:firstLine="0"/>
        <w:jc w:val="center"/>
        <w:rPr>
          <w:rFonts w:ascii="宋体" w:hAnsi="宋体" w:cs="宋体" w:eastAsia="宋体" w:hint="default"/>
          <w:sz w:val="18"/>
          <w:szCs w:val="18"/>
        </w:rPr>
      </w:pPr>
      <w:r>
        <w:rPr>
          <w:rFonts w:ascii="宋体" w:hAnsi="宋体" w:cs="宋体" w:eastAsia="宋体" w:hint="default"/>
          <w:b/>
          <w:bCs/>
          <w:sz w:val="18"/>
          <w:szCs w:val="18"/>
        </w:rPr>
        <w:t>合并所有者权益变动表（续）</w:t>
      </w:r>
      <w:r>
        <w:rPr>
          <w:rFonts w:ascii="宋体" w:hAnsi="宋体" w:cs="宋体" w:eastAsia="宋体" w:hint="default"/>
          <w:sz w:val="18"/>
          <w:szCs w:val="18"/>
        </w:rPr>
      </w:r>
    </w:p>
    <w:p>
      <w:pPr>
        <w:spacing w:before="38"/>
        <w:ind w:left="6243" w:right="6239"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31"/>
        <w:ind w:left="6243" w:right="6241"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p>
      <w:pPr>
        <w:spacing w:line="240" w:lineRule="auto" w:before="11"/>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2528"/>
        <w:gridCol w:w="1133"/>
        <w:gridCol w:w="706"/>
        <w:gridCol w:w="662"/>
        <w:gridCol w:w="505"/>
        <w:gridCol w:w="1030"/>
        <w:gridCol w:w="900"/>
        <w:gridCol w:w="1169"/>
        <w:gridCol w:w="958"/>
        <w:gridCol w:w="1070"/>
        <w:gridCol w:w="598"/>
        <w:gridCol w:w="1128"/>
        <w:gridCol w:w="1126"/>
        <w:gridCol w:w="1070"/>
        <w:gridCol w:w="1147"/>
      </w:tblGrid>
      <w:tr>
        <w:trPr>
          <w:trHeight w:val="271" w:hRule="exact"/>
        </w:trPr>
        <w:tc>
          <w:tcPr>
            <w:tcW w:w="25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项目</w:t>
            </w:r>
          </w:p>
        </w:tc>
        <w:tc>
          <w:tcPr>
            <w:tcW w:w="13202"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269" w:hRule="exact"/>
        </w:trPr>
        <w:tc>
          <w:tcPr>
            <w:tcW w:w="2528" w:type="dxa"/>
            <w:vMerge/>
            <w:tcBorders>
              <w:left w:val="single" w:sz="4" w:space="0" w:color="000000"/>
              <w:right w:val="single" w:sz="4" w:space="0" w:color="000000"/>
            </w:tcBorders>
          </w:tcPr>
          <w:p>
            <w:pPr/>
          </w:p>
        </w:tc>
        <w:tc>
          <w:tcPr>
            <w:tcW w:w="1098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39"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12"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71" w:hRule="exact"/>
        </w:trPr>
        <w:tc>
          <w:tcPr>
            <w:tcW w:w="2528" w:type="dxa"/>
            <w:vMerge/>
            <w:tcBorders>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2"/>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1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39"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2"/>
              <w:ind w:left="249"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2"/>
              <w:ind w:left="119"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2"/>
              <w:ind w:left="187"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2"/>
              <w:ind w:left="211"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2"/>
              <w:ind w:left="268"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598" w:type="dxa"/>
            <w:vMerge w:val="restart"/>
            <w:tcBorders>
              <w:top w:val="single" w:sz="4" w:space="0" w:color="000000"/>
              <w:left w:val="single" w:sz="4" w:space="0" w:color="000000"/>
              <w:right w:val="single" w:sz="4" w:space="0" w:color="000000"/>
            </w:tcBorders>
          </w:tcPr>
          <w:p>
            <w:pPr>
              <w:pStyle w:val="TableParagraph"/>
              <w:spacing w:line="280" w:lineRule="auto" w:before="11"/>
              <w:ind w:left="163" w:right="163"/>
              <w:jc w:val="both"/>
              <w:rPr>
                <w:rFonts w:ascii="宋体" w:hAnsi="宋体" w:cs="宋体" w:eastAsia="宋体" w:hint="default"/>
                <w:sz w:val="13"/>
                <w:szCs w:val="13"/>
              </w:rPr>
            </w:pPr>
            <w:r>
              <w:rPr>
                <w:rFonts w:ascii="宋体" w:hAnsi="宋体" w:cs="宋体" w:eastAsia="宋体" w:hint="default"/>
                <w:sz w:val="13"/>
                <w:szCs w:val="13"/>
              </w:rPr>
              <w:t>一般</w:t>
            </w:r>
            <w:r>
              <w:rPr>
                <w:rFonts w:ascii="宋体" w:hAnsi="宋体" w:cs="宋体" w:eastAsia="宋体" w:hint="default"/>
                <w:w w:val="99"/>
                <w:sz w:val="13"/>
                <w:szCs w:val="13"/>
              </w:rPr>
              <w:t> </w:t>
            </w: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2"/>
              <w:ind w:left="232"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2"/>
              <w:ind w:right="4"/>
              <w:jc w:val="center"/>
              <w:rPr>
                <w:rFonts w:ascii="宋体" w:hAnsi="宋体" w:cs="宋体" w:eastAsia="宋体" w:hint="default"/>
                <w:sz w:val="13"/>
                <w:szCs w:val="13"/>
              </w:rPr>
            </w:pPr>
            <w:r>
              <w:rPr>
                <w:rFonts w:ascii="宋体" w:hAnsi="宋体" w:cs="宋体" w:eastAsia="宋体" w:hint="default"/>
                <w:sz w:val="13"/>
                <w:szCs w:val="13"/>
              </w:rPr>
              <w:t>小计</w:t>
            </w:r>
          </w:p>
        </w:tc>
        <w:tc>
          <w:tcPr>
            <w:tcW w:w="1070" w:type="dxa"/>
            <w:vMerge/>
            <w:tcBorders>
              <w:left w:val="single" w:sz="4" w:space="0" w:color="000000"/>
              <w:right w:val="single" w:sz="4" w:space="0" w:color="000000"/>
            </w:tcBorders>
          </w:tcPr>
          <w:p>
            <w:pPr/>
          </w:p>
        </w:tc>
        <w:tc>
          <w:tcPr>
            <w:tcW w:w="1147" w:type="dxa"/>
            <w:vMerge/>
            <w:tcBorders>
              <w:left w:val="single" w:sz="4" w:space="0" w:color="000000"/>
              <w:right w:val="single" w:sz="4" w:space="0" w:color="000000"/>
            </w:tcBorders>
          </w:tcPr>
          <w:p>
            <w:pPr/>
          </w:p>
        </w:tc>
      </w:tr>
      <w:tr>
        <w:trPr>
          <w:trHeight w:val="341" w:hRule="exact"/>
        </w:trPr>
        <w:tc>
          <w:tcPr>
            <w:tcW w:w="252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1"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9"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3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2,944,069,459.00</w:t>
            </w: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3"/>
                <w:szCs w:val="13"/>
              </w:rPr>
            </w:pPr>
            <w:r>
              <w:rPr>
                <w:rFonts w:ascii="Times New Roman"/>
                <w:sz w:val="13"/>
              </w:rPr>
              <w:t>393,823,634.91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7,903,899.00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center"/>
              <w:rPr>
                <w:rFonts w:ascii="Times New Roman" w:hAnsi="Times New Roman" w:cs="Times New Roman" w:eastAsia="Times New Roman" w:hint="default"/>
                <w:sz w:val="13"/>
                <w:szCs w:val="13"/>
              </w:rPr>
            </w:pPr>
            <w:r>
              <w:rPr>
                <w:rFonts w:ascii="Times New Roman"/>
                <w:sz w:val="13"/>
              </w:rPr>
              <w:t>1,219,420,299.88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 w:right="0"/>
              <w:jc w:val="left"/>
              <w:rPr>
                <w:rFonts w:ascii="Times New Roman" w:hAnsi="Times New Roman" w:cs="Times New Roman" w:eastAsia="Times New Roman" w:hint="default"/>
                <w:sz w:val="13"/>
                <w:szCs w:val="13"/>
              </w:rPr>
            </w:pPr>
            <w:r>
              <w:rPr>
                <w:rFonts w:ascii="Times New Roman"/>
                <w:sz w:val="13"/>
              </w:rPr>
              <w:t>3,746,671.08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291,388,571.45</w:t>
            </w: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1,829,793,778.08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3"/>
                <w:szCs w:val="13"/>
              </w:rPr>
            </w:pPr>
            <w:r>
              <w:rPr>
                <w:rFonts w:ascii="Times New Roman"/>
                <w:sz w:val="13"/>
              </w:rPr>
              <w:t>6,674,338,515.40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884,244,516.08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center"/>
              <w:rPr>
                <w:rFonts w:ascii="Times New Roman" w:hAnsi="Times New Roman" w:cs="Times New Roman" w:eastAsia="Times New Roman" w:hint="default"/>
                <w:sz w:val="13"/>
                <w:szCs w:val="13"/>
              </w:rPr>
            </w:pPr>
            <w:r>
              <w:rPr>
                <w:rFonts w:ascii="Times New Roman"/>
                <w:sz w:val="13"/>
              </w:rPr>
              <w:t>7,558,583,031.48</w:t>
            </w: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3" w:right="0"/>
              <w:jc w:val="center"/>
              <w:rPr>
                <w:rFonts w:ascii="Times New Roman" w:hAnsi="Times New Roman" w:cs="Times New Roman" w:eastAsia="Times New Roman" w:hint="default"/>
                <w:sz w:val="13"/>
                <w:szCs w:val="13"/>
              </w:rPr>
            </w:pPr>
            <w:r>
              <w:rPr>
                <w:rFonts w:ascii="Times New Roman"/>
                <w:sz w:val="13"/>
              </w:rPr>
              <w:t>14,517,096.51</w:t>
            </w: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50,958,080.59</w:t>
            </w: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513,990,776.15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579,465,953.25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10,299,234.99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center"/>
              <w:rPr>
                <w:rFonts w:ascii="Times New Roman" w:hAnsi="Times New Roman" w:cs="Times New Roman" w:eastAsia="Times New Roman" w:hint="default"/>
                <w:sz w:val="13"/>
                <w:szCs w:val="13"/>
              </w:rPr>
            </w:pPr>
            <w:r>
              <w:rPr>
                <w:rFonts w:ascii="Times New Roman"/>
                <w:sz w:val="13"/>
              </w:rPr>
              <w:t>589,765,188.24</w:t>
            </w: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3"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15,000,000.00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15,000,000.00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6" w:right="0"/>
              <w:jc w:val="center"/>
              <w:rPr>
                <w:rFonts w:ascii="Times New Roman" w:hAnsi="Times New Roman" w:cs="Times New Roman" w:eastAsia="Times New Roman" w:hint="default"/>
                <w:sz w:val="13"/>
                <w:szCs w:val="13"/>
              </w:rPr>
            </w:pPr>
            <w:r>
              <w:rPr>
                <w:rFonts w:ascii="Times New Roman"/>
                <w:sz w:val="13"/>
              </w:rPr>
              <w:t>15,000,000.00</w:t>
            </w: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2,944,069,459.00</w:t>
            </w: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3"/>
                <w:szCs w:val="13"/>
              </w:rPr>
            </w:pPr>
            <w:r>
              <w:rPr>
                <w:rFonts w:ascii="Times New Roman"/>
                <w:sz w:val="13"/>
              </w:rPr>
              <w:t>393,823,634.91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7,903,899.00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center"/>
              <w:rPr>
                <w:rFonts w:ascii="Times New Roman" w:hAnsi="Times New Roman" w:cs="Times New Roman" w:eastAsia="Times New Roman" w:hint="default"/>
                <w:sz w:val="13"/>
                <w:szCs w:val="13"/>
              </w:rPr>
            </w:pPr>
            <w:r>
              <w:rPr>
                <w:rFonts w:ascii="Times New Roman"/>
                <w:sz w:val="13"/>
              </w:rPr>
              <w:t>1,233,937,396.39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 w:right="0"/>
              <w:jc w:val="left"/>
              <w:rPr>
                <w:rFonts w:ascii="Times New Roman" w:hAnsi="Times New Roman" w:cs="Times New Roman" w:eastAsia="Times New Roman" w:hint="default"/>
                <w:sz w:val="13"/>
                <w:szCs w:val="13"/>
              </w:rPr>
            </w:pPr>
            <w:r>
              <w:rPr>
                <w:rFonts w:ascii="Times New Roman"/>
                <w:sz w:val="13"/>
              </w:rPr>
              <w:t>3,746,671.08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342,346,652.04</w:t>
            </w: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2,358,784,554.23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3"/>
                <w:szCs w:val="13"/>
              </w:rPr>
            </w:pPr>
            <w:r>
              <w:rPr>
                <w:rFonts w:ascii="Times New Roman"/>
                <w:sz w:val="13"/>
              </w:rPr>
              <w:t>7,268,804,468.65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894,543,751.07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center"/>
              <w:rPr>
                <w:rFonts w:ascii="Times New Roman" w:hAnsi="Times New Roman" w:cs="Times New Roman" w:eastAsia="Times New Roman" w:hint="default"/>
                <w:sz w:val="13"/>
                <w:szCs w:val="13"/>
              </w:rPr>
            </w:pPr>
            <w:r>
              <w:rPr>
                <w:rFonts w:ascii="Times New Roman"/>
                <w:sz w:val="13"/>
              </w:rPr>
              <w:t>8,163,348,219.72</w:t>
            </w: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3"/>
                <w:szCs w:val="13"/>
              </w:rPr>
            </w:pPr>
            <w:r>
              <w:rPr>
                <w:rFonts w:ascii="宋体" w:hAnsi="宋体" w:cs="宋体" w:eastAsia="宋体" w:hint="default"/>
                <w:w w:val="99"/>
                <w:sz w:val="13"/>
                <w:szCs w:val="13"/>
              </w:rPr>
              <w:t>三</w:t>
            </w:r>
            <w:r>
              <w:rPr>
                <w:rFonts w:ascii="宋体" w:hAnsi="宋体" w:cs="宋体" w:eastAsia="宋体" w:hint="default"/>
                <w:spacing w:val="-63"/>
                <w:w w:val="99"/>
                <w:sz w:val="13"/>
                <w:szCs w:val="13"/>
              </w:rPr>
              <w:t>、</w:t>
            </w:r>
            <w:r>
              <w:rPr>
                <w:rFonts w:ascii="宋体" w:hAnsi="宋体" w:cs="宋体" w:eastAsia="宋体" w:hint="default"/>
                <w:w w:val="99"/>
                <w:sz w:val="13"/>
                <w:szCs w:val="13"/>
              </w:rPr>
              <w:t>本期增</w:t>
            </w:r>
            <w:r>
              <w:rPr>
                <w:rFonts w:ascii="宋体" w:hAnsi="宋体" w:cs="宋体" w:eastAsia="宋体" w:hint="default"/>
                <w:spacing w:val="2"/>
                <w:w w:val="99"/>
                <w:sz w:val="13"/>
                <w:szCs w:val="13"/>
              </w:rPr>
              <w:t>减</w:t>
            </w:r>
            <w:r>
              <w:rPr>
                <w:rFonts w:ascii="宋体" w:hAnsi="宋体" w:cs="宋体" w:eastAsia="宋体" w:hint="default"/>
                <w:w w:val="99"/>
                <w:sz w:val="13"/>
                <w:szCs w:val="13"/>
              </w:rPr>
              <w:t>变动金</w:t>
            </w:r>
            <w:r>
              <w:rPr>
                <w:rFonts w:ascii="宋体" w:hAnsi="宋体" w:cs="宋体" w:eastAsia="宋体" w:hint="default"/>
                <w:spacing w:val="-60"/>
                <w:w w:val="99"/>
                <w:sz w:val="13"/>
                <w:szCs w:val="13"/>
              </w:rPr>
              <w:t>额</w:t>
            </w:r>
            <w:r>
              <w:rPr>
                <w:rFonts w:ascii="宋体" w:hAnsi="宋体" w:cs="宋体" w:eastAsia="宋体" w:hint="default"/>
                <w:w w:val="99"/>
                <w:sz w:val="13"/>
                <w:szCs w:val="13"/>
              </w:rPr>
              <w:t>（减少以</w:t>
            </w:r>
            <w:r>
              <w:rPr>
                <w:rFonts w:ascii="Times New Roman" w:hAnsi="Times New Roman" w:cs="Times New Roman" w:eastAsia="Times New Roman" w:hint="default"/>
                <w:w w:val="99"/>
                <w:sz w:val="13"/>
                <w:szCs w:val="13"/>
              </w:rPr>
              <w:t>“</w:t>
            </w:r>
            <w:r>
              <w:rPr>
                <w:rFonts w:ascii="Times New Roman" w:hAnsi="Times New Roman" w:cs="Times New Roman" w:eastAsia="Times New Roman" w:hint="default"/>
                <w:w w:val="99"/>
                <w:sz w:val="13"/>
                <w:szCs w:val="13"/>
              </w:rPr>
              <w:t>-</w:t>
            </w:r>
            <w:r>
              <w:rPr>
                <w:rFonts w:ascii="Times New Roman" w:hAnsi="Times New Roman" w:cs="Times New Roman" w:eastAsia="Times New Roman" w:hint="default"/>
                <w:spacing w:val="2"/>
                <w:w w:val="99"/>
                <w:sz w:val="13"/>
                <w:szCs w:val="13"/>
              </w:rPr>
              <w:t>”</w:t>
            </w:r>
            <w:r>
              <w:rPr>
                <w:rFonts w:ascii="宋体" w:hAnsi="宋体" w:cs="宋体" w:eastAsia="宋体" w:hint="default"/>
                <w:w w:val="99"/>
                <w:sz w:val="13"/>
                <w:szCs w:val="13"/>
              </w:rPr>
              <w:t>号填列）</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-7,903,899.00</w:t>
            </w: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3"/>
                <w:szCs w:val="13"/>
              </w:rPr>
            </w:pPr>
            <w:r>
              <w:rPr>
                <w:rFonts w:ascii="Times New Roman"/>
                <w:sz w:val="13"/>
              </w:rPr>
              <w:t>172,340,725.25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79,608.00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3"/>
                <w:szCs w:val="13"/>
              </w:rPr>
            </w:pPr>
            <w:r>
              <w:rPr>
                <w:rFonts w:ascii="Times New Roman"/>
                <w:sz w:val="13"/>
              </w:rPr>
              <w:t>-1,125,949,284.48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Times New Roman" w:hAnsi="Times New Roman" w:cs="Times New Roman" w:eastAsia="Times New Roman" w:hint="default"/>
                <w:sz w:val="13"/>
                <w:szCs w:val="13"/>
              </w:rPr>
            </w:pPr>
            <w:r>
              <w:rPr>
                <w:rFonts w:ascii="Times New Roman"/>
                <w:sz w:val="13"/>
              </w:rPr>
              <w:t>-2,510,888.98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-33,724,937.21</w:t>
            </w: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712,319,058.37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-285,508,834.05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-459,390,248.13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 w:right="0"/>
              <w:jc w:val="center"/>
              <w:rPr>
                <w:rFonts w:ascii="Times New Roman" w:hAnsi="Times New Roman" w:cs="Times New Roman" w:eastAsia="Times New Roman" w:hint="default"/>
                <w:sz w:val="13"/>
                <w:szCs w:val="13"/>
              </w:rPr>
            </w:pPr>
            <w:r>
              <w:rPr>
                <w:rFonts w:ascii="Times New Roman"/>
                <w:sz w:val="13"/>
              </w:rPr>
              <w:t>-744,899,082.18</w:t>
            </w: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3"/>
                <w:szCs w:val="13"/>
              </w:rPr>
            </w:pPr>
            <w:r>
              <w:rPr>
                <w:rFonts w:ascii="Times New Roman"/>
                <w:sz w:val="13"/>
              </w:rPr>
              <w:t>-1,125,949,284.48</w:t>
            </w: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1,120,739,247.50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-5,210,036.98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84,519,565.26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6" w:right="0"/>
              <w:jc w:val="center"/>
              <w:rPr>
                <w:rFonts w:ascii="Times New Roman" w:hAnsi="Times New Roman" w:cs="Times New Roman" w:eastAsia="Times New Roman" w:hint="default"/>
                <w:sz w:val="13"/>
                <w:szCs w:val="13"/>
              </w:rPr>
            </w:pPr>
            <w:r>
              <w:rPr>
                <w:rFonts w:ascii="Times New Roman"/>
                <w:sz w:val="13"/>
              </w:rPr>
              <w:t>79,309,528.28</w:t>
            </w: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-7,903,899.00</w:t>
            </w: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3"/>
                <w:szCs w:val="13"/>
              </w:rPr>
            </w:pPr>
            <w:r>
              <w:rPr>
                <w:rFonts w:ascii="Times New Roman"/>
                <w:sz w:val="13"/>
              </w:rPr>
              <w:t>172,340,725.25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79,608.00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-104,176,128.81</w:t>
            </w: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-161,324,829.99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-101,143,740.55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pacing w:val="-1"/>
                <w:sz w:val="13"/>
              </w:rPr>
              <w:t>-518,592,622.11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 w:right="0"/>
              <w:jc w:val="center"/>
              <w:rPr>
                <w:rFonts w:ascii="Times New Roman" w:hAnsi="Times New Roman" w:cs="Times New Roman" w:eastAsia="Times New Roman" w:hint="default"/>
                <w:sz w:val="13"/>
                <w:szCs w:val="13"/>
              </w:rPr>
            </w:pPr>
            <w:r>
              <w:rPr>
                <w:rFonts w:ascii="Times New Roman"/>
                <w:sz w:val="13"/>
              </w:rPr>
              <w:t>-619,736,362.66</w:t>
            </w: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24,000,000.00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6" w:right="0"/>
              <w:jc w:val="center"/>
              <w:rPr>
                <w:rFonts w:ascii="Times New Roman" w:hAnsi="Times New Roman" w:cs="Times New Roman" w:eastAsia="Times New Roman" w:hint="default"/>
                <w:sz w:val="13"/>
                <w:szCs w:val="13"/>
              </w:rPr>
            </w:pPr>
            <w:r>
              <w:rPr>
                <w:rFonts w:ascii="Times New Roman"/>
                <w:sz w:val="13"/>
              </w:rPr>
              <w:t>24,000,000.00</w:t>
            </w: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center"/>
              <w:rPr>
                <w:rFonts w:ascii="Times New Roman" w:hAnsi="Times New Roman" w:cs="Times New Roman" w:eastAsia="Times New Roman" w:hint="default"/>
                <w:sz w:val="13"/>
                <w:szCs w:val="13"/>
              </w:rPr>
            </w:pPr>
            <w:r>
              <w:rPr>
                <w:rFonts w:ascii="Times New Roman"/>
                <w:sz w:val="13"/>
              </w:rPr>
              <w:t>22,239,692.97</w:t>
            </w: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22,239,692.97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924,520.34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6" w:right="0"/>
              <w:jc w:val="center"/>
              <w:rPr>
                <w:rFonts w:ascii="Times New Roman" w:hAnsi="Times New Roman" w:cs="Times New Roman" w:eastAsia="Times New Roman" w:hint="default"/>
                <w:sz w:val="13"/>
                <w:szCs w:val="13"/>
              </w:rPr>
            </w:pPr>
            <w:r>
              <w:rPr>
                <w:rFonts w:ascii="Times New Roman"/>
                <w:sz w:val="13"/>
              </w:rPr>
              <w:t>23,164,213.31</w:t>
            </w: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-7,903,899.00</w:t>
            </w: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3"/>
                <w:szCs w:val="13"/>
              </w:rPr>
            </w:pPr>
            <w:r>
              <w:rPr>
                <w:rFonts w:ascii="Times New Roman"/>
                <w:sz w:val="13"/>
              </w:rPr>
              <w:t>150,101,032.28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79,608.00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-104,176,128.81</w:t>
            </w: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-161,324,829.99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-123,383,433.52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-543,517,142.45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 w:right="0"/>
              <w:jc w:val="center"/>
              <w:rPr>
                <w:rFonts w:ascii="Times New Roman" w:hAnsi="Times New Roman" w:cs="Times New Roman" w:eastAsia="Times New Roman" w:hint="default"/>
                <w:sz w:val="13"/>
                <w:szCs w:val="13"/>
              </w:rPr>
            </w:pPr>
            <w:r>
              <w:rPr>
                <w:rFonts w:ascii="Times New Roman"/>
                <w:sz w:val="13"/>
              </w:rPr>
              <w:t>-666,900,575.97</w:t>
            </w:r>
          </w:p>
        </w:tc>
      </w:tr>
      <w:tr>
        <w:trPr>
          <w:trHeight w:val="21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70,451,191.60</w:t>
            </w: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-247,095,359.14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-176,644,167.54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-25,473,870.89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8" w:right="0"/>
              <w:jc w:val="center"/>
              <w:rPr>
                <w:rFonts w:ascii="Times New Roman" w:hAnsi="Times New Roman" w:cs="Times New Roman" w:eastAsia="Times New Roman" w:hint="default"/>
                <w:sz w:val="13"/>
                <w:szCs w:val="13"/>
              </w:rPr>
            </w:pPr>
            <w:r>
              <w:rPr>
                <w:rFonts w:ascii="Times New Roman"/>
                <w:sz w:val="13"/>
              </w:rPr>
              <w:t>-202,118,038.43</w:t>
            </w: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70,451,191.60</w:t>
            </w: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-70,451,191.60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-176,644,167.54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-176,644,167.54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-25,473,870.89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8" w:right="0"/>
              <w:jc w:val="center"/>
              <w:rPr>
                <w:rFonts w:ascii="Times New Roman" w:hAnsi="Times New Roman" w:cs="Times New Roman" w:eastAsia="Times New Roman" w:hint="default"/>
                <w:sz w:val="13"/>
                <w:szCs w:val="13"/>
              </w:rPr>
            </w:pPr>
            <w:r>
              <w:rPr>
                <w:rFonts w:ascii="Times New Roman"/>
                <w:sz w:val="13"/>
              </w:rPr>
              <w:t>-202,118,038.43</w:t>
            </w: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Times New Roman" w:hAnsi="Times New Roman" w:cs="Times New Roman" w:eastAsia="Times New Roman" w:hint="default"/>
                <w:sz w:val="13"/>
                <w:szCs w:val="13"/>
              </w:rPr>
            </w:pPr>
            <w:r>
              <w:rPr>
                <w:rFonts w:ascii="Times New Roman"/>
                <w:sz w:val="13"/>
              </w:rPr>
              <w:t>-2,510,888.98</w:t>
            </w: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-2,510,888.98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156,679.61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 w:right="0"/>
              <w:jc w:val="center"/>
              <w:rPr>
                <w:rFonts w:ascii="Times New Roman" w:hAnsi="Times New Roman" w:cs="Times New Roman" w:eastAsia="Times New Roman" w:hint="default"/>
                <w:sz w:val="13"/>
                <w:szCs w:val="13"/>
              </w:rPr>
            </w:pPr>
            <w:r>
              <w:rPr>
                <w:rFonts w:ascii="Times New Roman"/>
                <w:sz w:val="13"/>
              </w:rPr>
              <w:t>-2,354,209.37</w:t>
            </w:r>
          </w:p>
        </w:tc>
      </w:tr>
      <w:tr>
        <w:trPr>
          <w:trHeight w:val="21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 w:right="0"/>
              <w:jc w:val="left"/>
              <w:rPr>
                <w:rFonts w:ascii="Times New Roman" w:hAnsi="Times New Roman" w:cs="Times New Roman" w:eastAsia="Times New Roman" w:hint="default"/>
                <w:sz w:val="13"/>
                <w:szCs w:val="13"/>
              </w:rPr>
            </w:pPr>
            <w:r>
              <w:rPr>
                <w:rFonts w:ascii="Times New Roman"/>
                <w:sz w:val="13"/>
              </w:rPr>
              <w:t>3,840,465.35</w:t>
            </w: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3,840,465.35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1,474,524.97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1" w:right="0"/>
              <w:jc w:val="center"/>
              <w:rPr>
                <w:rFonts w:ascii="Times New Roman" w:hAnsi="Times New Roman" w:cs="Times New Roman" w:eastAsia="Times New Roman" w:hint="default"/>
                <w:sz w:val="13"/>
                <w:szCs w:val="13"/>
              </w:rPr>
            </w:pPr>
            <w:r>
              <w:rPr>
                <w:rFonts w:ascii="Times New Roman"/>
                <w:sz w:val="13"/>
              </w:rPr>
              <w:t>5,314,990.32</w:t>
            </w: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 w:right="0"/>
              <w:jc w:val="left"/>
              <w:rPr>
                <w:rFonts w:ascii="Times New Roman" w:hAnsi="Times New Roman" w:cs="Times New Roman" w:eastAsia="Times New Roman" w:hint="default"/>
                <w:sz w:val="13"/>
                <w:szCs w:val="13"/>
              </w:rPr>
            </w:pPr>
            <w:r>
              <w:rPr>
                <w:rFonts w:ascii="Times New Roman"/>
                <w:sz w:val="13"/>
              </w:rPr>
              <w:t>6,351,354.33</w:t>
            </w: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6,351,354.33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1,317,845.36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1" w:right="0"/>
              <w:jc w:val="center"/>
              <w:rPr>
                <w:rFonts w:ascii="Times New Roman" w:hAnsi="Times New Roman" w:cs="Times New Roman" w:eastAsia="Times New Roman" w:hint="default"/>
                <w:sz w:val="13"/>
                <w:szCs w:val="13"/>
              </w:rPr>
            </w:pPr>
            <w:r>
              <w:rPr>
                <w:rFonts w:ascii="Times New Roman"/>
                <w:sz w:val="13"/>
              </w:rPr>
              <w:t>7,669,199.69</w:t>
            </w:r>
          </w:p>
        </w:tc>
      </w:tr>
      <w:tr>
        <w:trPr>
          <w:trHeight w:val="21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2,936,165,560.00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3"/>
                <w:szCs w:val="13"/>
              </w:rPr>
            </w:pPr>
            <w:r>
              <w:rPr>
                <w:rFonts w:ascii="Times New Roman"/>
                <w:sz w:val="13"/>
              </w:rPr>
              <w:t>566,164,360.16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7,983,507.00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3" w:right="0"/>
              <w:jc w:val="center"/>
              <w:rPr>
                <w:rFonts w:ascii="Times New Roman" w:hAnsi="Times New Roman" w:cs="Times New Roman" w:eastAsia="Times New Roman" w:hint="default"/>
                <w:sz w:val="13"/>
                <w:szCs w:val="13"/>
              </w:rPr>
            </w:pPr>
            <w:r>
              <w:rPr>
                <w:rFonts w:ascii="Times New Roman"/>
                <w:sz w:val="13"/>
              </w:rPr>
              <w:t>107,988,111.91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 w:right="0"/>
              <w:jc w:val="left"/>
              <w:rPr>
                <w:rFonts w:ascii="Times New Roman" w:hAnsi="Times New Roman" w:cs="Times New Roman" w:eastAsia="Times New Roman" w:hint="default"/>
                <w:sz w:val="13"/>
                <w:szCs w:val="13"/>
              </w:rPr>
            </w:pPr>
            <w:r>
              <w:rPr>
                <w:rFonts w:ascii="Times New Roman"/>
                <w:sz w:val="13"/>
              </w:rPr>
              <w:t>1,235,782.10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308,621,714.83</w:t>
            </w:r>
          </w:p>
        </w:tc>
        <w:tc>
          <w:tcPr>
            <w:tcW w:w="59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3,071,103,612.60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3"/>
                <w:szCs w:val="13"/>
              </w:rPr>
            </w:pPr>
            <w:r>
              <w:rPr>
                <w:rFonts w:ascii="Times New Roman"/>
                <w:sz w:val="13"/>
              </w:rPr>
              <w:t>6,983,295,634.60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435,153,502.94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center"/>
              <w:rPr>
                <w:rFonts w:ascii="Times New Roman" w:hAnsi="Times New Roman" w:cs="Times New Roman" w:eastAsia="Times New Roman" w:hint="default"/>
                <w:sz w:val="13"/>
                <w:szCs w:val="13"/>
              </w:rPr>
            </w:pPr>
            <w:r>
              <w:rPr>
                <w:rFonts w:ascii="Times New Roman"/>
                <w:sz w:val="13"/>
              </w:rPr>
              <w:t>7,418,449,137.54</w:t>
            </w:r>
          </w:p>
        </w:tc>
      </w:tr>
    </w:tbl>
    <w:p>
      <w:pPr>
        <w:spacing w:before="92"/>
        <w:ind w:left="52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4489" w:val="left" w:leader="none"/>
          <w:tab w:pos="7728" w:val="left" w:leader="none"/>
          <w:tab w:pos="12053" w:val="left" w:leader="none"/>
        </w:tabs>
        <w:spacing w:before="83"/>
        <w:ind w:left="52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企业法定代表人：宋黎定</w:t>
        <w:tab/>
      </w:r>
      <w:r>
        <w:rPr>
          <w:rFonts w:ascii="宋体" w:hAnsi="宋体" w:cs="宋体" w:eastAsia="宋体" w:hint="default"/>
          <w:spacing w:val="-1"/>
          <w:sz w:val="18"/>
          <w:szCs w:val="18"/>
        </w:rPr>
        <w:t>公司总裁：徐刚</w:t>
        <w:tab/>
      </w:r>
      <w:r>
        <w:rPr>
          <w:rFonts w:ascii="宋体" w:hAnsi="宋体" w:cs="宋体" w:eastAsia="宋体" w:hint="default"/>
          <w:sz w:val="18"/>
          <w:szCs w:val="18"/>
        </w:rPr>
        <w:t>主管会计工作负责人：许海东</w:t>
        <w:tab/>
      </w:r>
      <w:r>
        <w:rPr>
          <w:rFonts w:ascii="宋体" w:hAnsi="宋体" w:cs="宋体" w:eastAsia="宋体" w:hint="default"/>
          <w:spacing w:val="-1"/>
          <w:sz w:val="18"/>
          <w:szCs w:val="18"/>
        </w:rPr>
        <w:t>会计机构负责人：许少霞</w:t>
      </w:r>
    </w:p>
    <w:p>
      <w:pPr>
        <w:spacing w:after="0"/>
        <w:jc w:val="left"/>
        <w:rPr>
          <w:rFonts w:ascii="宋体" w:hAnsi="宋体" w:cs="宋体" w:eastAsia="宋体" w:hint="default"/>
          <w:sz w:val="18"/>
          <w:szCs w:val="18"/>
        </w:rPr>
        <w:sectPr>
          <w:pgSz w:w="16840" w:h="11910" w:orient="landscape"/>
          <w:pgMar w:header="1448" w:footer="781" w:top="1640" w:bottom="980" w:left="440" w:right="440"/>
        </w:sectPr>
      </w:pPr>
    </w:p>
    <w:p>
      <w:pPr>
        <w:spacing w:before="38"/>
        <w:ind w:left="5941" w:right="5940" w:firstLine="0"/>
        <w:jc w:val="center"/>
        <w:rPr>
          <w:rFonts w:ascii="宋体" w:hAnsi="宋体" w:cs="宋体" w:eastAsia="宋体" w:hint="default"/>
          <w:sz w:val="18"/>
          <w:szCs w:val="18"/>
        </w:rPr>
      </w:pPr>
      <w:r>
        <w:rPr>
          <w:rFonts w:ascii="宋体" w:hAnsi="宋体" w:cs="宋体" w:eastAsia="宋体" w:hint="default"/>
          <w:b/>
          <w:bCs/>
          <w:sz w:val="18"/>
          <w:szCs w:val="18"/>
        </w:rPr>
        <w:t>母公司所有者权益变动表</w:t>
      </w:r>
      <w:r>
        <w:rPr>
          <w:rFonts w:ascii="宋体" w:hAnsi="宋体" w:cs="宋体" w:eastAsia="宋体" w:hint="default"/>
          <w:sz w:val="18"/>
          <w:szCs w:val="18"/>
        </w:rPr>
      </w:r>
    </w:p>
    <w:p>
      <w:pPr>
        <w:spacing w:before="45"/>
        <w:ind w:left="5943" w:right="5939"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24"/>
        <w:ind w:left="5943" w:right="5939"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p>
      <w:pPr>
        <w:spacing w:line="240" w:lineRule="auto" w:before="11"/>
        <w:rPr>
          <w:rFonts w:ascii="宋体" w:hAnsi="宋体" w:cs="宋体" w:eastAsia="宋体" w:hint="default"/>
          <w:b/>
          <w:bCs/>
          <w:sz w:val="13"/>
          <w:szCs w:val="13"/>
        </w:rPr>
      </w:pPr>
    </w:p>
    <w:tbl>
      <w:tblPr>
        <w:tblW w:w="0" w:type="auto"/>
        <w:jc w:val="left"/>
        <w:tblInd w:w="111" w:type="dxa"/>
        <w:tblLayout w:type="fixed"/>
        <w:tblCellMar>
          <w:top w:w="0" w:type="dxa"/>
          <w:left w:w="0" w:type="dxa"/>
          <w:bottom w:w="0" w:type="dxa"/>
          <w:right w:w="0" w:type="dxa"/>
        </w:tblCellMar>
        <w:tblLook w:val="01E0"/>
      </w:tblPr>
      <w:tblGrid>
        <w:gridCol w:w="3084"/>
        <w:gridCol w:w="1277"/>
        <w:gridCol w:w="711"/>
        <w:gridCol w:w="708"/>
        <w:gridCol w:w="564"/>
        <w:gridCol w:w="1277"/>
        <w:gridCol w:w="1277"/>
        <w:gridCol w:w="1274"/>
        <w:gridCol w:w="926"/>
        <w:gridCol w:w="1154"/>
        <w:gridCol w:w="1297"/>
        <w:gridCol w:w="1579"/>
      </w:tblGrid>
      <w:tr>
        <w:trPr>
          <w:trHeight w:val="269" w:hRule="exact"/>
        </w:trPr>
        <w:tc>
          <w:tcPr>
            <w:tcW w:w="30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04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71" w:hRule="exact"/>
        </w:trPr>
        <w:tc>
          <w:tcPr>
            <w:tcW w:w="3084"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9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35"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79"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5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6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69" w:hRule="exact"/>
        </w:trPr>
        <w:tc>
          <w:tcPr>
            <w:tcW w:w="308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0"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2,936,165,560.00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776,973,337.42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5"/>
                <w:szCs w:val="15"/>
              </w:rPr>
            </w:pPr>
            <w:r>
              <w:rPr>
                <w:rFonts w:ascii="Times New Roman"/>
                <w:spacing w:val="-1"/>
                <w:sz w:val="15"/>
              </w:rPr>
              <w:t>7,983,507.00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132,664,973.13</w:t>
            </w: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578,450,936.57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1,278,892,964.50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5,695,164,264.62</w:t>
            </w: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-168,105,388.45</w:t>
            </w: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16,975,515.35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152,779,638.10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1,649,765.00</w:t>
            </w: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70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705"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2,936,165,560.00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776,973,337.42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5"/>
                <w:szCs w:val="15"/>
              </w:rPr>
            </w:pPr>
            <w:r>
              <w:rPr>
                <w:rFonts w:ascii="Times New Roman"/>
                <w:spacing w:val="-1"/>
                <w:sz w:val="15"/>
              </w:rPr>
              <w:t>7,983,507.00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-35,440,415.32</w:t>
            </w: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595,426,451.92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1,431,672,602.60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5,696,814,029.62</w:t>
            </w: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-7,983,507.00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-4,332,538.85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5"/>
                <w:szCs w:val="15"/>
              </w:rPr>
            </w:pPr>
            <w:r>
              <w:rPr>
                <w:rFonts w:ascii="Times New Roman"/>
                <w:spacing w:val="-1"/>
                <w:sz w:val="15"/>
              </w:rPr>
              <w:t>-7,983,507.00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363,828,470.87</w:t>
            </w: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32,585,958.29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146,465,346.61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538,547,236.92</w:t>
            </w: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363,828,470.87</w:t>
            </w: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325,859,582.90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689,688,053.77</w:t>
            </w: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-7,983,507.00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1,219,363.65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5"/>
                <w:szCs w:val="15"/>
              </w:rPr>
            </w:pPr>
            <w:r>
              <w:rPr>
                <w:rFonts w:ascii="Times New Roman"/>
                <w:spacing w:val="-1"/>
                <w:sz w:val="15"/>
              </w:rPr>
              <w:t>-7,983,507.00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1,219,363.65</w:t>
            </w: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820,188.30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5"/>
                <w:szCs w:val="15"/>
              </w:rPr>
            </w:pPr>
            <w:r>
              <w:rPr>
                <w:rFonts w:ascii="Times New Roman"/>
                <w:spacing w:val="-1"/>
                <w:sz w:val="15"/>
              </w:rPr>
              <w:t>820,188.30</w:t>
            </w: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-7,983,507.00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399,175.35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5"/>
                <w:szCs w:val="15"/>
              </w:rPr>
            </w:pPr>
            <w:r>
              <w:rPr>
                <w:rFonts w:ascii="Times New Roman"/>
                <w:spacing w:val="-1"/>
                <w:sz w:val="15"/>
              </w:rPr>
              <w:t>-7,983,507.00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5"/>
                <w:szCs w:val="15"/>
              </w:rPr>
            </w:pPr>
            <w:r>
              <w:rPr>
                <w:rFonts w:ascii="Times New Roman"/>
                <w:spacing w:val="-1"/>
                <w:sz w:val="15"/>
              </w:rPr>
              <w:t>399,175.35</w:t>
            </w: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32,585,958.29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-179,394,236.29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-146,808,278.00</w:t>
            </w: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32,585,958.29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-32,585,958.29</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5"/>
                <w:szCs w:val="15"/>
              </w:rPr>
            </w:pPr>
            <w:r>
              <w:rPr>
                <w:rFonts w:ascii="Times New Roman"/>
                <w:spacing w:val="-1"/>
                <w:sz w:val="15"/>
              </w:rPr>
              <w:t>-146,808,278.00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5"/>
                <w:szCs w:val="15"/>
              </w:rPr>
            </w:pPr>
            <w:r>
              <w:rPr>
                <w:rFonts w:ascii="Times New Roman"/>
                <w:spacing w:val="-1"/>
                <w:sz w:val="15"/>
              </w:rPr>
              <w:t>-146,808,278.00</w:t>
            </w: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．其他综合收益结转留存收益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5"/>
                <w:szCs w:val="15"/>
              </w:rPr>
            </w:pPr>
            <w:r>
              <w:rPr>
                <w:rFonts w:ascii="Times New Roman"/>
                <w:spacing w:val="-1"/>
                <w:sz w:val="15"/>
              </w:rPr>
              <w:t>-5,551,902.50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5"/>
                <w:szCs w:val="15"/>
              </w:rPr>
            </w:pPr>
            <w:r>
              <w:rPr>
                <w:rFonts w:ascii="Times New Roman"/>
                <w:spacing w:val="-1"/>
                <w:sz w:val="15"/>
              </w:rPr>
              <w:t>-5,551,902.50</w:t>
            </w:r>
          </w:p>
        </w:tc>
      </w:tr>
      <w:tr>
        <w:trPr>
          <w:trHeight w:val="209"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2,928,182,053.00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772,640,798.57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328,388,055.55</w:t>
            </w:r>
          </w:p>
        </w:tc>
        <w:tc>
          <w:tcPr>
            <w:tcW w:w="9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628,012,410.21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1,578,137,949.21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6,235,361,266.54</w:t>
            </w:r>
          </w:p>
        </w:tc>
      </w:tr>
    </w:tbl>
    <w:p>
      <w:pPr>
        <w:spacing w:before="92"/>
        <w:ind w:left="22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4189" w:val="left" w:leader="none"/>
          <w:tab w:pos="7428" w:val="left" w:leader="none"/>
          <w:tab w:pos="11753" w:val="left" w:leader="none"/>
        </w:tabs>
        <w:spacing w:before="83"/>
        <w:ind w:left="22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企业法定代表人：宋黎定</w:t>
        <w:tab/>
      </w:r>
      <w:r>
        <w:rPr>
          <w:rFonts w:ascii="宋体" w:hAnsi="宋体" w:cs="宋体" w:eastAsia="宋体" w:hint="default"/>
          <w:spacing w:val="-1"/>
          <w:sz w:val="18"/>
          <w:szCs w:val="18"/>
        </w:rPr>
        <w:t>公司总裁：徐刚</w:t>
        <w:tab/>
      </w:r>
      <w:r>
        <w:rPr>
          <w:rFonts w:ascii="宋体" w:hAnsi="宋体" w:cs="宋体" w:eastAsia="宋体" w:hint="default"/>
          <w:sz w:val="18"/>
          <w:szCs w:val="18"/>
        </w:rPr>
        <w:t>主管会计工作负责人：许海东</w:t>
        <w:tab/>
      </w:r>
      <w:r>
        <w:rPr>
          <w:rFonts w:ascii="宋体" w:hAnsi="宋体" w:cs="宋体" w:eastAsia="宋体" w:hint="default"/>
          <w:spacing w:val="-1"/>
          <w:sz w:val="18"/>
          <w:szCs w:val="18"/>
        </w:rPr>
        <w:t>会计机构负责人：许少霞</w:t>
      </w:r>
    </w:p>
    <w:p>
      <w:pPr>
        <w:spacing w:after="0"/>
        <w:jc w:val="left"/>
        <w:rPr>
          <w:rFonts w:ascii="宋体" w:hAnsi="宋体" w:cs="宋体" w:eastAsia="宋体" w:hint="default"/>
          <w:sz w:val="18"/>
          <w:szCs w:val="18"/>
        </w:rPr>
        <w:sectPr>
          <w:pgSz w:w="16840" w:h="11910" w:orient="landscape"/>
          <w:pgMar w:header="1448" w:footer="781" w:top="1640" w:bottom="980" w:left="740" w:right="740"/>
        </w:sectPr>
      </w:pPr>
    </w:p>
    <w:p>
      <w:pPr>
        <w:spacing w:before="38"/>
        <w:ind w:left="5941" w:right="5940" w:firstLine="0"/>
        <w:jc w:val="center"/>
        <w:rPr>
          <w:rFonts w:ascii="宋体" w:hAnsi="宋体" w:cs="宋体" w:eastAsia="宋体" w:hint="default"/>
          <w:sz w:val="18"/>
          <w:szCs w:val="18"/>
        </w:rPr>
      </w:pPr>
      <w:r>
        <w:rPr>
          <w:rFonts w:ascii="宋体" w:hAnsi="宋体" w:cs="宋体" w:eastAsia="宋体" w:hint="default"/>
          <w:b/>
          <w:bCs/>
          <w:sz w:val="18"/>
          <w:szCs w:val="18"/>
        </w:rPr>
        <w:t>母公司所有者权益变动表（续）</w:t>
      </w:r>
      <w:r>
        <w:rPr>
          <w:rFonts w:ascii="宋体" w:hAnsi="宋体" w:cs="宋体" w:eastAsia="宋体" w:hint="default"/>
          <w:sz w:val="18"/>
          <w:szCs w:val="18"/>
        </w:rPr>
      </w:r>
    </w:p>
    <w:p>
      <w:pPr>
        <w:spacing w:before="38"/>
        <w:ind w:left="5943" w:right="5939"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31"/>
        <w:ind w:left="5942" w:right="5940"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p>
      <w:pPr>
        <w:spacing w:line="240" w:lineRule="auto" w:before="11"/>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3197"/>
        <w:gridCol w:w="1306"/>
        <w:gridCol w:w="682"/>
        <w:gridCol w:w="708"/>
        <w:gridCol w:w="725"/>
        <w:gridCol w:w="1286"/>
        <w:gridCol w:w="1136"/>
        <w:gridCol w:w="1416"/>
        <w:gridCol w:w="670"/>
        <w:gridCol w:w="1198"/>
        <w:gridCol w:w="1268"/>
        <w:gridCol w:w="1538"/>
      </w:tblGrid>
      <w:tr>
        <w:trPr>
          <w:trHeight w:val="271" w:hRule="exact"/>
        </w:trPr>
        <w:tc>
          <w:tcPr>
            <w:tcW w:w="31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93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69" w:hRule="exact"/>
        </w:trPr>
        <w:tc>
          <w:tcPr>
            <w:tcW w:w="3197" w:type="dxa"/>
            <w:vMerge/>
            <w:tcBorders>
              <w:left w:val="single" w:sz="4" w:space="0" w:color="000000"/>
              <w:right w:val="single" w:sz="4" w:space="0" w:color="000000"/>
            </w:tcBorders>
          </w:tcPr>
          <w:p>
            <w:pP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1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00"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249"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670" w:type="dxa"/>
            <w:vMerge w:val="restart"/>
            <w:tcBorders>
              <w:top w:val="single" w:sz="4" w:space="0" w:color="000000"/>
              <w:left w:val="single" w:sz="4" w:space="0" w:color="000000"/>
              <w:right w:val="single" w:sz="4" w:space="0" w:color="000000"/>
            </w:tcBorders>
          </w:tcPr>
          <w:p>
            <w:pPr>
              <w:pStyle w:val="TableParagraph"/>
              <w:spacing w:line="319" w:lineRule="auto" w:before="45"/>
              <w:ind w:left="254" w:right="101"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3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71" w:hRule="exact"/>
        </w:trPr>
        <w:tc>
          <w:tcPr>
            <w:tcW w:w="3197"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7"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8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2,944,069,459.00</w:t>
            </w: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745,351,384.17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7,903,899.00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1,245,632,435.40</w:t>
            </w: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3" w:right="0"/>
              <w:jc w:val="center"/>
              <w:rPr>
                <w:rFonts w:ascii="Times New Roman" w:hAnsi="Times New Roman" w:cs="Times New Roman" w:eastAsia="Times New Roman" w:hint="default"/>
                <w:sz w:val="15"/>
                <w:szCs w:val="15"/>
              </w:rPr>
            </w:pPr>
            <w:r>
              <w:rPr>
                <w:rFonts w:ascii="Times New Roman"/>
                <w:sz w:val="15"/>
              </w:rPr>
              <w:t>457,041,664.38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362,853,682.37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5,747,044,726.32</w:t>
            </w: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14,517,096.51</w:t>
            </w: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0" w:right="0"/>
              <w:jc w:val="center"/>
              <w:rPr>
                <w:rFonts w:ascii="Times New Roman" w:hAnsi="Times New Roman" w:cs="Times New Roman" w:eastAsia="Times New Roman" w:hint="default"/>
                <w:sz w:val="15"/>
                <w:szCs w:val="15"/>
              </w:rPr>
            </w:pPr>
            <w:r>
              <w:rPr>
                <w:rFonts w:ascii="Times New Roman"/>
                <w:sz w:val="15"/>
              </w:rPr>
              <w:t>50,958,080.59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458,622,725.33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524,097,902.43</w:t>
            </w:r>
          </w:p>
        </w:tc>
      </w:tr>
      <w:tr>
        <w:trPr>
          <w:trHeight w:val="229"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0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05"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2,944,069,459.00</w:t>
            </w: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745,351,384.17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7,903,899.00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1,260,149,531.91</w:t>
            </w: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3" w:right="0"/>
              <w:jc w:val="center"/>
              <w:rPr>
                <w:rFonts w:ascii="Times New Roman" w:hAnsi="Times New Roman" w:cs="Times New Roman" w:eastAsia="Times New Roman" w:hint="default"/>
                <w:sz w:val="15"/>
                <w:szCs w:val="15"/>
              </w:rPr>
            </w:pPr>
            <w:r>
              <w:rPr>
                <w:rFonts w:ascii="Times New Roman"/>
                <w:sz w:val="15"/>
              </w:rPr>
              <w:t>507,999,744.97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821,476,407.70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6,271,142,628.75</w:t>
            </w: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-7,903,899.00</w:t>
            </w: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31,621,953.25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79,608.00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-1,127,484,558.78</w:t>
            </w: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0" w:right="0"/>
              <w:jc w:val="center"/>
              <w:rPr>
                <w:rFonts w:ascii="Times New Roman" w:hAnsi="Times New Roman" w:cs="Times New Roman" w:eastAsia="Times New Roman" w:hint="default"/>
                <w:sz w:val="15"/>
                <w:szCs w:val="15"/>
              </w:rPr>
            </w:pPr>
            <w:r>
              <w:rPr>
                <w:rFonts w:ascii="Times New Roman"/>
                <w:sz w:val="15"/>
              </w:rPr>
              <w:t>70,451,191.60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457,416,556.80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-575,978,364.13</w:t>
            </w: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-1,127,484,558.78</w:t>
            </w: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2"/>
                <w:sz w:val="15"/>
              </w:rPr>
              <w:t>704,511,915.94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-422,972,642.84</w:t>
            </w: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-7,903,899.00</w:t>
            </w: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31,621,953.25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79,608.00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23,638,446.25</w:t>
            </w:r>
          </w:p>
        </w:tc>
      </w:tr>
      <w:tr>
        <w:trPr>
          <w:trHeight w:val="228"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-87,743,292.34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15"/>
                <w:szCs w:val="15"/>
              </w:rPr>
            </w:pPr>
            <w:r>
              <w:rPr>
                <w:rFonts w:ascii="Times New Roman"/>
                <w:spacing w:val="-1"/>
                <w:sz w:val="15"/>
              </w:rPr>
              <w:t>-87,743,292.34</w:t>
            </w: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23,164,213.31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23,164,213.31</w:t>
            </w: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-7,903,899.00</w:t>
            </w: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96,201,032.28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79,608.00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88,217,525.28</w:t>
            </w: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0" w:right="0"/>
              <w:jc w:val="center"/>
              <w:rPr>
                <w:rFonts w:ascii="Times New Roman" w:hAnsi="Times New Roman" w:cs="Times New Roman" w:eastAsia="Times New Roman" w:hint="default"/>
                <w:sz w:val="15"/>
                <w:szCs w:val="15"/>
              </w:rPr>
            </w:pPr>
            <w:r>
              <w:rPr>
                <w:rFonts w:ascii="Times New Roman"/>
                <w:sz w:val="15"/>
              </w:rPr>
              <w:t>70,451,191.60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-247,095,359.14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15"/>
                <w:szCs w:val="15"/>
              </w:rPr>
            </w:pPr>
            <w:r>
              <w:rPr>
                <w:rFonts w:ascii="Times New Roman"/>
                <w:spacing w:val="-1"/>
                <w:sz w:val="15"/>
              </w:rPr>
              <w:t>-176,644,167.54</w:t>
            </w:r>
          </w:p>
        </w:tc>
      </w:tr>
      <w:tr>
        <w:trPr>
          <w:trHeight w:val="23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0" w:right="0"/>
              <w:jc w:val="center"/>
              <w:rPr>
                <w:rFonts w:ascii="Times New Roman" w:hAnsi="Times New Roman" w:cs="Times New Roman" w:eastAsia="Times New Roman" w:hint="default"/>
                <w:sz w:val="15"/>
                <w:szCs w:val="15"/>
              </w:rPr>
            </w:pPr>
            <w:r>
              <w:rPr>
                <w:rFonts w:ascii="Times New Roman"/>
                <w:sz w:val="15"/>
              </w:rPr>
              <w:t>70,451,191.60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-70,451,191.60</w:t>
            </w: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-176,644,167.54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15"/>
                <w:szCs w:val="15"/>
              </w:rPr>
            </w:pPr>
            <w:r>
              <w:rPr>
                <w:rFonts w:ascii="Times New Roman"/>
                <w:spacing w:val="-1"/>
                <w:sz w:val="15"/>
              </w:rPr>
              <w:t>-176,644,167.54</w:t>
            </w: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3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2,936,165,560.00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776,973,337.42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15"/>
                <w:szCs w:val="15"/>
              </w:rPr>
            </w:pPr>
            <w:r>
              <w:rPr>
                <w:rFonts w:ascii="Times New Roman"/>
                <w:spacing w:val="-1"/>
                <w:sz w:val="15"/>
              </w:rPr>
              <w:t>7,983,507.00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15"/>
                <w:szCs w:val="15"/>
              </w:rPr>
            </w:pPr>
            <w:r>
              <w:rPr>
                <w:rFonts w:ascii="Times New Roman"/>
                <w:spacing w:val="-1"/>
                <w:sz w:val="15"/>
              </w:rPr>
              <w:t>132,664,973.13</w:t>
            </w:r>
          </w:p>
        </w:tc>
        <w:tc>
          <w:tcPr>
            <w:tcW w:w="6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3" w:right="0"/>
              <w:jc w:val="center"/>
              <w:rPr>
                <w:rFonts w:ascii="Times New Roman" w:hAnsi="Times New Roman" w:cs="Times New Roman" w:eastAsia="Times New Roman" w:hint="default"/>
                <w:sz w:val="15"/>
                <w:szCs w:val="15"/>
              </w:rPr>
            </w:pPr>
            <w:r>
              <w:rPr>
                <w:rFonts w:ascii="Times New Roman"/>
                <w:sz w:val="15"/>
              </w:rPr>
              <w:t>578,450,936.57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1,278,892,964.50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15"/>
                <w:szCs w:val="15"/>
              </w:rPr>
            </w:pPr>
            <w:r>
              <w:rPr>
                <w:rFonts w:ascii="Times New Roman"/>
                <w:spacing w:val="-1"/>
                <w:sz w:val="15"/>
              </w:rPr>
              <w:t>5,695,164,264.62</w:t>
            </w:r>
          </w:p>
        </w:tc>
      </w:tr>
    </w:tbl>
    <w:p>
      <w:pPr>
        <w:spacing w:before="92"/>
        <w:ind w:left="22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4189" w:val="left" w:leader="none"/>
          <w:tab w:pos="7428" w:val="left" w:leader="none"/>
          <w:tab w:pos="11753" w:val="left" w:leader="none"/>
        </w:tabs>
        <w:spacing w:before="83"/>
        <w:ind w:left="22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企业法定代表人：宋黎定</w:t>
        <w:tab/>
      </w:r>
      <w:r>
        <w:rPr>
          <w:rFonts w:ascii="宋体" w:hAnsi="宋体" w:cs="宋体" w:eastAsia="宋体" w:hint="default"/>
          <w:spacing w:val="-1"/>
          <w:sz w:val="18"/>
          <w:szCs w:val="18"/>
        </w:rPr>
        <w:t>公司总裁：徐刚</w:t>
        <w:tab/>
      </w:r>
      <w:r>
        <w:rPr>
          <w:rFonts w:ascii="宋体" w:hAnsi="宋体" w:cs="宋体" w:eastAsia="宋体" w:hint="default"/>
          <w:sz w:val="18"/>
          <w:szCs w:val="18"/>
        </w:rPr>
        <w:t>主管会计工作负责人：许海东</w:t>
        <w:tab/>
      </w:r>
      <w:r>
        <w:rPr>
          <w:rFonts w:ascii="宋体" w:hAnsi="宋体" w:cs="宋体" w:eastAsia="宋体" w:hint="default"/>
          <w:spacing w:val="-1"/>
          <w:sz w:val="18"/>
          <w:szCs w:val="18"/>
        </w:rPr>
        <w:t>会计机构负责人：许少霞</w:t>
      </w:r>
    </w:p>
    <w:p>
      <w:pPr>
        <w:spacing w:after="0"/>
        <w:jc w:val="left"/>
        <w:rPr>
          <w:rFonts w:ascii="宋体" w:hAnsi="宋体" w:cs="宋体" w:eastAsia="宋体" w:hint="default"/>
          <w:sz w:val="18"/>
          <w:szCs w:val="18"/>
        </w:rPr>
        <w:sectPr>
          <w:pgSz w:w="16840" w:h="11910" w:orient="landscape"/>
          <w:pgMar w:header="1448" w:footer="781" w:top="1640" w:bottom="980" w:left="740" w:right="740"/>
        </w:sectPr>
      </w:pPr>
    </w:p>
    <w:p>
      <w:pPr>
        <w:spacing w:line="240" w:lineRule="auto" w:before="5"/>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3"/>
          <w:szCs w:val="13"/>
        </w:rPr>
      </w:pPr>
    </w:p>
    <w:p>
      <w:pPr>
        <w:spacing w:line="259" w:lineRule="auto" w:before="0"/>
        <w:ind w:left="2368" w:right="3683" w:hanging="323"/>
        <w:jc w:val="left"/>
        <w:rPr>
          <w:rFonts w:ascii="宋体" w:hAnsi="宋体" w:cs="宋体" w:eastAsia="宋体" w:hint="default"/>
          <w:sz w:val="32"/>
          <w:szCs w:val="32"/>
        </w:rPr>
      </w:pPr>
      <w:r>
        <w:rPr>
          <w:rFonts w:ascii="宋体" w:hAnsi="宋体" w:cs="宋体" w:eastAsia="宋体" w:hint="default"/>
          <w:b/>
          <w:bCs/>
          <w:sz w:val="32"/>
          <w:szCs w:val="32"/>
        </w:rPr>
        <w:t>中国长城科技集团股份有限公司</w:t>
      </w:r>
      <w:r>
        <w:rPr>
          <w:rFonts w:ascii="宋体" w:hAnsi="宋体" w:cs="宋体" w:eastAsia="宋体" w:hint="default"/>
          <w:b/>
          <w:bCs/>
          <w:w w:val="99"/>
          <w:sz w:val="32"/>
          <w:szCs w:val="32"/>
        </w:rPr>
        <w:t> </w:t>
      </w:r>
      <w:r>
        <w:rPr>
          <w:rFonts w:ascii="宋体" w:hAnsi="宋体" w:cs="宋体" w:eastAsia="宋体" w:hint="default"/>
          <w:b/>
          <w:bCs/>
          <w:sz w:val="32"/>
          <w:szCs w:val="32"/>
        </w:rPr>
        <w:t>二〇一九年度财务报表附注</w:t>
      </w:r>
      <w:r>
        <w:rPr>
          <w:rFonts w:ascii="宋体" w:hAnsi="宋体" w:cs="宋体" w:eastAsia="宋体" w:hint="default"/>
          <w:sz w:val="32"/>
          <w:szCs w:val="32"/>
        </w:rPr>
      </w:r>
    </w:p>
    <w:p>
      <w:pPr>
        <w:pStyle w:val="Heading4"/>
        <w:spacing w:line="240" w:lineRule="auto" w:before="26"/>
        <w:ind w:left="2005" w:right="1468"/>
        <w:jc w:val="left"/>
        <w:rPr>
          <w:b w:val="0"/>
          <w:bCs w:val="0"/>
        </w:rPr>
      </w:pPr>
      <w:r>
        <w:rPr/>
        <w:t>（除特殊注明外，金额单位均为人民币元）</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19"/>
          <w:szCs w:val="19"/>
        </w:rPr>
      </w:pPr>
    </w:p>
    <w:p>
      <w:pPr>
        <w:pStyle w:val="Heading5"/>
        <w:tabs>
          <w:tab w:pos="850" w:val="left" w:leader="none"/>
        </w:tabs>
        <w:spacing w:line="240" w:lineRule="auto" w:before="0"/>
        <w:ind w:right="3683"/>
        <w:jc w:val="left"/>
        <w:rPr>
          <w:b w:val="0"/>
          <w:bCs w:val="0"/>
        </w:rPr>
      </w:pPr>
      <w:r>
        <w:rPr/>
        <w:t>一、</w:t>
        <w:tab/>
        <w:t>公司基本情况</w:t>
      </w:r>
      <w:r>
        <w:rPr>
          <w:b w:val="0"/>
          <w:bCs w:val="0"/>
        </w:rPr>
      </w:r>
    </w:p>
    <w:p>
      <w:pPr>
        <w:pStyle w:val="BodyText"/>
        <w:tabs>
          <w:tab w:pos="850" w:val="left" w:leader="none"/>
        </w:tabs>
        <w:spacing w:line="340" w:lineRule="auto" w:before="123"/>
        <w:ind w:left="850" w:right="1786" w:hanging="713"/>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tab/>
      </w:r>
      <w:r>
        <w:rPr>
          <w:rFonts w:ascii="宋体" w:hAnsi="宋体" w:cs="宋体" w:eastAsia="宋体" w:hint="default"/>
          <w:b/>
          <w:bCs/>
        </w:rPr>
        <w:t>公司概况</w:t>
      </w:r>
      <w:r>
        <w:rPr>
          <w:rFonts w:ascii="宋体" w:hAnsi="宋体" w:cs="宋体" w:eastAsia="宋体" w:hint="default"/>
          <w:b/>
          <w:bCs/>
          <w:w w:val="100"/>
        </w:rPr>
        <w:t> </w:t>
      </w:r>
      <w:r>
        <w:rPr>
          <w:spacing w:val="-2"/>
        </w:rPr>
        <w:t>中国长城科技集团股份有限公司（原名中国长城计算机深圳股份有限公司，以下简</w:t>
      </w:r>
      <w:r>
        <w:rPr>
          <w:w w:val="100"/>
        </w:rPr>
        <w:t> </w:t>
      </w:r>
      <w:r>
        <w:rPr>
          <w:spacing w:val="-5"/>
        </w:rPr>
        <w:t>称</w:t>
      </w:r>
      <w:r>
        <w:rPr>
          <w:rFonts w:ascii="Times New Roman" w:hAnsi="Times New Roman" w:cs="Times New Roman" w:eastAsia="Times New Roman" w:hint="default"/>
          <w:spacing w:val="-5"/>
        </w:rPr>
        <w:t>“</w:t>
      </w:r>
      <w:r>
        <w:rPr>
          <w:spacing w:val="-5"/>
        </w:rPr>
        <w:t>中国长城</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公司</w:t>
      </w:r>
      <w:r>
        <w:rPr>
          <w:rFonts w:ascii="Times New Roman" w:hAnsi="Times New Roman" w:cs="Times New Roman" w:eastAsia="Times New Roman" w:hint="default"/>
          <w:spacing w:val="-5"/>
        </w:rPr>
        <w:t>”</w:t>
      </w:r>
      <w:r>
        <w:rPr>
          <w:spacing w:val="-5"/>
        </w:rPr>
        <w:t>或</w:t>
      </w:r>
      <w:r>
        <w:rPr>
          <w:rFonts w:ascii="Times New Roman" w:hAnsi="Times New Roman" w:cs="Times New Roman" w:eastAsia="Times New Roman" w:hint="default"/>
          <w:spacing w:val="-5"/>
        </w:rPr>
        <w:t>“</w:t>
      </w:r>
      <w:r>
        <w:rPr>
          <w:spacing w:val="-5"/>
        </w:rPr>
        <w:t>本公司</w:t>
      </w:r>
      <w:r>
        <w:rPr>
          <w:rFonts w:ascii="Times New Roman" w:hAnsi="Times New Roman" w:cs="Times New Roman" w:eastAsia="Times New Roman" w:hint="default"/>
          <w:spacing w:val="-5"/>
        </w:rPr>
        <w:t>”</w:t>
      </w:r>
      <w:r>
        <w:rPr>
          <w:spacing w:val="-5"/>
        </w:rPr>
        <w:t>）成立于</w:t>
      </w:r>
      <w:r>
        <w:rPr>
          <w:spacing w:val="-44"/>
        </w:rPr>
        <w:t> </w:t>
      </w:r>
      <w:r>
        <w:rPr>
          <w:rFonts w:ascii="Times New Roman" w:hAnsi="Times New Roman" w:cs="Times New Roman" w:eastAsia="Times New Roman" w:hint="default"/>
        </w:rPr>
        <w:t>1997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spacing w:val="-5"/>
        </w:rPr>
        <w:t>日，注册地为深圳市南山</w:t>
      </w:r>
      <w:r>
        <w:rPr>
          <w:w w:val="100"/>
        </w:rPr>
        <w:t> </w:t>
      </w:r>
      <w:r>
        <w:rPr>
          <w:spacing w:val="-2"/>
        </w:rPr>
        <w:t>区科技园长城计算机大厦，公司组织形式为上市股份有限公司，企业统一信用代码</w:t>
      </w:r>
      <w:r>
        <w:rPr>
          <w:w w:val="100"/>
        </w:rPr>
        <w:t> </w:t>
      </w:r>
      <w:r>
        <w:rPr/>
        <w:t>为</w:t>
      </w:r>
      <w:r>
        <w:rPr>
          <w:spacing w:val="-56"/>
        </w:rPr>
        <w:t> </w:t>
      </w:r>
      <w:r>
        <w:rPr>
          <w:rFonts w:ascii="Times New Roman" w:hAnsi="Times New Roman" w:cs="Times New Roman" w:eastAsia="Times New Roman" w:hint="default"/>
        </w:rPr>
        <w:t>91440300279351261M</w:t>
      </w:r>
      <w:r>
        <w:rPr/>
        <w:t>，法定代表人为宋黎定。</w:t>
      </w:r>
    </w:p>
    <w:p>
      <w:pPr>
        <w:pStyle w:val="BodyText"/>
        <w:spacing w:line="343" w:lineRule="auto" w:before="12"/>
        <w:ind w:left="850" w:right="1468"/>
        <w:jc w:val="left"/>
      </w:pPr>
      <w:r>
        <w:rPr/>
        <w:t>经</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3"/>
        </w:rPr>
        <w:t>日公司第六届董事会、</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年度第二次临时股</w:t>
      </w:r>
      <w:r>
        <w:rPr>
          <w:spacing w:val="-100"/>
        </w:rPr>
        <w:t> </w:t>
      </w:r>
      <w:r>
        <w:rPr>
          <w:spacing w:val="-100"/>
        </w:rPr>
      </w:r>
      <w:r>
        <w:rPr>
          <w:spacing w:val="-3"/>
        </w:rPr>
        <w:t>东大会审议，中国长城中文名称由</w:t>
      </w:r>
      <w:r>
        <w:rPr>
          <w:rFonts w:ascii="Times New Roman" w:hAnsi="Times New Roman" w:cs="Times New Roman" w:eastAsia="Times New Roman" w:hint="default"/>
          <w:spacing w:val="-3"/>
        </w:rPr>
        <w:t>“</w:t>
      </w:r>
      <w:r>
        <w:rPr>
          <w:spacing w:val="-3"/>
        </w:rPr>
        <w:t>中国长城计算机深圳股份有限公司</w:t>
      </w:r>
      <w:r>
        <w:rPr>
          <w:rFonts w:ascii="Times New Roman" w:hAnsi="Times New Roman" w:cs="Times New Roman" w:eastAsia="Times New Roman" w:hint="default"/>
          <w:spacing w:val="-3"/>
        </w:rPr>
        <w:t>”</w:t>
      </w:r>
      <w:r>
        <w:rPr>
          <w:spacing w:val="-3"/>
        </w:rPr>
        <w:t>变更为</w:t>
      </w:r>
      <w:r>
        <w:rPr>
          <w:rFonts w:ascii="Times New Roman" w:hAnsi="Times New Roman" w:cs="Times New Roman" w:eastAsia="Times New Roman" w:hint="default"/>
          <w:spacing w:val="-3"/>
        </w:rPr>
        <w:t>“</w:t>
      </w:r>
      <w:r>
        <w:rPr>
          <w:spacing w:val="-3"/>
        </w:rPr>
        <w:t>中国</w:t>
      </w:r>
      <w:r>
        <w:rPr>
          <w:spacing w:val="-32"/>
        </w:rPr>
        <w:t> </w:t>
      </w:r>
      <w:r>
        <w:rPr/>
        <w:t>长城科技集团股份有限公司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日，中国长城取得深圳市市场监督管</w:t>
      </w:r>
      <w:r>
        <w:rPr>
          <w:w w:val="100"/>
        </w:rPr>
        <w:t> </w:t>
      </w:r>
      <w:r>
        <w:rPr>
          <w:spacing w:val="-5"/>
          <w:w w:val="100"/>
        </w:rPr>
        <w:t>理局换发的《营业执照》，完成上述事项相关工商变更登记手续。</w:t>
      </w:r>
      <w:r>
        <w:rPr>
          <w:w w:val="100"/>
        </w:rPr>
        <w:t> </w:t>
      </w:r>
      <w:r>
        <w:rPr/>
        <w:t>本公司所属行业为计算机及相关设备制造业，经营范围为：计算机软件、硬件、终</w:t>
      </w:r>
      <w:r>
        <w:rPr>
          <w:w w:val="100"/>
        </w:rPr>
        <w:t> </w:t>
      </w:r>
      <w:r>
        <w:rPr>
          <w:spacing w:val="-4"/>
        </w:rPr>
        <w:t>端及其外部设备、网络系统及系统集成、电子产品及零部件、金融机具、税控机具、</w:t>
      </w:r>
      <w:r>
        <w:rPr>
          <w:spacing w:val="-29"/>
        </w:rPr>
        <w:t> </w:t>
      </w:r>
      <w:r>
        <w:rPr>
          <w:spacing w:val="-29"/>
        </w:rPr>
      </w:r>
      <w:r>
        <w:rPr>
          <w:spacing w:val="-7"/>
          <w:w w:val="100"/>
        </w:rPr>
        <w:t>计量仪表、安防产品、移动通讯设备、无线电话机（手机）、通信及网络产品、数字</w:t>
      </w:r>
      <w:r>
        <w:rPr>
          <w:spacing w:val="-72"/>
          <w:w w:val="100"/>
        </w:rPr>
        <w:t> </w:t>
      </w:r>
      <w:r>
        <w:rPr>
          <w:spacing w:val="-72"/>
          <w:w w:val="100"/>
        </w:rPr>
      </w:r>
      <w:r>
        <w:rPr/>
        <w:t>音视频产品的技术开发、生产、加工、销售及售后服务，并提供相关的技术和咨询</w:t>
      </w:r>
      <w:r>
        <w:rPr>
          <w:w w:val="100"/>
        </w:rPr>
        <w:t> </w:t>
      </w:r>
      <w:r>
        <w:rPr>
          <w:spacing w:val="-6"/>
        </w:rPr>
        <w:t>服务；经营自行开发的电子出版物、零售各类软件及电子出版物；投资兴办实业（具</w:t>
      </w:r>
      <w:r>
        <w:rPr>
          <w:spacing w:val="-60"/>
        </w:rPr>
        <w:t> </w:t>
      </w:r>
      <w:r>
        <w:rPr>
          <w:spacing w:val="-60"/>
        </w:rPr>
      </w:r>
      <w:r>
        <w:rPr>
          <w:spacing w:val="-7"/>
          <w:w w:val="100"/>
        </w:rPr>
        <w:t>体项目另行申报）；自营进出口业务（具体按深贸营登证字第</w:t>
      </w:r>
      <w:r>
        <w:rPr>
          <w:spacing w:val="-52"/>
          <w:w w:val="100"/>
        </w:rPr>
        <w:t> </w:t>
      </w:r>
      <w:r>
        <w:rPr>
          <w:rFonts w:ascii="Times New Roman" w:hAnsi="Times New Roman" w:cs="Times New Roman" w:eastAsia="Times New Roman" w:hint="default"/>
          <w:spacing w:val="-2"/>
          <w:w w:val="100"/>
        </w:rPr>
        <w:t>49</w:t>
      </w:r>
      <w:r>
        <w:rPr>
          <w:rFonts w:ascii="Times New Roman" w:hAnsi="Times New Roman" w:cs="Times New Roman" w:eastAsia="Times New Roman" w:hint="default"/>
          <w:spacing w:val="1"/>
          <w:w w:val="100"/>
        </w:rPr>
        <w:t> </w:t>
      </w:r>
      <w:r>
        <w:rPr>
          <w:spacing w:val="-16"/>
          <w:w w:val="100"/>
        </w:rPr>
        <w:t>号文执行）；房地产</w:t>
      </w:r>
      <w:r>
        <w:rPr>
          <w:spacing w:val="-103"/>
          <w:w w:val="100"/>
        </w:rPr>
        <w:t> </w:t>
      </w:r>
      <w:r>
        <w:rPr>
          <w:spacing w:val="-103"/>
          <w:w w:val="100"/>
        </w:rPr>
      </w:r>
      <w:r>
        <w:rPr/>
        <w:t>开发经营；房屋、设备等固定资产租赁、物业管理及相关服务业务；国内商业、物</w:t>
      </w:r>
      <w:r>
        <w:rPr>
          <w:w w:val="100"/>
        </w:rPr>
        <w:t> </w:t>
      </w:r>
      <w:r>
        <w:rPr>
          <w:spacing w:val="-7"/>
          <w:w w:val="100"/>
        </w:rPr>
        <w:t>资供销业（不含专营、专控、专卖商品）。（依法须经批准的项目，经相关部门批准</w:t>
      </w:r>
      <w:r>
        <w:rPr>
          <w:spacing w:val="-103"/>
          <w:w w:val="100"/>
        </w:rPr>
        <w:t> </w:t>
      </w:r>
      <w:r>
        <w:rPr>
          <w:spacing w:val="-103"/>
          <w:w w:val="100"/>
        </w:rPr>
      </w:r>
      <w:r>
        <w:rPr/>
        <w:t>后方可开展经营活动；法律、法规规定无需许可（审批）的，市场主体自主选择经</w:t>
      </w:r>
      <w:r>
        <w:rPr>
          <w:w w:val="100"/>
        </w:rPr>
        <w:t> </w:t>
      </w:r>
      <w:r>
        <w:rPr>
          <w:spacing w:val="-36"/>
          <w:w w:val="100"/>
        </w:rPr>
        <w:t>营。）</w:t>
      </w:r>
    </w:p>
    <w:p>
      <w:pPr>
        <w:pStyle w:val="BodyText"/>
        <w:spacing w:line="350" w:lineRule="auto" w:before="35"/>
        <w:ind w:left="850" w:right="1468"/>
        <w:jc w:val="left"/>
      </w:pPr>
      <w:r>
        <w:rPr>
          <w:spacing w:val="-2"/>
        </w:rPr>
        <w:t>本公司的母公司和实际控制人均为中国电子信息产业集团有限公司。</w:t>
      </w:r>
      <w:r>
        <w:rPr>
          <w:spacing w:val="-48"/>
        </w:rPr>
        <w:t> </w:t>
      </w:r>
      <w:r>
        <w:rPr>
          <w:spacing w:val="-48"/>
        </w:rPr>
      </w:r>
      <w:r>
        <w:rPr/>
        <w:t>本财务报表业经公司董事会于</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日批准报出。</w:t>
      </w:r>
    </w:p>
    <w:p>
      <w:pPr>
        <w:pStyle w:val="Heading5"/>
        <w:tabs>
          <w:tab w:pos="850" w:val="left" w:leader="none"/>
        </w:tabs>
        <w:spacing w:line="240" w:lineRule="auto" w:before="0"/>
        <w:ind w:right="36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合并财务报表范围</w:t>
      </w:r>
      <w:r>
        <w:rPr>
          <w:b w:val="0"/>
          <w:bCs w:val="0"/>
        </w:rPr>
      </w:r>
    </w:p>
    <w:p>
      <w:pPr>
        <w:pStyle w:val="BodyText"/>
        <w:spacing w:line="240" w:lineRule="auto" w:before="110"/>
        <w:ind w:left="850" w:right="1468"/>
        <w:jc w:val="left"/>
      </w:pPr>
      <w:r>
        <w:rPr/>
        <w:t>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日止，本公司合并财务报表范围内子公司如下：</w:t>
      </w:r>
    </w:p>
    <w:tbl>
      <w:tblPr>
        <w:tblW w:w="0" w:type="auto"/>
        <w:jc w:val="left"/>
        <w:tblInd w:w="750" w:type="dxa"/>
        <w:tblLayout w:type="fixed"/>
        <w:tblCellMar>
          <w:top w:w="0" w:type="dxa"/>
          <w:left w:w="0" w:type="dxa"/>
          <w:bottom w:w="0" w:type="dxa"/>
          <w:right w:w="0" w:type="dxa"/>
        </w:tblCellMar>
        <w:tblLook w:val="01E0"/>
      </w:tblPr>
      <w:tblGrid>
        <w:gridCol w:w="8190"/>
      </w:tblGrid>
      <w:tr>
        <w:trPr>
          <w:trHeight w:val="365" w:hRule="exact"/>
        </w:trPr>
        <w:tc>
          <w:tcPr>
            <w:tcW w:w="8190" w:type="dxa"/>
            <w:tcBorders>
              <w:top w:val="single" w:sz="12" w:space="0" w:color="000000"/>
              <w:left w:val="nil" w:sz="6" w:space="0" w:color="auto"/>
              <w:bottom w:val="dotted" w:sz="4" w:space="0" w:color="000000"/>
              <w:right w:val="nil" w:sz="6" w:space="0" w:color="auto"/>
            </w:tcBorders>
          </w:tcPr>
          <w:p>
            <w:pPr>
              <w:pStyle w:val="TableParagraph"/>
              <w:spacing w:line="240" w:lineRule="auto" w:before="44"/>
              <w:ind w:right="0"/>
              <w:jc w:val="center"/>
              <w:rPr>
                <w:rFonts w:ascii="宋体" w:hAnsi="宋体" w:cs="宋体" w:eastAsia="宋体" w:hint="default"/>
                <w:sz w:val="16"/>
                <w:szCs w:val="16"/>
              </w:rPr>
            </w:pPr>
            <w:r>
              <w:rPr>
                <w:rFonts w:ascii="宋体" w:hAnsi="宋体" w:cs="宋体" w:eastAsia="宋体" w:hint="default"/>
                <w:sz w:val="16"/>
                <w:szCs w:val="16"/>
              </w:rPr>
              <w:t>子公司名称</w:t>
            </w:r>
          </w:p>
        </w:tc>
      </w:tr>
      <w:tr>
        <w:trPr>
          <w:trHeight w:val="353"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1"/>
              <w:ind w:left="108" w:right="0"/>
              <w:jc w:val="left"/>
              <w:rPr>
                <w:rFonts w:ascii="宋体" w:hAnsi="宋体" w:cs="宋体" w:eastAsia="宋体" w:hint="default"/>
                <w:sz w:val="16"/>
                <w:szCs w:val="16"/>
              </w:rPr>
            </w:pPr>
            <w:r>
              <w:rPr>
                <w:rFonts w:ascii="宋体" w:hAnsi="宋体" w:cs="宋体" w:eastAsia="宋体" w:hint="default"/>
                <w:sz w:val="16"/>
                <w:szCs w:val="16"/>
              </w:rPr>
              <w:t>湖南长城科技信息有限公司</w:t>
            </w:r>
          </w:p>
        </w:tc>
      </w:tr>
      <w:tr>
        <w:trPr>
          <w:trHeight w:val="353"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深圳中电长城能源有限公司</w:t>
            </w:r>
          </w:p>
        </w:tc>
      </w:tr>
      <w:tr>
        <w:trPr>
          <w:trHeight w:val="353"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海南长城系统科技有限公司</w:t>
            </w:r>
          </w:p>
        </w:tc>
      </w:tr>
      <w:tr>
        <w:trPr>
          <w:trHeight w:val="355"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湖南长城计算机系统有限公司</w:t>
            </w:r>
          </w:p>
        </w:tc>
      </w:tr>
      <w:tr>
        <w:trPr>
          <w:trHeight w:val="365" w:hRule="exact"/>
        </w:trPr>
        <w:tc>
          <w:tcPr>
            <w:tcW w:w="8190" w:type="dxa"/>
            <w:tcBorders>
              <w:top w:val="dotted" w:sz="4" w:space="0" w:color="000000"/>
              <w:left w:val="nil" w:sz="6" w:space="0" w:color="auto"/>
              <w:bottom w:val="single" w:sz="12"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中国长城计算机（香港）控股有限公司</w:t>
            </w:r>
          </w:p>
        </w:tc>
      </w:tr>
    </w:tbl>
    <w:p>
      <w:pPr>
        <w:spacing w:after="0" w:line="240" w:lineRule="auto"/>
        <w:jc w:val="left"/>
        <w:rPr>
          <w:rFonts w:ascii="宋体" w:hAnsi="宋体" w:cs="宋体" w:eastAsia="宋体" w:hint="default"/>
          <w:sz w:val="16"/>
          <w:szCs w:val="16"/>
        </w:rPr>
        <w:sectPr>
          <w:headerReference w:type="default" r:id="rId28"/>
          <w:footerReference w:type="default" r:id="rId29"/>
          <w:pgSz w:w="11910" w:h="16840"/>
          <w:pgMar w:header="753" w:footer="997" w:top="1440" w:bottom="1180" w:left="1660" w:right="0"/>
          <w:pgNumType w:start="1"/>
        </w:sectPr>
      </w:pPr>
    </w:p>
    <w:p>
      <w:pPr>
        <w:spacing w:line="240" w:lineRule="auto" w:before="9"/>
        <w:rPr>
          <w:rFonts w:ascii="宋体" w:hAnsi="宋体" w:cs="宋体" w:eastAsia="宋体" w:hint="default"/>
          <w:sz w:val="2"/>
          <w:szCs w:val="2"/>
        </w:rPr>
      </w:pPr>
      <w:r>
        <w:rPr/>
        <w:pict>
          <v:group style="position:absolute;margin-left:88.463997pt;margin-top:75.239983pt;width:418.65pt;height:.1pt;mso-position-horizontal-relative:page;mso-position-vertical-relative:page;z-index:-1629856" coordorigin="1769,1505" coordsize="8373,2">
            <v:shape style="position:absolute;left:1769;top:1505;width:8373;height:2" coordorigin="1769,1505" coordsize="8373,0" path="m1769,1505l10142,1505e" filled="false" stroked="true" strokeweight=".48pt" strokecolor="#000000">
              <v:path arrowok="t"/>
            </v:shape>
            <w10:wrap type="none"/>
          </v:group>
        </w:pict>
      </w:r>
    </w:p>
    <w:tbl>
      <w:tblPr>
        <w:tblW w:w="0" w:type="auto"/>
        <w:jc w:val="left"/>
        <w:tblInd w:w="750" w:type="dxa"/>
        <w:tblLayout w:type="fixed"/>
        <w:tblCellMar>
          <w:top w:w="0" w:type="dxa"/>
          <w:left w:w="0" w:type="dxa"/>
          <w:bottom w:w="0" w:type="dxa"/>
          <w:right w:w="0" w:type="dxa"/>
        </w:tblCellMar>
        <w:tblLook w:val="01E0"/>
      </w:tblPr>
      <w:tblGrid>
        <w:gridCol w:w="8190"/>
      </w:tblGrid>
      <w:tr>
        <w:trPr>
          <w:trHeight w:val="624" w:hRule="exact"/>
        </w:trPr>
        <w:tc>
          <w:tcPr>
            <w:tcW w:w="8190" w:type="dxa"/>
            <w:tcBorders>
              <w:top w:val="single" w:sz="12" w:space="0" w:color="000000"/>
              <w:left w:val="nil" w:sz="6" w:space="0" w:color="auto"/>
              <w:bottom w:val="dotted" w:sz="4" w:space="0" w:color="000000"/>
              <w:right w:val="nil" w:sz="6" w:space="0" w:color="auto"/>
            </w:tcBorders>
          </w:tcPr>
          <w:p>
            <w:pPr>
              <w:pStyle w:val="TableParagraph"/>
              <w:spacing w:line="240" w:lineRule="auto" w:before="44"/>
              <w:ind w:right="0"/>
              <w:jc w:val="center"/>
              <w:rPr>
                <w:rFonts w:ascii="宋体" w:hAnsi="宋体" w:cs="宋体" w:eastAsia="宋体" w:hint="default"/>
                <w:sz w:val="16"/>
                <w:szCs w:val="16"/>
              </w:rPr>
            </w:pPr>
            <w:r>
              <w:rPr>
                <w:rFonts w:ascii="宋体" w:hAnsi="宋体" w:cs="宋体" w:eastAsia="宋体" w:hint="default"/>
                <w:sz w:val="16"/>
                <w:szCs w:val="16"/>
              </w:rPr>
              <w:t>子公司名称</w:t>
            </w:r>
          </w:p>
        </w:tc>
      </w:tr>
      <w:tr>
        <w:trPr>
          <w:trHeight w:val="355"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柏怡国际控股有限公司</w:t>
            </w:r>
          </w:p>
        </w:tc>
      </w:tr>
      <w:tr>
        <w:trPr>
          <w:trHeight w:val="353"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长沙湘计海盾科技有限公司</w:t>
            </w:r>
          </w:p>
        </w:tc>
      </w:tr>
      <w:tr>
        <w:trPr>
          <w:trHeight w:val="353"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湖南长城医疗科技有限公司</w:t>
            </w:r>
          </w:p>
        </w:tc>
      </w:tr>
      <w:tr>
        <w:trPr>
          <w:trHeight w:val="355"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长沙中电软件园有限公司</w:t>
            </w:r>
          </w:p>
        </w:tc>
      </w:tr>
      <w:tr>
        <w:trPr>
          <w:trHeight w:val="353"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1"/>
              <w:ind w:left="108" w:right="0"/>
              <w:jc w:val="left"/>
              <w:rPr>
                <w:rFonts w:ascii="宋体" w:hAnsi="宋体" w:cs="宋体" w:eastAsia="宋体" w:hint="default"/>
                <w:sz w:val="16"/>
                <w:szCs w:val="16"/>
              </w:rPr>
            </w:pPr>
            <w:r>
              <w:rPr>
                <w:rFonts w:ascii="宋体" w:hAnsi="宋体" w:cs="宋体" w:eastAsia="宋体" w:hint="default"/>
                <w:sz w:val="16"/>
                <w:szCs w:val="16"/>
              </w:rPr>
              <w:t>深圳中电长城信息安全系统有限公司</w:t>
            </w:r>
          </w:p>
        </w:tc>
      </w:tr>
      <w:tr>
        <w:trPr>
          <w:trHeight w:val="353"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安徽长城计算机系统有限公司</w:t>
            </w:r>
          </w:p>
        </w:tc>
      </w:tr>
      <w:tr>
        <w:trPr>
          <w:trHeight w:val="353"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浙江长城计算机系统有限公司</w:t>
            </w:r>
          </w:p>
        </w:tc>
      </w:tr>
      <w:tr>
        <w:trPr>
          <w:trHeight w:val="355"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山西长城计算机系统有限公司</w:t>
            </w:r>
          </w:p>
        </w:tc>
      </w:tr>
      <w:tr>
        <w:trPr>
          <w:trHeight w:val="353" w:hRule="exact"/>
        </w:trPr>
        <w:tc>
          <w:tcPr>
            <w:tcW w:w="8190" w:type="dxa"/>
            <w:tcBorders>
              <w:top w:val="dotted" w:sz="4" w:space="0" w:color="000000"/>
              <w:left w:val="nil" w:sz="6" w:space="0" w:color="auto"/>
              <w:bottom w:val="dotted" w:sz="4"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河南长城计算机系统有限公司</w:t>
            </w:r>
          </w:p>
        </w:tc>
      </w:tr>
      <w:tr>
        <w:trPr>
          <w:trHeight w:val="365" w:hRule="exact"/>
        </w:trPr>
        <w:tc>
          <w:tcPr>
            <w:tcW w:w="8190" w:type="dxa"/>
            <w:tcBorders>
              <w:top w:val="dotted" w:sz="4" w:space="0" w:color="000000"/>
              <w:left w:val="nil" w:sz="6" w:space="0" w:color="auto"/>
              <w:bottom w:val="single" w:sz="12" w:space="0" w:color="000000"/>
              <w:right w:val="nil" w:sz="6" w:space="0" w:color="auto"/>
            </w:tcBorders>
          </w:tcPr>
          <w:p>
            <w:pPr>
              <w:pStyle w:val="TableParagraph"/>
              <w:spacing w:line="240" w:lineRule="auto" w:before="43"/>
              <w:ind w:left="108" w:right="0"/>
              <w:jc w:val="left"/>
              <w:rPr>
                <w:rFonts w:ascii="宋体" w:hAnsi="宋体" w:cs="宋体" w:eastAsia="宋体" w:hint="default"/>
                <w:sz w:val="16"/>
                <w:szCs w:val="16"/>
              </w:rPr>
            </w:pPr>
            <w:r>
              <w:rPr>
                <w:rFonts w:ascii="宋体" w:hAnsi="宋体" w:cs="宋体" w:eastAsia="宋体" w:hint="default"/>
                <w:sz w:val="16"/>
                <w:szCs w:val="16"/>
              </w:rPr>
              <w:t>新疆长城计算机系统有限公司</w:t>
            </w:r>
          </w:p>
        </w:tc>
      </w:tr>
    </w:tbl>
    <w:p>
      <w:pPr>
        <w:pStyle w:val="BodyText"/>
        <w:spacing w:line="331" w:lineRule="auto" w:before="93"/>
        <w:ind w:left="850" w:right="1468"/>
        <w:jc w:val="left"/>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 </w:t>
      </w:r>
      <w:r>
        <w:rPr/>
        <w:t>和</w:t>
      </w:r>
      <w:r>
        <w:rPr>
          <w:spacing w:val="-19"/>
        </w:rPr>
        <w:t> </w:t>
      </w:r>
      <w:r>
        <w:rPr>
          <w:rFonts w:ascii="Times New Roman" w:hAnsi="Times New Roman" w:cs="Times New Roman" w:eastAsia="Times New Roman" w:hint="default"/>
          <w:spacing w:val="-5"/>
        </w:rPr>
        <w:t>“</w:t>
      </w:r>
      <w:r>
        <w:rPr>
          <w:spacing w:val="-5"/>
        </w:rPr>
        <w:t>七、在</w:t>
      </w:r>
      <w:r>
        <w:rPr>
          <w:w w:val="100"/>
        </w:rPr>
        <w:t> </w:t>
      </w:r>
      <w:r>
        <w:rPr/>
        <w:t>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32"/>
          <w:szCs w:val="32"/>
        </w:rPr>
      </w:pPr>
    </w:p>
    <w:p>
      <w:pPr>
        <w:pStyle w:val="Heading5"/>
        <w:tabs>
          <w:tab w:pos="850" w:val="left" w:leader="none"/>
        </w:tabs>
        <w:spacing w:line="240" w:lineRule="auto" w:before="0"/>
        <w:ind w:right="3683"/>
        <w:jc w:val="left"/>
        <w:rPr>
          <w:b w:val="0"/>
          <w:bCs w:val="0"/>
        </w:rPr>
      </w:pPr>
      <w:r>
        <w:rPr/>
        <w:t>二、</w:t>
        <w:tab/>
        <w:t>财务报表的编制基础</w:t>
      </w:r>
      <w:r>
        <w:rPr>
          <w:b w:val="0"/>
          <w:bCs w:val="0"/>
        </w:rPr>
      </w:r>
    </w:p>
    <w:p>
      <w:pPr>
        <w:pStyle w:val="BodyText"/>
        <w:tabs>
          <w:tab w:pos="850" w:val="left" w:leader="none"/>
        </w:tabs>
        <w:spacing w:line="336" w:lineRule="auto" w:before="126"/>
        <w:ind w:left="850" w:right="1788" w:hanging="713"/>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tab/>
      </w:r>
      <w:r>
        <w:rPr>
          <w:rFonts w:ascii="宋体" w:hAnsi="宋体" w:cs="宋体" w:eastAsia="宋体" w:hint="default"/>
          <w:b/>
          <w:bCs/>
        </w:rPr>
        <w:t>编制基础</w:t>
      </w:r>
      <w:r>
        <w:rPr>
          <w:rFonts w:ascii="宋体" w:hAnsi="宋体" w:cs="宋体" w:eastAsia="宋体" w:hint="default"/>
          <w:b/>
          <w:bCs/>
          <w:w w:val="100"/>
        </w:rPr>
        <w:t> </w:t>
      </w:r>
      <w:r>
        <w:rPr>
          <w:spacing w:val="-2"/>
        </w:rPr>
        <w:t>公司以持续经营为基础，根据实际发生的交易和事项，按照财政部颁布的《企业会</w:t>
      </w:r>
      <w:r>
        <w:rPr>
          <w:w w:val="100"/>
        </w:rPr>
        <w:t> </w:t>
      </w:r>
      <w:r>
        <w:rPr>
          <w:spacing w:val="-2"/>
        </w:rPr>
        <w:t>计准则</w:t>
      </w:r>
      <w:r>
        <w:rPr>
          <w:rFonts w:ascii="Times New Roman" w:hAnsi="Times New Roman" w:cs="Times New Roman" w:eastAsia="Times New Roman" w:hint="default"/>
          <w:spacing w:val="-2"/>
        </w:rPr>
        <w:t>——</w:t>
      </w:r>
      <w:r>
        <w:rPr>
          <w:spacing w:val="-2"/>
        </w:rPr>
        <w:t>基本准则》和各项具体会计准则、企业会计准则应用指南、企业会计准</w:t>
      </w:r>
      <w:r>
        <w:rPr>
          <w:w w:val="100"/>
        </w:rPr>
        <w:t> </w:t>
      </w:r>
      <w:r>
        <w:rPr>
          <w:spacing w:val="-6"/>
          <w:w w:val="100"/>
        </w:rPr>
        <w:t>则解释及其他相关规定（以下合称</w:t>
      </w:r>
      <w:r>
        <w:rPr>
          <w:rFonts w:ascii="Times New Roman" w:hAnsi="Times New Roman" w:cs="Times New Roman" w:eastAsia="Times New Roman" w:hint="default"/>
          <w:spacing w:val="-6"/>
          <w:w w:val="100"/>
        </w:rPr>
        <w:t>“</w:t>
      </w:r>
      <w:r>
        <w:rPr>
          <w:spacing w:val="-6"/>
          <w:w w:val="100"/>
        </w:rPr>
        <w:t>企业会计准则</w:t>
      </w:r>
      <w:r>
        <w:rPr>
          <w:rFonts w:ascii="Times New Roman" w:hAnsi="Times New Roman" w:cs="Times New Roman" w:eastAsia="Times New Roman" w:hint="default"/>
          <w:spacing w:val="-6"/>
          <w:w w:val="100"/>
        </w:rPr>
        <w:t>”</w:t>
      </w:r>
      <w:r>
        <w:rPr>
          <w:spacing w:val="-6"/>
          <w:w w:val="100"/>
        </w:rPr>
        <w:t>），以及中国证券监督管理委员会</w:t>
      </w:r>
    </w:p>
    <w:p>
      <w:pPr>
        <w:pStyle w:val="BodyText"/>
        <w:spacing w:line="328" w:lineRule="auto" w:before="17"/>
        <w:ind w:left="850" w:right="1871"/>
        <w:jc w:val="left"/>
      </w:pPr>
      <w:r>
        <w:rPr/>
        <w:t>《公开发行证券的公司信息披露编报规则第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财务报告的一般规定》的披</w:t>
      </w:r>
      <w:r>
        <w:rPr>
          <w:w w:val="100"/>
        </w:rPr>
        <w:t> </w:t>
      </w:r>
      <w:r>
        <w:rPr/>
        <w:t>露规定编制财务报表。</w:t>
      </w:r>
    </w:p>
    <w:p>
      <w:pPr>
        <w:pStyle w:val="Heading5"/>
        <w:tabs>
          <w:tab w:pos="850" w:val="left" w:leader="none"/>
        </w:tabs>
        <w:spacing w:line="240" w:lineRule="auto" w:before="48"/>
        <w:ind w:right="36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持续经营</w:t>
      </w:r>
      <w:r>
        <w:rPr>
          <w:b w:val="0"/>
          <w:bCs w:val="0"/>
        </w:rPr>
      </w:r>
    </w:p>
    <w:p>
      <w:pPr>
        <w:pStyle w:val="BodyText"/>
        <w:spacing w:line="240" w:lineRule="auto" w:before="110"/>
        <w:ind w:left="850" w:right="1468"/>
        <w:jc w:val="left"/>
      </w:pPr>
      <w:r>
        <w:rPr>
          <w:w w:val="100"/>
        </w:rPr>
        <w:t>本公</w:t>
      </w:r>
      <w:r>
        <w:rPr>
          <w:spacing w:val="-3"/>
          <w:w w:val="100"/>
        </w:rPr>
        <w:t>司</w:t>
      </w:r>
      <w:r>
        <w:rPr>
          <w:w w:val="100"/>
        </w:rPr>
        <w:t>自</w:t>
      </w:r>
      <w:r>
        <w:rPr>
          <w:spacing w:val="-3"/>
          <w:w w:val="100"/>
        </w:rPr>
        <w:t>报</w:t>
      </w:r>
      <w:r>
        <w:rPr>
          <w:w w:val="100"/>
        </w:rPr>
        <w:t>告</w:t>
      </w:r>
      <w:r>
        <w:rPr>
          <w:spacing w:val="-2"/>
          <w:w w:val="100"/>
        </w:rPr>
        <w:t>期</w:t>
      </w:r>
      <w:r>
        <w:rPr>
          <w:w w:val="100"/>
        </w:rPr>
        <w:t>期</w:t>
      </w:r>
      <w:r>
        <w:rPr>
          <w:spacing w:val="-3"/>
          <w:w w:val="100"/>
        </w:rPr>
        <w:t>末</w:t>
      </w:r>
      <w:r>
        <w:rPr>
          <w:w w:val="100"/>
        </w:rPr>
        <w:t>起</w:t>
      </w:r>
      <w:r>
        <w:rPr>
          <w:spacing w:val="-6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0"/>
        </w:rPr>
        <w:t> </w:t>
      </w:r>
      <w:r>
        <w:rPr>
          <w:w w:val="100"/>
        </w:rPr>
        <w:t>个月</w:t>
      </w:r>
      <w:r>
        <w:rPr>
          <w:spacing w:val="-3"/>
          <w:w w:val="100"/>
        </w:rPr>
        <w:t>具</w:t>
      </w:r>
      <w:r>
        <w:rPr>
          <w:w w:val="100"/>
        </w:rPr>
        <w:t>备</w:t>
      </w:r>
      <w:r>
        <w:rPr>
          <w:spacing w:val="-3"/>
          <w:w w:val="100"/>
        </w:rPr>
        <w:t>持</w:t>
      </w:r>
      <w:r>
        <w:rPr>
          <w:w w:val="100"/>
        </w:rPr>
        <w:t>续</w:t>
      </w:r>
      <w:r>
        <w:rPr>
          <w:spacing w:val="-3"/>
          <w:w w:val="100"/>
        </w:rPr>
        <w:t>经</w:t>
      </w:r>
      <w:r>
        <w:rPr>
          <w:w w:val="100"/>
        </w:rPr>
        <w:t>营</w:t>
      </w:r>
      <w:r>
        <w:rPr>
          <w:spacing w:val="-3"/>
          <w:w w:val="100"/>
        </w:rPr>
        <w:t>能</w:t>
      </w:r>
      <w:r>
        <w:rPr>
          <w:w w:val="100"/>
        </w:rPr>
        <w:t>力</w:t>
      </w:r>
      <w:r>
        <w:rPr>
          <w:spacing w:val="-108"/>
          <w:w w:val="100"/>
        </w:rPr>
        <w:t>，</w:t>
      </w:r>
      <w:r>
        <w:rPr>
          <w:spacing w:val="-3"/>
          <w:w w:val="100"/>
        </w:rPr>
        <w:t>无</w:t>
      </w:r>
      <w:r>
        <w:rPr>
          <w:w w:val="100"/>
        </w:rPr>
        <w:t>影响</w:t>
      </w:r>
      <w:r>
        <w:rPr>
          <w:spacing w:val="-3"/>
          <w:w w:val="100"/>
        </w:rPr>
        <w:t>持</w:t>
      </w:r>
      <w:r>
        <w:rPr>
          <w:w w:val="100"/>
        </w:rPr>
        <w:t>续</w:t>
      </w:r>
      <w:r>
        <w:rPr>
          <w:spacing w:val="-3"/>
          <w:w w:val="100"/>
        </w:rPr>
        <w:t>经</w:t>
      </w:r>
      <w:r>
        <w:rPr>
          <w:w w:val="100"/>
        </w:rPr>
        <w:t>营</w:t>
      </w:r>
      <w:r>
        <w:rPr>
          <w:spacing w:val="-3"/>
          <w:w w:val="100"/>
        </w:rPr>
        <w:t>能</w:t>
      </w:r>
      <w:r>
        <w:rPr>
          <w:w w:val="100"/>
        </w:rPr>
        <w:t>力</w:t>
      </w:r>
      <w:r>
        <w:rPr>
          <w:spacing w:val="-3"/>
          <w:w w:val="100"/>
        </w:rPr>
        <w:t>的</w:t>
      </w:r>
      <w:r>
        <w:rPr>
          <w:w w:val="100"/>
        </w:rPr>
        <w:t>重</w:t>
      </w:r>
      <w:r>
        <w:rPr>
          <w:spacing w:val="-3"/>
          <w:w w:val="100"/>
        </w:rPr>
        <w:t>大</w:t>
      </w:r>
      <w:r>
        <w:rPr>
          <w:w w:val="100"/>
        </w:rPr>
        <w:t>事项。</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tabs>
          <w:tab w:pos="850" w:val="left" w:leader="none"/>
        </w:tabs>
        <w:spacing w:line="350" w:lineRule="auto" w:before="0"/>
        <w:ind w:left="850" w:right="6448" w:hanging="713"/>
        <w:jc w:val="left"/>
        <w:rPr>
          <w:rFonts w:ascii="宋体" w:hAnsi="宋体" w:cs="宋体" w:eastAsia="宋体" w:hint="default"/>
          <w:sz w:val="21"/>
          <w:szCs w:val="21"/>
        </w:rPr>
      </w:pPr>
      <w:r>
        <w:rPr>
          <w:rFonts w:ascii="宋体" w:hAnsi="宋体" w:cs="宋体" w:eastAsia="宋体" w:hint="default"/>
          <w:b/>
          <w:bCs/>
          <w:sz w:val="21"/>
          <w:szCs w:val="21"/>
        </w:rPr>
        <w:t>三、</w:t>
        <w:tab/>
        <w:t>重要会计政策及会计估计</w:t>
      </w:r>
      <w:r>
        <w:rPr>
          <w:rFonts w:ascii="宋体" w:hAnsi="宋体" w:cs="宋体" w:eastAsia="宋体" w:hint="default"/>
          <w:b/>
          <w:bCs/>
          <w:w w:val="100"/>
          <w:sz w:val="21"/>
          <w:szCs w:val="21"/>
        </w:rPr>
        <w:t> </w:t>
      </w:r>
      <w:r>
        <w:rPr>
          <w:rFonts w:ascii="宋体" w:hAnsi="宋体" w:cs="宋体" w:eastAsia="宋体" w:hint="default"/>
          <w:spacing w:val="-2"/>
          <w:sz w:val="21"/>
          <w:szCs w:val="21"/>
        </w:rPr>
        <w:t>具体会计政策和会计估计提示：</w:t>
      </w:r>
    </w:p>
    <w:p>
      <w:pPr>
        <w:pStyle w:val="BodyText"/>
        <w:spacing w:line="350" w:lineRule="auto" w:before="27"/>
        <w:ind w:left="850" w:right="1468"/>
        <w:jc w:val="left"/>
      </w:pPr>
      <w:r>
        <w:rPr>
          <w:spacing w:val="-2"/>
        </w:rPr>
        <w:t>以下披露内容已涵盖了本公司根据实际生产经营特点制定的具体会计政策和会计估</w:t>
      </w:r>
      <w:r>
        <w:rPr>
          <w:spacing w:val="-35"/>
        </w:rPr>
        <w:t> </w:t>
      </w:r>
      <w:r>
        <w:rPr>
          <w:spacing w:val="-35"/>
        </w:rPr>
      </w:r>
      <w:r>
        <w:rPr>
          <w:spacing w:val="-7"/>
          <w:w w:val="100"/>
        </w:rPr>
        <w:t>计。详见本附注</w:t>
      </w:r>
      <w:r>
        <w:rPr>
          <w:rFonts w:ascii="Times New Roman" w:hAnsi="Times New Roman" w:cs="Times New Roman" w:eastAsia="Times New Roman" w:hint="default"/>
          <w:spacing w:val="-7"/>
          <w:w w:val="100"/>
        </w:rPr>
        <w:t>“</w:t>
      </w:r>
      <w:r>
        <w:rPr>
          <w:spacing w:val="-7"/>
          <w:w w:val="100"/>
        </w:rPr>
        <w:t>三、（二十四）收入</w:t>
      </w:r>
      <w:r>
        <w:rPr>
          <w:rFonts w:ascii="Times New Roman" w:hAnsi="Times New Roman" w:cs="Times New Roman" w:eastAsia="Times New Roman" w:hint="default"/>
          <w:spacing w:val="-7"/>
          <w:w w:val="100"/>
        </w:rPr>
        <w:t>”</w:t>
      </w:r>
      <w:r>
        <w:rPr>
          <w:spacing w:val="-7"/>
          <w:w w:val="100"/>
        </w:rPr>
        <w:t>。</w:t>
      </w:r>
    </w:p>
    <w:p>
      <w:pPr>
        <w:tabs>
          <w:tab w:pos="850" w:val="left" w:leader="none"/>
        </w:tabs>
        <w:spacing w:line="328" w:lineRule="auto" w:before="3"/>
        <w:ind w:left="850" w:right="1788" w:hanging="713"/>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8"/>
          <w:w w:val="100"/>
          <w:sz w:val="21"/>
          <w:szCs w:val="21"/>
        </w:rPr>
        <w:t>本财务报表符合财政部颁布的企业会计准则的要求，真实、完整地反映了本公司</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2019</w:t>
      </w:r>
    </w:p>
    <w:p>
      <w:pPr>
        <w:pStyle w:val="BodyText"/>
        <w:spacing w:line="331" w:lineRule="auto" w:before="24"/>
        <w:ind w:left="850" w:right="1786"/>
        <w:jc w:val="left"/>
      </w:pP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日的合并及母公司财务状况以及</w:t>
      </w:r>
      <w:r>
        <w:rPr>
          <w:spacing w:val="-6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年度的合并及母公司经营成果和现</w:t>
      </w:r>
      <w:r>
        <w:rPr>
          <w:w w:val="100"/>
        </w:rPr>
        <w:t> </w:t>
      </w:r>
      <w:r>
        <w:rPr/>
        <w:t>金流量。</w:t>
      </w:r>
    </w:p>
    <w:p>
      <w:pPr>
        <w:pStyle w:val="Heading5"/>
        <w:tabs>
          <w:tab w:pos="850" w:val="left" w:leader="none"/>
        </w:tabs>
        <w:spacing w:line="240" w:lineRule="auto" w:before="43"/>
        <w:ind w:right="36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会计期间</w:t>
      </w:r>
      <w:r>
        <w:rPr>
          <w:b w:val="0"/>
          <w:bCs w:val="0"/>
        </w:rPr>
      </w:r>
    </w:p>
    <w:p>
      <w:pPr>
        <w:pStyle w:val="BodyText"/>
        <w:spacing w:line="240" w:lineRule="auto" w:before="110"/>
        <w:ind w:left="850" w:right="3683"/>
        <w:jc w:val="left"/>
      </w:pPr>
      <w:r>
        <w:rPr/>
        <w:t>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日至</w:t>
      </w:r>
      <w:r>
        <w:rPr>
          <w:spacing w:val="-52"/>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日止为一个会计年度。</w:t>
      </w:r>
    </w:p>
    <w:p>
      <w:pPr>
        <w:spacing w:after="0" w:line="240" w:lineRule="auto"/>
        <w:jc w:val="left"/>
        <w:sectPr>
          <w:pgSz w:w="11910" w:h="16840"/>
          <w:pgMar w:header="753" w:footer="997" w:top="1440" w:bottom="1180" w:left="1660" w:right="0"/>
        </w:sectPr>
      </w:pPr>
    </w:p>
    <w:p>
      <w:pPr>
        <w:spacing w:line="240" w:lineRule="auto" w:before="5"/>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2"/>
          <w:szCs w:val="22"/>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营业周期</w:t>
      </w:r>
      <w:r>
        <w:rPr>
          <w:b w:val="0"/>
          <w:bCs w:val="0"/>
        </w:rPr>
      </w:r>
    </w:p>
    <w:p>
      <w:pPr>
        <w:pStyle w:val="BodyText"/>
        <w:spacing w:line="240" w:lineRule="auto" w:before="110"/>
        <w:ind w:left="850" w:right="3683"/>
        <w:jc w:val="left"/>
      </w:pPr>
      <w:r>
        <w:rPr/>
        <w:t>本公司营业周期为</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w:t>
      </w:r>
      <w:r>
        <w:rPr/>
      </w:r>
    </w:p>
    <w:p>
      <w:pPr>
        <w:tabs>
          <w:tab w:pos="850" w:val="left" w:leader="none"/>
        </w:tabs>
        <w:spacing w:line="328" w:lineRule="auto" w:before="110"/>
        <w:ind w:left="850" w:right="6239"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本公司采用人民币为记账本位币。</w:t>
      </w:r>
    </w:p>
    <w:p>
      <w:pPr>
        <w:pStyle w:val="BodyText"/>
        <w:tabs>
          <w:tab w:pos="850" w:val="left" w:leader="none"/>
        </w:tabs>
        <w:spacing w:line="348" w:lineRule="auto" w:before="48"/>
        <w:ind w:left="850" w:right="1712" w:hanging="713"/>
        <w:jc w:val="left"/>
      </w:pPr>
      <w:r>
        <w:rPr>
          <w:rFonts w:ascii="Times New Roman" w:hAnsi="Times New Roman" w:cs="Times New Roman" w:eastAsia="Times New Roman" w:hint="default"/>
          <w:b/>
          <w:bCs/>
        </w:rPr>
        <w:t>(</w:t>
      </w:r>
      <w:r>
        <w:rPr>
          <w:rFonts w:ascii="宋体" w:hAnsi="宋体" w:cs="宋体" w:eastAsia="宋体" w:hint="default"/>
          <w:b/>
          <w:bCs/>
        </w:rPr>
        <w:t>五</w:t>
      </w:r>
      <w:r>
        <w:rPr>
          <w:rFonts w:ascii="Times New Roman" w:hAnsi="Times New Roman" w:cs="Times New Roman" w:eastAsia="Times New Roman" w:hint="default"/>
          <w:b/>
          <w:bCs/>
        </w:rPr>
        <w:t>)</w:t>
        <w:tab/>
      </w:r>
      <w:r>
        <w:rPr>
          <w:rFonts w:ascii="宋体" w:hAnsi="宋体" w:cs="宋体" w:eastAsia="宋体" w:hint="default"/>
          <w:b/>
          <w:bCs/>
        </w:rPr>
        <w:t>同一控制下和非同一控制下企业合并的会计处理方法</w:t>
      </w:r>
      <w:r>
        <w:rPr>
          <w:rFonts w:ascii="宋体" w:hAnsi="宋体" w:cs="宋体" w:eastAsia="宋体" w:hint="default"/>
          <w:b/>
          <w:bCs/>
          <w:w w:val="100"/>
        </w:rPr>
        <w:t> </w:t>
      </w:r>
      <w:r>
        <w:rPr/>
        <w:t>同一控制下企业合并：合并方在企业合并中取得的资产和负债，按照合并日被合并</w:t>
      </w:r>
      <w:r>
        <w:rPr>
          <w:w w:val="100"/>
        </w:rPr>
        <w:t> </w:t>
      </w:r>
      <w:r>
        <w:rPr/>
        <w:t>方资产、负债（包括最终控制方收购被合并方而形成的商誉）在最终控制方合并财</w:t>
      </w:r>
      <w:r>
        <w:rPr>
          <w:w w:val="100"/>
        </w:rPr>
        <w:t> </w:t>
      </w:r>
      <w:r>
        <w:rPr/>
        <w:t>务报表中的账面价值计量。在合并中取得的净资产账面价值与支付的合并对价账面</w:t>
      </w:r>
      <w:r>
        <w:rPr>
          <w:w w:val="100"/>
        </w:rPr>
        <w:t> </w:t>
      </w:r>
      <w:r>
        <w:rPr/>
        <w:t>价值（或发行股份面值总额）的差额，调整资本公积中的股本溢价，资本公积中的</w:t>
      </w:r>
      <w:r>
        <w:rPr>
          <w:w w:val="100"/>
        </w:rPr>
        <w:t> </w:t>
      </w:r>
      <w:r>
        <w:rPr/>
        <w:t>股本溢价不足冲减的，调整留存收益。</w:t>
      </w:r>
      <w:r>
        <w:rPr>
          <w:w w:val="100"/>
        </w:rPr>
        <w:t> </w:t>
      </w:r>
      <w:r>
        <w:rPr/>
        <w:t>非同一控制下企业合并：购买方在购买日对作为企业合并对价付出的资产、发生或</w:t>
      </w:r>
      <w:r>
        <w:rPr>
          <w:w w:val="100"/>
        </w:rPr>
        <w:t> </w:t>
      </w:r>
      <w:r>
        <w:rPr/>
        <w:t>承担的负债按照公允价值计量，公允价值与其账面价值的差额，计入当期损益。合</w:t>
      </w:r>
      <w:r>
        <w:rPr>
          <w:w w:val="100"/>
        </w:rPr>
        <w:t> </w:t>
      </w:r>
      <w:r>
        <w:rPr>
          <w:spacing w:val="-4"/>
        </w:rPr>
        <w:t>并成本大于合并中取得的被购买方可辨认净资产公允价值份额的差额，确认为商誉；</w:t>
      </w:r>
      <w:r>
        <w:rPr>
          <w:w w:val="100"/>
        </w:rPr>
        <w:t> </w:t>
      </w:r>
      <w:r>
        <w:rPr/>
        <w:t>合并成本小于合并中取得的被购买方可辨认净资产公允价值份额的差额，计入当期</w:t>
      </w:r>
      <w:r>
        <w:rPr>
          <w:w w:val="100"/>
        </w:rPr>
        <w:t> </w:t>
      </w:r>
      <w:r>
        <w:rPr/>
        <w:t>损益。</w:t>
      </w:r>
      <w:r>
        <w:rPr>
          <w:w w:val="100"/>
        </w:rPr>
        <w:t> </w:t>
      </w:r>
      <w:r>
        <w:rPr/>
        <w:t>为企业合并发生的直接相关费用于发生时计入当期损益；为企业合并而发行权益性</w:t>
      </w:r>
      <w:r>
        <w:rPr>
          <w:w w:val="100"/>
        </w:rPr>
        <w:t> </w:t>
      </w:r>
      <w:r>
        <w:rPr/>
        <w:t>证券或债务性证券的交易费用，计入权益性证券或债务性证券的初始确认金额。</w:t>
      </w:r>
    </w:p>
    <w:p>
      <w:pPr>
        <w:pStyle w:val="Heading5"/>
        <w:tabs>
          <w:tab w:pos="850" w:val="left" w:leader="none"/>
        </w:tabs>
        <w:spacing w:line="240" w:lineRule="auto" w:before="31"/>
        <w:ind w:right="3683"/>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合并财务报表的编制方法</w:t>
      </w:r>
      <w:r>
        <w:rPr>
          <w:b w:val="0"/>
          <w:bCs w:val="0"/>
        </w:rPr>
      </w:r>
    </w:p>
    <w:p>
      <w:pPr>
        <w:pStyle w:val="Heading5"/>
        <w:tabs>
          <w:tab w:pos="1397" w:val="left" w:leader="none"/>
        </w:tabs>
        <w:spacing w:line="240" w:lineRule="auto" w:before="107"/>
        <w:ind w:left="846" w:right="3683"/>
        <w:jc w:val="left"/>
        <w:rPr>
          <w:b w:val="0"/>
          <w:bCs w:val="0"/>
        </w:rPr>
      </w:pPr>
      <w:r>
        <w:rPr>
          <w:rFonts w:ascii="Times New Roman" w:hAnsi="Times New Roman" w:cs="Times New Roman" w:eastAsia="Times New Roman" w:hint="default"/>
        </w:rPr>
        <w:t>1</w:t>
      </w:r>
      <w:r>
        <w:rPr/>
        <w:t>、</w:t>
        <w:tab/>
        <w:t>合并范围</w:t>
      </w:r>
      <w:r>
        <w:rPr>
          <w:b w:val="0"/>
          <w:bCs w:val="0"/>
        </w:rPr>
      </w:r>
    </w:p>
    <w:p>
      <w:pPr>
        <w:pStyle w:val="BodyText"/>
        <w:spacing w:line="240" w:lineRule="auto" w:before="110"/>
        <w:ind w:right="0"/>
        <w:jc w:val="left"/>
      </w:pPr>
      <w:r>
        <w:rPr>
          <w:w w:val="100"/>
        </w:rPr>
        <w:t>合并</w:t>
      </w:r>
      <w:r>
        <w:rPr>
          <w:spacing w:val="-3"/>
          <w:w w:val="100"/>
        </w:rPr>
        <w:t>财</w:t>
      </w:r>
      <w:r>
        <w:rPr>
          <w:w w:val="100"/>
        </w:rPr>
        <w:t>务</w:t>
      </w:r>
      <w:r>
        <w:rPr>
          <w:spacing w:val="-3"/>
          <w:w w:val="100"/>
        </w:rPr>
        <w:t>报</w:t>
      </w:r>
      <w:r>
        <w:rPr>
          <w:w w:val="100"/>
        </w:rPr>
        <w:t>表</w:t>
      </w:r>
      <w:r>
        <w:rPr>
          <w:spacing w:val="-3"/>
          <w:w w:val="100"/>
        </w:rPr>
        <w:t>的</w:t>
      </w:r>
      <w:r>
        <w:rPr>
          <w:w w:val="100"/>
        </w:rPr>
        <w:t>合</w:t>
      </w:r>
      <w:r>
        <w:rPr>
          <w:spacing w:val="-3"/>
          <w:w w:val="100"/>
        </w:rPr>
        <w:t>并</w:t>
      </w:r>
      <w:r>
        <w:rPr>
          <w:w w:val="100"/>
        </w:rPr>
        <w:t>范</w:t>
      </w:r>
      <w:r>
        <w:rPr>
          <w:spacing w:val="-3"/>
          <w:w w:val="100"/>
        </w:rPr>
        <w:t>围</w:t>
      </w:r>
      <w:r>
        <w:rPr>
          <w:w w:val="100"/>
        </w:rPr>
        <w:t>以控</w:t>
      </w:r>
      <w:r>
        <w:rPr>
          <w:spacing w:val="-3"/>
          <w:w w:val="100"/>
        </w:rPr>
        <w:t>制</w:t>
      </w:r>
      <w:r>
        <w:rPr>
          <w:w w:val="100"/>
        </w:rPr>
        <w:t>为</w:t>
      </w:r>
      <w:r>
        <w:rPr>
          <w:spacing w:val="-3"/>
          <w:w w:val="100"/>
        </w:rPr>
        <w:t>基</w:t>
      </w:r>
      <w:r>
        <w:rPr>
          <w:w w:val="100"/>
        </w:rPr>
        <w:t>础</w:t>
      </w:r>
      <w:r>
        <w:rPr>
          <w:spacing w:val="-3"/>
          <w:w w:val="100"/>
        </w:rPr>
        <w:t>确定</w:t>
      </w:r>
      <w:r>
        <w:rPr>
          <w:spacing w:val="-85"/>
          <w:w w:val="100"/>
        </w:rPr>
        <w:t>，</w:t>
      </w:r>
      <w:r>
        <w:rPr>
          <w:spacing w:val="-3"/>
          <w:w w:val="100"/>
        </w:rPr>
        <w:t>合</w:t>
      </w:r>
      <w:r>
        <w:rPr>
          <w:w w:val="100"/>
        </w:rPr>
        <w:t>并</w:t>
      </w:r>
      <w:r>
        <w:rPr>
          <w:spacing w:val="-3"/>
          <w:w w:val="100"/>
        </w:rPr>
        <w:t>范</w:t>
      </w:r>
      <w:r>
        <w:rPr>
          <w:w w:val="100"/>
        </w:rPr>
        <w:t>围包</w:t>
      </w:r>
      <w:r>
        <w:rPr>
          <w:spacing w:val="-3"/>
          <w:w w:val="100"/>
        </w:rPr>
        <w:t>括</w:t>
      </w:r>
      <w:r>
        <w:rPr>
          <w:w w:val="100"/>
        </w:rPr>
        <w:t>本</w:t>
      </w:r>
      <w:r>
        <w:rPr>
          <w:spacing w:val="-3"/>
          <w:w w:val="100"/>
        </w:rPr>
        <w:t>公</w:t>
      </w:r>
      <w:r>
        <w:rPr>
          <w:w w:val="100"/>
        </w:rPr>
        <w:t>司</w:t>
      </w:r>
      <w:r>
        <w:rPr>
          <w:spacing w:val="-3"/>
          <w:w w:val="100"/>
        </w:rPr>
        <w:t>及</w:t>
      </w:r>
      <w:r>
        <w:rPr>
          <w:w w:val="100"/>
        </w:rPr>
        <w:t>全</w:t>
      </w:r>
      <w:r>
        <w:rPr>
          <w:spacing w:val="-3"/>
          <w:w w:val="100"/>
        </w:rPr>
        <w:t>部</w:t>
      </w:r>
      <w:r>
        <w:rPr>
          <w:w w:val="100"/>
        </w:rPr>
        <w:t>子</w:t>
      </w:r>
      <w:r>
        <w:rPr>
          <w:spacing w:val="-3"/>
          <w:w w:val="100"/>
        </w:rPr>
        <w:t>公司</w:t>
      </w:r>
      <w:r>
        <w:rPr>
          <w:w w:val="100"/>
        </w:rPr>
        <w:t>。</w:t>
      </w:r>
    </w:p>
    <w:p>
      <w:pPr>
        <w:pStyle w:val="Heading5"/>
        <w:tabs>
          <w:tab w:pos="1397" w:val="left" w:leader="none"/>
        </w:tabs>
        <w:spacing w:line="240" w:lineRule="auto" w:before="126"/>
        <w:ind w:left="846" w:right="3683"/>
        <w:jc w:val="left"/>
        <w:rPr>
          <w:b w:val="0"/>
          <w:bCs w:val="0"/>
        </w:rPr>
      </w:pPr>
      <w:r>
        <w:rPr>
          <w:rFonts w:ascii="Times New Roman" w:hAnsi="Times New Roman" w:cs="Times New Roman" w:eastAsia="Times New Roman" w:hint="default"/>
        </w:rPr>
        <w:t>2</w:t>
      </w:r>
      <w:r>
        <w:rPr/>
        <w:t>、</w:t>
        <w:tab/>
        <w:t>合并程序</w:t>
      </w:r>
      <w:r>
        <w:rPr>
          <w:b w:val="0"/>
          <w:bCs w:val="0"/>
        </w:rPr>
      </w:r>
    </w:p>
    <w:p>
      <w:pPr>
        <w:pStyle w:val="BodyText"/>
        <w:spacing w:line="350" w:lineRule="auto" w:before="107"/>
        <w:ind w:right="1468"/>
        <w:jc w:val="left"/>
      </w:pPr>
      <w:r>
        <w:rPr>
          <w:spacing w:val="-5"/>
        </w:rPr>
        <w:t>本公司以自身和各子公司的财务报表为基础，根据其他有关资料，编制合并财</w:t>
      </w:r>
      <w:r>
        <w:rPr>
          <w:spacing w:val="-47"/>
        </w:rPr>
        <w:t> </w:t>
      </w:r>
      <w:r>
        <w:rPr>
          <w:spacing w:val="-47"/>
        </w:rPr>
      </w:r>
      <w:r>
        <w:rPr>
          <w:spacing w:val="-5"/>
        </w:rPr>
        <w:t>务报表。本公司编制合并财务报表，将整个企业集团视为一个会计主体，依据</w:t>
      </w:r>
      <w:r>
        <w:rPr>
          <w:spacing w:val="-48"/>
        </w:rPr>
        <w:t> </w:t>
      </w:r>
      <w:r>
        <w:rPr>
          <w:spacing w:val="-48"/>
        </w:rPr>
      </w:r>
      <w:r>
        <w:rPr>
          <w:spacing w:val="-5"/>
        </w:rPr>
        <w:t>相关企业会计准则的确认、计量和列报要求，按照统一的会计政策，反映本企</w:t>
      </w:r>
      <w:r>
        <w:rPr>
          <w:spacing w:val="-46"/>
        </w:rPr>
        <w:t> </w:t>
      </w:r>
      <w:r>
        <w:rPr>
          <w:spacing w:val="-46"/>
        </w:rPr>
      </w:r>
      <w:r>
        <w:rPr/>
        <w:t>业集团整体财务状况、经营成果和现金流量。</w:t>
      </w:r>
      <w:r>
        <w:rPr>
          <w:w w:val="100"/>
        </w:rPr>
        <w:t> </w:t>
      </w:r>
      <w:r>
        <w:rPr>
          <w:spacing w:val="-5"/>
          <w:w w:val="100"/>
        </w:rPr>
        <w:t>所有纳入合并财务报表合并范围的子公司所采用的会计政策、会计期间与本公</w:t>
      </w:r>
      <w:r>
        <w:rPr>
          <w:spacing w:val="-84"/>
          <w:w w:val="100"/>
        </w:rPr>
        <w:t> </w:t>
      </w:r>
      <w:r>
        <w:rPr>
          <w:spacing w:val="-84"/>
          <w:w w:val="100"/>
        </w:rPr>
      </w:r>
      <w:r>
        <w:rPr>
          <w:spacing w:val="-5"/>
        </w:rPr>
        <w:t>司一致，如子公司采用的会计政策、会计期间与本公司不一致的，在编制合并</w:t>
      </w:r>
      <w:r>
        <w:rPr>
          <w:spacing w:val="-49"/>
        </w:rPr>
        <w:t> </w:t>
      </w:r>
      <w:r>
        <w:rPr>
          <w:spacing w:val="-49"/>
        </w:rPr>
      </w:r>
      <w:r>
        <w:rPr>
          <w:spacing w:val="-5"/>
        </w:rPr>
        <w:t>财务报表时，按本公司的会计政策、会计期间进行必要的调整。对于非同一控</w:t>
      </w:r>
      <w:r>
        <w:rPr>
          <w:spacing w:val="-48"/>
        </w:rPr>
        <w:t> </w:t>
      </w:r>
      <w:r>
        <w:rPr>
          <w:spacing w:val="-48"/>
        </w:rPr>
      </w:r>
      <w:r>
        <w:rPr>
          <w:spacing w:val="-5"/>
          <w:w w:val="100"/>
        </w:rPr>
        <w:t>制下企业合并取得的子公司，以购买日可辨认净资产公允价值为基础对其财务</w:t>
      </w:r>
      <w:r>
        <w:rPr>
          <w:spacing w:val="-85"/>
          <w:w w:val="100"/>
        </w:rPr>
        <w:t> </w:t>
      </w:r>
      <w:r>
        <w:rPr>
          <w:spacing w:val="-85"/>
          <w:w w:val="100"/>
        </w:rPr>
      </w:r>
      <w:r>
        <w:rPr>
          <w:spacing w:val="-5"/>
        </w:rPr>
        <w:t>报表进行调整。对于同一控制下企业合并取得的子公司，以其资产、负债（包</w:t>
      </w:r>
      <w:r>
        <w:rPr>
          <w:spacing w:val="-41"/>
        </w:rPr>
        <w:t> </w:t>
      </w:r>
      <w:r>
        <w:rPr>
          <w:spacing w:val="-41"/>
        </w:rPr>
      </w:r>
      <w:r>
        <w:rPr>
          <w:spacing w:val="-5"/>
          <w:w w:val="100"/>
        </w:rPr>
        <w:t>括最终控制方收购该子公司而形成的商誉）在最终控制方财务报表中的账面价</w:t>
      </w:r>
      <w:r>
        <w:rPr>
          <w:spacing w:val="-85"/>
          <w:w w:val="100"/>
        </w:rPr>
        <w:t> </w:t>
      </w:r>
      <w:r>
        <w:rPr>
          <w:spacing w:val="-85"/>
          <w:w w:val="100"/>
        </w:rPr>
      </w:r>
      <w:r>
        <w:rPr/>
        <w:t>值为基础对其财务报表进行调整。</w:t>
      </w:r>
      <w:r>
        <w:rPr>
          <w:w w:val="100"/>
        </w:rPr>
        <w:t> </w:t>
      </w:r>
      <w:r>
        <w:rPr>
          <w:spacing w:val="-5"/>
          <w:w w:val="100"/>
        </w:rPr>
        <w:t>子公司所有者权益、当期净损益和当期综合收益中属于少数股东的份额分别在</w:t>
      </w:r>
      <w:r>
        <w:rPr>
          <w:spacing w:val="-84"/>
          <w:w w:val="100"/>
        </w:rPr>
        <w:t> </w:t>
      </w:r>
      <w:r>
        <w:rPr>
          <w:spacing w:val="-84"/>
          <w:w w:val="100"/>
        </w:rPr>
      </w:r>
      <w:r>
        <w:rPr>
          <w:spacing w:val="-5"/>
          <w:w w:val="100"/>
        </w:rPr>
        <w:t>合并资产负债表中所有者权益项目下、合并利润表中净利润项目下和综合收益</w:t>
      </w:r>
    </w:p>
    <w:p>
      <w:pPr>
        <w:spacing w:after="0" w:line="350"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right="1468"/>
        <w:jc w:val="left"/>
      </w:pPr>
      <w:r>
        <w:rPr>
          <w:spacing w:val="-5"/>
          <w:w w:val="100"/>
        </w:rPr>
        <w:t>总额项目下单独列示。子公司少数股东分担的当期亏损超过了少数股东在该子</w:t>
      </w:r>
      <w:r>
        <w:rPr>
          <w:spacing w:val="-85"/>
          <w:w w:val="100"/>
        </w:rPr>
        <w:t> </w:t>
      </w:r>
      <w:r>
        <w:rPr>
          <w:spacing w:val="-85"/>
          <w:w w:val="100"/>
        </w:rPr>
      </w:r>
      <w:r>
        <w:rPr/>
        <w:t>公司期初所有者权益中所享有份额而形成的余额，冲减少数股东权益。</w:t>
      </w:r>
    </w:p>
    <w:p>
      <w:pPr>
        <w:pStyle w:val="BodyText"/>
        <w:spacing w:line="348" w:lineRule="auto" w:before="29"/>
        <w:ind w:right="1468"/>
        <w:jc w:val="left"/>
      </w:pPr>
      <w:r>
        <w:rPr/>
        <w:t>（</w:t>
      </w:r>
      <w:r>
        <w:rPr>
          <w:rFonts w:ascii="Times New Roman" w:hAnsi="Times New Roman" w:cs="Times New Roman" w:eastAsia="Times New Roman" w:hint="default"/>
        </w:rPr>
        <w:t>1</w:t>
      </w:r>
      <w:r>
        <w:rPr/>
        <w:t>）增加子公司或业务</w:t>
      </w:r>
      <w:r>
        <w:rPr>
          <w:w w:val="100"/>
        </w:rPr>
        <w:t> </w:t>
      </w:r>
      <w:r>
        <w:rPr>
          <w:spacing w:val="-5"/>
        </w:rPr>
        <w:t>在报告期内，若因同一控制下企业合并增加子公司或业务的，则调整合并资产</w:t>
      </w:r>
      <w:r>
        <w:rPr>
          <w:spacing w:val="-46"/>
        </w:rPr>
        <w:t> </w:t>
      </w:r>
      <w:r>
        <w:rPr>
          <w:spacing w:val="-46"/>
        </w:rPr>
      </w:r>
      <w:r>
        <w:rPr>
          <w:spacing w:val="-5"/>
        </w:rPr>
        <w:t>负债表的期初数；将子公司或业务合并当期期初至报告期末的收入、费用、利</w:t>
      </w:r>
      <w:r>
        <w:rPr>
          <w:spacing w:val="-45"/>
        </w:rPr>
        <w:t> </w:t>
      </w:r>
      <w:r>
        <w:rPr>
          <w:spacing w:val="-45"/>
        </w:rPr>
      </w:r>
      <w:r>
        <w:rPr>
          <w:spacing w:val="-5"/>
          <w:w w:val="100"/>
        </w:rPr>
        <w:t>润纳入合并利润表；将子公司或业务合并当期期初至报告期末的现金流量纳入</w:t>
      </w:r>
      <w:r>
        <w:rPr>
          <w:spacing w:val="-84"/>
          <w:w w:val="100"/>
        </w:rPr>
        <w:t> </w:t>
      </w:r>
      <w:r>
        <w:rPr>
          <w:spacing w:val="-84"/>
          <w:w w:val="100"/>
        </w:rPr>
      </w:r>
      <w:r>
        <w:rPr>
          <w:spacing w:val="-5"/>
        </w:rPr>
        <w:t>合并现金流量表，同时对比较报表的相关项目进行调整，视同合并后的报告主</w:t>
      </w:r>
      <w:r>
        <w:rPr>
          <w:spacing w:val="-46"/>
        </w:rPr>
        <w:t> </w:t>
      </w:r>
      <w:r>
        <w:rPr>
          <w:spacing w:val="-46"/>
        </w:rPr>
      </w:r>
      <w:r>
        <w:rPr/>
        <w:t>体自最终控制方开始控制时点起一直存在。</w:t>
      </w:r>
      <w:r>
        <w:rPr>
          <w:w w:val="100"/>
        </w:rPr>
        <w:t> </w:t>
      </w:r>
      <w:r>
        <w:rPr>
          <w:spacing w:val="-5"/>
          <w:w w:val="100"/>
        </w:rPr>
        <w:t>因追加投资等原因能够对同一控制下的被投资方实施控制的，视同参与合并的</w:t>
      </w:r>
      <w:r>
        <w:rPr>
          <w:spacing w:val="-84"/>
          <w:w w:val="100"/>
        </w:rPr>
        <w:t> </w:t>
      </w:r>
      <w:r>
        <w:rPr>
          <w:spacing w:val="-84"/>
          <w:w w:val="100"/>
        </w:rPr>
      </w:r>
      <w:r>
        <w:rPr>
          <w:spacing w:val="-5"/>
          <w:w w:val="100"/>
        </w:rPr>
        <w:t>各方在最终控制方开始控制时即以目前的状态存在进行调整。在取得被合并方</w:t>
      </w:r>
      <w:r>
        <w:rPr>
          <w:spacing w:val="-84"/>
          <w:w w:val="100"/>
        </w:rPr>
        <w:t> </w:t>
      </w:r>
      <w:r>
        <w:rPr>
          <w:spacing w:val="-84"/>
          <w:w w:val="100"/>
        </w:rPr>
      </w:r>
      <w:r>
        <w:rPr>
          <w:spacing w:val="-5"/>
          <w:w w:val="100"/>
        </w:rPr>
        <w:t>控制权之前持有的股权投资，在取得原股权之日与合并方和被合并方同处于同</w:t>
      </w:r>
      <w:r>
        <w:rPr>
          <w:spacing w:val="-85"/>
          <w:w w:val="100"/>
        </w:rPr>
        <w:t> </w:t>
      </w:r>
      <w:r>
        <w:rPr>
          <w:spacing w:val="-85"/>
          <w:w w:val="100"/>
        </w:rPr>
      </w:r>
      <w:r>
        <w:rPr>
          <w:spacing w:val="-5"/>
          <w:w w:val="100"/>
        </w:rPr>
        <w:t>一控制之日孰晚日起至合并日之间已确认有关损益、其他综合收益以及其他净</w:t>
      </w:r>
      <w:r>
        <w:rPr>
          <w:spacing w:val="-84"/>
          <w:w w:val="100"/>
        </w:rPr>
        <w:t> </w:t>
      </w:r>
      <w:r>
        <w:rPr>
          <w:spacing w:val="-84"/>
          <w:w w:val="100"/>
        </w:rPr>
      </w:r>
      <w:r>
        <w:rPr/>
        <w:t>资产变动，分别冲减比较报表期间的期初留存收益或当期损益。</w:t>
      </w:r>
      <w:r>
        <w:rPr>
          <w:w w:val="100"/>
        </w:rPr>
        <w:t> </w:t>
      </w:r>
      <w:r>
        <w:rPr>
          <w:spacing w:val="-5"/>
        </w:rPr>
        <w:t>在报告期内，若因非同一控制下企业合并增加子公司或业务的，则不调整合并</w:t>
      </w:r>
      <w:r>
        <w:rPr>
          <w:spacing w:val="-45"/>
        </w:rPr>
        <w:t> </w:t>
      </w:r>
      <w:r>
        <w:rPr>
          <w:spacing w:val="-45"/>
        </w:rPr>
      </w:r>
      <w:r>
        <w:rPr>
          <w:spacing w:val="-5"/>
        </w:rPr>
        <w:t>资产负债表期初数；将该子公司或业务自购买日至报告期末的收入、费用、利</w:t>
      </w:r>
      <w:r>
        <w:rPr>
          <w:spacing w:val="-45"/>
        </w:rPr>
        <w:t> </w:t>
      </w:r>
      <w:r>
        <w:rPr>
          <w:spacing w:val="-45"/>
        </w:rPr>
      </w:r>
      <w:r>
        <w:rPr>
          <w:spacing w:val="-5"/>
          <w:w w:val="100"/>
        </w:rPr>
        <w:t>润纳入合并利润表；该子公司或业务自购买日至报告期末的现金流量纳入合并</w:t>
      </w:r>
      <w:r>
        <w:rPr>
          <w:spacing w:val="-84"/>
          <w:w w:val="100"/>
        </w:rPr>
        <w:t> </w:t>
      </w:r>
      <w:r>
        <w:rPr>
          <w:spacing w:val="-84"/>
          <w:w w:val="100"/>
        </w:rPr>
      </w:r>
      <w:r>
        <w:rPr/>
        <w:t>现金流量表。</w:t>
      </w:r>
      <w:r>
        <w:rPr>
          <w:w w:val="100"/>
        </w:rPr>
        <w:t> </w:t>
      </w:r>
      <w:r>
        <w:rPr>
          <w:spacing w:val="-5"/>
          <w:w w:val="100"/>
        </w:rPr>
        <w:t>因追加投资等原因能够对非同一控制下的被投资方实施控制的，对于购买日之</w:t>
      </w:r>
      <w:r>
        <w:rPr>
          <w:spacing w:val="-85"/>
          <w:w w:val="100"/>
        </w:rPr>
        <w:t> </w:t>
      </w:r>
      <w:r>
        <w:rPr>
          <w:spacing w:val="-85"/>
          <w:w w:val="100"/>
        </w:rPr>
      </w:r>
      <w:r>
        <w:rPr>
          <w:spacing w:val="-5"/>
          <w:w w:val="100"/>
        </w:rPr>
        <w:t>前持有的被购买方的股权，本公司按照该股权在购买日的公允价值进行重新计</w:t>
      </w:r>
      <w:r>
        <w:rPr>
          <w:spacing w:val="-84"/>
          <w:w w:val="100"/>
        </w:rPr>
        <w:t> </w:t>
      </w:r>
      <w:r>
        <w:rPr>
          <w:spacing w:val="-84"/>
          <w:w w:val="100"/>
        </w:rPr>
      </w:r>
      <w:r>
        <w:rPr>
          <w:spacing w:val="-5"/>
        </w:rPr>
        <w:t>量，公允价值与其账面价值的差额计入当期投资收益。购买日之前持有的被购</w:t>
      </w:r>
      <w:r>
        <w:rPr>
          <w:spacing w:val="-45"/>
        </w:rPr>
        <w:t> </w:t>
      </w:r>
      <w:r>
        <w:rPr>
          <w:spacing w:val="-45"/>
        </w:rPr>
      </w:r>
      <w:r>
        <w:rPr>
          <w:spacing w:val="-5"/>
          <w:w w:val="100"/>
        </w:rPr>
        <w:t>买方的股权涉及权益法核算下的其他综合收益以及除净损益、其他综合收益和</w:t>
      </w:r>
      <w:r>
        <w:rPr>
          <w:spacing w:val="-84"/>
          <w:w w:val="100"/>
        </w:rPr>
        <w:t> </w:t>
      </w:r>
      <w:r>
        <w:rPr>
          <w:spacing w:val="-84"/>
          <w:w w:val="100"/>
        </w:rPr>
      </w:r>
      <w:r>
        <w:rPr>
          <w:spacing w:val="-5"/>
        </w:rPr>
        <w:t>利润分配之外的其他所有者权益变动的，与其相关的其他综合收益、其他所有</w:t>
      </w:r>
      <w:r>
        <w:rPr>
          <w:spacing w:val="-46"/>
        </w:rPr>
        <w:t> </w:t>
      </w:r>
      <w:r>
        <w:rPr>
          <w:spacing w:val="-46"/>
        </w:rPr>
      </w:r>
      <w:r>
        <w:rPr>
          <w:spacing w:val="-5"/>
          <w:w w:val="100"/>
        </w:rPr>
        <w:t>者权益变动转为购买日所属当期投资收益，由于被投资方重新计量设定受益计</w:t>
      </w:r>
      <w:r>
        <w:rPr>
          <w:spacing w:val="-85"/>
          <w:w w:val="100"/>
        </w:rPr>
        <w:t> </w:t>
      </w:r>
      <w:r>
        <w:rPr>
          <w:spacing w:val="-85"/>
          <w:w w:val="100"/>
        </w:rPr>
      </w:r>
      <w:r>
        <w:rPr/>
        <w:t>划净负债或净资产变动而产生的其他综合收益除外。</w:t>
      </w:r>
    </w:p>
    <w:p>
      <w:pPr>
        <w:pStyle w:val="BodyText"/>
        <w:spacing w:line="240" w:lineRule="auto" w:before="29"/>
        <w:ind w:right="3683"/>
        <w:jc w:val="left"/>
      </w:pPr>
      <w:r>
        <w:rPr/>
        <w:t>（</w:t>
      </w:r>
      <w:r>
        <w:rPr>
          <w:rFonts w:ascii="Times New Roman" w:hAnsi="Times New Roman" w:cs="Times New Roman" w:eastAsia="Times New Roman" w:hint="default"/>
        </w:rPr>
        <w:t>2</w:t>
      </w:r>
      <w:r>
        <w:rPr/>
        <w:t>）处置子公司或业务</w:t>
      </w:r>
    </w:p>
    <w:p>
      <w:pPr>
        <w:pStyle w:val="BodyText"/>
        <w:spacing w:line="350" w:lineRule="auto" w:before="110"/>
        <w:ind w:right="1468"/>
        <w:jc w:val="left"/>
      </w:pPr>
      <w:r>
        <w:rPr/>
        <w:t>①一般处理方法</w:t>
      </w:r>
      <w:r>
        <w:rPr>
          <w:spacing w:val="-103"/>
        </w:rPr>
        <w:t> </w:t>
      </w:r>
      <w:r>
        <w:rPr>
          <w:spacing w:val="-103"/>
        </w:rPr>
      </w:r>
      <w:r>
        <w:rPr>
          <w:spacing w:val="-5"/>
        </w:rPr>
        <w:t>在报告期内，本公司处置子公司或业务，则该子公司或业务期初至处置日的收</w:t>
      </w:r>
      <w:r>
        <w:rPr>
          <w:spacing w:val="-46"/>
        </w:rPr>
        <w:t> </w:t>
      </w:r>
      <w:r>
        <w:rPr>
          <w:spacing w:val="-46"/>
        </w:rPr>
      </w:r>
      <w:r>
        <w:rPr>
          <w:spacing w:val="-5"/>
        </w:rPr>
        <w:t>入、费用、利润纳入合并利润表；该子公司或业务期初至处置日的现金流量纳</w:t>
      </w:r>
      <w:r>
        <w:rPr>
          <w:spacing w:val="-45"/>
        </w:rPr>
        <w:t> </w:t>
      </w:r>
      <w:r>
        <w:rPr>
          <w:spacing w:val="-45"/>
        </w:rPr>
      </w:r>
      <w:r>
        <w:rPr/>
        <w:t>入合并现金流量表。</w:t>
      </w:r>
      <w:r>
        <w:rPr>
          <w:w w:val="100"/>
        </w:rPr>
        <w:t> </w:t>
      </w:r>
      <w:r>
        <w:rPr>
          <w:spacing w:val="-5"/>
          <w:w w:val="100"/>
        </w:rPr>
        <w:t>因处置部分股权投资或其他原因丧失了对被投资方控制权时，对于处置后的剩</w:t>
      </w:r>
      <w:r>
        <w:rPr>
          <w:spacing w:val="-84"/>
          <w:w w:val="100"/>
        </w:rPr>
        <w:t> </w:t>
      </w:r>
      <w:r>
        <w:rPr>
          <w:spacing w:val="-84"/>
          <w:w w:val="100"/>
        </w:rPr>
      </w:r>
      <w:r>
        <w:rPr>
          <w:spacing w:val="-5"/>
        </w:rPr>
        <w:t>余股权投资，本公司按照其在丧失控制权日的公允价值进行重新计量。处置股</w:t>
      </w:r>
      <w:r>
        <w:rPr>
          <w:spacing w:val="-46"/>
        </w:rPr>
        <w:t> </w:t>
      </w:r>
      <w:r>
        <w:rPr>
          <w:spacing w:val="-46"/>
        </w:rPr>
      </w:r>
      <w:r>
        <w:rPr>
          <w:spacing w:val="-5"/>
          <w:w w:val="100"/>
        </w:rPr>
        <w:t>权取得的对价与剩余股权公允价值之和，减去按原持股比例计算应享有原有子</w:t>
      </w:r>
      <w:r>
        <w:rPr>
          <w:spacing w:val="-84"/>
          <w:w w:val="100"/>
        </w:rPr>
        <w:t> </w:t>
      </w:r>
      <w:r>
        <w:rPr>
          <w:spacing w:val="-84"/>
          <w:w w:val="100"/>
        </w:rPr>
      </w:r>
      <w:r>
        <w:rPr>
          <w:spacing w:val="-5"/>
          <w:w w:val="100"/>
        </w:rPr>
        <w:t>公司自购买日或合并日开始持续计算的净资产的份额与商誉之和的差额，计入</w:t>
      </w:r>
      <w:r>
        <w:rPr>
          <w:spacing w:val="-85"/>
          <w:w w:val="100"/>
        </w:rPr>
        <w:t> </w:t>
      </w:r>
      <w:r>
        <w:rPr>
          <w:spacing w:val="-85"/>
          <w:w w:val="100"/>
        </w:rPr>
      </w:r>
      <w:r>
        <w:rPr>
          <w:spacing w:val="-5"/>
          <w:w w:val="100"/>
        </w:rPr>
        <w:t>丧失控制权当期的投资收益。与原有子公司股权投资相关的其他综合收益或除</w:t>
      </w:r>
    </w:p>
    <w:p>
      <w:pPr>
        <w:spacing w:after="0" w:line="350"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right="1468"/>
        <w:jc w:val="left"/>
      </w:pPr>
      <w:r>
        <w:rPr>
          <w:spacing w:val="-5"/>
        </w:rPr>
        <w:t>净损益、其他综合收益及利润分配之外的其他所有者权益变动，在丧失控制权</w:t>
      </w:r>
      <w:r>
        <w:rPr>
          <w:spacing w:val="-45"/>
        </w:rPr>
        <w:t> </w:t>
      </w:r>
      <w:r>
        <w:rPr>
          <w:spacing w:val="-45"/>
        </w:rPr>
      </w:r>
      <w:r>
        <w:rPr>
          <w:spacing w:val="-5"/>
          <w:w w:val="100"/>
        </w:rPr>
        <w:t>时转为当期投资收益，由于被投资方重新计量设定受益计划净负债或净资产变</w:t>
      </w:r>
      <w:r>
        <w:rPr>
          <w:spacing w:val="-85"/>
          <w:w w:val="100"/>
        </w:rPr>
        <w:t> </w:t>
      </w:r>
      <w:r>
        <w:rPr>
          <w:spacing w:val="-85"/>
          <w:w w:val="100"/>
        </w:rPr>
      </w:r>
      <w:r>
        <w:rPr/>
        <w:t>动而产生的其他综合收益除外。</w:t>
      </w:r>
      <w:r>
        <w:rPr>
          <w:w w:val="100"/>
        </w:rPr>
        <w:t> </w:t>
      </w:r>
      <w:r>
        <w:rPr>
          <w:spacing w:val="-5"/>
          <w:w w:val="100"/>
        </w:rPr>
        <w:t>因其他投资方对子公司增资而导致本公司持股比例下降从而丧失控制权的，按</w:t>
      </w:r>
      <w:r>
        <w:rPr>
          <w:spacing w:val="-84"/>
          <w:w w:val="100"/>
        </w:rPr>
        <w:t> </w:t>
      </w:r>
      <w:r>
        <w:rPr>
          <w:spacing w:val="-84"/>
          <w:w w:val="100"/>
        </w:rPr>
      </w:r>
      <w:r>
        <w:rPr/>
        <w:t>照上述原则进行会计处理。</w:t>
      </w:r>
    </w:p>
    <w:p>
      <w:pPr>
        <w:pStyle w:val="BodyText"/>
        <w:spacing w:line="350" w:lineRule="auto" w:before="29"/>
        <w:ind w:right="1468"/>
        <w:jc w:val="left"/>
      </w:pPr>
      <w:r>
        <w:rPr/>
        <w:t>②分步处置子公司</w:t>
      </w:r>
      <w:r>
        <w:rPr>
          <w:w w:val="100"/>
        </w:rPr>
        <w:t> </w:t>
      </w:r>
      <w:r>
        <w:rPr>
          <w:spacing w:val="-5"/>
          <w:w w:val="100"/>
        </w:rPr>
        <w:t>通过多次交易分步处置对子公司股权投资直至丧失控制权的，处置对子公司股</w:t>
      </w:r>
      <w:r>
        <w:rPr>
          <w:spacing w:val="-84"/>
          <w:w w:val="100"/>
        </w:rPr>
        <w:t> </w:t>
      </w:r>
      <w:r>
        <w:rPr>
          <w:spacing w:val="-84"/>
          <w:w w:val="100"/>
        </w:rPr>
      </w:r>
      <w:r>
        <w:rPr>
          <w:spacing w:val="-5"/>
        </w:rPr>
        <w:t>权投资的各项交易的条款、条件以及经济影响符合以下一种或多种情况，通常</w:t>
      </w:r>
      <w:r>
        <w:rPr>
          <w:spacing w:val="-45"/>
        </w:rPr>
        <w:t> </w:t>
      </w:r>
      <w:r>
        <w:rPr>
          <w:spacing w:val="-45"/>
        </w:rPr>
      </w:r>
      <w:r>
        <w:rPr/>
        <w:t>表明应将多次交易事项作为一揽子交易进行会计处理：</w:t>
      </w:r>
      <w:r>
        <w:rPr>
          <w:w w:val="100"/>
        </w:rPr>
        <w:t> </w:t>
      </w: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5"/>
          <w:w w:val="100"/>
        </w:rPr>
        <w:t>处置对子公司股权投资直至丧失控制权的各项交易属于一揽子交易的，本公司</w:t>
      </w:r>
      <w:r>
        <w:rPr>
          <w:spacing w:val="-84"/>
          <w:w w:val="100"/>
        </w:rPr>
        <w:t> </w:t>
      </w:r>
      <w:r>
        <w:rPr>
          <w:spacing w:val="-84"/>
          <w:w w:val="100"/>
        </w:rPr>
      </w:r>
      <w:r>
        <w:rPr>
          <w:spacing w:val="-5"/>
        </w:rPr>
        <w:t>将各项交易作为一项处置子公司并丧失控制权的交易进行会计处理；但是，在</w:t>
      </w:r>
      <w:r>
        <w:rPr>
          <w:spacing w:val="-43"/>
        </w:rPr>
        <w:t> </w:t>
      </w:r>
      <w:r>
        <w:rPr>
          <w:spacing w:val="-43"/>
        </w:rPr>
      </w:r>
      <w:r>
        <w:rPr/>
        <w:t>丧失控制权之前每一次处置价款与处置投资对应的享有该子公司净资产份额</w:t>
      </w:r>
      <w:r>
        <w:rPr>
          <w:w w:val="100"/>
        </w:rPr>
        <w:t> </w:t>
      </w:r>
      <w:r>
        <w:rPr>
          <w:spacing w:val="-5"/>
        </w:rPr>
        <w:t>的差额，在合并财务报表中确认为其他综合收益，在丧失控制权时一并转入丧</w:t>
      </w:r>
      <w:r>
        <w:rPr>
          <w:spacing w:val="-44"/>
        </w:rPr>
        <w:t> </w:t>
      </w:r>
      <w:r>
        <w:rPr>
          <w:spacing w:val="-44"/>
        </w:rPr>
      </w:r>
      <w:r>
        <w:rPr/>
        <w:t>失控制权当期的损益。</w:t>
      </w:r>
      <w:r>
        <w:rPr>
          <w:w w:val="100"/>
        </w:rPr>
        <w:t> </w:t>
      </w:r>
      <w:r>
        <w:rPr>
          <w:spacing w:val="-2"/>
        </w:rPr>
        <w:t>处置对子公司股权投资直至丧失控制权的各项交易不属于一揽子交易的，在丧失</w:t>
      </w:r>
      <w:r>
        <w:rPr>
          <w:spacing w:val="-38"/>
        </w:rPr>
        <w:t> </w:t>
      </w:r>
      <w:r>
        <w:rPr>
          <w:spacing w:val="-38"/>
        </w:rPr>
      </w:r>
      <w:r>
        <w:rPr>
          <w:spacing w:val="-2"/>
        </w:rPr>
        <w:t>控制权之前，按不丧失控制权的情况下部分处置对子公司的股权投资的相关政策</w:t>
      </w:r>
      <w:r>
        <w:rPr>
          <w:spacing w:val="-38"/>
        </w:rPr>
        <w:t> </w:t>
      </w:r>
      <w:r>
        <w:rPr>
          <w:spacing w:val="-38"/>
        </w:rPr>
      </w:r>
      <w:r>
        <w:rPr/>
        <w:t>进行会计处理；在丧失控制权时，按处置子公司一般处理方法进行会计处理。</w:t>
      </w:r>
    </w:p>
    <w:p>
      <w:pPr>
        <w:pStyle w:val="BodyText"/>
        <w:spacing w:line="345" w:lineRule="auto" w:before="27"/>
        <w:ind w:right="1468"/>
        <w:jc w:val="left"/>
      </w:pPr>
      <w:r>
        <w:rPr/>
        <w:t>（</w:t>
      </w:r>
      <w:r>
        <w:rPr>
          <w:rFonts w:ascii="Times New Roman" w:hAnsi="Times New Roman" w:cs="Times New Roman" w:eastAsia="Times New Roman" w:hint="default"/>
        </w:rPr>
        <w:t>3</w:t>
      </w:r>
      <w:r>
        <w:rPr/>
        <w:t>）购买子公司少数股权</w:t>
      </w:r>
      <w:r>
        <w:rPr>
          <w:w w:val="100"/>
        </w:rPr>
        <w:t> </w:t>
      </w:r>
      <w:r>
        <w:rPr/>
        <w:t>本公司因购买少数股权新取得的长期股权投资与按照新增持股比例计算应享</w:t>
      </w:r>
      <w:r>
        <w:rPr>
          <w:w w:val="100"/>
        </w:rPr>
        <w:t> </w:t>
      </w:r>
      <w:r>
        <w:rPr>
          <w:spacing w:val="-5"/>
        </w:rPr>
        <w:t>有子公司自购买日（或合并日）开始持续计算的净资产份额之间的差额，调整</w:t>
      </w:r>
      <w:r>
        <w:rPr>
          <w:spacing w:val="-48"/>
        </w:rPr>
        <w:t> </w:t>
      </w:r>
      <w:r>
        <w:rPr>
          <w:spacing w:val="-48"/>
        </w:rPr>
      </w:r>
      <w:r>
        <w:rPr>
          <w:spacing w:val="-5"/>
          <w:w w:val="100"/>
        </w:rPr>
        <w:t>合并资产负债表中的资本公积中的股本溢价，资本公积中的股本溢价不足冲减</w:t>
      </w:r>
      <w:r>
        <w:rPr>
          <w:spacing w:val="-84"/>
          <w:w w:val="100"/>
        </w:rPr>
        <w:t> </w:t>
      </w:r>
      <w:r>
        <w:rPr>
          <w:spacing w:val="-84"/>
          <w:w w:val="100"/>
        </w:rPr>
      </w:r>
      <w:r>
        <w:rPr/>
        <w:t>的，调整留存收益。</w:t>
      </w:r>
    </w:p>
    <w:p>
      <w:pPr>
        <w:pStyle w:val="BodyText"/>
        <w:spacing w:line="343" w:lineRule="auto" w:before="33"/>
        <w:ind w:right="1468"/>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t>在不丧失控制权的情况下因部分处置对子公司的长期股权投资而取得的处置</w:t>
      </w:r>
      <w:r>
        <w:rPr>
          <w:w w:val="100"/>
        </w:rPr>
        <w:t> </w:t>
      </w:r>
      <w:r>
        <w:rPr/>
        <w:t>价款与处置长期股权投资相对应享有子公司自购买日或合并日开始持续计算</w:t>
      </w:r>
      <w:r>
        <w:rPr>
          <w:w w:val="100"/>
        </w:rPr>
        <w:t> </w:t>
      </w:r>
      <w:r>
        <w:rPr>
          <w:spacing w:val="-2"/>
        </w:rPr>
        <w:t>的净资产份额之间的差额，调整合并资产负债表中的资本公积中的股本溢价，</w:t>
      </w:r>
      <w:r>
        <w:rPr>
          <w:spacing w:val="-42"/>
        </w:rPr>
        <w:t> </w:t>
      </w:r>
      <w:r>
        <w:rPr>
          <w:spacing w:val="-42"/>
        </w:rPr>
      </w:r>
      <w:r>
        <w:rPr/>
        <w:t>资本公积中的股本溢价不足冲减的，调整留存收益。</w:t>
      </w:r>
    </w:p>
    <w:p>
      <w:pPr>
        <w:tabs>
          <w:tab w:pos="850" w:val="left" w:leader="none"/>
        </w:tabs>
        <w:spacing w:line="331" w:lineRule="auto" w:before="35"/>
        <w:ind w:left="850" w:right="6028"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合营安排分类及会计处理方法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合营安排分为共同经营和合营企业。</w:t>
      </w:r>
    </w:p>
    <w:p>
      <w:pPr>
        <w:pStyle w:val="BodyText"/>
        <w:spacing w:line="240" w:lineRule="auto" w:before="43"/>
        <w:ind w:left="850" w:right="1468"/>
        <w:jc w:val="left"/>
      </w:pPr>
      <w:r>
        <w:rPr/>
        <w:t>当本公司是合营安排的合营方，享有该安排相关资产且承担该安排相关负债时，为</w:t>
      </w:r>
    </w:p>
    <w:p>
      <w:pPr>
        <w:spacing w:after="0" w:line="240"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left="850" w:right="1468"/>
        <w:jc w:val="left"/>
      </w:pPr>
      <w:r>
        <w:rPr/>
        <w:t>共同经营。</w:t>
      </w:r>
      <w:r>
        <w:rPr>
          <w:spacing w:val="-102"/>
        </w:rPr>
        <w:t> </w:t>
      </w:r>
      <w:r>
        <w:rPr>
          <w:spacing w:val="-102"/>
        </w:rPr>
      </w:r>
      <w:r>
        <w:rPr>
          <w:spacing w:val="-2"/>
        </w:rPr>
        <w:t>本公司确认与共同经营中利益份额相关的下列项目，并按照相关企业会计准则的规</w:t>
      </w:r>
      <w:r>
        <w:rPr>
          <w:spacing w:val="-35"/>
        </w:rPr>
        <w:t> </w:t>
      </w:r>
      <w:r>
        <w:rPr>
          <w:spacing w:val="-35"/>
        </w:rPr>
      </w:r>
      <w:r>
        <w:rPr/>
        <w:t>定进行会计处理：</w:t>
      </w:r>
    </w:p>
    <w:p>
      <w:pPr>
        <w:pStyle w:val="BodyText"/>
        <w:spacing w:line="240" w:lineRule="auto" w:before="27"/>
        <w:ind w:left="850" w:right="1468"/>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10"/>
        <w:ind w:left="850" w:right="1468"/>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10"/>
        <w:ind w:left="850" w:right="1468"/>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07"/>
        <w:ind w:left="850" w:right="368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110"/>
        <w:ind w:left="850" w:right="1468"/>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pStyle w:val="BodyText"/>
        <w:tabs>
          <w:tab w:pos="850" w:val="left" w:leader="none"/>
        </w:tabs>
        <w:spacing w:line="343" w:lineRule="auto" w:before="110"/>
        <w:ind w:left="850" w:right="1712" w:hanging="713"/>
        <w:jc w:val="left"/>
      </w:pPr>
      <w:r>
        <w:rPr>
          <w:rFonts w:ascii="Times New Roman" w:hAnsi="Times New Roman" w:cs="Times New Roman" w:eastAsia="Times New Roman" w:hint="default"/>
          <w:b/>
          <w:bCs/>
        </w:rPr>
        <w:t>(</w:t>
      </w:r>
      <w:r>
        <w:rPr>
          <w:rFonts w:ascii="宋体" w:hAnsi="宋体" w:cs="宋体" w:eastAsia="宋体" w:hint="default"/>
          <w:b/>
          <w:bCs/>
        </w:rPr>
        <w:t>八</w:t>
      </w:r>
      <w:r>
        <w:rPr>
          <w:rFonts w:ascii="Times New Roman" w:hAnsi="Times New Roman" w:cs="Times New Roman" w:eastAsia="Times New Roman" w:hint="default"/>
          <w:b/>
          <w:bCs/>
        </w:rPr>
        <w:t>)</w:t>
        <w:tab/>
      </w:r>
      <w:r>
        <w:rPr>
          <w:rFonts w:ascii="宋体" w:hAnsi="宋体" w:cs="宋体" w:eastAsia="宋体" w:hint="default"/>
          <w:b/>
          <w:bCs/>
        </w:rPr>
        <w:t>现金及现金等价物的确定标准</w:t>
      </w:r>
      <w:r>
        <w:rPr>
          <w:rFonts w:ascii="宋体" w:hAnsi="宋体" w:cs="宋体" w:eastAsia="宋体" w:hint="default"/>
          <w:b/>
          <w:bCs/>
          <w:w w:val="100"/>
        </w:rPr>
        <w:t> </w:t>
      </w:r>
      <w:r>
        <w:rPr>
          <w:spacing w:val="-4"/>
        </w:rPr>
        <w:t>在编制现金流量表时，将本公司库存现金以及可以随时用于支付的存款确认为现金。</w:t>
      </w:r>
      <w:r>
        <w:rPr>
          <w:w w:val="100"/>
        </w:rPr>
        <w:t> </w:t>
      </w:r>
      <w:r>
        <w:rPr>
          <w:spacing w:val="-5"/>
          <w:w w:val="100"/>
        </w:rPr>
        <w:t>将同时具备期限短（从购买日起三个月内到期）、流动性强、易于转换为已知现金、</w:t>
      </w:r>
      <w:r>
        <w:rPr>
          <w:w w:val="100"/>
        </w:rPr>
        <w:t> </w:t>
      </w:r>
      <w:r>
        <w:rPr/>
        <w:t>价值变动风险很小四个条件的投资，确定为现金等价物。</w:t>
      </w:r>
    </w:p>
    <w:p>
      <w:pPr>
        <w:pStyle w:val="Heading5"/>
        <w:tabs>
          <w:tab w:pos="850" w:val="left" w:leader="none"/>
        </w:tabs>
        <w:spacing w:line="240" w:lineRule="auto" w:before="33"/>
        <w:ind w:right="3683"/>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tab/>
      </w:r>
      <w:r>
        <w:rPr/>
        <w:t>外币业务和外币报表折算</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外币业务</w:t>
      </w:r>
      <w:r>
        <w:rPr>
          <w:b w:val="0"/>
          <w:bCs w:val="0"/>
        </w:rPr>
      </w:r>
    </w:p>
    <w:p>
      <w:pPr>
        <w:pStyle w:val="BodyText"/>
        <w:spacing w:line="348" w:lineRule="auto" w:before="110"/>
        <w:ind w:right="1468"/>
        <w:jc w:val="left"/>
      </w:pPr>
      <w:r>
        <w:rPr/>
        <w:t>外币业务采用交易发生日的即期汇率作为折算汇率将外币金额折合成人民币</w:t>
      </w:r>
      <w:r>
        <w:rPr>
          <w:w w:val="100"/>
        </w:rPr>
        <w:t> </w:t>
      </w:r>
      <w:r>
        <w:rPr/>
        <w:t>记账。</w:t>
      </w:r>
      <w:r>
        <w:rPr>
          <w:spacing w:val="-102"/>
        </w:rPr>
        <w:t> </w:t>
      </w:r>
      <w:r>
        <w:rPr>
          <w:spacing w:val="-5"/>
          <w:w w:val="100"/>
        </w:rPr>
        <w:t>资产负债表日外币货币性项目余额按资产负债表日即期汇率折算，由此产生的</w:t>
      </w:r>
      <w:r>
        <w:rPr>
          <w:spacing w:val="-84"/>
          <w:w w:val="100"/>
        </w:rPr>
        <w:t> </w:t>
      </w:r>
      <w:r>
        <w:rPr>
          <w:spacing w:val="-84"/>
          <w:w w:val="100"/>
        </w:rPr>
      </w:r>
      <w:r>
        <w:rPr>
          <w:spacing w:val="-5"/>
          <w:w w:val="100"/>
        </w:rPr>
        <w:t>汇兑差额，除属于与购建符合资本化条件的资产相关的外币专门借款产生的汇</w:t>
      </w:r>
      <w:r>
        <w:rPr>
          <w:spacing w:val="-84"/>
          <w:w w:val="100"/>
        </w:rPr>
        <w:t> </w:t>
      </w:r>
      <w:r>
        <w:rPr>
          <w:spacing w:val="-84"/>
          <w:w w:val="100"/>
        </w:rPr>
      </w:r>
      <w:r>
        <w:rPr/>
        <w:t>兑差额按照借款费用资本化的原则处理外，均计入当期损益。</w:t>
      </w:r>
    </w:p>
    <w:p>
      <w:pPr>
        <w:pStyle w:val="BodyText"/>
        <w:tabs>
          <w:tab w:pos="1397" w:val="left" w:leader="none"/>
        </w:tabs>
        <w:spacing w:line="340" w:lineRule="auto" w:before="32"/>
        <w:ind w:right="1791" w:hanging="569"/>
        <w:jc w:val="left"/>
      </w:pPr>
      <w:r>
        <w:rPr>
          <w:rFonts w:ascii="Times New Roman" w:hAnsi="Times New Roman" w:cs="Times New Roman" w:eastAsia="Times New Roman" w:hint="default"/>
          <w:b/>
          <w:bCs/>
        </w:rPr>
        <w:t>2</w:t>
      </w:r>
      <w:r>
        <w:rPr>
          <w:rFonts w:ascii="宋体" w:hAnsi="宋体" w:cs="宋体" w:eastAsia="宋体" w:hint="default"/>
          <w:b/>
          <w:bCs/>
        </w:rPr>
        <w:t>、</w:t>
        <w:tab/>
        <w:t>外币财务报表的折算</w:t>
      </w:r>
      <w:r>
        <w:rPr>
          <w:rFonts w:ascii="宋体" w:hAnsi="宋体" w:cs="宋体" w:eastAsia="宋体" w:hint="default"/>
          <w:b/>
          <w:bCs/>
          <w:spacing w:val="-103"/>
        </w:rPr>
        <w:t> </w:t>
      </w:r>
      <w:r>
        <w:rPr>
          <w:rFonts w:ascii="宋体" w:hAnsi="宋体" w:cs="宋体" w:eastAsia="宋体" w:hint="default"/>
          <w:b/>
          <w:bCs/>
          <w:spacing w:val="-103"/>
        </w:rPr>
      </w:r>
      <w:r>
        <w:rPr>
          <w:spacing w:val="-5"/>
        </w:rPr>
        <w:t>资产负债表中的资产和负债项目，采用资产负债表日的即期汇率折算；所有者</w:t>
      </w:r>
      <w:r>
        <w:rPr>
          <w:spacing w:val="-3"/>
          <w:w w:val="100"/>
        </w:rPr>
        <w:t> </w:t>
      </w:r>
      <w:r>
        <w:rPr>
          <w:spacing w:val="-4"/>
        </w:rPr>
        <w:t>权益项目除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项目外，其他项目采用发生时的即期汇率折算。利润</w:t>
      </w:r>
      <w:r>
        <w:rPr>
          <w:w w:val="100"/>
        </w:rPr>
        <w:t> </w:t>
      </w:r>
      <w:r>
        <w:rPr/>
        <w:t>表中的收入和费用项目，采用交易发生日的即期汇率折算。</w:t>
      </w:r>
      <w:r>
        <w:rPr>
          <w:w w:val="100"/>
        </w:rPr>
        <w:t> </w:t>
      </w:r>
      <w:r>
        <w:rPr>
          <w:spacing w:val="-5"/>
        </w:rPr>
        <w:t>处置境外经营时，将与该境外经营相关的外币财务报表折算差额，自所有者权</w:t>
      </w:r>
      <w:r>
        <w:rPr>
          <w:w w:val="100"/>
        </w:rPr>
        <w:t> </w:t>
      </w:r>
      <w:r>
        <w:rPr/>
        <w:t>益项目转入处置当期损益。</w:t>
      </w:r>
    </w:p>
    <w:p>
      <w:pPr>
        <w:tabs>
          <w:tab w:pos="850" w:val="left" w:leader="none"/>
          <w:tab w:pos="1397" w:val="left" w:leader="none"/>
        </w:tabs>
        <w:spacing w:line="338" w:lineRule="auto" w:before="37"/>
        <w:ind w:left="846" w:right="4979" w:hanging="70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金融工具的分类</w:t>
      </w:r>
      <w:r>
        <w:rPr>
          <w:rFonts w:ascii="宋体" w:hAnsi="宋体" w:cs="宋体" w:eastAsia="宋体" w:hint="default"/>
          <w:sz w:val="21"/>
          <w:szCs w:val="21"/>
        </w:rPr>
      </w:r>
    </w:p>
    <w:p>
      <w:pPr>
        <w:pStyle w:val="BodyText"/>
        <w:spacing w:line="345" w:lineRule="auto" w:before="15"/>
        <w:ind w:right="1468"/>
        <w:jc w:val="left"/>
      </w:pPr>
      <w:r>
        <w:rPr>
          <w:rFonts w:ascii="宋体" w:hAnsi="宋体" w:cs="宋体" w:eastAsia="宋体" w:hint="default"/>
          <w:b/>
          <w:bCs/>
        </w:rPr>
        <w:t>自</w:t>
      </w:r>
      <w:r>
        <w:rPr>
          <w:rFonts w:ascii="宋体" w:hAnsi="宋体" w:cs="宋体" w:eastAsia="宋体" w:hint="default"/>
          <w:b/>
          <w:bCs/>
          <w:spacing w:val="-51"/>
        </w:rPr>
        <w:t> </w:t>
      </w:r>
      <w:r>
        <w:rPr>
          <w:rFonts w:ascii="Times New Roman" w:hAnsi="Times New Roman" w:cs="Times New Roman" w:eastAsia="Times New Roman" w:hint="default"/>
          <w:b/>
          <w:bCs/>
        </w:rPr>
        <w:t>2019</w:t>
      </w:r>
      <w:r>
        <w:rPr>
          <w:rFonts w:ascii="Times New Roman" w:hAnsi="Times New Roman" w:cs="Times New Roman" w:eastAsia="Times New Roman" w:hint="default"/>
          <w:b/>
          <w:bCs/>
          <w:spacing w:val="-3"/>
        </w:rPr>
        <w:t> </w:t>
      </w:r>
      <w:r>
        <w:rPr>
          <w:rFonts w:ascii="宋体" w:hAnsi="宋体" w:cs="宋体" w:eastAsia="宋体" w:hint="default"/>
          <w:b/>
          <w:bCs/>
        </w:rPr>
        <w:t>年</w:t>
      </w:r>
      <w:r>
        <w:rPr>
          <w:rFonts w:ascii="宋体" w:hAnsi="宋体" w:cs="宋体" w:eastAsia="宋体" w:hint="default"/>
          <w:b/>
          <w:bCs/>
          <w:spacing w:val="-53"/>
        </w:rPr>
        <w:t>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
        </w:rPr>
        <w:t> </w:t>
      </w:r>
      <w:r>
        <w:rPr>
          <w:rFonts w:ascii="宋体" w:hAnsi="宋体" w:cs="宋体" w:eastAsia="宋体" w:hint="default"/>
          <w:b/>
          <w:bCs/>
        </w:rPr>
        <w:t>月</w:t>
      </w:r>
      <w:r>
        <w:rPr>
          <w:rFonts w:ascii="宋体" w:hAnsi="宋体" w:cs="宋体" w:eastAsia="宋体" w:hint="default"/>
          <w:b/>
          <w:bCs/>
          <w:spacing w:val="-51"/>
        </w:rPr>
        <w:t>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
        </w:rPr>
        <w:t> </w:t>
      </w:r>
      <w:r>
        <w:rPr>
          <w:rFonts w:ascii="宋体" w:hAnsi="宋体" w:cs="宋体" w:eastAsia="宋体" w:hint="default"/>
          <w:b/>
          <w:bCs/>
        </w:rPr>
        <w:t>日起适用的会计政策</w:t>
      </w:r>
      <w:r>
        <w:rPr>
          <w:rFonts w:ascii="宋体" w:hAnsi="宋体" w:cs="宋体" w:eastAsia="宋体" w:hint="default"/>
          <w:b/>
          <w:bCs/>
          <w:w w:val="100"/>
        </w:rPr>
        <w:t> </w:t>
      </w:r>
      <w:r>
        <w:rPr>
          <w:spacing w:val="-5"/>
          <w:w w:val="100"/>
        </w:rPr>
        <w:t>根据本公司管理金融资产的业务模式和金融资产的合同现金流量特征，金融资</w:t>
      </w:r>
      <w:r>
        <w:rPr>
          <w:spacing w:val="-84"/>
          <w:w w:val="100"/>
        </w:rPr>
        <w:t> </w:t>
      </w:r>
      <w:r>
        <w:rPr>
          <w:spacing w:val="-84"/>
          <w:w w:val="100"/>
        </w:rPr>
      </w:r>
      <w:r>
        <w:rPr>
          <w:spacing w:val="-5"/>
        </w:rPr>
        <w:t>产于初始确认时分类为：以摊余成本计量的金融资产、以公允价值计量且其变</w:t>
      </w:r>
      <w:r>
        <w:rPr>
          <w:spacing w:val="-45"/>
        </w:rPr>
        <w:t> </w:t>
      </w:r>
      <w:r>
        <w:rPr>
          <w:spacing w:val="-45"/>
        </w:rPr>
      </w:r>
      <w:r>
        <w:rPr>
          <w:spacing w:val="-5"/>
        </w:rPr>
        <w:t>动计入其他综合收益的金融资产（债务工具）和以公允价值计量且其变动计入</w:t>
      </w:r>
      <w:r>
        <w:rPr>
          <w:spacing w:val="-43"/>
        </w:rPr>
        <w:t> </w:t>
      </w:r>
      <w:r>
        <w:rPr>
          <w:spacing w:val="-43"/>
        </w:rPr>
      </w:r>
      <w:r>
        <w:rPr/>
        <w:t>当期损益的金融资产。</w:t>
      </w:r>
      <w:r>
        <w:rPr>
          <w:w w:val="100"/>
        </w:rPr>
        <w:t> </w:t>
      </w:r>
      <w:r>
        <w:rPr/>
        <w:t>业务模式是以收取合同现金流量为目标且合同现金流量仅为对本金和以未偿</w:t>
      </w:r>
    </w:p>
    <w:p>
      <w:pPr>
        <w:spacing w:after="0" w:line="345"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right="1468"/>
        <w:jc w:val="left"/>
      </w:pPr>
      <w:r>
        <w:rPr>
          <w:spacing w:val="-5"/>
        </w:rPr>
        <w:t>付本金金额为基础的利息的支付的，分类为以摊余成本计量的金融资产；业务</w:t>
      </w:r>
      <w:r>
        <w:rPr>
          <w:spacing w:val="-46"/>
        </w:rPr>
        <w:t> </w:t>
      </w:r>
      <w:r>
        <w:rPr>
          <w:spacing w:val="-46"/>
        </w:rPr>
      </w:r>
      <w:r>
        <w:rPr/>
        <w:t>模式既以收取合同现金流量又以出售该金融资产为目标且合同现金流量仅为</w:t>
      </w:r>
      <w:r>
        <w:rPr>
          <w:w w:val="100"/>
        </w:rPr>
        <w:t> </w:t>
      </w:r>
      <w:r>
        <w:rPr>
          <w:spacing w:val="-5"/>
          <w:w w:val="100"/>
        </w:rPr>
        <w:t>对本金和以未偿付本金金额为基础的利息的支付的，分类为以公允价值计量且</w:t>
      </w:r>
      <w:r>
        <w:rPr>
          <w:spacing w:val="-84"/>
          <w:w w:val="100"/>
        </w:rPr>
        <w:t> </w:t>
      </w:r>
      <w:r>
        <w:rPr>
          <w:spacing w:val="-84"/>
          <w:w w:val="100"/>
        </w:rPr>
      </w:r>
      <w:r>
        <w:rPr>
          <w:spacing w:val="-8"/>
          <w:w w:val="100"/>
        </w:rPr>
        <w:t>其变动计入其他综合收益的金融资产（债务工具）；除此之外的其他金融资产，</w:t>
      </w:r>
      <w:r>
        <w:rPr>
          <w:spacing w:val="-82"/>
          <w:w w:val="100"/>
        </w:rPr>
        <w:t> </w:t>
      </w:r>
      <w:r>
        <w:rPr>
          <w:spacing w:val="-82"/>
          <w:w w:val="100"/>
        </w:rPr>
      </w:r>
      <w:r>
        <w:rPr/>
        <w:t>分类为以公允价值计量且其变动计入当期损益的金融资产。</w:t>
      </w:r>
      <w:r>
        <w:rPr>
          <w:w w:val="100"/>
        </w:rPr>
        <w:t> </w:t>
      </w:r>
      <w:r>
        <w:rPr>
          <w:spacing w:val="-5"/>
          <w:w w:val="100"/>
        </w:rPr>
        <w:t>对于非交易性权益工具投资，本公司在初始确认时确定是否将其指定为以公允</w:t>
      </w:r>
      <w:r>
        <w:rPr>
          <w:spacing w:val="-85"/>
          <w:w w:val="100"/>
        </w:rPr>
        <w:t> </w:t>
      </w:r>
      <w:r>
        <w:rPr>
          <w:spacing w:val="-85"/>
          <w:w w:val="100"/>
        </w:rPr>
      </w:r>
      <w:r>
        <w:rPr>
          <w:spacing w:val="-8"/>
          <w:w w:val="100"/>
        </w:rPr>
        <w:t>价值计量且其变动计入其他综合收益的金融资产（权益工具）。在初始确认时，</w:t>
      </w:r>
      <w:r>
        <w:rPr>
          <w:spacing w:val="-82"/>
          <w:w w:val="100"/>
        </w:rPr>
        <w:t> </w:t>
      </w:r>
      <w:r>
        <w:rPr>
          <w:spacing w:val="-82"/>
          <w:w w:val="100"/>
        </w:rPr>
      </w:r>
      <w:r>
        <w:rPr>
          <w:spacing w:val="-5"/>
          <w:w w:val="100"/>
        </w:rPr>
        <w:t>为了能够消除或显著减少会计错配，可以将金融资产指定为以公允价值计量且</w:t>
      </w:r>
      <w:r>
        <w:rPr>
          <w:spacing w:val="-84"/>
          <w:w w:val="100"/>
        </w:rPr>
        <w:t> </w:t>
      </w:r>
      <w:r>
        <w:rPr>
          <w:spacing w:val="-84"/>
          <w:w w:val="100"/>
        </w:rPr>
      </w:r>
      <w:r>
        <w:rPr/>
        <w:t>其变动计入当期损益的金融资产。</w:t>
      </w:r>
    </w:p>
    <w:p>
      <w:pPr>
        <w:spacing w:line="240" w:lineRule="auto" w:before="0"/>
        <w:rPr>
          <w:rFonts w:ascii="宋体" w:hAnsi="宋体" w:cs="宋体" w:eastAsia="宋体" w:hint="default"/>
          <w:sz w:val="20"/>
          <w:szCs w:val="20"/>
        </w:rPr>
      </w:pPr>
    </w:p>
    <w:p>
      <w:pPr>
        <w:pStyle w:val="BodyText"/>
        <w:spacing w:line="350" w:lineRule="auto" w:before="166"/>
        <w:ind w:right="1468"/>
        <w:jc w:val="left"/>
      </w:pPr>
      <w:r>
        <w:rPr>
          <w:spacing w:val="-5"/>
          <w:w w:val="100"/>
        </w:rPr>
        <w:t>金融负债于初始确认时分类为：以公允价值计量且其变动计入当期损益的金融</w:t>
      </w:r>
      <w:r>
        <w:rPr>
          <w:spacing w:val="-84"/>
          <w:w w:val="100"/>
        </w:rPr>
        <w:t> </w:t>
      </w:r>
      <w:r>
        <w:rPr>
          <w:spacing w:val="-84"/>
          <w:w w:val="100"/>
        </w:rPr>
      </w:r>
      <w:r>
        <w:rPr/>
        <w:t>负债和以摊余成本计量的金融负债。</w:t>
      </w:r>
      <w:r>
        <w:rPr>
          <w:w w:val="100"/>
        </w:rPr>
        <w:t> </w:t>
      </w:r>
      <w:r>
        <w:rPr/>
        <w:t>符合以下条件之一的金融负债可在初始计量时指定为以公允价值计量且其变</w:t>
      </w:r>
      <w:r>
        <w:rPr>
          <w:w w:val="100"/>
        </w:rPr>
        <w:t> </w:t>
      </w:r>
      <w:r>
        <w:rPr/>
        <w:t>动计入当期损益的金融负债：</w:t>
      </w:r>
    </w:p>
    <w:p>
      <w:pPr>
        <w:pStyle w:val="BodyText"/>
        <w:spacing w:line="240" w:lineRule="auto" w:before="29"/>
        <w:ind w:right="3683"/>
        <w:jc w:val="left"/>
      </w:pPr>
      <w:r>
        <w:rPr>
          <w:rFonts w:ascii="Times New Roman" w:hAnsi="Times New Roman" w:cs="Times New Roman" w:eastAsia="Times New Roman" w:hint="default"/>
        </w:rPr>
        <w:t>1</w:t>
      </w:r>
      <w:r>
        <w:rPr/>
        <w:t>）该项指定能够消除或显著减少会计错配。</w:t>
      </w:r>
    </w:p>
    <w:p>
      <w:pPr>
        <w:pStyle w:val="BodyText"/>
        <w:spacing w:line="343" w:lineRule="auto" w:before="107"/>
        <w:ind w:right="1468"/>
        <w:jc w:val="left"/>
      </w:pPr>
      <w:r>
        <w:rPr>
          <w:rFonts w:ascii="Times New Roman" w:hAnsi="Times New Roman" w:cs="Times New Roman" w:eastAsia="Times New Roman" w:hint="default"/>
          <w:spacing w:val="-2"/>
        </w:rPr>
        <w:t>2</w:t>
      </w:r>
      <w:r>
        <w:rPr>
          <w:spacing w:val="-2"/>
        </w:rPr>
        <w:t>）根据正式书面文件载明的企业风险管理或投资策略，以公允价值为基础对</w:t>
      </w:r>
      <w:r>
        <w:rPr>
          <w:spacing w:val="-42"/>
        </w:rPr>
        <w:t> </w:t>
      </w:r>
      <w:r>
        <w:rPr>
          <w:spacing w:val="-42"/>
        </w:rPr>
      </w:r>
      <w:r>
        <w:rPr>
          <w:spacing w:val="-5"/>
          <w:w w:val="100"/>
        </w:rPr>
        <w:t>金融负债组合或金融资产和金融负债组合进行管理和业绩评价，并在企业内部</w:t>
      </w:r>
      <w:r>
        <w:rPr>
          <w:spacing w:val="-85"/>
          <w:w w:val="100"/>
        </w:rPr>
        <w:t> </w:t>
      </w:r>
      <w:r>
        <w:rPr>
          <w:spacing w:val="-85"/>
          <w:w w:val="100"/>
        </w:rPr>
      </w:r>
      <w:r>
        <w:rPr/>
        <w:t>以此为基础向关键管理人员报告。</w:t>
      </w:r>
      <w:r>
        <w:rPr>
          <w:w w:val="100"/>
        </w:rPr>
        <w:t> </w:t>
      </w:r>
      <w:r>
        <w:rPr>
          <w:rFonts w:ascii="Times New Roman" w:hAnsi="Times New Roman" w:cs="Times New Roman" w:eastAsia="Times New Roman" w:hint="default"/>
        </w:rPr>
        <w:t>3</w:t>
      </w:r>
      <w:r>
        <w:rPr/>
        <w:t>）该金融负债包含需单独分拆的嵌入衍生工具。</w:t>
      </w:r>
    </w:p>
    <w:p>
      <w:pPr>
        <w:spacing w:line="240" w:lineRule="auto" w:before="6"/>
        <w:rPr>
          <w:rFonts w:ascii="宋体" w:hAnsi="宋体" w:cs="宋体" w:eastAsia="宋体" w:hint="default"/>
          <w:sz w:val="31"/>
          <w:szCs w:val="31"/>
        </w:rPr>
      </w:pPr>
    </w:p>
    <w:p>
      <w:pPr>
        <w:pStyle w:val="BodyText"/>
        <w:spacing w:line="343" w:lineRule="auto" w:before="0"/>
        <w:ind w:right="1468"/>
        <w:jc w:val="left"/>
      </w:pPr>
      <w:r>
        <w:rPr>
          <w:rFonts w:ascii="Times New Roman" w:hAnsi="Times New Roman" w:cs="Times New Roman" w:eastAsia="Times New Roman" w:hint="default"/>
          <w:b/>
          <w:bCs/>
        </w:rPr>
        <w:t>2019</w:t>
      </w:r>
      <w:r>
        <w:rPr>
          <w:rFonts w:ascii="Times New Roman" w:hAnsi="Times New Roman" w:cs="Times New Roman" w:eastAsia="Times New Roman" w:hint="default"/>
          <w:b/>
          <w:bCs/>
          <w:spacing w:val="-3"/>
        </w:rPr>
        <w:t> </w:t>
      </w:r>
      <w:r>
        <w:rPr>
          <w:rFonts w:ascii="宋体" w:hAnsi="宋体" w:cs="宋体" w:eastAsia="宋体" w:hint="default"/>
          <w:b/>
          <w:bCs/>
        </w:rPr>
        <w:t>年</w:t>
      </w:r>
      <w:r>
        <w:rPr>
          <w:rFonts w:ascii="宋体" w:hAnsi="宋体" w:cs="宋体" w:eastAsia="宋体" w:hint="default"/>
          <w:b/>
          <w:bCs/>
          <w:spacing w:val="-51"/>
        </w:rPr>
        <w:t>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2"/>
        </w:rPr>
        <w:t> </w:t>
      </w:r>
      <w:r>
        <w:rPr>
          <w:rFonts w:ascii="宋体" w:hAnsi="宋体" w:cs="宋体" w:eastAsia="宋体" w:hint="default"/>
          <w:b/>
          <w:bCs/>
        </w:rPr>
        <w:t>月</w:t>
      </w:r>
      <w:r>
        <w:rPr>
          <w:rFonts w:ascii="宋体" w:hAnsi="宋体" w:cs="宋体" w:eastAsia="宋体" w:hint="default"/>
          <w:b/>
          <w:bCs/>
          <w:spacing w:val="-54"/>
        </w:rPr>
        <w:t>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
        </w:rPr>
        <w:t> </w:t>
      </w:r>
      <w:r>
        <w:rPr>
          <w:rFonts w:ascii="宋体" w:hAnsi="宋体" w:cs="宋体" w:eastAsia="宋体" w:hint="default"/>
          <w:b/>
          <w:bCs/>
        </w:rPr>
        <w:t>日前适用的会计政策</w:t>
      </w:r>
      <w:r>
        <w:rPr>
          <w:rFonts w:ascii="宋体" w:hAnsi="宋体" w:cs="宋体" w:eastAsia="宋体" w:hint="default"/>
          <w:b/>
          <w:bCs/>
          <w:spacing w:val="-102"/>
        </w:rPr>
        <w:t> </w:t>
      </w:r>
      <w:r>
        <w:rPr>
          <w:rFonts w:ascii="宋体" w:hAnsi="宋体" w:cs="宋体" w:eastAsia="宋体" w:hint="default"/>
          <w:b/>
          <w:bCs/>
          <w:spacing w:val="-102"/>
        </w:rPr>
      </w:r>
      <w:r>
        <w:rPr>
          <w:spacing w:val="-5"/>
          <w:w w:val="100"/>
        </w:rPr>
        <w:t>金融资产和金融负债于初始确认时分类为：以公允价值计量且其变动计入当期</w:t>
      </w:r>
      <w:r>
        <w:rPr>
          <w:spacing w:val="-85"/>
          <w:w w:val="100"/>
        </w:rPr>
        <w:t> </w:t>
      </w:r>
      <w:r>
        <w:rPr>
          <w:spacing w:val="-85"/>
          <w:w w:val="100"/>
        </w:rPr>
      </w:r>
      <w:r>
        <w:rPr>
          <w:spacing w:val="-5"/>
          <w:w w:val="100"/>
        </w:rPr>
        <w:t>损益的金融资产或金融负债，包括交易性金融资产或金融负债和直接指定为以</w:t>
      </w:r>
      <w:r>
        <w:rPr>
          <w:spacing w:val="-85"/>
          <w:w w:val="100"/>
        </w:rPr>
        <w:t> </w:t>
      </w:r>
      <w:r>
        <w:rPr>
          <w:spacing w:val="-85"/>
          <w:w w:val="100"/>
        </w:rPr>
      </w:r>
      <w:r>
        <w:rPr/>
        <w:t>公允价值计量且其变动计入当期损益的金融资产或金融负债；持有至到期投</w:t>
      </w:r>
      <w:r>
        <w:rPr>
          <w:w w:val="100"/>
        </w:rPr>
        <w:t> </w:t>
      </w:r>
      <w:r>
        <w:rPr/>
        <w:t>资；应收款项；可供出售金融资产；其他金融负债等。</w:t>
      </w:r>
    </w:p>
    <w:p>
      <w:pPr>
        <w:pStyle w:val="Heading5"/>
        <w:tabs>
          <w:tab w:pos="1397" w:val="left" w:leader="none"/>
        </w:tabs>
        <w:spacing w:line="240" w:lineRule="auto" w:before="35"/>
        <w:ind w:left="846" w:right="3683"/>
        <w:jc w:val="left"/>
        <w:rPr>
          <w:b w:val="0"/>
          <w:bCs w:val="0"/>
        </w:rPr>
      </w:pPr>
      <w:r>
        <w:rPr>
          <w:rFonts w:ascii="Times New Roman" w:hAnsi="Times New Roman" w:cs="Times New Roman" w:eastAsia="Times New Roman" w:hint="default"/>
        </w:rPr>
        <w:t>2</w:t>
      </w:r>
      <w:r>
        <w:rPr/>
        <w:t>、</w:t>
        <w:tab/>
      </w:r>
      <w:r>
        <w:rPr>
          <w:spacing w:val="-1"/>
        </w:rPr>
        <w:t>金融工具的确认依据和计量方法</w:t>
      </w:r>
      <w:r>
        <w:rPr>
          <w:b w:val="0"/>
          <w:bCs w:val="0"/>
          <w:spacing w:val="-1"/>
        </w:rPr>
      </w:r>
    </w:p>
    <w:p>
      <w:pPr>
        <w:pStyle w:val="Heading5"/>
        <w:spacing w:line="240" w:lineRule="auto" w:before="110"/>
        <w:ind w:left="1414" w:right="3683"/>
        <w:jc w:val="left"/>
        <w:rPr>
          <w:b w:val="0"/>
          <w:bCs w:val="0"/>
        </w:rPr>
      </w:pPr>
      <w:r>
        <w:rPr/>
        <w:t>自</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日起适用的会计政策</w:t>
      </w:r>
      <w:r>
        <w:rPr>
          <w:b w:val="0"/>
          <w:bCs w:val="0"/>
        </w:rPr>
      </w:r>
    </w:p>
    <w:p>
      <w:pPr>
        <w:pStyle w:val="BodyText"/>
        <w:spacing w:line="345" w:lineRule="auto" w:before="107"/>
        <w:ind w:right="1468"/>
        <w:jc w:val="left"/>
      </w:pPr>
      <w:r>
        <w:rPr/>
        <w:t>（</w:t>
      </w:r>
      <w:r>
        <w:rPr>
          <w:rFonts w:ascii="Times New Roman" w:hAnsi="Times New Roman" w:cs="Times New Roman" w:eastAsia="Times New Roman" w:hint="default"/>
        </w:rPr>
        <w:t>1</w:t>
      </w:r>
      <w:r>
        <w:rPr/>
        <w:t>）以摊余成本计量的金融资产</w:t>
      </w:r>
      <w:r>
        <w:rPr>
          <w:w w:val="100"/>
        </w:rPr>
        <w:t> </w:t>
      </w:r>
      <w:r>
        <w:rPr>
          <w:spacing w:val="-5"/>
        </w:rPr>
        <w:t>以摊余成本计量的金融资产包括应收票据、应收账款、其他应收款、长期应收</w:t>
      </w:r>
      <w:r>
        <w:rPr>
          <w:spacing w:val="-45"/>
        </w:rPr>
        <w:t> </w:t>
      </w:r>
      <w:r>
        <w:rPr>
          <w:spacing w:val="-45"/>
        </w:rPr>
      </w:r>
      <w:r>
        <w:rPr>
          <w:spacing w:val="-8"/>
        </w:rPr>
        <w:t>款、债权投资等，按公允价值进行初始计量，相关交易费用计入初始确认金额；</w:t>
      </w:r>
      <w:r>
        <w:rPr>
          <w:spacing w:val="-41"/>
        </w:rPr>
        <w:t> </w:t>
      </w:r>
      <w:r>
        <w:rPr>
          <w:spacing w:val="-41"/>
        </w:rPr>
      </w:r>
      <w:r>
        <w:rPr/>
        <w:t>不包含重大融资成分的应收账款以及本公司决定不考虑不超过一年的融资成</w:t>
      </w:r>
      <w:r>
        <w:rPr>
          <w:w w:val="100"/>
        </w:rPr>
        <w:t> </w:t>
      </w:r>
      <w:r>
        <w:rPr/>
        <w:t>分的应收账款，以合同交易价格进行初始计量。</w:t>
      </w:r>
      <w:r>
        <w:rPr>
          <w:w w:val="100"/>
        </w:rPr>
        <w:t> </w:t>
      </w:r>
      <w:r>
        <w:rPr/>
        <w:t>持有期间采用实际利率法计算的利息计入当期损益。</w:t>
      </w:r>
      <w:r>
        <w:rPr>
          <w:w w:val="100"/>
        </w:rPr>
        <w:t> </w:t>
      </w:r>
      <w:r>
        <w:rPr>
          <w:spacing w:val="-2"/>
        </w:rPr>
        <w:t>收回或处置时，将取得的价款与该金融资产账面价值之间的差额计入当期损益。</w:t>
      </w:r>
    </w:p>
    <w:p>
      <w:pPr>
        <w:spacing w:after="0" w:line="345"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45" w:lineRule="auto"/>
        <w:ind w:right="1468"/>
        <w:jc w:val="left"/>
      </w:pPr>
      <w:r>
        <w:rPr/>
        <w:t>（</w:t>
      </w:r>
      <w:r>
        <w:rPr>
          <w:rFonts w:ascii="Times New Roman" w:hAnsi="Times New Roman" w:cs="Times New Roman" w:eastAsia="Times New Roman" w:hint="default"/>
        </w:rPr>
        <w:t>2</w:t>
      </w:r>
      <w:r>
        <w:rPr/>
        <w:t>）以公允价值计量且其变动计入其他综合收益的金融资产（债务工具）</w:t>
      </w:r>
      <w:r>
        <w:rPr>
          <w:w w:val="100"/>
        </w:rPr>
        <w:t> </w:t>
      </w:r>
      <w:r>
        <w:rPr>
          <w:spacing w:val="-5"/>
        </w:rPr>
        <w:t>以公允价值计量且其变动计入其他综合收益的金融资产（债务工具）包括应收</w:t>
      </w:r>
      <w:r>
        <w:rPr>
          <w:spacing w:val="-43"/>
        </w:rPr>
        <w:t> </w:t>
      </w:r>
      <w:r>
        <w:rPr>
          <w:spacing w:val="-43"/>
        </w:rPr>
      </w:r>
      <w:r>
        <w:rPr>
          <w:spacing w:val="-5"/>
        </w:rPr>
        <w:t>款项融资、其他债权投资等，按公允价值进行初始计量，相关交易费用计入初</w:t>
      </w:r>
      <w:r>
        <w:rPr>
          <w:spacing w:val="-49"/>
        </w:rPr>
        <w:t> </w:t>
      </w:r>
      <w:r>
        <w:rPr>
          <w:spacing w:val="-49"/>
        </w:rPr>
      </w:r>
      <w:r>
        <w:rPr>
          <w:spacing w:val="-5"/>
        </w:rPr>
        <w:t>始确认金额。该金融资产按公允价值进行后续计量，公允价值变动除采用实际</w:t>
      </w:r>
      <w:r>
        <w:rPr>
          <w:spacing w:val="-46"/>
        </w:rPr>
        <w:t> </w:t>
      </w:r>
      <w:r>
        <w:rPr>
          <w:spacing w:val="-46"/>
        </w:rPr>
      </w:r>
      <w:r>
        <w:rPr>
          <w:spacing w:val="-2"/>
        </w:rPr>
        <w:t>利率法计算的利息、减值损失或利得和汇兑损益之外，均计入其他综合收益。</w:t>
      </w:r>
      <w:r>
        <w:rPr>
          <w:spacing w:val="-42"/>
        </w:rPr>
        <w:t> </w:t>
      </w:r>
      <w:r>
        <w:rPr>
          <w:spacing w:val="-42"/>
        </w:rPr>
      </w:r>
      <w:r>
        <w:rPr/>
        <w:t>终止确认时，之前计入其他综合收益的累计利得或损失从其他综合收益中转</w:t>
      </w:r>
      <w:r>
        <w:rPr>
          <w:w w:val="100"/>
        </w:rPr>
        <w:t> </w:t>
      </w:r>
      <w:r>
        <w:rPr/>
        <w:t>出，计入当期损益。</w:t>
      </w:r>
    </w:p>
    <w:p>
      <w:pPr>
        <w:pStyle w:val="BodyText"/>
        <w:spacing w:line="345" w:lineRule="auto" w:before="33"/>
        <w:ind w:right="1468"/>
        <w:jc w:val="left"/>
      </w:pPr>
      <w:r>
        <w:rPr/>
        <w:t>（</w:t>
      </w:r>
      <w:r>
        <w:rPr>
          <w:rFonts w:ascii="Times New Roman" w:hAnsi="Times New Roman" w:cs="Times New Roman" w:eastAsia="Times New Roman" w:hint="default"/>
        </w:rPr>
        <w:t>3</w:t>
      </w:r>
      <w:r>
        <w:rPr/>
        <w:t>）以公允价值计量且其变动计入其他综合收益的金融资产（权益工具）</w:t>
      </w:r>
      <w:r>
        <w:rPr>
          <w:w w:val="100"/>
        </w:rPr>
        <w:t> </w:t>
      </w:r>
      <w:r>
        <w:rPr>
          <w:spacing w:val="-5"/>
        </w:rPr>
        <w:t>以公允价值计量且其变动计入其他综合收益的金融资产（权益工具）包括其他</w:t>
      </w:r>
      <w:r>
        <w:rPr>
          <w:spacing w:val="-44"/>
        </w:rPr>
        <w:t> </w:t>
      </w:r>
      <w:r>
        <w:rPr>
          <w:spacing w:val="-44"/>
        </w:rPr>
      </w:r>
      <w:r>
        <w:rPr>
          <w:spacing w:val="-8"/>
          <w:w w:val="100"/>
        </w:rPr>
        <w:t>权益工具投资等，按公允价值进行初始计量，相关交易费用计入初始确认金额。</w:t>
      </w:r>
      <w:r>
        <w:rPr>
          <w:spacing w:val="-80"/>
          <w:w w:val="100"/>
        </w:rPr>
        <w:t> </w:t>
      </w:r>
      <w:r>
        <w:rPr>
          <w:spacing w:val="-80"/>
          <w:w w:val="100"/>
        </w:rPr>
      </w:r>
      <w:r>
        <w:rPr>
          <w:spacing w:val="-5"/>
        </w:rPr>
        <w:t>该金融资产按公允价值进行后续计量，公允价值变动计入其他综合收益。取得</w:t>
      </w:r>
      <w:r>
        <w:rPr>
          <w:spacing w:val="-46"/>
        </w:rPr>
        <w:t> </w:t>
      </w:r>
      <w:r>
        <w:rPr>
          <w:spacing w:val="-46"/>
        </w:rPr>
      </w:r>
      <w:r>
        <w:rPr/>
        <w:t>的股利计入当期损益。</w:t>
      </w:r>
      <w:r>
        <w:rPr>
          <w:w w:val="100"/>
        </w:rPr>
        <w:t> </w:t>
      </w:r>
      <w:r>
        <w:rPr/>
        <w:t>终止确认时，之前计入其他综合收益的累计利得或损失从其他综合收益中转</w:t>
      </w:r>
      <w:r>
        <w:rPr>
          <w:w w:val="100"/>
        </w:rPr>
        <w:t> </w:t>
      </w:r>
      <w:r>
        <w:rPr/>
        <w:t>出，计入留存收益。</w:t>
      </w:r>
    </w:p>
    <w:p>
      <w:pPr>
        <w:pStyle w:val="BodyText"/>
        <w:spacing w:line="343" w:lineRule="auto" w:before="33"/>
        <w:ind w:right="1468"/>
        <w:jc w:val="left"/>
      </w:pPr>
      <w:r>
        <w:rPr/>
        <w:t>（</w:t>
      </w:r>
      <w:r>
        <w:rPr>
          <w:rFonts w:ascii="Times New Roman" w:hAnsi="Times New Roman" w:cs="Times New Roman" w:eastAsia="Times New Roman" w:hint="default"/>
        </w:rPr>
        <w:t>4</w:t>
      </w:r>
      <w:r>
        <w:rPr/>
        <w:t>）以公允价值计量且其变动计入当期损益的金融资产</w:t>
      </w:r>
      <w:r>
        <w:rPr>
          <w:w w:val="100"/>
        </w:rPr>
        <w:t> </w:t>
      </w:r>
      <w:r>
        <w:rPr>
          <w:spacing w:val="-5"/>
          <w:w w:val="100"/>
        </w:rPr>
        <w:t>以公允价值计量且其变动计入当期损益的金融资产包括交易性金融资产、衍生</w:t>
      </w:r>
      <w:r>
        <w:rPr>
          <w:spacing w:val="-85"/>
          <w:w w:val="100"/>
        </w:rPr>
        <w:t> </w:t>
      </w:r>
      <w:r>
        <w:rPr>
          <w:spacing w:val="-85"/>
          <w:w w:val="100"/>
        </w:rPr>
      </w:r>
      <w:r>
        <w:rPr>
          <w:spacing w:val="-5"/>
        </w:rPr>
        <w:t>金融资产、其他非流动金融资产等，按公允价值进行初始计量，相关交易费用</w:t>
      </w:r>
      <w:r>
        <w:rPr>
          <w:spacing w:val="-49"/>
        </w:rPr>
        <w:t> </w:t>
      </w:r>
      <w:r>
        <w:rPr>
          <w:spacing w:val="-49"/>
        </w:rPr>
      </w:r>
      <w:r>
        <w:rPr>
          <w:spacing w:val="-5"/>
        </w:rPr>
        <w:t>计入当期损益。该金融资产按公允价值进行后续计量，公允价值变动计入当期</w:t>
      </w:r>
      <w:r>
        <w:rPr>
          <w:spacing w:val="-46"/>
        </w:rPr>
        <w:t> </w:t>
      </w:r>
      <w:r>
        <w:rPr>
          <w:spacing w:val="-46"/>
        </w:rPr>
      </w:r>
      <w:r>
        <w:rPr/>
        <w:t>损益。</w:t>
      </w:r>
    </w:p>
    <w:p>
      <w:pPr>
        <w:pStyle w:val="BodyText"/>
        <w:spacing w:line="345" w:lineRule="auto"/>
        <w:ind w:right="1468"/>
        <w:jc w:val="left"/>
      </w:pPr>
      <w:r>
        <w:rPr/>
        <w:t>（</w:t>
      </w:r>
      <w:r>
        <w:rPr>
          <w:rFonts w:ascii="Times New Roman" w:hAnsi="Times New Roman" w:cs="Times New Roman" w:eastAsia="Times New Roman" w:hint="default"/>
        </w:rPr>
        <w:t>5</w:t>
      </w:r>
      <w:r>
        <w:rPr/>
        <w:t>）以公允价值计量且其变动计入当期损益的金融负债</w:t>
      </w:r>
      <w:r>
        <w:rPr>
          <w:w w:val="100"/>
        </w:rPr>
        <w:t> </w:t>
      </w:r>
      <w:r>
        <w:rPr>
          <w:spacing w:val="-5"/>
          <w:w w:val="100"/>
        </w:rPr>
        <w:t>以公允价值计量且其变动计入当期损益的金融负债包括交易性金融负债、衍生</w:t>
      </w:r>
      <w:r>
        <w:rPr>
          <w:spacing w:val="-85"/>
          <w:w w:val="100"/>
        </w:rPr>
        <w:t> </w:t>
      </w:r>
      <w:r>
        <w:rPr>
          <w:spacing w:val="-85"/>
          <w:w w:val="100"/>
        </w:rPr>
      </w:r>
      <w:r>
        <w:rPr>
          <w:spacing w:val="-5"/>
        </w:rPr>
        <w:t>金融负债等，按公允价值进行初始计量，相关交易费用计入当期损益。该金融</w:t>
      </w:r>
      <w:r>
        <w:rPr>
          <w:spacing w:val="-49"/>
        </w:rPr>
        <w:t> </w:t>
      </w:r>
      <w:r>
        <w:rPr>
          <w:spacing w:val="-49"/>
        </w:rPr>
      </w:r>
      <w:r>
        <w:rPr/>
        <w:t>负债按公允价值进行后续计量，公允价值变动计入当期损益。</w:t>
      </w:r>
      <w:r>
        <w:rPr>
          <w:w w:val="100"/>
        </w:rPr>
        <w:t> </w:t>
      </w:r>
      <w:r>
        <w:rPr/>
        <w:t>终止确认时，其账面价值与支付的对价之间的差额计入当期损益。</w:t>
      </w:r>
    </w:p>
    <w:p>
      <w:pPr>
        <w:pStyle w:val="BodyText"/>
        <w:spacing w:line="343" w:lineRule="auto" w:before="31"/>
        <w:ind w:right="1468"/>
        <w:jc w:val="left"/>
      </w:pPr>
      <w:r>
        <w:rPr/>
        <w:t>（</w:t>
      </w:r>
      <w:r>
        <w:rPr>
          <w:rFonts w:ascii="Times New Roman" w:hAnsi="Times New Roman" w:cs="Times New Roman" w:eastAsia="Times New Roman" w:hint="default"/>
        </w:rPr>
        <w:t>6</w:t>
      </w:r>
      <w:r>
        <w:rPr/>
        <w:t>）以摊余成本计量的金融负债</w:t>
      </w:r>
      <w:r>
        <w:rPr>
          <w:w w:val="100"/>
        </w:rPr>
        <w:t> </w:t>
      </w:r>
      <w:r>
        <w:rPr>
          <w:spacing w:val="-8"/>
        </w:rPr>
        <w:t>以摊余成本计量的金融负债包括短期借款、应付票据、应付账款、其他应付款、</w:t>
      </w:r>
      <w:r>
        <w:rPr>
          <w:spacing w:val="-38"/>
        </w:rPr>
        <w:t> </w:t>
      </w:r>
      <w:r>
        <w:rPr>
          <w:spacing w:val="-38"/>
        </w:rPr>
      </w:r>
      <w:r>
        <w:rPr>
          <w:spacing w:val="-5"/>
        </w:rPr>
        <w:t>长期借款、应付债券、长期应付款，按公允价值进行初始计量，相关交易费用</w:t>
      </w:r>
      <w:r>
        <w:rPr>
          <w:spacing w:val="-44"/>
        </w:rPr>
        <w:t> </w:t>
      </w:r>
      <w:r>
        <w:rPr>
          <w:spacing w:val="-44"/>
        </w:rPr>
      </w:r>
      <w:r>
        <w:rPr/>
        <w:t>计入初始确认金额。</w:t>
      </w:r>
    </w:p>
    <w:p>
      <w:pPr>
        <w:pStyle w:val="BodyText"/>
        <w:spacing w:line="350" w:lineRule="auto"/>
        <w:ind w:right="1468"/>
        <w:jc w:val="left"/>
      </w:pPr>
      <w:r>
        <w:rPr/>
        <w:t>持有期间采用实际利率法计算的利息计入当期损益。</w:t>
      </w:r>
      <w:r>
        <w:rPr>
          <w:w w:val="100"/>
        </w:rPr>
        <w:t> </w:t>
      </w:r>
      <w:r>
        <w:rPr>
          <w:spacing w:val="-2"/>
        </w:rPr>
        <w:t>终止确认时，将支付的对价与该金融负债账面价值之间的差额计入当期损益。</w:t>
      </w:r>
    </w:p>
    <w:p>
      <w:pPr>
        <w:spacing w:line="240" w:lineRule="auto" w:before="0"/>
        <w:rPr>
          <w:rFonts w:ascii="宋体" w:hAnsi="宋体" w:cs="宋体" w:eastAsia="宋体" w:hint="default"/>
          <w:sz w:val="20"/>
          <w:szCs w:val="20"/>
        </w:rPr>
      </w:pPr>
    </w:p>
    <w:p>
      <w:pPr>
        <w:pStyle w:val="Heading5"/>
        <w:spacing w:line="240" w:lineRule="auto" w:before="166"/>
        <w:ind w:left="1414" w:right="3683"/>
        <w:jc w:val="left"/>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日前适用的会计政策</w:t>
      </w:r>
      <w:r>
        <w:rPr>
          <w:b w:val="0"/>
          <w:bCs w:val="0"/>
        </w:rPr>
      </w:r>
    </w:p>
    <w:p>
      <w:pPr>
        <w:pStyle w:val="BodyText"/>
        <w:spacing w:line="328" w:lineRule="auto" w:before="110"/>
        <w:ind w:right="1468"/>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5"/>
          <w:w w:val="100"/>
        </w:rPr>
        <w:t>取得时以公允价值（扣除已宣告但尚未发放的现金股利或已到付息期但尚未领</w:t>
      </w:r>
    </w:p>
    <w:p>
      <w:pPr>
        <w:spacing w:after="0" w:line="328"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right="1468"/>
        <w:jc w:val="left"/>
      </w:pPr>
      <w:r>
        <w:rPr/>
        <w:t>取的债券利息）作为初始确认金额，相关的交易费用计入当期损益。</w:t>
      </w:r>
      <w:r>
        <w:rPr>
          <w:w w:val="100"/>
        </w:rPr>
        <w:t> </w:t>
      </w:r>
      <w:r>
        <w:rPr>
          <w:spacing w:val="-5"/>
          <w:w w:val="100"/>
        </w:rPr>
        <w:t>持有期间将取得的利息或现金股利确认为投资收益，期末将公允价值变动计入</w:t>
      </w:r>
      <w:r>
        <w:rPr>
          <w:spacing w:val="-84"/>
          <w:w w:val="100"/>
        </w:rPr>
        <w:t> </w:t>
      </w:r>
      <w:r>
        <w:rPr>
          <w:spacing w:val="-84"/>
          <w:w w:val="100"/>
        </w:rPr>
      </w:r>
      <w:r>
        <w:rPr/>
        <w:t>当期损益。</w:t>
      </w:r>
      <w:r>
        <w:rPr>
          <w:spacing w:val="-102"/>
        </w:rPr>
        <w:t> </w:t>
      </w:r>
      <w:r>
        <w:rPr>
          <w:spacing w:val="-102"/>
        </w:rPr>
      </w:r>
      <w:r>
        <w:rPr>
          <w:spacing w:val="-5"/>
        </w:rPr>
        <w:t>处置时，其公允价值与初始入账金额之间的差额确认为投资收益，同时调整公</w:t>
      </w:r>
      <w:r>
        <w:rPr>
          <w:spacing w:val="-46"/>
        </w:rPr>
        <w:t> </w:t>
      </w:r>
      <w:r>
        <w:rPr>
          <w:spacing w:val="-46"/>
        </w:rPr>
      </w:r>
      <w:r>
        <w:rPr/>
        <w:t>允价值变动损益。</w:t>
      </w:r>
    </w:p>
    <w:p>
      <w:pPr>
        <w:pStyle w:val="BodyText"/>
        <w:spacing w:line="345" w:lineRule="auto" w:before="29"/>
        <w:ind w:right="1468"/>
        <w:jc w:val="left"/>
      </w:pPr>
      <w:r>
        <w:rPr/>
        <w:t>（</w:t>
      </w:r>
      <w:r>
        <w:rPr>
          <w:rFonts w:ascii="Times New Roman" w:hAnsi="Times New Roman" w:cs="Times New Roman" w:eastAsia="Times New Roman" w:hint="default"/>
        </w:rPr>
        <w:t>2</w:t>
      </w:r>
      <w:r>
        <w:rPr/>
        <w:t>）持有至到期投资</w:t>
      </w:r>
      <w:r>
        <w:rPr>
          <w:w w:val="100"/>
        </w:rPr>
        <w:t> </w:t>
      </w:r>
      <w:r>
        <w:rPr>
          <w:spacing w:val="-5"/>
        </w:rPr>
        <w:t>取得时按公允价值（扣除已到付息期但尚未领取的债券利息）和相关交易费用</w:t>
      </w:r>
      <w:r>
        <w:rPr>
          <w:spacing w:val="-46"/>
        </w:rPr>
        <w:t> </w:t>
      </w:r>
      <w:r>
        <w:rPr>
          <w:spacing w:val="-46"/>
        </w:rPr>
      </w:r>
      <w:r>
        <w:rPr/>
        <w:t>之和作为初始确认金额。</w:t>
      </w:r>
      <w:r>
        <w:rPr>
          <w:w w:val="100"/>
        </w:rPr>
        <w:t> </w:t>
      </w:r>
      <w:r>
        <w:rPr>
          <w:spacing w:val="-5"/>
        </w:rPr>
        <w:t>持有期间按照摊余成本和实际利率（如实际利率与票面利率差别较小的，按票</w:t>
      </w:r>
      <w:r>
        <w:rPr>
          <w:spacing w:val="-45"/>
        </w:rPr>
        <w:t> </w:t>
      </w:r>
      <w:r>
        <w:rPr>
          <w:spacing w:val="-45"/>
        </w:rPr>
      </w:r>
      <w:r>
        <w:rPr>
          <w:spacing w:val="-5"/>
        </w:rPr>
        <w:t>面利率）计算确认利息收入，计入投资收益。实际利率在取得时确定，在该预</w:t>
      </w:r>
      <w:r>
        <w:rPr>
          <w:spacing w:val="-46"/>
        </w:rPr>
        <w:t> </w:t>
      </w:r>
      <w:r>
        <w:rPr>
          <w:spacing w:val="-46"/>
        </w:rPr>
      </w:r>
      <w:r>
        <w:rPr/>
        <w:t>期存续期间或适用的更短期间内保持不变。</w:t>
      </w:r>
      <w:r>
        <w:rPr>
          <w:w w:val="100"/>
        </w:rPr>
        <w:t> </w:t>
      </w:r>
      <w:r>
        <w:rPr/>
        <w:t>处置时，将所取得价款与该投资账面价值之间的差额计入投资收益。</w:t>
      </w:r>
    </w:p>
    <w:p>
      <w:pPr>
        <w:pStyle w:val="BodyText"/>
        <w:spacing w:line="345" w:lineRule="auto" w:before="31"/>
        <w:ind w:right="1468"/>
        <w:jc w:val="left"/>
      </w:pPr>
      <w:r>
        <w:rPr/>
        <w:t>（</w:t>
      </w:r>
      <w:r>
        <w:rPr>
          <w:rFonts w:ascii="Times New Roman" w:hAnsi="Times New Roman" w:cs="Times New Roman" w:eastAsia="Times New Roman" w:hint="default"/>
        </w:rPr>
        <w:t>3</w:t>
      </w:r>
      <w:r>
        <w:rPr/>
        <w:t>）应收款项</w:t>
      </w:r>
      <w:r>
        <w:rPr>
          <w:w w:val="100"/>
        </w:rPr>
        <w:t> </w:t>
      </w:r>
      <w:r>
        <w:rPr>
          <w:spacing w:val="-5"/>
          <w:w w:val="100"/>
        </w:rPr>
        <w:t>公司对外销售商品或提供劳务形成的应收债权，以及公司持有的其他企业的不</w:t>
      </w:r>
      <w:r>
        <w:rPr>
          <w:spacing w:val="-85"/>
          <w:w w:val="100"/>
        </w:rPr>
        <w:t> </w:t>
      </w:r>
      <w:r>
        <w:rPr>
          <w:spacing w:val="-85"/>
          <w:w w:val="100"/>
        </w:rPr>
      </w:r>
      <w:r>
        <w:rPr/>
        <w:t>包括在活跃市场上有报价的债务工具的债权，包括应收账款、其他应收款等，</w:t>
      </w:r>
      <w:r>
        <w:rPr>
          <w:w w:val="100"/>
        </w:rPr>
        <w:t> </w:t>
      </w:r>
      <w:r>
        <w:rPr>
          <w:spacing w:val="-5"/>
        </w:rPr>
        <w:t>以向购货方应收的合同或协议价款作为初始确认金额；具有融资性质的，按其</w:t>
      </w:r>
      <w:r>
        <w:rPr>
          <w:spacing w:val="-43"/>
        </w:rPr>
        <w:t> </w:t>
      </w:r>
      <w:r>
        <w:rPr>
          <w:spacing w:val="-43"/>
        </w:rPr>
      </w:r>
      <w:r>
        <w:rPr/>
        <w:t>现值进行初始确认。</w:t>
      </w:r>
      <w:r>
        <w:rPr>
          <w:w w:val="100"/>
        </w:rPr>
        <w:t> </w:t>
      </w:r>
      <w:r>
        <w:rPr>
          <w:spacing w:val="-2"/>
        </w:rPr>
        <w:t>收回或处置时，将取得的价款与该应收款项账面价值之间的差额计入当期损益。</w:t>
      </w:r>
    </w:p>
    <w:p>
      <w:pPr>
        <w:pStyle w:val="BodyText"/>
        <w:spacing w:line="348" w:lineRule="auto" w:before="31"/>
        <w:ind w:right="1468"/>
        <w:jc w:val="left"/>
      </w:pPr>
      <w:r>
        <w:rPr/>
        <w:t>（</w:t>
      </w:r>
      <w:r>
        <w:rPr>
          <w:rFonts w:ascii="Times New Roman" w:hAnsi="Times New Roman" w:cs="Times New Roman" w:eastAsia="Times New Roman" w:hint="default"/>
        </w:rPr>
        <w:t>4</w:t>
      </w:r>
      <w:r>
        <w:rPr/>
        <w:t>）可供出售金融资产</w:t>
      </w:r>
      <w:r>
        <w:rPr>
          <w:w w:val="100"/>
        </w:rPr>
        <w:t> </w:t>
      </w:r>
      <w:r>
        <w:rPr>
          <w:spacing w:val="-5"/>
          <w:w w:val="100"/>
        </w:rPr>
        <w:t>取得时按公允价值（扣除已宣告但尚未发放的现金股利或已到付息期但尚未领</w:t>
      </w:r>
      <w:r>
        <w:rPr>
          <w:spacing w:val="-85"/>
          <w:w w:val="100"/>
        </w:rPr>
        <w:t> </w:t>
      </w:r>
      <w:r>
        <w:rPr>
          <w:spacing w:val="-85"/>
          <w:w w:val="100"/>
        </w:rPr>
      </w:r>
      <w:r>
        <w:rPr/>
        <w:t>取的债券利息）和相关交易费用之和作为初始确认金额。</w:t>
      </w:r>
      <w:r>
        <w:rPr>
          <w:w w:val="100"/>
        </w:rPr>
        <w:t> </w:t>
      </w:r>
      <w:r>
        <w:rPr>
          <w:spacing w:val="-5"/>
          <w:w w:val="100"/>
        </w:rPr>
        <w:t>持有期间将取得的利息或现金股利确认为投资收益。期末以公允价值计量且将</w:t>
      </w:r>
      <w:r>
        <w:rPr>
          <w:spacing w:val="-84"/>
          <w:w w:val="100"/>
        </w:rPr>
        <w:t> </w:t>
      </w:r>
      <w:r>
        <w:rPr>
          <w:spacing w:val="-84"/>
          <w:w w:val="100"/>
        </w:rPr>
      </w:r>
      <w:r>
        <w:rPr>
          <w:spacing w:val="-5"/>
        </w:rPr>
        <w:t>公允价值变动计入其他综合收益。但是，在活跃市场中没有报价且其公允价值</w:t>
      </w:r>
      <w:r>
        <w:rPr>
          <w:spacing w:val="-43"/>
        </w:rPr>
        <w:t> </w:t>
      </w:r>
      <w:r>
        <w:rPr>
          <w:spacing w:val="-43"/>
        </w:rPr>
      </w:r>
      <w:r>
        <w:rPr>
          <w:spacing w:val="-5"/>
          <w:w w:val="100"/>
        </w:rPr>
        <w:t>不能可靠计量的权益工具投资，以及与该权益工具挂钩并须通过交付该权益工</w:t>
      </w:r>
      <w:r>
        <w:rPr>
          <w:spacing w:val="-84"/>
          <w:w w:val="100"/>
        </w:rPr>
        <w:t> </w:t>
      </w:r>
      <w:r>
        <w:rPr>
          <w:spacing w:val="-84"/>
          <w:w w:val="100"/>
        </w:rPr>
      </w:r>
      <w:r>
        <w:rPr/>
        <w:t>具结算的衍生金融资产，按照成本计量。</w:t>
      </w:r>
      <w:r>
        <w:rPr>
          <w:w w:val="100"/>
        </w:rPr>
        <w:t> </w:t>
      </w:r>
      <w:r>
        <w:rPr>
          <w:spacing w:val="-5"/>
        </w:rPr>
        <w:t>处置时，将取得的价款与该金融资产账面价值之间的差额，计入投资损益；同</w:t>
      </w:r>
      <w:r>
        <w:rPr>
          <w:spacing w:val="-45"/>
        </w:rPr>
        <w:t> </w:t>
      </w:r>
      <w:r>
        <w:rPr>
          <w:spacing w:val="-45"/>
        </w:rPr>
      </w:r>
      <w:r>
        <w:rPr>
          <w:spacing w:val="-5"/>
          <w:w w:val="100"/>
        </w:rPr>
        <w:t>时，将原直接计入其他综合收益的公允价值变动累计额对应处置部分的金额转</w:t>
      </w:r>
      <w:r>
        <w:rPr>
          <w:spacing w:val="-85"/>
          <w:w w:val="100"/>
        </w:rPr>
        <w:t> </w:t>
      </w:r>
      <w:r>
        <w:rPr>
          <w:spacing w:val="-85"/>
          <w:w w:val="100"/>
        </w:rPr>
      </w:r>
      <w:r>
        <w:rPr/>
        <w:t>出，计入当期损益。</w:t>
      </w:r>
    </w:p>
    <w:p>
      <w:pPr>
        <w:pStyle w:val="BodyText"/>
        <w:spacing w:line="338" w:lineRule="auto" w:before="32"/>
        <w:ind w:right="1468"/>
        <w:jc w:val="left"/>
      </w:pPr>
      <w:r>
        <w:rPr/>
        <w:t>（</w:t>
      </w:r>
      <w:r>
        <w:rPr>
          <w:rFonts w:ascii="Times New Roman" w:hAnsi="Times New Roman" w:cs="Times New Roman" w:eastAsia="Times New Roman" w:hint="default"/>
        </w:rPr>
        <w:t>5</w:t>
      </w:r>
      <w:r>
        <w:rPr/>
        <w:t>）其他金融负债</w:t>
      </w:r>
      <w:r>
        <w:rPr>
          <w:w w:val="100"/>
        </w:rPr>
        <w:t> </w:t>
      </w:r>
      <w:r>
        <w:rPr>
          <w:spacing w:val="-5"/>
          <w:w w:val="100"/>
        </w:rPr>
        <w:t>按其公允价值和相关交易费用之和作为初始确认金额。采用摊余成本进行后续</w:t>
      </w:r>
      <w:r>
        <w:rPr>
          <w:spacing w:val="-85"/>
          <w:w w:val="100"/>
        </w:rPr>
        <w:t> </w:t>
      </w:r>
      <w:r>
        <w:rPr>
          <w:spacing w:val="-85"/>
          <w:w w:val="100"/>
        </w:rPr>
      </w:r>
      <w:r>
        <w:rPr/>
        <w:t>计量。</w:t>
      </w:r>
    </w:p>
    <w:p>
      <w:pPr>
        <w:tabs>
          <w:tab w:pos="1397" w:val="left" w:leader="none"/>
        </w:tabs>
        <w:spacing w:line="338" w:lineRule="auto" w:before="40"/>
        <w:ind w:left="1414" w:right="178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金融资产转移的确认依据和计量方法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pacing w:val="-5"/>
          <w:w w:val="100"/>
          <w:sz w:val="21"/>
          <w:szCs w:val="21"/>
        </w:rPr>
        <w:t>公司发生金融资产转移时，如已将金融资产所有权上几乎所有的风险和报酬转</w:t>
      </w:r>
      <w:r>
        <w:rPr>
          <w:rFonts w:ascii="宋体" w:hAnsi="宋体" w:cs="宋体" w:eastAsia="宋体" w:hint="default"/>
          <w:w w:val="100"/>
          <w:sz w:val="21"/>
          <w:szCs w:val="21"/>
        </w:rPr>
        <w:t> </w:t>
      </w:r>
      <w:r>
        <w:rPr>
          <w:rFonts w:ascii="宋体" w:hAnsi="宋体" w:cs="宋体" w:eastAsia="宋体" w:hint="default"/>
          <w:spacing w:val="-5"/>
          <w:sz w:val="21"/>
          <w:szCs w:val="21"/>
        </w:rPr>
        <w:t>移给转入方，则终止确认该金融资产；如保留了金融资产所有权上几乎所有的</w:t>
      </w:r>
    </w:p>
    <w:p>
      <w:pPr>
        <w:spacing w:after="0" w:line="338" w:lineRule="auto"/>
        <w:jc w:val="left"/>
        <w:rPr>
          <w:rFonts w:ascii="宋体" w:hAnsi="宋体" w:cs="宋体" w:eastAsia="宋体" w:hint="default"/>
          <w:sz w:val="21"/>
          <w:szCs w:val="21"/>
        </w:rPr>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right="1468"/>
        <w:jc w:val="left"/>
      </w:pPr>
      <w:r>
        <w:rPr/>
        <w:t>风险和报酬的，则不终止确认该金融资产。</w:t>
      </w:r>
      <w:r>
        <w:rPr>
          <w:w w:val="100"/>
        </w:rPr>
        <w:t> </w:t>
      </w:r>
      <w:r>
        <w:rPr>
          <w:spacing w:val="-5"/>
          <w:w w:val="100"/>
        </w:rPr>
        <w:t>在判断金融资产转移是否满足上述金融资产终止确认条件时，采用实质重于形</w:t>
      </w:r>
      <w:r>
        <w:rPr>
          <w:spacing w:val="-84"/>
          <w:w w:val="100"/>
        </w:rPr>
        <w:t> </w:t>
      </w:r>
      <w:r>
        <w:rPr>
          <w:spacing w:val="-84"/>
          <w:w w:val="100"/>
        </w:rPr>
      </w:r>
      <w:r>
        <w:rPr/>
        <w:t>式的原则。</w:t>
      </w:r>
      <w:r>
        <w:rPr>
          <w:spacing w:val="-102"/>
        </w:rPr>
        <w:t> </w:t>
      </w:r>
      <w:r>
        <w:rPr>
          <w:spacing w:val="-102"/>
        </w:rPr>
      </w:r>
      <w:r>
        <w:rPr>
          <w:spacing w:val="-5"/>
          <w:w w:val="100"/>
        </w:rPr>
        <w:t>公司将金融资产转移区分为金融资产整体转移和部分转移。金融资产整体转移</w:t>
      </w:r>
      <w:r>
        <w:rPr>
          <w:spacing w:val="-85"/>
          <w:w w:val="100"/>
        </w:rPr>
        <w:t> </w:t>
      </w:r>
      <w:r>
        <w:rPr>
          <w:spacing w:val="-85"/>
          <w:w w:val="100"/>
        </w:rPr>
      </w:r>
      <w:r>
        <w:rPr/>
        <w:t>满足终止确认条件的，将下列两项金额的差额计入当期损益：</w:t>
      </w:r>
    </w:p>
    <w:p>
      <w:pPr>
        <w:pStyle w:val="BodyText"/>
        <w:spacing w:line="240" w:lineRule="auto" w:before="29"/>
        <w:ind w:right="3683"/>
        <w:jc w:val="left"/>
      </w:pPr>
      <w:r>
        <w:rPr/>
        <w:t>（</w:t>
      </w:r>
      <w:r>
        <w:rPr>
          <w:rFonts w:ascii="Times New Roman" w:hAnsi="Times New Roman" w:cs="Times New Roman" w:eastAsia="Times New Roman" w:hint="default"/>
        </w:rPr>
        <w:t>1</w:t>
      </w:r>
      <w:r>
        <w:rPr/>
        <w:t>）所转移金融资产的账面价值；</w:t>
      </w:r>
    </w:p>
    <w:p>
      <w:pPr>
        <w:pStyle w:val="BodyText"/>
        <w:spacing w:line="240" w:lineRule="auto" w:before="107"/>
        <w:ind w:right="1468"/>
        <w:jc w:val="left"/>
      </w:pPr>
      <w:r>
        <w:rPr/>
        <w:t>（</w:t>
      </w:r>
      <w:r>
        <w:rPr>
          <w:rFonts w:ascii="Times New Roman" w:hAnsi="Times New Roman" w:cs="Times New Roman" w:eastAsia="Times New Roman" w:hint="default"/>
        </w:rPr>
        <w:t>2</w:t>
      </w:r>
      <w:r>
        <w:rPr/>
        <w:t>）因转移而收到的对价，与原直接计入所有者权益的公允价值变动累计额</w:t>
      </w:r>
    </w:p>
    <w:p>
      <w:pPr>
        <w:pStyle w:val="BodyText"/>
        <w:spacing w:line="350" w:lineRule="auto" w:before="110"/>
        <w:ind w:right="1468"/>
        <w:jc w:val="left"/>
      </w:pPr>
      <w:r>
        <w:rPr/>
        <w:t>（涉及转移的金融资产为以公允价值计量且其变动计入其他综合收益的金融</w:t>
      </w:r>
      <w:r>
        <w:rPr>
          <w:w w:val="100"/>
        </w:rPr>
        <w:t> </w:t>
      </w:r>
      <w:r>
        <w:rPr>
          <w:spacing w:val="-6"/>
          <w:w w:val="100"/>
        </w:rPr>
        <w:t>资产（债务工具）、可供出售金融资产的情形）之和。</w:t>
      </w:r>
    </w:p>
    <w:p>
      <w:pPr>
        <w:spacing w:line="240" w:lineRule="auto" w:before="0"/>
        <w:rPr>
          <w:rFonts w:ascii="宋体" w:hAnsi="宋体" w:cs="宋体" w:eastAsia="宋体" w:hint="default"/>
          <w:sz w:val="20"/>
          <w:szCs w:val="20"/>
        </w:rPr>
      </w:pPr>
    </w:p>
    <w:p>
      <w:pPr>
        <w:pStyle w:val="BodyText"/>
        <w:spacing w:line="348" w:lineRule="auto" w:before="166"/>
        <w:ind w:right="1683"/>
        <w:jc w:val="both"/>
      </w:pPr>
      <w:r>
        <w:rPr>
          <w:spacing w:val="-2"/>
        </w:rPr>
        <w:t>金融资产部分转移满足终止确认条件的，将所转移金融资产整体的账面价值，</w:t>
      </w:r>
      <w:r>
        <w:rPr>
          <w:spacing w:val="-42"/>
        </w:rPr>
        <w:t> </w:t>
      </w:r>
      <w:r>
        <w:rPr>
          <w:spacing w:val="-42"/>
        </w:rPr>
      </w:r>
      <w:r>
        <w:rPr>
          <w:spacing w:val="-2"/>
        </w:rPr>
        <w:t>在终止确认部分和未终止确认部分之间，按照各自的相对公允价值进行分摊，</w:t>
      </w:r>
      <w:r>
        <w:rPr>
          <w:spacing w:val="-42"/>
        </w:rPr>
        <w:t> </w:t>
      </w:r>
      <w:r>
        <w:rPr>
          <w:spacing w:val="-42"/>
        </w:rPr>
      </w:r>
      <w:r>
        <w:rPr/>
        <w:t>并将下列两项金额的差额计入当期损益：</w:t>
      </w:r>
    </w:p>
    <w:p>
      <w:pPr>
        <w:pStyle w:val="BodyText"/>
        <w:spacing w:line="240" w:lineRule="auto" w:before="31"/>
        <w:ind w:right="3683"/>
        <w:jc w:val="left"/>
      </w:pPr>
      <w:r>
        <w:rPr/>
        <w:t>（</w:t>
      </w:r>
      <w:r>
        <w:rPr>
          <w:rFonts w:ascii="Times New Roman" w:hAnsi="Times New Roman" w:cs="Times New Roman" w:eastAsia="Times New Roman" w:hint="default"/>
        </w:rPr>
        <w:t>1</w:t>
      </w:r>
      <w:r>
        <w:rPr/>
        <w:t>）终止确认部分的账面价值；</w:t>
      </w:r>
    </w:p>
    <w:p>
      <w:pPr>
        <w:pStyle w:val="BodyText"/>
        <w:spacing w:line="343" w:lineRule="auto" w:before="110"/>
        <w:ind w:right="1468"/>
        <w:jc w:val="left"/>
      </w:pPr>
      <w:r>
        <w:rPr/>
        <w:t>（</w:t>
      </w:r>
      <w:r>
        <w:rPr>
          <w:rFonts w:ascii="Times New Roman" w:hAnsi="Times New Roman" w:cs="Times New Roman" w:eastAsia="Times New Roman" w:hint="default"/>
        </w:rPr>
        <w:t>2</w:t>
      </w:r>
      <w:r>
        <w:rPr/>
        <w:t>）终止确认部分的对价，与原直接计入所有者权益的公允价值变动累计额</w:t>
      </w:r>
      <w:r>
        <w:rPr>
          <w:w w:val="100"/>
        </w:rPr>
        <w:t> </w:t>
      </w:r>
      <w:r>
        <w:rPr>
          <w:spacing w:val="-5"/>
          <w:w w:val="100"/>
        </w:rPr>
        <w:t>中对应终止确认部分的金额（涉及转移的金融资产为以公允价值计量且其变动</w:t>
      </w:r>
      <w:r>
        <w:rPr>
          <w:spacing w:val="-85"/>
          <w:w w:val="100"/>
        </w:rPr>
        <w:t> </w:t>
      </w:r>
      <w:r>
        <w:rPr>
          <w:spacing w:val="-85"/>
          <w:w w:val="100"/>
        </w:rPr>
      </w:r>
      <w:r>
        <w:rPr>
          <w:spacing w:val="-8"/>
          <w:w w:val="100"/>
        </w:rPr>
        <w:t>计入其他综合收益的金融资产（债务工具）、可供出售金融资产的情形）之和。</w:t>
      </w:r>
      <w:r>
        <w:rPr>
          <w:spacing w:val="-80"/>
          <w:w w:val="100"/>
        </w:rPr>
        <w:t> </w:t>
      </w:r>
      <w:r>
        <w:rPr>
          <w:spacing w:val="-80"/>
          <w:w w:val="100"/>
        </w:rPr>
      </w:r>
      <w:r>
        <w:rPr>
          <w:spacing w:val="-5"/>
        </w:rPr>
        <w:t>金融资产转移不满足终止确认条件的，继续确认该金融资产，所收到的对价确</w:t>
      </w:r>
      <w:r>
        <w:rPr>
          <w:spacing w:val="-46"/>
        </w:rPr>
        <w:t> </w:t>
      </w:r>
      <w:r>
        <w:rPr>
          <w:spacing w:val="-46"/>
        </w:rPr>
      </w:r>
      <w:r>
        <w:rPr/>
        <w:t>认为一项金融负债。</w:t>
      </w:r>
    </w:p>
    <w:p>
      <w:pPr>
        <w:pStyle w:val="BodyText"/>
        <w:tabs>
          <w:tab w:pos="1397" w:val="left" w:leader="none"/>
        </w:tabs>
        <w:spacing w:line="345" w:lineRule="auto"/>
        <w:ind w:right="1712" w:hanging="569"/>
        <w:jc w:val="left"/>
      </w:pPr>
      <w:r>
        <w:rPr>
          <w:rFonts w:ascii="Times New Roman" w:hAnsi="Times New Roman" w:cs="Times New Roman" w:eastAsia="Times New Roman" w:hint="default"/>
          <w:b/>
          <w:bCs/>
        </w:rPr>
        <w:t>4</w:t>
      </w:r>
      <w:r>
        <w:rPr>
          <w:rFonts w:ascii="宋体" w:hAnsi="宋体" w:cs="宋体" w:eastAsia="宋体" w:hint="default"/>
          <w:b/>
          <w:bCs/>
        </w:rPr>
        <w:t>、</w:t>
        <w:tab/>
      </w:r>
      <w:r>
        <w:rPr>
          <w:rFonts w:ascii="宋体" w:hAnsi="宋体" w:cs="宋体" w:eastAsia="宋体" w:hint="default"/>
          <w:b/>
          <w:bCs/>
          <w:spacing w:val="-1"/>
        </w:rPr>
        <w:t>金融负债终止确认条件</w:t>
      </w:r>
      <w:r>
        <w:rPr>
          <w:rFonts w:ascii="宋体" w:hAnsi="宋体" w:cs="宋体" w:eastAsia="宋体" w:hint="default"/>
          <w:b/>
          <w:bCs/>
          <w:spacing w:val="-96"/>
        </w:rPr>
        <w:t> </w:t>
      </w:r>
      <w:r>
        <w:rPr>
          <w:rFonts w:ascii="宋体" w:hAnsi="宋体" w:cs="宋体" w:eastAsia="宋体" w:hint="default"/>
          <w:b/>
          <w:bCs/>
          <w:spacing w:val="-96"/>
        </w:rPr>
      </w:r>
      <w:r>
        <w:rPr>
          <w:spacing w:val="-5"/>
          <w:w w:val="100"/>
        </w:rPr>
        <w:t>金融负债的现时义务全部或部分已经解除的，则终止确认该金融负债或其一部</w:t>
      </w:r>
      <w:r>
        <w:rPr>
          <w:w w:val="100"/>
        </w:rPr>
        <w:t> </w:t>
      </w:r>
      <w:r>
        <w:rPr>
          <w:spacing w:val="-2"/>
        </w:rPr>
        <w:t>分；本公司若与债权人签定协议，以承担新金融负债方式替换现存金融负债，</w:t>
      </w:r>
      <w:r>
        <w:rPr>
          <w:w w:val="100"/>
        </w:rPr>
        <w:t> </w:t>
      </w:r>
      <w:r>
        <w:rPr>
          <w:spacing w:val="-5"/>
          <w:w w:val="100"/>
        </w:rPr>
        <w:t>且新金融负债与现存金融负债的合同条款实质上不同的，则终止确认现存金融</w:t>
      </w:r>
      <w:r>
        <w:rPr>
          <w:w w:val="100"/>
        </w:rPr>
        <w:t> </w:t>
      </w:r>
      <w:r>
        <w:rPr/>
        <w:t>负债，并同时确认新金融负债。</w:t>
      </w:r>
      <w:r>
        <w:rPr>
          <w:w w:val="100"/>
        </w:rPr>
        <w:t> </w:t>
      </w:r>
      <w:r>
        <w:rPr>
          <w:spacing w:val="-5"/>
          <w:w w:val="100"/>
        </w:rPr>
        <w:t>对现存金融负债全部或部分合同条款作出实质性修改的，则终止确认现存金融</w:t>
      </w:r>
      <w:r>
        <w:rPr>
          <w:w w:val="100"/>
        </w:rPr>
        <w:t> </w:t>
      </w:r>
      <w:r>
        <w:rPr/>
        <w:t>负债或其一部分，同时将修改条款后的金融负债确认为一项新金融负债。</w:t>
      </w:r>
      <w:r>
        <w:rPr>
          <w:w w:val="100"/>
        </w:rPr>
        <w:t> </w:t>
      </w:r>
      <w:r>
        <w:rPr/>
        <w:t>金融负债全部或部分终止确认时，终止确认的金融负债账面价值与支付对价</w:t>
      </w:r>
    </w:p>
    <w:p>
      <w:pPr>
        <w:pStyle w:val="BodyText"/>
        <w:spacing w:line="350" w:lineRule="auto" w:before="31"/>
        <w:ind w:right="1468"/>
        <w:jc w:val="left"/>
      </w:pPr>
      <w:r>
        <w:rPr>
          <w:spacing w:val="-2"/>
        </w:rPr>
        <w:t>（包括转出的非现金资产或承担的新金融负债）之间的差额，计入当期损益。</w:t>
      </w:r>
      <w:r>
        <w:rPr>
          <w:spacing w:val="-42"/>
        </w:rPr>
        <w:t> </w:t>
      </w:r>
      <w:r>
        <w:rPr>
          <w:spacing w:val="-42"/>
        </w:rPr>
      </w:r>
      <w:r>
        <w:rPr>
          <w:spacing w:val="-5"/>
          <w:w w:val="100"/>
        </w:rPr>
        <w:t>本公司若回购部分金融负债的，在回购日按照继续确认部分与终止确认部分的</w:t>
      </w:r>
      <w:r>
        <w:rPr>
          <w:spacing w:val="-84"/>
          <w:w w:val="100"/>
        </w:rPr>
        <w:t> </w:t>
      </w:r>
      <w:r>
        <w:rPr>
          <w:spacing w:val="-84"/>
          <w:w w:val="100"/>
        </w:rPr>
      </w:r>
      <w:r>
        <w:rPr>
          <w:spacing w:val="-5"/>
        </w:rPr>
        <w:t>相对公允价值，将该金融负债整体的账面价值进行分配。分配给终止确认部分</w:t>
      </w:r>
      <w:r>
        <w:rPr>
          <w:spacing w:val="-47"/>
        </w:rPr>
        <w:t> </w:t>
      </w:r>
      <w:r>
        <w:rPr>
          <w:spacing w:val="-47"/>
        </w:rPr>
      </w:r>
      <w:r>
        <w:rPr>
          <w:spacing w:val="-5"/>
        </w:rPr>
        <w:t>的账面价值与支付的对价（包括转出的非现金资产或承担的新金融负债）之间</w:t>
      </w:r>
      <w:r>
        <w:rPr>
          <w:spacing w:val="-45"/>
        </w:rPr>
        <w:t> </w:t>
      </w:r>
      <w:r>
        <w:rPr>
          <w:spacing w:val="-45"/>
        </w:rPr>
      </w:r>
      <w:r>
        <w:rPr/>
        <w:t>的差额，计入当期损益。</w:t>
      </w:r>
    </w:p>
    <w:p>
      <w:pPr>
        <w:tabs>
          <w:tab w:pos="1397" w:val="left" w:leader="none"/>
        </w:tabs>
        <w:spacing w:line="328" w:lineRule="auto" w:before="29"/>
        <w:ind w:left="1414" w:right="1791"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金融资产和金融负债的公允价值的确定方法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pacing w:val="-5"/>
          <w:sz w:val="21"/>
          <w:szCs w:val="21"/>
        </w:rPr>
        <w:t>存在活跃市场的金融工具，以活跃市场中的报价确定其公允价值。不存在活跃</w:t>
      </w:r>
    </w:p>
    <w:p>
      <w:pPr>
        <w:spacing w:after="0" w:line="328" w:lineRule="auto"/>
        <w:jc w:val="left"/>
        <w:rPr>
          <w:rFonts w:ascii="宋体" w:hAnsi="宋体" w:cs="宋体" w:eastAsia="宋体" w:hint="default"/>
          <w:sz w:val="21"/>
          <w:szCs w:val="21"/>
        </w:rPr>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right="1468"/>
        <w:jc w:val="left"/>
      </w:pPr>
      <w:r>
        <w:rPr>
          <w:spacing w:val="-5"/>
        </w:rPr>
        <w:t>市场的金融工具，采用估值技术确定其公允价值。在估值时，本公司采用在当</w:t>
      </w:r>
      <w:r>
        <w:rPr>
          <w:spacing w:val="-48"/>
        </w:rPr>
        <w:t> </w:t>
      </w:r>
      <w:r>
        <w:rPr>
          <w:spacing w:val="-48"/>
        </w:rPr>
      </w:r>
      <w:r>
        <w:rPr>
          <w:spacing w:val="-5"/>
          <w:w w:val="100"/>
        </w:rPr>
        <w:t>前情况下适用并且有足够可利用数据和其他信息支持的估值技术，选择与市场</w:t>
      </w:r>
      <w:r>
        <w:rPr>
          <w:spacing w:val="-84"/>
          <w:w w:val="100"/>
        </w:rPr>
        <w:t> </w:t>
      </w:r>
      <w:r>
        <w:rPr>
          <w:spacing w:val="-84"/>
          <w:w w:val="100"/>
        </w:rPr>
      </w:r>
      <w:r>
        <w:rPr>
          <w:spacing w:val="-2"/>
        </w:rPr>
        <w:t>参与者在相关资产或负债的交易中所考虑的资产或负债特征相一致的输入值，</w:t>
      </w:r>
      <w:r>
        <w:rPr>
          <w:spacing w:val="-42"/>
        </w:rPr>
        <w:t> </w:t>
      </w:r>
      <w:r>
        <w:rPr>
          <w:spacing w:val="-42"/>
        </w:rPr>
      </w:r>
      <w:r>
        <w:rPr>
          <w:spacing w:val="-5"/>
          <w:w w:val="100"/>
        </w:rPr>
        <w:t>并优先使用相关可观察输入值。只有在相关可观察输入值无法取得或取得不切</w:t>
      </w:r>
      <w:r>
        <w:rPr>
          <w:spacing w:val="-84"/>
          <w:w w:val="100"/>
        </w:rPr>
        <w:t> </w:t>
      </w:r>
      <w:r>
        <w:rPr>
          <w:spacing w:val="-84"/>
          <w:w w:val="100"/>
        </w:rPr>
      </w:r>
      <w:r>
        <w:rPr/>
        <w:t>实可行的情况下，才使用不可观察输入值。</w:t>
      </w:r>
    </w:p>
    <w:p>
      <w:pPr>
        <w:pStyle w:val="Heading5"/>
        <w:tabs>
          <w:tab w:pos="1397" w:val="left" w:leader="none"/>
        </w:tabs>
        <w:spacing w:line="328" w:lineRule="auto" w:before="29"/>
        <w:ind w:left="1414" w:right="5049" w:hanging="569"/>
        <w:jc w:val="left"/>
        <w:rPr>
          <w:b w:val="0"/>
          <w:bCs w:val="0"/>
        </w:rPr>
      </w:pPr>
      <w:r>
        <w:rPr>
          <w:rFonts w:ascii="Times New Roman" w:hAnsi="Times New Roman" w:cs="Times New Roman" w:eastAsia="Times New Roman" w:hint="default"/>
        </w:rPr>
        <w:t>6</w:t>
      </w:r>
      <w:r>
        <w:rPr/>
        <w:t>、</w:t>
        <w:tab/>
      </w:r>
      <w:r>
        <w:rPr>
          <w:spacing w:val="-1"/>
        </w:rPr>
        <w:t>金融资产减值的测试方法及会计处理方法</w:t>
      </w:r>
      <w:r>
        <w:rPr>
          <w:spacing w:val="-87"/>
        </w:rPr>
        <w:t> </w:t>
      </w:r>
      <w:r>
        <w:rPr>
          <w:spacing w:val="-87"/>
        </w:rPr>
      </w:r>
      <w:r>
        <w:rPr/>
        <w:t>自</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日起适用的会计政策</w:t>
      </w:r>
      <w:r>
        <w:rPr>
          <w:b w:val="0"/>
          <w:bCs w:val="0"/>
        </w:rPr>
      </w:r>
    </w:p>
    <w:p>
      <w:pPr>
        <w:pStyle w:val="BodyText"/>
        <w:spacing w:line="348" w:lineRule="auto" w:before="24"/>
        <w:ind w:right="1468"/>
        <w:jc w:val="left"/>
      </w:pPr>
      <w:r>
        <w:rPr>
          <w:spacing w:val="-5"/>
        </w:rPr>
        <w:t>本公司考虑所有合理且有依据的信息，包括前瞻性信息，以单项或组合的方式</w:t>
      </w:r>
      <w:r>
        <w:rPr>
          <w:spacing w:val="-47"/>
        </w:rPr>
        <w:t> </w:t>
      </w:r>
      <w:r>
        <w:rPr>
          <w:spacing w:val="-47"/>
        </w:rPr>
      </w:r>
      <w:r>
        <w:rPr/>
        <w:t>对以摊余成本计量的金融资产和以公允价值计量且其变动计入其他综合收益</w:t>
      </w:r>
      <w:r>
        <w:rPr>
          <w:w w:val="100"/>
        </w:rPr>
        <w:t> </w:t>
      </w:r>
      <w:r>
        <w:rPr>
          <w:spacing w:val="-5"/>
        </w:rPr>
        <w:t>的金融资产（债务工具）的预期信用损失进行估计。预期信用损失的计量取决</w:t>
      </w:r>
      <w:r>
        <w:rPr>
          <w:spacing w:val="-45"/>
        </w:rPr>
        <w:t> </w:t>
      </w:r>
      <w:r>
        <w:rPr>
          <w:spacing w:val="-45"/>
        </w:rPr>
      </w:r>
      <w:r>
        <w:rPr/>
        <w:t>于金融资产自初始确认后是否发生信用风险显著增加。</w:t>
      </w:r>
      <w:r>
        <w:rPr>
          <w:w w:val="100"/>
        </w:rPr>
        <w:t> </w:t>
      </w:r>
      <w:r>
        <w:rPr>
          <w:spacing w:val="-5"/>
          <w:w w:val="100"/>
        </w:rPr>
        <w:t>如果该金融工具的信用风险自初始确认后已显著增加，本公司按照相当于该金</w:t>
      </w:r>
      <w:r>
        <w:rPr>
          <w:spacing w:val="-85"/>
          <w:w w:val="100"/>
        </w:rPr>
        <w:t> </w:t>
      </w:r>
      <w:r>
        <w:rPr>
          <w:spacing w:val="-85"/>
          <w:w w:val="100"/>
        </w:rPr>
      </w:r>
      <w:r>
        <w:rPr>
          <w:spacing w:val="-5"/>
          <w:w w:val="100"/>
        </w:rPr>
        <w:t>融工具整个存续期内预期信用损失的金额计量其损失准备；如果该金融工具的</w:t>
      </w:r>
      <w:r>
        <w:rPr>
          <w:spacing w:val="-85"/>
          <w:w w:val="100"/>
        </w:rPr>
        <w:t> </w:t>
      </w:r>
      <w:r>
        <w:rPr>
          <w:spacing w:val="-85"/>
          <w:w w:val="100"/>
        </w:rPr>
      </w:r>
      <w:r>
        <w:rPr/>
        <w:t>信用风险自初始确认后并未显著增加，本公司按照相当于该金融工具未来</w:t>
      </w:r>
      <w:r>
        <w:rPr>
          <w:spacing w:val="-53"/>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3"/>
          <w:w w:val="100"/>
        </w:rPr>
        <w:t> </w:t>
      </w:r>
      <w:r>
        <w:rPr>
          <w:spacing w:val="-5"/>
          <w:w w:val="100"/>
        </w:rPr>
        <w:t>个月内预期信用损失的金额计量其损失准备。由此形成的损失准备的增加或转</w:t>
      </w:r>
      <w:r>
        <w:rPr>
          <w:spacing w:val="-84"/>
          <w:w w:val="100"/>
        </w:rPr>
        <w:t> </w:t>
      </w:r>
      <w:r>
        <w:rPr>
          <w:spacing w:val="-84"/>
          <w:w w:val="100"/>
        </w:rPr>
      </w:r>
      <w:r>
        <w:rPr/>
        <w:t>回金额，作为减值损失或利得计入当期损益。</w:t>
      </w:r>
      <w:r>
        <w:rPr>
          <w:w w:val="100"/>
        </w:rPr>
        <w:t> </w:t>
      </w:r>
      <w:r>
        <w:rPr/>
        <w:t>本公司在评估信用风险是否显著增加时会考虑如下因素：</w:t>
      </w:r>
    </w:p>
    <w:p>
      <w:pPr>
        <w:pStyle w:val="BodyText"/>
        <w:spacing w:line="240" w:lineRule="auto" w:before="31"/>
        <w:ind w:right="1468"/>
        <w:jc w:val="left"/>
      </w:pPr>
      <w:r>
        <w:rPr/>
        <w:t>（</w:t>
      </w:r>
      <w:r>
        <w:rPr>
          <w:rFonts w:ascii="Times New Roman" w:hAnsi="Times New Roman" w:cs="Times New Roman" w:eastAsia="Times New Roman" w:hint="default"/>
        </w:rPr>
        <w:t>1</w:t>
      </w:r>
      <w:r>
        <w:rPr/>
        <w:t>）金融工具外部信用评级实际或预期是否发生显著变化；</w:t>
      </w:r>
    </w:p>
    <w:p>
      <w:pPr>
        <w:pStyle w:val="BodyText"/>
        <w:spacing w:line="331" w:lineRule="auto" w:before="107"/>
        <w:ind w:right="1468"/>
        <w:jc w:val="left"/>
      </w:pPr>
      <w:r>
        <w:rPr>
          <w:spacing w:val="-2"/>
        </w:rPr>
        <w:t>（</w:t>
      </w:r>
      <w:r>
        <w:rPr>
          <w:rFonts w:ascii="Times New Roman" w:hAnsi="Times New Roman" w:cs="Times New Roman" w:eastAsia="Times New Roman" w:hint="default"/>
          <w:spacing w:val="-2"/>
        </w:rPr>
        <w:t>2</w:t>
      </w:r>
      <w:r>
        <w:rPr>
          <w:spacing w:val="-2"/>
        </w:rPr>
        <w:t>）同一金融工具或具有相同预计存续期的类似金融工具的信用风险的外部</w:t>
      </w:r>
      <w:r>
        <w:rPr>
          <w:spacing w:val="-42"/>
        </w:rPr>
        <w:t> </w:t>
      </w:r>
      <w:r>
        <w:rPr>
          <w:spacing w:val="-42"/>
        </w:rPr>
      </w:r>
      <w:r>
        <w:rPr/>
        <w:t>市场指标是否发生显著变化；</w:t>
      </w:r>
    </w:p>
    <w:p>
      <w:pPr>
        <w:pStyle w:val="BodyText"/>
        <w:spacing w:line="240" w:lineRule="auto" w:before="46"/>
        <w:ind w:right="3683"/>
        <w:jc w:val="left"/>
      </w:pPr>
      <w:r>
        <w:rPr/>
        <w:t>（</w:t>
      </w:r>
      <w:r>
        <w:rPr>
          <w:rFonts w:ascii="Times New Roman" w:hAnsi="Times New Roman" w:cs="Times New Roman" w:eastAsia="Times New Roman" w:hint="default"/>
        </w:rPr>
        <w:t>3</w:t>
      </w:r>
      <w:r>
        <w:rPr/>
        <w:t>）对债务人实际或预期的内部信用评级是否下调；</w:t>
      </w:r>
    </w:p>
    <w:p>
      <w:pPr>
        <w:pStyle w:val="BodyText"/>
        <w:spacing w:line="340" w:lineRule="auto" w:before="107"/>
        <w:ind w:right="1683"/>
        <w:jc w:val="both"/>
      </w:pPr>
      <w:r>
        <w:rPr/>
        <w:t>（</w:t>
      </w:r>
      <w:r>
        <w:rPr>
          <w:rFonts w:ascii="Times New Roman" w:hAnsi="Times New Roman" w:cs="Times New Roman" w:eastAsia="Times New Roman" w:hint="default"/>
        </w:rPr>
        <w:t>4</w:t>
      </w:r>
      <w:r>
        <w:rPr/>
        <w:t>）预期将导致债务人履行其偿债义务的能力发生显著变化的业务、财务或</w:t>
      </w:r>
      <w:r>
        <w:rPr>
          <w:w w:val="100"/>
        </w:rPr>
        <w:t> </w:t>
      </w:r>
      <w:r>
        <w:rPr>
          <w:spacing w:val="-5"/>
        </w:rPr>
        <w:t>经济状况的是否出现不利变化，如债务人市场份额明显下降、主要产品价格急</w:t>
      </w:r>
      <w:r>
        <w:rPr>
          <w:spacing w:val="-46"/>
        </w:rPr>
        <w:t> </w:t>
      </w:r>
      <w:r>
        <w:rPr>
          <w:spacing w:val="-46"/>
        </w:rPr>
      </w:r>
      <w:r>
        <w:rPr>
          <w:spacing w:val="-8"/>
        </w:rPr>
        <w:t>剧持续下跌、主要原材料价格明显上涨、营运资金严重短缺、资产质量下降等；</w:t>
      </w:r>
    </w:p>
    <w:p>
      <w:pPr>
        <w:pStyle w:val="BodyText"/>
        <w:spacing w:line="331" w:lineRule="auto" w:before="35"/>
        <w:ind w:right="1468"/>
        <w:jc w:val="left"/>
      </w:pPr>
      <w:r>
        <w:rPr>
          <w:spacing w:val="-2"/>
        </w:rPr>
        <w:t>（</w:t>
      </w:r>
      <w:r>
        <w:rPr>
          <w:rFonts w:ascii="Times New Roman" w:hAnsi="Times New Roman" w:cs="Times New Roman" w:eastAsia="Times New Roman" w:hint="default"/>
          <w:spacing w:val="-2"/>
        </w:rPr>
        <w:t>5</w:t>
      </w:r>
      <w:r>
        <w:rPr>
          <w:spacing w:val="-2"/>
        </w:rPr>
        <w:t>）债务人经营成果实际或预期是否发生显著变化，如收入、利润等经营指</w:t>
      </w:r>
      <w:r>
        <w:rPr>
          <w:spacing w:val="-42"/>
        </w:rPr>
        <w:t> </w:t>
      </w:r>
      <w:r>
        <w:rPr>
          <w:spacing w:val="-42"/>
        </w:rPr>
      </w:r>
      <w:r>
        <w:rPr/>
        <w:t>标出现明显不利变化且预期短时间内难以好转；</w:t>
      </w:r>
    </w:p>
    <w:p>
      <w:pPr>
        <w:pStyle w:val="BodyText"/>
        <w:spacing w:line="328" w:lineRule="auto" w:before="46"/>
        <w:ind w:right="1468"/>
        <w:jc w:val="left"/>
      </w:pPr>
      <w:r>
        <w:rPr>
          <w:spacing w:val="-2"/>
        </w:rPr>
        <w:t>（</w:t>
      </w:r>
      <w:r>
        <w:rPr>
          <w:rFonts w:ascii="Times New Roman" w:hAnsi="Times New Roman" w:cs="Times New Roman" w:eastAsia="Times New Roman" w:hint="default"/>
          <w:spacing w:val="-2"/>
        </w:rPr>
        <w:t>6</w:t>
      </w:r>
      <w:r>
        <w:rPr>
          <w:spacing w:val="-2"/>
        </w:rPr>
        <w:t>）债务人所处的监管、经济或技术环境是否发生显著不利变化，如技术变</w:t>
      </w:r>
      <w:r>
        <w:rPr>
          <w:spacing w:val="-42"/>
        </w:rPr>
        <w:t> </w:t>
      </w:r>
      <w:r>
        <w:rPr>
          <w:spacing w:val="-42"/>
        </w:rPr>
      </w:r>
      <w:r>
        <w:rPr/>
        <w:t>革、国家或地方政府拟出台相关政策是否对债务人产生重大不利影响；</w:t>
      </w:r>
    </w:p>
    <w:p>
      <w:pPr>
        <w:pStyle w:val="BodyText"/>
        <w:spacing w:line="331" w:lineRule="auto" w:before="49"/>
        <w:ind w:right="1468"/>
        <w:jc w:val="left"/>
      </w:pPr>
      <w:r>
        <w:rPr>
          <w:spacing w:val="-2"/>
        </w:rPr>
        <w:t>（</w:t>
      </w:r>
      <w:r>
        <w:rPr>
          <w:rFonts w:ascii="Times New Roman" w:hAnsi="Times New Roman" w:cs="Times New Roman" w:eastAsia="Times New Roman" w:hint="default"/>
          <w:spacing w:val="-2"/>
        </w:rPr>
        <w:t>7</w:t>
      </w:r>
      <w:r>
        <w:rPr>
          <w:spacing w:val="-2"/>
        </w:rPr>
        <w:t>）作为债务抵押的担保物价值或第三方提供的担保或信用增级质量的是否</w:t>
      </w:r>
      <w:r>
        <w:rPr>
          <w:spacing w:val="-42"/>
        </w:rPr>
        <w:t> </w:t>
      </w:r>
      <w:r>
        <w:rPr>
          <w:spacing w:val="-42"/>
        </w:rPr>
      </w:r>
      <w:r>
        <w:rPr/>
        <w:t>发生显著变化；</w:t>
      </w:r>
    </w:p>
    <w:p>
      <w:pPr>
        <w:pStyle w:val="BodyText"/>
        <w:spacing w:line="340" w:lineRule="auto" w:before="43"/>
        <w:ind w:right="1468"/>
        <w:jc w:val="left"/>
      </w:pPr>
      <w:r>
        <w:rPr>
          <w:spacing w:val="-5"/>
          <w:w w:val="100"/>
        </w:rPr>
        <w:t>（</w:t>
      </w:r>
      <w:r>
        <w:rPr>
          <w:rFonts w:ascii="Times New Roman" w:hAnsi="Times New Roman" w:cs="Times New Roman" w:eastAsia="Times New Roman" w:hint="default"/>
          <w:spacing w:val="-5"/>
          <w:w w:val="100"/>
        </w:rPr>
        <w:t>8</w:t>
      </w:r>
      <w:r>
        <w:rPr>
          <w:spacing w:val="-5"/>
          <w:w w:val="100"/>
        </w:rPr>
        <w:t>）预期将降低债务人按合同约定期限还款的经济动机的是否发生显著变化，</w:t>
      </w:r>
      <w:r>
        <w:rPr>
          <w:spacing w:val="-82"/>
          <w:w w:val="100"/>
        </w:rPr>
        <w:t> </w:t>
      </w:r>
      <w:r>
        <w:rPr>
          <w:spacing w:val="-82"/>
          <w:w w:val="100"/>
        </w:rPr>
      </w:r>
      <w:r>
        <w:rPr>
          <w:spacing w:val="-5"/>
          <w:w w:val="100"/>
        </w:rPr>
        <w:t>如母公司或其他关联公司能够提供的财务支持减少，或者信用增级质量的显著</w:t>
      </w:r>
      <w:r>
        <w:rPr>
          <w:spacing w:val="-84"/>
          <w:w w:val="100"/>
        </w:rPr>
        <w:t> </w:t>
      </w:r>
      <w:r>
        <w:rPr>
          <w:spacing w:val="-84"/>
          <w:w w:val="100"/>
        </w:rPr>
      </w:r>
      <w:r>
        <w:rPr/>
        <w:t>变化；</w:t>
      </w:r>
    </w:p>
    <w:p>
      <w:pPr>
        <w:pStyle w:val="BodyText"/>
        <w:spacing w:line="240" w:lineRule="auto" w:before="35"/>
        <w:ind w:right="3683"/>
        <w:jc w:val="left"/>
      </w:pPr>
      <w:r>
        <w:rPr/>
        <w:t>（</w:t>
      </w:r>
      <w:r>
        <w:rPr>
          <w:rFonts w:ascii="Times New Roman" w:hAnsi="Times New Roman" w:cs="Times New Roman" w:eastAsia="Times New Roman" w:hint="default"/>
        </w:rPr>
        <w:t>9</w:t>
      </w:r>
      <w:r>
        <w:rPr/>
        <w:t>）债务人预期表现和还款行为是否发生显著变化；</w:t>
      </w:r>
    </w:p>
    <w:p>
      <w:pPr>
        <w:spacing w:after="0" w:line="240"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48" w:lineRule="auto"/>
        <w:ind w:right="1468"/>
        <w:jc w:val="left"/>
      </w:pPr>
      <w:r>
        <w:rPr/>
        <w:t>（</w:t>
      </w:r>
      <w:r>
        <w:rPr>
          <w:rFonts w:ascii="Times New Roman" w:hAnsi="Times New Roman" w:cs="Times New Roman" w:eastAsia="Times New Roman" w:hint="default"/>
        </w:rPr>
        <w:t>10</w:t>
      </w:r>
      <w:r>
        <w:rPr/>
        <w:t>）本公司对金融工具信用管理方法是否发生变化。</w:t>
      </w:r>
      <w:r>
        <w:rPr>
          <w:w w:val="100"/>
        </w:rPr>
        <w:t> </w:t>
      </w:r>
      <w:r>
        <w:rPr>
          <w:spacing w:val="-5"/>
          <w:w w:val="100"/>
        </w:rPr>
        <w:t>如果金融工具于资产负债表日的信用风险较低，本公司即认为该金融工具的信</w:t>
      </w:r>
      <w:r>
        <w:rPr>
          <w:spacing w:val="-85"/>
          <w:w w:val="100"/>
        </w:rPr>
        <w:t> </w:t>
      </w:r>
      <w:r>
        <w:rPr>
          <w:spacing w:val="-85"/>
          <w:w w:val="100"/>
        </w:rPr>
      </w:r>
      <w:r>
        <w:rPr/>
        <w:t>用风险自初始确认后并未显著增加。</w:t>
      </w:r>
      <w:r>
        <w:rPr>
          <w:w w:val="100"/>
        </w:rPr>
        <w:t> </w:t>
      </w:r>
      <w:r>
        <w:rPr>
          <w:spacing w:val="-5"/>
          <w:w w:val="100"/>
        </w:rPr>
        <w:t>如果有客观证据表明某项金融资产已经发生信用减值，则本公司在单项基础上</w:t>
      </w:r>
      <w:r>
        <w:rPr>
          <w:spacing w:val="-85"/>
          <w:w w:val="100"/>
        </w:rPr>
        <w:t> </w:t>
      </w:r>
      <w:r>
        <w:rPr>
          <w:spacing w:val="-85"/>
          <w:w w:val="100"/>
        </w:rPr>
      </w:r>
      <w:r>
        <w:rPr/>
        <w:t>对该金融资产计提减值准备。</w:t>
      </w:r>
      <w:r>
        <w:rPr>
          <w:w w:val="100"/>
        </w:rPr>
        <w:t> </w:t>
      </w:r>
      <w:r>
        <w:rPr>
          <w:spacing w:val="-5"/>
        </w:rPr>
        <w:t>对于应收账款，无论是否包含重大融资成分，本公司始终按照相当于整个存续</w:t>
      </w:r>
      <w:r>
        <w:rPr>
          <w:spacing w:val="-47"/>
        </w:rPr>
        <w:t> </w:t>
      </w:r>
      <w:r>
        <w:rPr>
          <w:spacing w:val="-47"/>
        </w:rPr>
      </w:r>
      <w:r>
        <w:rPr/>
        <w:t>期内预期信用损失的金额计量其损失准备。</w:t>
      </w:r>
      <w:r>
        <w:rPr>
          <w:w w:val="100"/>
        </w:rPr>
        <w:t> </w:t>
      </w:r>
      <w:r>
        <w:rPr>
          <w:spacing w:val="-5"/>
        </w:rPr>
        <w:t>对于租赁应收款、公司通过销售商品或提供劳务形成的长期应收款，本公司选</w:t>
      </w:r>
      <w:r>
        <w:rPr>
          <w:spacing w:val="-45"/>
        </w:rPr>
        <w:t> </w:t>
      </w:r>
      <w:r>
        <w:rPr>
          <w:spacing w:val="-45"/>
        </w:rPr>
      </w:r>
      <w:r>
        <w:rPr/>
        <w:t>择始终按照相当于整个存续期内预期信用损失的金额计量其损失准备。</w:t>
      </w:r>
      <w:r>
        <w:rPr>
          <w:w w:val="100"/>
        </w:rPr>
        <w:t> </w:t>
      </w:r>
      <w:r>
        <w:rPr>
          <w:spacing w:val="-2"/>
        </w:rPr>
        <w:t>公司执行新金融工具准则时涉及到本公司业务的金融资产具体划分情况如下：</w:t>
      </w:r>
      <w:r>
        <w:rPr>
          <w:spacing w:val="-42"/>
        </w:rPr>
        <w:t> </w:t>
      </w:r>
      <w:r>
        <w:rPr>
          <w:spacing w:val="-42"/>
        </w:rPr>
      </w:r>
      <w:r>
        <w:rPr>
          <w:spacing w:val="-5"/>
        </w:rPr>
        <w:t>对于存在客观证据表明存在减值，以及其他适用于单项评估的应收票据、应收</w:t>
      </w:r>
      <w:r>
        <w:rPr>
          <w:spacing w:val="-45"/>
        </w:rPr>
        <w:t> </w:t>
      </w:r>
      <w:r>
        <w:rPr>
          <w:spacing w:val="-45"/>
        </w:rPr>
      </w:r>
      <w:r>
        <w:rPr>
          <w:spacing w:val="-5"/>
        </w:rPr>
        <w:t>账款、预付款项、其他应收款、应收款项融资以及长期应收款等单独进行减值</w:t>
      </w:r>
      <w:r>
        <w:rPr>
          <w:spacing w:val="-46"/>
        </w:rPr>
        <w:t> </w:t>
      </w:r>
      <w:r>
        <w:rPr>
          <w:spacing w:val="-46"/>
        </w:rPr>
      </w:r>
      <w:r>
        <w:rPr>
          <w:spacing w:val="-5"/>
        </w:rPr>
        <w:t>测试，确认预期信用损失，计提单项减值准备；对于不存在减值客观证据的应</w:t>
      </w:r>
      <w:r>
        <w:rPr>
          <w:spacing w:val="-46"/>
        </w:rPr>
        <w:t> </w:t>
      </w:r>
      <w:r>
        <w:rPr>
          <w:spacing w:val="-46"/>
        </w:rPr>
      </w:r>
      <w:r>
        <w:rPr>
          <w:spacing w:val="-5"/>
        </w:rPr>
        <w:t>收票据、应收账款、其他应收款、应收款项融资以及长期应收款或当单项金融</w:t>
      </w:r>
      <w:r>
        <w:rPr>
          <w:spacing w:val="-45"/>
        </w:rPr>
        <w:t> </w:t>
      </w:r>
      <w:r>
        <w:rPr>
          <w:spacing w:val="-45"/>
        </w:rPr>
      </w:r>
      <w:r>
        <w:rPr>
          <w:spacing w:val="-5"/>
          <w:w w:val="100"/>
        </w:rPr>
        <w:t>资产无法以合理成本评估预期信用损失的信息时，本公司依据信用风险特征将</w:t>
      </w:r>
      <w:r>
        <w:rPr>
          <w:spacing w:val="-84"/>
          <w:w w:val="100"/>
        </w:rPr>
        <w:t> </w:t>
      </w:r>
      <w:r>
        <w:rPr>
          <w:spacing w:val="-84"/>
          <w:w w:val="100"/>
        </w:rPr>
      </w:r>
      <w:r>
        <w:rPr>
          <w:spacing w:val="-5"/>
        </w:rPr>
        <w:t>应收票据、应收账款、其他应收款、应收款项融资以及长期应收款等划分为若</w:t>
      </w:r>
      <w:r>
        <w:rPr>
          <w:spacing w:val="-45"/>
        </w:rPr>
        <w:t> </w:t>
      </w:r>
      <w:r>
        <w:rPr>
          <w:spacing w:val="-45"/>
        </w:rPr>
      </w:r>
      <w:r>
        <w:rPr>
          <w:spacing w:val="-5"/>
        </w:rPr>
        <w:t>干组合，在组合中基础上计算预期信用损失，确认的组合依据和预期信用损失</w:t>
      </w:r>
      <w:r>
        <w:rPr>
          <w:spacing w:val="-46"/>
        </w:rPr>
        <w:t> </w:t>
      </w:r>
      <w:r>
        <w:rPr>
          <w:spacing w:val="-46"/>
        </w:rPr>
      </w:r>
      <w:r>
        <w:rPr/>
        <w:t>的办法如下：</w:t>
      </w:r>
    </w:p>
    <w:p>
      <w:pPr>
        <w:pStyle w:val="BodyText"/>
        <w:spacing w:line="240" w:lineRule="auto" w:before="29"/>
        <w:ind w:right="1468"/>
        <w:jc w:val="left"/>
      </w:pPr>
      <w:r>
        <w:rPr/>
        <w:t>应收票据确认组合的依据及计算预期信用损失方法如下：</w:t>
      </w:r>
    </w:p>
    <w:p>
      <w:pPr>
        <w:spacing w:line="240" w:lineRule="auto" w:before="4"/>
        <w:rPr>
          <w:rFonts w:ascii="宋体" w:hAnsi="宋体" w:cs="宋体" w:eastAsia="宋体" w:hint="default"/>
          <w:sz w:val="2"/>
          <w:szCs w:val="2"/>
        </w:rPr>
      </w:pPr>
    </w:p>
    <w:tbl>
      <w:tblPr>
        <w:tblW w:w="0" w:type="auto"/>
        <w:jc w:val="left"/>
        <w:tblInd w:w="735" w:type="dxa"/>
        <w:tblLayout w:type="fixed"/>
        <w:tblCellMar>
          <w:top w:w="0" w:type="dxa"/>
          <w:left w:w="0" w:type="dxa"/>
          <w:bottom w:w="0" w:type="dxa"/>
          <w:right w:w="0" w:type="dxa"/>
        </w:tblCellMar>
        <w:tblLook w:val="01E0"/>
      </w:tblPr>
      <w:tblGrid>
        <w:gridCol w:w="1061"/>
        <w:gridCol w:w="1669"/>
        <w:gridCol w:w="5461"/>
      </w:tblGrid>
      <w:tr>
        <w:trPr>
          <w:trHeight w:val="324" w:hRule="exact"/>
        </w:trPr>
        <w:tc>
          <w:tcPr>
            <w:tcW w:w="106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7"/>
              <w:ind w:left="4"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left="268" w:right="0"/>
              <w:jc w:val="left"/>
              <w:rPr>
                <w:rFonts w:ascii="宋体" w:hAnsi="宋体" w:cs="宋体" w:eastAsia="宋体" w:hint="default"/>
                <w:sz w:val="16"/>
                <w:szCs w:val="16"/>
              </w:rPr>
            </w:pPr>
            <w:r>
              <w:rPr>
                <w:rFonts w:ascii="宋体" w:hAnsi="宋体" w:cs="宋体" w:eastAsia="宋体" w:hint="default"/>
                <w:sz w:val="16"/>
                <w:szCs w:val="16"/>
              </w:rPr>
              <w:t>确定组合的依据</w:t>
            </w:r>
          </w:p>
        </w:tc>
        <w:tc>
          <w:tcPr>
            <w:tcW w:w="54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7"/>
              <w:ind w:right="53"/>
              <w:jc w:val="center"/>
              <w:rPr>
                <w:rFonts w:ascii="宋体" w:hAnsi="宋体" w:cs="宋体" w:eastAsia="宋体" w:hint="default"/>
                <w:sz w:val="16"/>
                <w:szCs w:val="16"/>
              </w:rPr>
            </w:pPr>
            <w:r>
              <w:rPr>
                <w:rFonts w:ascii="宋体" w:hAnsi="宋体" w:cs="宋体" w:eastAsia="宋体" w:hint="default"/>
                <w:sz w:val="16"/>
                <w:szCs w:val="16"/>
              </w:rPr>
              <w:t>计量预期信用损失的方法</w:t>
            </w:r>
          </w:p>
        </w:tc>
      </w:tr>
      <w:tr>
        <w:trPr>
          <w:trHeight w:val="314" w:hRule="exact"/>
        </w:trPr>
        <w:tc>
          <w:tcPr>
            <w:tcW w:w="1061" w:type="dxa"/>
            <w:vMerge w:val="restart"/>
            <w:tcBorders>
              <w:top w:val="dotted" w:sz="4" w:space="0" w:color="000000"/>
              <w:left w:val="nil" w:sz="6" w:space="0" w:color="auto"/>
              <w:right w:val="dotted"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1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银行承兑汇票</w:t>
            </w:r>
          </w:p>
        </w:tc>
        <w:tc>
          <w:tcPr>
            <w:tcW w:w="54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4"/>
              <w:ind w:left="100" w:right="0"/>
              <w:jc w:val="left"/>
              <w:rPr>
                <w:rFonts w:ascii="宋体" w:hAnsi="宋体" w:cs="宋体" w:eastAsia="宋体" w:hint="default"/>
                <w:sz w:val="16"/>
                <w:szCs w:val="16"/>
              </w:rPr>
            </w:pPr>
            <w:r>
              <w:rPr>
                <w:rFonts w:ascii="宋体" w:hAnsi="宋体" w:cs="宋体" w:eastAsia="宋体" w:hint="default"/>
                <w:sz w:val="16"/>
                <w:szCs w:val="16"/>
              </w:rPr>
              <w:t>以银行承兑汇票中承兑银行的信用评级作为信用风险特征</w:t>
            </w:r>
          </w:p>
        </w:tc>
      </w:tr>
      <w:tr>
        <w:trPr>
          <w:trHeight w:val="324" w:hRule="exact"/>
        </w:trPr>
        <w:tc>
          <w:tcPr>
            <w:tcW w:w="1061" w:type="dxa"/>
            <w:vMerge/>
            <w:tcBorders>
              <w:left w:val="nil" w:sz="6" w:space="0" w:color="auto"/>
              <w:bottom w:val="single" w:sz="12" w:space="0" w:color="000000"/>
              <w:right w:val="dotted" w:sz="4" w:space="0" w:color="000000"/>
            </w:tcBorders>
          </w:tcPr>
          <w:p>
            <w:pPr/>
          </w:p>
        </w:tc>
        <w:tc>
          <w:tcPr>
            <w:tcW w:w="16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商业承兑汇票</w:t>
            </w:r>
          </w:p>
        </w:tc>
        <w:tc>
          <w:tcPr>
            <w:tcW w:w="54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4"/>
              <w:ind w:left="100" w:right="0"/>
              <w:jc w:val="left"/>
              <w:rPr>
                <w:rFonts w:ascii="宋体" w:hAnsi="宋体" w:cs="宋体" w:eastAsia="宋体" w:hint="default"/>
                <w:sz w:val="16"/>
                <w:szCs w:val="16"/>
              </w:rPr>
            </w:pPr>
            <w:r>
              <w:rPr>
                <w:rFonts w:ascii="宋体" w:hAnsi="宋体" w:cs="宋体" w:eastAsia="宋体" w:hint="default"/>
                <w:sz w:val="16"/>
                <w:szCs w:val="16"/>
              </w:rPr>
              <w:t>考虑出票人信用等级并结合历史违约率作为信用风险特征</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1468"/>
        <w:jc w:val="left"/>
      </w:pPr>
      <w:r>
        <w:rPr/>
        <w:t>应收账款确认组合的依据及计算预期信用损失方法如下：</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290"/>
        <w:gridCol w:w="1668"/>
        <w:gridCol w:w="4247"/>
      </w:tblGrid>
      <w:tr>
        <w:trPr>
          <w:trHeight w:val="324" w:hRule="exact"/>
        </w:trPr>
        <w:tc>
          <w:tcPr>
            <w:tcW w:w="229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6"/>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6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268" w:right="0"/>
              <w:jc w:val="left"/>
              <w:rPr>
                <w:rFonts w:ascii="宋体" w:hAnsi="宋体" w:cs="宋体" w:eastAsia="宋体" w:hint="default"/>
                <w:sz w:val="16"/>
                <w:szCs w:val="16"/>
              </w:rPr>
            </w:pPr>
            <w:r>
              <w:rPr>
                <w:rFonts w:ascii="宋体" w:hAnsi="宋体" w:cs="宋体" w:eastAsia="宋体" w:hint="default"/>
                <w:sz w:val="16"/>
                <w:szCs w:val="16"/>
              </w:rPr>
              <w:t>确定组合的依据</w:t>
            </w:r>
          </w:p>
        </w:tc>
        <w:tc>
          <w:tcPr>
            <w:tcW w:w="42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6"/>
              <w:ind w:left="1212" w:right="0"/>
              <w:jc w:val="left"/>
              <w:rPr>
                <w:rFonts w:ascii="宋体" w:hAnsi="宋体" w:cs="宋体" w:eastAsia="宋体" w:hint="default"/>
                <w:sz w:val="16"/>
                <w:szCs w:val="16"/>
              </w:rPr>
            </w:pPr>
            <w:r>
              <w:rPr>
                <w:rFonts w:ascii="宋体" w:hAnsi="宋体" w:cs="宋体" w:eastAsia="宋体" w:hint="default"/>
                <w:sz w:val="16"/>
                <w:szCs w:val="16"/>
              </w:rPr>
              <w:t>计量预期信用损失的方法</w:t>
            </w:r>
          </w:p>
        </w:tc>
      </w:tr>
      <w:tr>
        <w:trPr>
          <w:trHeight w:val="929" w:hRule="exact"/>
        </w:trPr>
        <w:tc>
          <w:tcPr>
            <w:tcW w:w="229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08" w:lineRule="exact"/>
              <w:ind w:left="134" w:right="98"/>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34"/>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：在合同规定的收款账</w:t>
            </w:r>
            <w:r>
              <w:rPr>
                <w:rFonts w:ascii="宋体" w:hAnsi="宋体" w:cs="宋体" w:eastAsia="宋体" w:hint="default"/>
                <w:w w:val="100"/>
                <w:sz w:val="16"/>
                <w:szCs w:val="16"/>
              </w:rPr>
              <w:t> </w:t>
            </w:r>
            <w:r>
              <w:rPr>
                <w:rFonts w:ascii="宋体" w:hAnsi="宋体" w:cs="宋体" w:eastAsia="宋体" w:hint="default"/>
                <w:sz w:val="16"/>
                <w:szCs w:val="16"/>
              </w:rPr>
              <w:t>期内的应收款项</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99"/>
              <w:jc w:val="left"/>
              <w:rPr>
                <w:rFonts w:ascii="宋体" w:hAnsi="宋体" w:cs="宋体" w:eastAsia="宋体" w:hint="default"/>
                <w:sz w:val="16"/>
                <w:szCs w:val="16"/>
              </w:rPr>
            </w:pPr>
            <w:r>
              <w:rPr>
                <w:rFonts w:ascii="宋体" w:hAnsi="宋体" w:cs="宋体" w:eastAsia="宋体" w:hint="default"/>
                <w:sz w:val="16"/>
                <w:szCs w:val="16"/>
              </w:rPr>
              <w:t>在合同规定的收款账</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期内的应收款项</w:t>
            </w:r>
          </w:p>
        </w:tc>
        <w:tc>
          <w:tcPr>
            <w:tcW w:w="4247" w:type="dxa"/>
            <w:tcBorders>
              <w:top w:val="dotted" w:sz="4" w:space="0" w:color="000000"/>
              <w:left w:val="dotted" w:sz="4" w:space="0" w:color="000000"/>
              <w:bottom w:val="dotted" w:sz="4" w:space="0" w:color="000000"/>
              <w:right w:val="nil" w:sz="6" w:space="0" w:color="auto"/>
            </w:tcBorders>
          </w:tcPr>
          <w:p>
            <w:pPr>
              <w:pStyle w:val="TableParagraph"/>
              <w:spacing w:line="237" w:lineRule="auto" w:before="26"/>
              <w:ind w:left="100" w:right="107"/>
              <w:jc w:val="both"/>
              <w:rPr>
                <w:rFonts w:ascii="宋体" w:hAnsi="宋体" w:cs="宋体" w:eastAsia="宋体" w:hint="default"/>
                <w:sz w:val="16"/>
                <w:szCs w:val="16"/>
              </w:rPr>
            </w:pPr>
            <w:r>
              <w:rPr>
                <w:rFonts w:ascii="宋体" w:hAnsi="宋体" w:cs="宋体" w:eastAsia="宋体" w:hint="default"/>
                <w:sz w:val="16"/>
                <w:szCs w:val="16"/>
              </w:rPr>
              <w:t>参考历史信用损失经验，结合当前状况以及对未来经济状</w:t>
            </w:r>
            <w:r>
              <w:rPr>
                <w:rFonts w:ascii="宋体" w:hAnsi="宋体" w:cs="宋体" w:eastAsia="宋体" w:hint="default"/>
                <w:spacing w:val="-51"/>
                <w:sz w:val="16"/>
                <w:szCs w:val="16"/>
              </w:rPr>
              <w:t> </w:t>
            </w:r>
            <w:r>
              <w:rPr>
                <w:rFonts w:ascii="宋体" w:hAnsi="宋体" w:cs="宋体" w:eastAsia="宋体" w:hint="default"/>
                <w:spacing w:val="-51"/>
                <w:sz w:val="16"/>
                <w:szCs w:val="16"/>
              </w:rPr>
            </w:r>
            <w:r>
              <w:rPr>
                <w:rFonts w:ascii="宋体" w:hAnsi="宋体" w:cs="宋体" w:eastAsia="宋体" w:hint="default"/>
                <w:sz w:val="16"/>
                <w:szCs w:val="16"/>
              </w:rPr>
              <w:t>况的预测，在合同规定的收款账期内的应收款项组合预期</w:t>
            </w:r>
            <w:r>
              <w:rPr>
                <w:rFonts w:ascii="宋体" w:hAnsi="宋体" w:cs="宋体" w:eastAsia="宋体" w:hint="default"/>
                <w:spacing w:val="-51"/>
                <w:sz w:val="16"/>
                <w:szCs w:val="16"/>
              </w:rPr>
              <w:t> </w:t>
            </w:r>
            <w:r>
              <w:rPr>
                <w:rFonts w:ascii="宋体" w:hAnsi="宋体" w:cs="宋体" w:eastAsia="宋体" w:hint="default"/>
                <w:spacing w:val="-51"/>
                <w:sz w:val="16"/>
                <w:szCs w:val="16"/>
              </w:rPr>
            </w:r>
            <w:r>
              <w:rPr>
                <w:rFonts w:ascii="宋体" w:hAnsi="宋体" w:cs="宋体" w:eastAsia="宋体" w:hint="default"/>
                <w:spacing w:val="12"/>
                <w:sz w:val="16"/>
                <w:szCs w:val="16"/>
              </w:rPr>
              <w:t>发生减值损失的风险很低，</w:t>
            </w:r>
            <w:r>
              <w:rPr>
                <w:rFonts w:ascii="宋体" w:hAnsi="宋体" w:cs="宋体" w:eastAsia="宋体" w:hint="default"/>
                <w:spacing w:val="-16"/>
                <w:sz w:val="16"/>
                <w:szCs w:val="16"/>
              </w:rPr>
              <w:t> </w:t>
            </w:r>
            <w:r>
              <w:rPr>
                <w:rFonts w:ascii="宋体" w:hAnsi="宋体" w:cs="宋体" w:eastAsia="宋体" w:hint="default"/>
                <w:spacing w:val="12"/>
                <w:sz w:val="16"/>
                <w:szCs w:val="16"/>
              </w:rPr>
              <w:t>该组合预期信用损失率为</w:t>
            </w:r>
          </w:p>
          <w:p>
            <w:pPr>
              <w:pStyle w:val="TableParagraph"/>
              <w:spacing w:line="240" w:lineRule="auto" w:before="42"/>
              <w:ind w:left="100" w:right="0"/>
              <w:jc w:val="both"/>
              <w:rPr>
                <w:rFonts w:ascii="Times New Roman" w:hAnsi="Times New Roman" w:cs="Times New Roman" w:eastAsia="Times New Roman" w:hint="default"/>
                <w:sz w:val="16"/>
                <w:szCs w:val="16"/>
              </w:rPr>
            </w:pPr>
            <w:r>
              <w:rPr>
                <w:rFonts w:ascii="Times New Roman"/>
                <w:sz w:val="16"/>
              </w:rPr>
              <w:t>0.00%</w:t>
            </w:r>
          </w:p>
        </w:tc>
      </w:tr>
      <w:tr>
        <w:trPr>
          <w:trHeight w:val="739" w:hRule="exact"/>
        </w:trPr>
        <w:tc>
          <w:tcPr>
            <w:tcW w:w="22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：账龄组合</w:t>
            </w:r>
          </w:p>
        </w:tc>
        <w:tc>
          <w:tcPr>
            <w:tcW w:w="16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4247" w:type="dxa"/>
            <w:tcBorders>
              <w:top w:val="dotted" w:sz="4" w:space="0" w:color="000000"/>
              <w:left w:val="dotted" w:sz="4" w:space="0" w:color="000000"/>
              <w:bottom w:val="single" w:sz="12" w:space="0" w:color="000000"/>
              <w:right w:val="nil" w:sz="6" w:space="0" w:color="auto"/>
            </w:tcBorders>
          </w:tcPr>
          <w:p>
            <w:pPr>
              <w:pStyle w:val="TableParagraph"/>
              <w:spacing w:line="237" w:lineRule="auto" w:before="26"/>
              <w:ind w:left="100" w:right="107"/>
              <w:jc w:val="both"/>
              <w:rPr>
                <w:rFonts w:ascii="宋体" w:hAnsi="宋体" w:cs="宋体" w:eastAsia="宋体" w:hint="default"/>
                <w:sz w:val="16"/>
                <w:szCs w:val="16"/>
              </w:rPr>
            </w:pPr>
            <w:r>
              <w:rPr>
                <w:rFonts w:ascii="宋体" w:hAnsi="宋体" w:cs="宋体" w:eastAsia="宋体" w:hint="default"/>
                <w:sz w:val="16"/>
                <w:szCs w:val="16"/>
              </w:rPr>
              <w:t>参考历史信用损失经验，结合当前状况以及对未来经济状</w:t>
            </w:r>
            <w:r>
              <w:rPr>
                <w:rFonts w:ascii="宋体" w:hAnsi="宋体" w:cs="宋体" w:eastAsia="宋体" w:hint="default"/>
                <w:spacing w:val="-51"/>
                <w:sz w:val="16"/>
                <w:szCs w:val="16"/>
              </w:rPr>
              <w:t> </w:t>
            </w:r>
            <w:r>
              <w:rPr>
                <w:rFonts w:ascii="宋体" w:hAnsi="宋体" w:cs="宋体" w:eastAsia="宋体" w:hint="default"/>
                <w:spacing w:val="-51"/>
                <w:sz w:val="16"/>
                <w:szCs w:val="16"/>
              </w:rPr>
            </w:r>
            <w:r>
              <w:rPr>
                <w:rFonts w:ascii="宋体" w:hAnsi="宋体" w:cs="宋体" w:eastAsia="宋体" w:hint="default"/>
                <w:sz w:val="16"/>
                <w:szCs w:val="16"/>
              </w:rPr>
              <w:t>况的预测，编制应收账款账龄与整个存续期逾期信用损失</w:t>
            </w:r>
            <w:r>
              <w:rPr>
                <w:rFonts w:ascii="宋体" w:hAnsi="宋体" w:cs="宋体" w:eastAsia="宋体" w:hint="default"/>
                <w:spacing w:val="-51"/>
                <w:sz w:val="16"/>
                <w:szCs w:val="16"/>
              </w:rPr>
              <w:t> </w:t>
            </w:r>
            <w:r>
              <w:rPr>
                <w:rFonts w:ascii="宋体" w:hAnsi="宋体" w:cs="宋体" w:eastAsia="宋体" w:hint="default"/>
                <w:spacing w:val="-51"/>
                <w:sz w:val="16"/>
                <w:szCs w:val="16"/>
              </w:rPr>
            </w:r>
            <w:r>
              <w:rPr>
                <w:rFonts w:ascii="宋体" w:hAnsi="宋体" w:cs="宋体" w:eastAsia="宋体" w:hint="default"/>
                <w:sz w:val="16"/>
                <w:szCs w:val="16"/>
              </w:rPr>
              <w:t>率对照表，计算预期信用损失</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468"/>
        <w:jc w:val="left"/>
      </w:pPr>
      <w:r>
        <w:rPr/>
        <w:t>应收款项融资确认组合的依据及计算预期信用损失方法如下：</w:t>
      </w:r>
    </w:p>
    <w:p>
      <w:pPr>
        <w:spacing w:line="240" w:lineRule="auto" w:before="4"/>
        <w:rPr>
          <w:rFonts w:ascii="宋体" w:hAnsi="宋体" w:cs="宋体" w:eastAsia="宋体" w:hint="default"/>
          <w:sz w:val="2"/>
          <w:szCs w:val="2"/>
        </w:rPr>
      </w:pPr>
    </w:p>
    <w:tbl>
      <w:tblPr>
        <w:tblW w:w="0" w:type="auto"/>
        <w:jc w:val="left"/>
        <w:tblInd w:w="735" w:type="dxa"/>
        <w:tblLayout w:type="fixed"/>
        <w:tblCellMar>
          <w:top w:w="0" w:type="dxa"/>
          <w:left w:w="0" w:type="dxa"/>
          <w:bottom w:w="0" w:type="dxa"/>
          <w:right w:w="0" w:type="dxa"/>
        </w:tblCellMar>
        <w:tblLook w:val="01E0"/>
      </w:tblPr>
      <w:tblGrid>
        <w:gridCol w:w="2194"/>
        <w:gridCol w:w="1399"/>
        <w:gridCol w:w="1719"/>
        <w:gridCol w:w="2878"/>
      </w:tblGrid>
      <w:tr>
        <w:trPr>
          <w:trHeight w:val="358" w:hRule="exact"/>
        </w:trPr>
        <w:tc>
          <w:tcPr>
            <w:tcW w:w="21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4" w:right="0"/>
              <w:jc w:val="center"/>
              <w:rPr>
                <w:rFonts w:ascii="宋体" w:hAnsi="宋体" w:cs="宋体" w:eastAsia="宋体" w:hint="default"/>
                <w:sz w:val="16"/>
                <w:szCs w:val="16"/>
              </w:rPr>
            </w:pPr>
            <w:r>
              <w:rPr>
                <w:rFonts w:ascii="宋体" w:hAnsi="宋体" w:cs="宋体" w:eastAsia="宋体" w:hint="default"/>
                <w:sz w:val="16"/>
                <w:szCs w:val="16"/>
              </w:rPr>
              <w:t>科目</w:t>
            </w:r>
          </w:p>
        </w:tc>
        <w:tc>
          <w:tcPr>
            <w:tcW w:w="13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95" w:right="0"/>
              <w:jc w:val="left"/>
              <w:rPr>
                <w:rFonts w:ascii="宋体" w:hAnsi="宋体" w:cs="宋体" w:eastAsia="宋体" w:hint="default"/>
                <w:sz w:val="16"/>
                <w:szCs w:val="16"/>
              </w:rPr>
            </w:pPr>
            <w:r>
              <w:rPr>
                <w:rFonts w:ascii="宋体" w:hAnsi="宋体" w:cs="宋体" w:eastAsia="宋体" w:hint="default"/>
                <w:sz w:val="16"/>
                <w:szCs w:val="16"/>
              </w:rPr>
              <w:t>重分类项目</w:t>
            </w:r>
          </w:p>
        </w:tc>
        <w:tc>
          <w:tcPr>
            <w:tcW w:w="17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92" w:right="0"/>
              <w:jc w:val="left"/>
              <w:rPr>
                <w:rFonts w:ascii="宋体" w:hAnsi="宋体" w:cs="宋体" w:eastAsia="宋体" w:hint="default"/>
                <w:sz w:val="16"/>
                <w:szCs w:val="16"/>
              </w:rPr>
            </w:pPr>
            <w:r>
              <w:rPr>
                <w:rFonts w:ascii="宋体" w:hAnsi="宋体" w:cs="宋体" w:eastAsia="宋体" w:hint="default"/>
                <w:sz w:val="16"/>
                <w:szCs w:val="16"/>
              </w:rPr>
              <w:t>确定组合的依据</w:t>
            </w:r>
          </w:p>
        </w:tc>
        <w:tc>
          <w:tcPr>
            <w:tcW w:w="287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49"/>
              <w:jc w:val="center"/>
              <w:rPr>
                <w:rFonts w:ascii="宋体" w:hAnsi="宋体" w:cs="宋体" w:eastAsia="宋体" w:hint="default"/>
                <w:sz w:val="16"/>
                <w:szCs w:val="16"/>
              </w:rPr>
            </w:pPr>
            <w:r>
              <w:rPr>
                <w:rFonts w:ascii="宋体" w:hAnsi="宋体" w:cs="宋体" w:eastAsia="宋体" w:hint="default"/>
                <w:sz w:val="16"/>
                <w:szCs w:val="16"/>
              </w:rPr>
              <w:t>计量预期信用损失的方法</w:t>
            </w:r>
          </w:p>
        </w:tc>
      </w:tr>
      <w:tr>
        <w:trPr>
          <w:trHeight w:val="523" w:hRule="exact"/>
        </w:trPr>
        <w:tc>
          <w:tcPr>
            <w:tcW w:w="2194" w:type="dxa"/>
            <w:vMerge w:val="restart"/>
            <w:tcBorders>
              <w:top w:val="dotted" w:sz="4"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0" w:right="0"/>
              <w:jc w:val="left"/>
              <w:rPr>
                <w:rFonts w:ascii="宋体" w:hAnsi="宋体" w:cs="宋体" w:eastAsia="宋体" w:hint="default"/>
                <w:sz w:val="16"/>
                <w:szCs w:val="16"/>
              </w:rPr>
            </w:pPr>
            <w:r>
              <w:rPr>
                <w:rFonts w:ascii="宋体" w:hAnsi="宋体" w:cs="宋体" w:eastAsia="宋体" w:hint="default"/>
                <w:sz w:val="16"/>
                <w:szCs w:val="16"/>
              </w:rPr>
              <w:t>应收款项融资</w:t>
            </w:r>
          </w:p>
        </w:tc>
        <w:tc>
          <w:tcPr>
            <w:tcW w:w="1399" w:type="dxa"/>
            <w:vMerge w:val="restart"/>
            <w:tcBorders>
              <w:top w:val="dotted" w:sz="4" w:space="0" w:color="000000"/>
              <w:left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3" w:right="0"/>
              <w:jc w:val="left"/>
              <w:rPr>
                <w:rFonts w:ascii="宋体" w:hAnsi="宋体" w:cs="宋体" w:eastAsia="宋体" w:hint="default"/>
                <w:sz w:val="16"/>
                <w:szCs w:val="16"/>
              </w:rPr>
            </w:pPr>
            <w:r>
              <w:rPr>
                <w:rFonts w:ascii="宋体" w:hAnsi="宋体" w:cs="宋体" w:eastAsia="宋体" w:hint="default"/>
                <w:sz w:val="16"/>
                <w:szCs w:val="16"/>
              </w:rPr>
              <w:t>银行承兑汇票</w:t>
            </w:r>
          </w:p>
        </w:tc>
        <w:tc>
          <w:tcPr>
            <w:tcW w:w="28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4"/>
              <w:ind w:left="103" w:right="106"/>
              <w:jc w:val="left"/>
              <w:rPr>
                <w:rFonts w:ascii="宋体" w:hAnsi="宋体" w:cs="宋体" w:eastAsia="宋体" w:hint="default"/>
                <w:sz w:val="16"/>
                <w:szCs w:val="16"/>
              </w:rPr>
            </w:pPr>
            <w:r>
              <w:rPr>
                <w:rFonts w:ascii="宋体" w:hAnsi="宋体" w:cs="宋体" w:eastAsia="宋体" w:hint="default"/>
                <w:spacing w:val="4"/>
                <w:sz w:val="16"/>
                <w:szCs w:val="16"/>
              </w:rPr>
              <w:t>以银行承兑汇票中承兑银行的信用评</w:t>
            </w:r>
            <w:r>
              <w:rPr>
                <w:rFonts w:ascii="宋体" w:hAnsi="宋体" w:cs="宋体" w:eastAsia="宋体" w:hint="default"/>
                <w:spacing w:val="-48"/>
                <w:sz w:val="16"/>
                <w:szCs w:val="16"/>
              </w:rPr>
              <w:t> </w:t>
            </w:r>
            <w:r>
              <w:rPr>
                <w:rFonts w:ascii="宋体" w:hAnsi="宋体" w:cs="宋体" w:eastAsia="宋体" w:hint="default"/>
                <w:spacing w:val="-48"/>
                <w:sz w:val="16"/>
                <w:szCs w:val="16"/>
              </w:rPr>
            </w:r>
            <w:r>
              <w:rPr>
                <w:rFonts w:ascii="宋体" w:hAnsi="宋体" w:cs="宋体" w:eastAsia="宋体" w:hint="default"/>
                <w:sz w:val="16"/>
                <w:szCs w:val="16"/>
              </w:rPr>
              <w:t>级作为信用风险特征</w:t>
            </w:r>
          </w:p>
        </w:tc>
      </w:tr>
      <w:tr>
        <w:trPr>
          <w:trHeight w:val="358" w:hRule="exact"/>
        </w:trPr>
        <w:tc>
          <w:tcPr>
            <w:tcW w:w="2194" w:type="dxa"/>
            <w:vMerge/>
            <w:tcBorders>
              <w:left w:val="nil" w:sz="6" w:space="0" w:color="auto"/>
              <w:bottom w:val="single" w:sz="12" w:space="0" w:color="000000"/>
              <w:right w:val="dotted" w:sz="4" w:space="0" w:color="000000"/>
            </w:tcBorders>
          </w:tcPr>
          <w:p>
            <w:pPr/>
          </w:p>
        </w:tc>
        <w:tc>
          <w:tcPr>
            <w:tcW w:w="1399" w:type="dxa"/>
            <w:vMerge/>
            <w:tcBorders>
              <w:left w:val="dotted" w:sz="4" w:space="0" w:color="000000"/>
              <w:bottom w:val="single" w:sz="12" w:space="0" w:color="000000"/>
              <w:right w:val="dotted" w:sz="4" w:space="0" w:color="000000"/>
            </w:tcBorders>
          </w:tcPr>
          <w:p>
            <w:pPr/>
          </w:p>
        </w:tc>
        <w:tc>
          <w:tcPr>
            <w:tcW w:w="17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商业承兑汇票</w:t>
            </w:r>
          </w:p>
        </w:tc>
        <w:tc>
          <w:tcPr>
            <w:tcW w:w="287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2"/>
              <w:jc w:val="center"/>
              <w:rPr>
                <w:rFonts w:ascii="宋体" w:hAnsi="宋体" w:cs="宋体" w:eastAsia="宋体" w:hint="default"/>
                <w:sz w:val="16"/>
                <w:szCs w:val="16"/>
              </w:rPr>
            </w:pPr>
            <w:r>
              <w:rPr>
                <w:rFonts w:ascii="宋体" w:hAnsi="宋体" w:cs="宋体" w:eastAsia="宋体" w:hint="default"/>
                <w:spacing w:val="4"/>
                <w:sz w:val="16"/>
                <w:szCs w:val="16"/>
              </w:rPr>
              <w:t>考虑出票人信用等级并结合历史违约</w:t>
            </w:r>
          </w:p>
        </w:tc>
      </w:tr>
    </w:tbl>
    <w:p>
      <w:pPr>
        <w:spacing w:after="0" w:line="240" w:lineRule="auto"/>
        <w:jc w:val="center"/>
        <w:rPr>
          <w:rFonts w:ascii="宋体" w:hAnsi="宋体" w:cs="宋体" w:eastAsia="宋体" w:hint="default"/>
          <w:sz w:val="16"/>
          <w:szCs w:val="16"/>
        </w:rPr>
        <w:sectPr>
          <w:pgSz w:w="11910" w:h="16840"/>
          <w:pgMar w:header="753" w:footer="997" w:top="1440" w:bottom="1180" w:left="1660" w:right="0"/>
        </w:sectPr>
      </w:pPr>
    </w:p>
    <w:p>
      <w:pPr>
        <w:spacing w:line="240" w:lineRule="auto" w:before="8"/>
        <w:rPr>
          <w:rFonts w:ascii="宋体" w:hAnsi="宋体" w:cs="宋体" w:eastAsia="宋体" w:hint="default"/>
          <w:sz w:val="22"/>
          <w:szCs w:val="22"/>
        </w:rPr>
      </w:pPr>
    </w:p>
    <w:tbl>
      <w:tblPr>
        <w:tblW w:w="0" w:type="auto"/>
        <w:jc w:val="left"/>
        <w:tblInd w:w="735" w:type="dxa"/>
        <w:tblLayout w:type="fixed"/>
        <w:tblCellMar>
          <w:top w:w="0" w:type="dxa"/>
          <w:left w:w="0" w:type="dxa"/>
          <w:bottom w:w="0" w:type="dxa"/>
          <w:right w:w="0" w:type="dxa"/>
        </w:tblCellMar>
        <w:tblLook w:val="01E0"/>
      </w:tblPr>
      <w:tblGrid>
        <w:gridCol w:w="2194"/>
        <w:gridCol w:w="1399"/>
        <w:gridCol w:w="1719"/>
        <w:gridCol w:w="2878"/>
      </w:tblGrid>
      <w:tr>
        <w:trPr>
          <w:trHeight w:val="360" w:hRule="exact"/>
        </w:trPr>
        <w:tc>
          <w:tcPr>
            <w:tcW w:w="21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4" w:right="0"/>
              <w:jc w:val="center"/>
              <w:rPr>
                <w:rFonts w:ascii="宋体" w:hAnsi="宋体" w:cs="宋体" w:eastAsia="宋体" w:hint="default"/>
                <w:sz w:val="16"/>
                <w:szCs w:val="16"/>
              </w:rPr>
            </w:pPr>
            <w:r>
              <w:rPr>
                <w:rFonts w:ascii="宋体" w:hAnsi="宋体" w:cs="宋体" w:eastAsia="宋体" w:hint="default"/>
                <w:sz w:val="16"/>
                <w:szCs w:val="16"/>
              </w:rPr>
              <w:t>科目</w:t>
            </w:r>
          </w:p>
        </w:tc>
        <w:tc>
          <w:tcPr>
            <w:tcW w:w="13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95" w:right="0"/>
              <w:jc w:val="left"/>
              <w:rPr>
                <w:rFonts w:ascii="宋体" w:hAnsi="宋体" w:cs="宋体" w:eastAsia="宋体" w:hint="default"/>
                <w:sz w:val="16"/>
                <w:szCs w:val="16"/>
              </w:rPr>
            </w:pPr>
            <w:r>
              <w:rPr>
                <w:rFonts w:ascii="宋体" w:hAnsi="宋体" w:cs="宋体" w:eastAsia="宋体" w:hint="default"/>
                <w:sz w:val="16"/>
                <w:szCs w:val="16"/>
              </w:rPr>
              <w:t>重分类项目</w:t>
            </w:r>
          </w:p>
        </w:tc>
        <w:tc>
          <w:tcPr>
            <w:tcW w:w="17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92" w:right="0"/>
              <w:jc w:val="left"/>
              <w:rPr>
                <w:rFonts w:ascii="宋体" w:hAnsi="宋体" w:cs="宋体" w:eastAsia="宋体" w:hint="default"/>
                <w:sz w:val="16"/>
                <w:szCs w:val="16"/>
              </w:rPr>
            </w:pPr>
            <w:r>
              <w:rPr>
                <w:rFonts w:ascii="宋体" w:hAnsi="宋体" w:cs="宋体" w:eastAsia="宋体" w:hint="default"/>
                <w:sz w:val="16"/>
                <w:szCs w:val="16"/>
              </w:rPr>
              <w:t>确定组合的依据</w:t>
            </w:r>
          </w:p>
        </w:tc>
        <w:tc>
          <w:tcPr>
            <w:tcW w:w="287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left="530" w:right="0"/>
              <w:jc w:val="left"/>
              <w:rPr>
                <w:rFonts w:ascii="宋体" w:hAnsi="宋体" w:cs="宋体" w:eastAsia="宋体" w:hint="default"/>
                <w:sz w:val="16"/>
                <w:szCs w:val="16"/>
              </w:rPr>
            </w:pPr>
            <w:r>
              <w:rPr>
                <w:rFonts w:ascii="宋体" w:hAnsi="宋体" w:cs="宋体" w:eastAsia="宋体" w:hint="default"/>
                <w:sz w:val="16"/>
                <w:szCs w:val="16"/>
              </w:rPr>
              <w:t>计量预期信用损失的方法</w:t>
            </w:r>
          </w:p>
        </w:tc>
      </w:tr>
      <w:tr>
        <w:trPr>
          <w:trHeight w:val="348" w:hRule="exact"/>
        </w:trPr>
        <w:tc>
          <w:tcPr>
            <w:tcW w:w="2194" w:type="dxa"/>
            <w:vMerge w:val="restart"/>
            <w:tcBorders>
              <w:top w:val="dotted" w:sz="4" w:space="0" w:color="000000"/>
              <w:left w:val="nil" w:sz="6" w:space="0" w:color="auto"/>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719" w:type="dxa"/>
            <w:tcBorders>
              <w:top w:val="dotted" w:sz="4" w:space="0" w:color="000000"/>
              <w:left w:val="dotted" w:sz="4" w:space="0" w:color="000000"/>
              <w:bottom w:val="dotted" w:sz="4" w:space="0" w:color="000000"/>
              <w:right w:val="dotted" w:sz="4" w:space="0" w:color="000000"/>
            </w:tcBorders>
          </w:tcPr>
          <w:p>
            <w:pPr/>
          </w:p>
        </w:tc>
        <w:tc>
          <w:tcPr>
            <w:tcW w:w="28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率作为信用风险特征</w:t>
            </w:r>
          </w:p>
        </w:tc>
      </w:tr>
      <w:tr>
        <w:trPr>
          <w:trHeight w:val="1142" w:hRule="exact"/>
        </w:trPr>
        <w:tc>
          <w:tcPr>
            <w:tcW w:w="2194" w:type="dxa"/>
            <w:vMerge/>
            <w:tcBorders>
              <w:left w:val="nil" w:sz="6" w:space="0" w:color="auto"/>
              <w:right w:val="dotted" w:sz="4" w:space="0" w:color="000000"/>
            </w:tcBorders>
          </w:tcPr>
          <w:p>
            <w:pPr/>
          </w:p>
        </w:tc>
        <w:tc>
          <w:tcPr>
            <w:tcW w:w="139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4"/>
              <w:ind w:left="103" w:right="93"/>
              <w:jc w:val="left"/>
              <w:rPr>
                <w:rFonts w:ascii="宋体" w:hAnsi="宋体" w:cs="宋体" w:eastAsia="宋体" w:hint="default"/>
                <w:sz w:val="16"/>
                <w:szCs w:val="16"/>
              </w:rPr>
            </w:pPr>
            <w:r>
              <w:rPr>
                <w:rFonts w:ascii="宋体" w:hAnsi="宋体" w:cs="宋体" w:eastAsia="宋体" w:hint="default"/>
                <w:spacing w:val="6"/>
                <w:sz w:val="16"/>
                <w:szCs w:val="16"/>
              </w:rPr>
              <w:t>在合同规定的收款账</w:t>
            </w:r>
            <w:r>
              <w:rPr>
                <w:rFonts w:ascii="宋体" w:hAnsi="宋体" w:cs="宋体" w:eastAsia="宋体" w:hint="default"/>
                <w:spacing w:val="-64"/>
                <w:sz w:val="16"/>
                <w:szCs w:val="16"/>
              </w:rPr>
              <w:t> </w:t>
            </w:r>
            <w:r>
              <w:rPr>
                <w:rFonts w:ascii="宋体" w:hAnsi="宋体" w:cs="宋体" w:eastAsia="宋体" w:hint="default"/>
                <w:sz w:val="16"/>
                <w:szCs w:val="16"/>
              </w:rPr>
              <w:t>期内的应收款项</w:t>
            </w:r>
          </w:p>
        </w:tc>
        <w:tc>
          <w:tcPr>
            <w:tcW w:w="2878" w:type="dxa"/>
            <w:tcBorders>
              <w:top w:val="dotted" w:sz="4" w:space="0" w:color="000000"/>
              <w:left w:val="dotted" w:sz="4" w:space="0" w:color="000000"/>
              <w:bottom w:val="dotted" w:sz="4" w:space="0" w:color="000000"/>
              <w:right w:val="nil" w:sz="6" w:space="0" w:color="auto"/>
            </w:tcBorders>
          </w:tcPr>
          <w:p>
            <w:pPr>
              <w:pStyle w:val="TableParagraph"/>
              <w:spacing w:line="237" w:lineRule="auto" w:before="26"/>
              <w:ind w:left="103" w:right="106"/>
              <w:jc w:val="both"/>
              <w:rPr>
                <w:rFonts w:ascii="Times New Roman" w:hAnsi="Times New Roman" w:cs="Times New Roman" w:eastAsia="Times New Roman" w:hint="default"/>
                <w:sz w:val="16"/>
                <w:szCs w:val="16"/>
              </w:rPr>
            </w:pPr>
            <w:r>
              <w:rPr>
                <w:rFonts w:ascii="宋体" w:hAnsi="宋体" w:cs="宋体" w:eastAsia="宋体" w:hint="default"/>
                <w:spacing w:val="-5"/>
                <w:sz w:val="16"/>
                <w:szCs w:val="16"/>
              </w:rPr>
              <w:t>参考历史信用损失经验，结合当前状况</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pacing w:val="-5"/>
                <w:sz w:val="16"/>
                <w:szCs w:val="16"/>
              </w:rPr>
              <w:t>以及对未来经济状况的预测，在合同规</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pacing w:val="4"/>
                <w:sz w:val="16"/>
                <w:szCs w:val="16"/>
              </w:rPr>
              <w:t>定的收款账期内的应收款项组合预期</w:t>
            </w:r>
            <w:r>
              <w:rPr>
                <w:rFonts w:ascii="宋体" w:hAnsi="宋体" w:cs="宋体" w:eastAsia="宋体" w:hint="default"/>
                <w:spacing w:val="-48"/>
                <w:sz w:val="16"/>
                <w:szCs w:val="16"/>
              </w:rPr>
              <w:t> </w:t>
            </w:r>
            <w:r>
              <w:rPr>
                <w:rFonts w:ascii="宋体" w:hAnsi="宋体" w:cs="宋体" w:eastAsia="宋体" w:hint="default"/>
                <w:spacing w:val="-48"/>
                <w:sz w:val="16"/>
                <w:szCs w:val="16"/>
              </w:rPr>
            </w:r>
            <w:r>
              <w:rPr>
                <w:rFonts w:ascii="宋体" w:hAnsi="宋体" w:cs="宋体" w:eastAsia="宋体" w:hint="default"/>
                <w:spacing w:val="-5"/>
                <w:sz w:val="16"/>
                <w:szCs w:val="16"/>
              </w:rPr>
              <w:t>发生减值损失的风险很低，该组合预期</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信用损失率为</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0.00%</w:t>
            </w:r>
          </w:p>
        </w:tc>
      </w:tr>
      <w:tr>
        <w:trPr>
          <w:trHeight w:val="948" w:hRule="exact"/>
        </w:trPr>
        <w:tc>
          <w:tcPr>
            <w:tcW w:w="2194" w:type="dxa"/>
            <w:vMerge/>
            <w:tcBorders>
              <w:left w:val="nil" w:sz="6" w:space="0" w:color="auto"/>
              <w:bottom w:val="single" w:sz="12" w:space="0" w:color="000000"/>
              <w:right w:val="dotted" w:sz="4" w:space="0" w:color="000000"/>
            </w:tcBorders>
          </w:tcPr>
          <w:p>
            <w:pPr/>
          </w:p>
        </w:tc>
        <w:tc>
          <w:tcPr>
            <w:tcW w:w="1399" w:type="dxa"/>
            <w:vMerge/>
            <w:tcBorders>
              <w:left w:val="dotted" w:sz="4" w:space="0" w:color="000000"/>
              <w:bottom w:val="single" w:sz="12" w:space="0" w:color="000000"/>
              <w:right w:val="dotted" w:sz="4" w:space="0" w:color="000000"/>
            </w:tcBorders>
          </w:tcPr>
          <w:p>
            <w:pPr/>
          </w:p>
        </w:tc>
        <w:tc>
          <w:tcPr>
            <w:tcW w:w="17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7"/>
              <w:ind w:left="103"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2878" w:type="dxa"/>
            <w:tcBorders>
              <w:top w:val="dotted" w:sz="4" w:space="0" w:color="000000"/>
              <w:left w:val="dotted" w:sz="4" w:space="0" w:color="000000"/>
              <w:bottom w:val="single" w:sz="12" w:space="0" w:color="000000"/>
              <w:right w:val="nil" w:sz="6" w:space="0" w:color="auto"/>
            </w:tcBorders>
          </w:tcPr>
          <w:p>
            <w:pPr>
              <w:pStyle w:val="TableParagraph"/>
              <w:spacing w:line="237" w:lineRule="auto" w:before="26"/>
              <w:ind w:left="103" w:right="106"/>
              <w:jc w:val="both"/>
              <w:rPr>
                <w:rFonts w:ascii="宋体" w:hAnsi="宋体" w:cs="宋体" w:eastAsia="宋体" w:hint="default"/>
                <w:sz w:val="16"/>
                <w:szCs w:val="16"/>
              </w:rPr>
            </w:pPr>
            <w:r>
              <w:rPr>
                <w:rFonts w:ascii="宋体" w:hAnsi="宋体" w:cs="宋体" w:eastAsia="宋体" w:hint="default"/>
                <w:spacing w:val="-5"/>
                <w:sz w:val="16"/>
                <w:szCs w:val="16"/>
              </w:rPr>
              <w:t>参考历史信用损失经验，结合当前状况</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pacing w:val="-5"/>
                <w:sz w:val="16"/>
                <w:szCs w:val="16"/>
              </w:rPr>
              <w:t>以及对未来经济状况的预测，编制应收</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pacing w:val="4"/>
                <w:sz w:val="16"/>
                <w:szCs w:val="16"/>
              </w:rPr>
              <w:t>账款账龄与整个存续期逾期信用损失</w:t>
            </w:r>
            <w:r>
              <w:rPr>
                <w:rFonts w:ascii="宋体" w:hAnsi="宋体" w:cs="宋体" w:eastAsia="宋体" w:hint="default"/>
                <w:spacing w:val="-48"/>
                <w:sz w:val="16"/>
                <w:szCs w:val="16"/>
              </w:rPr>
              <w:t> </w:t>
            </w:r>
            <w:r>
              <w:rPr>
                <w:rFonts w:ascii="宋体" w:hAnsi="宋体" w:cs="宋体" w:eastAsia="宋体" w:hint="default"/>
                <w:spacing w:val="-48"/>
                <w:sz w:val="16"/>
                <w:szCs w:val="16"/>
              </w:rPr>
            </w:r>
            <w:r>
              <w:rPr>
                <w:rFonts w:ascii="宋体" w:hAnsi="宋体" w:cs="宋体" w:eastAsia="宋体" w:hint="default"/>
                <w:sz w:val="16"/>
                <w:szCs w:val="16"/>
              </w:rPr>
              <w:t>率对照表，计算预期信用损失</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1468"/>
        <w:jc w:val="left"/>
      </w:pPr>
      <w:r>
        <w:rPr/>
        <w:t>其他应收款项确认组合的依据及计算预期信用损失方法如下：</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137"/>
        <w:gridCol w:w="1668"/>
        <w:gridCol w:w="4400"/>
      </w:tblGrid>
      <w:tr>
        <w:trPr>
          <w:trHeight w:val="361" w:hRule="exact"/>
        </w:trPr>
        <w:tc>
          <w:tcPr>
            <w:tcW w:w="21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6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68" w:right="0"/>
              <w:jc w:val="left"/>
              <w:rPr>
                <w:rFonts w:ascii="宋体" w:hAnsi="宋体" w:cs="宋体" w:eastAsia="宋体" w:hint="default"/>
                <w:sz w:val="16"/>
                <w:szCs w:val="16"/>
              </w:rPr>
            </w:pPr>
            <w:r>
              <w:rPr>
                <w:rFonts w:ascii="宋体" w:hAnsi="宋体" w:cs="宋体" w:eastAsia="宋体" w:hint="default"/>
                <w:sz w:val="16"/>
                <w:szCs w:val="16"/>
              </w:rPr>
              <w:t>确定组合的依据</w:t>
            </w:r>
          </w:p>
        </w:tc>
        <w:tc>
          <w:tcPr>
            <w:tcW w:w="440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1291" w:right="0"/>
              <w:jc w:val="left"/>
              <w:rPr>
                <w:rFonts w:ascii="宋体" w:hAnsi="宋体" w:cs="宋体" w:eastAsia="宋体" w:hint="default"/>
                <w:sz w:val="16"/>
                <w:szCs w:val="16"/>
              </w:rPr>
            </w:pPr>
            <w:r>
              <w:rPr>
                <w:rFonts w:ascii="宋体" w:hAnsi="宋体" w:cs="宋体" w:eastAsia="宋体" w:hint="default"/>
                <w:sz w:val="16"/>
                <w:szCs w:val="16"/>
              </w:rPr>
              <w:t>计量预期信用损失的方法</w:t>
            </w:r>
          </w:p>
        </w:tc>
      </w:tr>
      <w:tr>
        <w:trPr>
          <w:trHeight w:val="730" w:hRule="exact"/>
        </w:trPr>
        <w:tc>
          <w:tcPr>
            <w:tcW w:w="2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08" w:lineRule="exact"/>
              <w:ind w:left="134" w:right="99"/>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27"/>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：在合同规定的收款</w:t>
            </w:r>
            <w:r>
              <w:rPr>
                <w:rFonts w:ascii="宋体" w:hAnsi="宋体" w:cs="宋体" w:eastAsia="宋体" w:hint="default"/>
                <w:w w:val="100"/>
                <w:sz w:val="16"/>
                <w:szCs w:val="16"/>
              </w:rPr>
              <w:t> </w:t>
            </w:r>
            <w:r>
              <w:rPr>
                <w:rFonts w:ascii="宋体" w:hAnsi="宋体" w:cs="宋体" w:eastAsia="宋体" w:hint="default"/>
                <w:sz w:val="16"/>
                <w:szCs w:val="16"/>
              </w:rPr>
              <w:t>账期内的其他应收款</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3" w:right="99"/>
              <w:jc w:val="left"/>
              <w:rPr>
                <w:rFonts w:ascii="宋体" w:hAnsi="宋体" w:cs="宋体" w:eastAsia="宋体" w:hint="default"/>
                <w:sz w:val="16"/>
                <w:szCs w:val="16"/>
              </w:rPr>
            </w:pPr>
            <w:r>
              <w:rPr>
                <w:rFonts w:ascii="宋体" w:hAnsi="宋体" w:cs="宋体" w:eastAsia="宋体" w:hint="default"/>
                <w:sz w:val="16"/>
                <w:szCs w:val="16"/>
              </w:rPr>
              <w:t>在合同规定的收款账</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期内的其他应收款</w:t>
            </w:r>
          </w:p>
        </w:tc>
        <w:tc>
          <w:tcPr>
            <w:tcW w:w="4400" w:type="dxa"/>
            <w:tcBorders>
              <w:top w:val="dotted" w:sz="4" w:space="0" w:color="000000"/>
              <w:left w:val="dotted" w:sz="4" w:space="0" w:color="000000"/>
              <w:bottom w:val="dotted" w:sz="4" w:space="0" w:color="000000"/>
              <w:right w:val="nil" w:sz="6" w:space="0" w:color="auto"/>
            </w:tcBorders>
          </w:tcPr>
          <w:p>
            <w:pPr>
              <w:pStyle w:val="TableParagraph"/>
              <w:spacing w:line="237" w:lineRule="auto" w:before="26"/>
              <w:ind w:left="103" w:right="107"/>
              <w:jc w:val="both"/>
              <w:rPr>
                <w:rFonts w:ascii="Times New Roman" w:hAnsi="Times New Roman" w:cs="Times New Roman" w:eastAsia="Times New Roman" w:hint="default"/>
                <w:sz w:val="16"/>
                <w:szCs w:val="16"/>
              </w:rPr>
            </w:pPr>
            <w:r>
              <w:rPr>
                <w:rFonts w:ascii="宋体" w:hAnsi="宋体" w:cs="宋体" w:eastAsia="宋体" w:hint="default"/>
                <w:sz w:val="16"/>
                <w:szCs w:val="16"/>
              </w:rPr>
              <w:t>参考历史信用损失经验，结合当前状况以及对未来经济状况</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的预测，在合同规定的收款账期内的其他应收款组合预期发</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生减值损失的风险很低，该组合预期信用损失率为</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0.00%</w:t>
            </w:r>
          </w:p>
        </w:tc>
      </w:tr>
      <w:tr>
        <w:trPr>
          <w:trHeight w:val="739" w:hRule="exact"/>
        </w:trPr>
        <w:tc>
          <w:tcPr>
            <w:tcW w:w="21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：账龄组合</w:t>
            </w:r>
          </w:p>
        </w:tc>
        <w:tc>
          <w:tcPr>
            <w:tcW w:w="16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440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2"/>
              <w:ind w:left="103" w:right="107"/>
              <w:jc w:val="both"/>
              <w:rPr>
                <w:rFonts w:ascii="宋体" w:hAnsi="宋体" w:cs="宋体" w:eastAsia="宋体" w:hint="default"/>
                <w:sz w:val="16"/>
                <w:szCs w:val="16"/>
              </w:rPr>
            </w:pPr>
            <w:r>
              <w:rPr>
                <w:rFonts w:ascii="宋体" w:hAnsi="宋体" w:cs="宋体" w:eastAsia="宋体" w:hint="default"/>
                <w:sz w:val="16"/>
                <w:szCs w:val="16"/>
              </w:rPr>
              <w:t>参考历史信用损失经验，结合当前状况以及对未来经济状况</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的预测，编制其他应收款账龄与整个存续期逾期信用损失率</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对照表，计算预期信用损失</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50" w:lineRule="auto"/>
        <w:ind w:right="1468"/>
        <w:jc w:val="left"/>
      </w:pPr>
      <w:r>
        <w:rPr/>
        <w:pict>
          <v:shape style="position:absolute;margin-left:119.059998pt;margin-top:37.103657pt;width:412.4pt;height:124.6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0"/>
                    <w:gridCol w:w="2825"/>
                    <w:gridCol w:w="3029"/>
                  </w:tblGrid>
                  <w:tr>
                    <w:trPr>
                      <w:trHeight w:val="358" w:hRule="exact"/>
                    </w:trPr>
                    <w:tc>
                      <w:tcPr>
                        <w:tcW w:w="235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21"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40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应收账款预期信用损失率</w:t>
                        </w:r>
                        <w:r>
                          <w:rPr>
                            <w:rFonts w:ascii="Times New Roman" w:hAnsi="Times New Roman" w:cs="Times New Roman" w:eastAsia="Times New Roman" w:hint="default"/>
                            <w:sz w:val="16"/>
                            <w:szCs w:val="16"/>
                          </w:rPr>
                          <w:t>(%)</w:t>
                        </w:r>
                      </w:p>
                    </w:tc>
                    <w:tc>
                      <w:tcPr>
                        <w:tcW w:w="302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left="405"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其他应收款预期信用损失率</w:t>
                        </w:r>
                        <w:r>
                          <w:rPr>
                            <w:rFonts w:ascii="Times New Roman" w:hAnsi="Times New Roman" w:cs="Times New Roman" w:eastAsia="Times New Roman" w:hint="default"/>
                            <w:sz w:val="16"/>
                            <w:szCs w:val="16"/>
                          </w:rPr>
                          <w:t>(%)</w:t>
                        </w:r>
                      </w:p>
                    </w:tc>
                  </w:tr>
                  <w:tr>
                    <w:trPr>
                      <w:trHeight w:val="350" w:hRule="exact"/>
                    </w:trPr>
                    <w:tc>
                      <w:tcPr>
                        <w:tcW w:w="23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年以内（含</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5.00</w:t>
                        </w:r>
                      </w:p>
                    </w:tc>
                    <w:tc>
                      <w:tcPr>
                        <w:tcW w:w="30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5.00</w:t>
                        </w:r>
                      </w:p>
                    </w:tc>
                  </w:tr>
                  <w:tr>
                    <w:trPr>
                      <w:trHeight w:val="348" w:hRule="exact"/>
                    </w:trPr>
                    <w:tc>
                      <w:tcPr>
                        <w:tcW w:w="23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w:t>
                        </w:r>
                      </w:p>
                    </w:tc>
                    <w:tc>
                      <w:tcPr>
                        <w:tcW w:w="30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10.00</w:t>
                        </w:r>
                      </w:p>
                    </w:tc>
                  </w:tr>
                  <w:tr>
                    <w:trPr>
                      <w:trHeight w:val="350" w:hRule="exact"/>
                    </w:trPr>
                    <w:tc>
                      <w:tcPr>
                        <w:tcW w:w="23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30.00</w:t>
                        </w:r>
                      </w:p>
                    </w:tc>
                    <w:tc>
                      <w:tcPr>
                        <w:tcW w:w="30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30.00</w:t>
                        </w:r>
                      </w:p>
                    </w:tc>
                  </w:tr>
                  <w:tr>
                    <w:trPr>
                      <w:trHeight w:val="348" w:hRule="exact"/>
                    </w:trPr>
                    <w:tc>
                      <w:tcPr>
                        <w:tcW w:w="23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60.00</w:t>
                        </w:r>
                      </w:p>
                    </w:tc>
                    <w:tc>
                      <w:tcPr>
                        <w:tcW w:w="30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60.00</w:t>
                        </w:r>
                      </w:p>
                    </w:tc>
                  </w:tr>
                  <w:tr>
                    <w:trPr>
                      <w:trHeight w:val="348" w:hRule="exact"/>
                    </w:trPr>
                    <w:tc>
                      <w:tcPr>
                        <w:tcW w:w="23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80.00</w:t>
                        </w:r>
                      </w:p>
                    </w:tc>
                    <w:tc>
                      <w:tcPr>
                        <w:tcW w:w="30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80.00</w:t>
                        </w:r>
                      </w:p>
                    </w:tc>
                  </w:tr>
                  <w:tr>
                    <w:trPr>
                      <w:trHeight w:val="360" w:hRule="exact"/>
                    </w:trPr>
                    <w:tc>
                      <w:tcPr>
                        <w:tcW w:w="235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30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100.00</w:t>
                        </w:r>
                      </w:p>
                    </w:tc>
                  </w:tr>
                </w:tbl>
                <w:p>
                  <w:pPr/>
                </w:p>
              </w:txbxContent>
            </v:textbox>
            <w10:wrap type="none"/>
          </v:shape>
        </w:pict>
      </w:r>
      <w:r>
        <w:rPr>
          <w:spacing w:val="-5"/>
        </w:rPr>
        <w:t>其中：上述组合中账龄组合，信用风险特征组合的账龄与整个存续期预期信用</w:t>
      </w:r>
      <w:r>
        <w:rPr>
          <w:spacing w:val="-45"/>
        </w:rPr>
        <w:t> </w:t>
      </w:r>
      <w:r>
        <w:rPr>
          <w:spacing w:val="-45"/>
        </w:rPr>
      </w:r>
      <w:r>
        <w:rPr/>
        <w:t>损失率对照表如下：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3" w:footer="997" w:top="1440" w:bottom="1180" w:left="1660" w:right="0"/>
        </w:sect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95"/>
        <w:ind w:right="-18"/>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rFonts w:ascii="Times New Roman" w:hAnsi="Times New Roman" w:cs="Times New Roman" w:eastAsia="Times New Roman" w:hint="default"/>
          <w:spacing w:val="45"/>
        </w:rPr>
        <w:t> </w:t>
      </w:r>
      <w:r>
        <w:rPr/>
        <w:t>存货</w:t>
      </w:r>
      <w:r>
        <w:rPr>
          <w:b w:val="0"/>
          <w:bCs w:val="0"/>
        </w:rPr>
      </w:r>
    </w:p>
    <w:p>
      <w:pPr>
        <w:spacing w:line="343" w:lineRule="auto" w:before="36"/>
        <w:ind w:left="101" w:right="0" w:firstLine="0"/>
        <w:jc w:val="left"/>
        <w:rPr>
          <w:rFonts w:ascii="宋体" w:hAnsi="宋体" w:cs="宋体" w:eastAsia="宋体" w:hint="default"/>
          <w:sz w:val="21"/>
          <w:szCs w:val="21"/>
        </w:rPr>
      </w:pPr>
      <w:r>
        <w:rPr/>
        <w:br w:type="column"/>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日前适用的会计政策</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5"/>
          <w:w w:val="100"/>
          <w:sz w:val="21"/>
          <w:szCs w:val="21"/>
        </w:rPr>
        <w:t>除以公允价值计量且其变动计入当期损益的金融资产外，本公司于资产负债表</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pacing w:val="-5"/>
          <w:w w:val="100"/>
          <w:sz w:val="21"/>
          <w:szCs w:val="21"/>
        </w:rPr>
        <w:t>日对金融资产的账面价值进行检查，如果有客观证据表明某项金融资产发生减</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值的，计提减值准备。</w:t>
      </w:r>
    </w:p>
    <w:p>
      <w:pPr>
        <w:spacing w:after="0" w:line="343" w:lineRule="auto"/>
        <w:jc w:val="left"/>
        <w:rPr>
          <w:rFonts w:ascii="宋体" w:hAnsi="宋体" w:cs="宋体" w:eastAsia="宋体" w:hint="default"/>
          <w:sz w:val="21"/>
          <w:szCs w:val="21"/>
        </w:rPr>
        <w:sectPr>
          <w:type w:val="continuous"/>
          <w:pgSz w:w="11910" w:h="16840"/>
          <w:pgMar w:top="1100" w:bottom="700" w:left="1660" w:right="0"/>
          <w:cols w:num="2" w:equalWidth="0">
            <w:col w:w="1274" w:space="40"/>
            <w:col w:w="8936"/>
          </w:cols>
        </w:sectPr>
      </w:pP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存货的分类</w:t>
      </w:r>
      <w:r>
        <w:rPr>
          <w:b w:val="0"/>
          <w:bCs w:val="0"/>
        </w:rPr>
      </w:r>
    </w:p>
    <w:p>
      <w:pPr>
        <w:pStyle w:val="BodyText"/>
        <w:spacing w:line="240" w:lineRule="auto" w:before="110"/>
        <w:ind w:right="1468"/>
        <w:jc w:val="left"/>
      </w:pPr>
      <w:r>
        <w:rPr/>
        <w:t>存货分类为：原材料、库存商品、在产品、低值易耗品等。</w:t>
      </w:r>
    </w:p>
    <w:p>
      <w:pPr>
        <w:pStyle w:val="BodyText"/>
        <w:tabs>
          <w:tab w:pos="1397" w:val="left" w:leader="none"/>
        </w:tabs>
        <w:spacing w:line="340" w:lineRule="auto" w:before="123"/>
        <w:ind w:right="1791" w:hanging="569"/>
        <w:jc w:val="left"/>
      </w:pPr>
      <w:r>
        <w:rPr>
          <w:rFonts w:ascii="Times New Roman" w:hAnsi="Times New Roman" w:cs="Times New Roman" w:eastAsia="Times New Roman" w:hint="default"/>
          <w:b/>
          <w:bCs/>
        </w:rPr>
        <w:t>2</w:t>
      </w:r>
      <w:r>
        <w:rPr>
          <w:rFonts w:ascii="宋体" w:hAnsi="宋体" w:cs="宋体" w:eastAsia="宋体" w:hint="default"/>
          <w:b/>
          <w:bCs/>
        </w:rPr>
        <w:t>、</w:t>
        <w:tab/>
        <w:t>发出存货的计价方法</w:t>
      </w:r>
      <w:r>
        <w:rPr>
          <w:rFonts w:ascii="宋体" w:hAnsi="宋体" w:cs="宋体" w:eastAsia="宋体" w:hint="default"/>
          <w:b/>
          <w:bCs/>
          <w:spacing w:val="-103"/>
        </w:rPr>
        <w:t> </w:t>
      </w:r>
      <w:r>
        <w:rPr>
          <w:rFonts w:ascii="宋体" w:hAnsi="宋体" w:cs="宋体" w:eastAsia="宋体" w:hint="default"/>
          <w:b/>
          <w:bCs/>
          <w:spacing w:val="-103"/>
        </w:rPr>
      </w:r>
      <w:r>
        <w:rPr>
          <w:spacing w:val="-5"/>
        </w:rPr>
        <w:t>存货在取得时按实际成本计价；领用或发出存货，采用标准成本核算，月末按</w:t>
      </w:r>
      <w:r>
        <w:rPr>
          <w:w w:val="100"/>
        </w:rPr>
        <w:t> </w:t>
      </w:r>
      <w:r>
        <w:rPr/>
        <w:t>成本差异率将标准成本调整为实际成本。</w:t>
      </w:r>
    </w:p>
    <w:p>
      <w:pPr>
        <w:spacing w:after="0" w:line="340" w:lineRule="auto"/>
        <w:jc w:val="left"/>
        <w:sectPr>
          <w:type w:val="continuous"/>
          <w:pgSz w:w="11910" w:h="16840"/>
          <w:pgMar w:top="1100" w:bottom="700" w:left="1660" w:right="0"/>
        </w:sectPr>
      </w:pPr>
    </w:p>
    <w:p>
      <w:pPr>
        <w:spacing w:line="240" w:lineRule="auto" w:before="0"/>
        <w:rPr>
          <w:rFonts w:ascii="宋体" w:hAnsi="宋体" w:cs="宋体" w:eastAsia="宋体" w:hint="default"/>
          <w:sz w:val="27"/>
          <w:szCs w:val="27"/>
        </w:rPr>
      </w:pPr>
    </w:p>
    <w:p>
      <w:pPr>
        <w:pStyle w:val="BodyText"/>
        <w:tabs>
          <w:tab w:pos="1397" w:val="left" w:leader="none"/>
        </w:tabs>
        <w:spacing w:line="348" w:lineRule="auto"/>
        <w:ind w:right="1681" w:hanging="569"/>
        <w:jc w:val="left"/>
      </w:pPr>
      <w:r>
        <w:rPr>
          <w:rFonts w:ascii="Times New Roman" w:hAnsi="Times New Roman" w:cs="Times New Roman" w:eastAsia="Times New Roman" w:hint="default"/>
          <w:b/>
          <w:bCs/>
        </w:rPr>
        <w:t>3</w:t>
      </w:r>
      <w:r>
        <w:rPr>
          <w:rFonts w:ascii="宋体" w:hAnsi="宋体" w:cs="宋体" w:eastAsia="宋体" w:hint="default"/>
          <w:b/>
          <w:bCs/>
        </w:rPr>
        <w:t>、</w:t>
        <w:tab/>
      </w:r>
      <w:r>
        <w:rPr>
          <w:rFonts w:ascii="宋体" w:hAnsi="宋体" w:cs="宋体" w:eastAsia="宋体" w:hint="default"/>
          <w:b/>
          <w:bCs/>
          <w:spacing w:val="-1"/>
        </w:rPr>
        <w:t>不同类别存货可变现净值的确定依据</w:t>
      </w:r>
      <w:r>
        <w:rPr>
          <w:rFonts w:ascii="宋体" w:hAnsi="宋体" w:cs="宋体" w:eastAsia="宋体" w:hint="default"/>
          <w:b/>
          <w:bCs/>
          <w:spacing w:val="-90"/>
        </w:rPr>
        <w:t> </w:t>
      </w:r>
      <w:r>
        <w:rPr>
          <w:rFonts w:ascii="宋体" w:hAnsi="宋体" w:cs="宋体" w:eastAsia="宋体" w:hint="default"/>
          <w:b/>
          <w:bCs/>
          <w:spacing w:val="-90"/>
        </w:rPr>
      </w:r>
      <w:r>
        <w:rPr>
          <w:spacing w:val="-5"/>
        </w:rPr>
        <w:t>产成品、库存商品和用于出售的材料等直接用于出售的商品存货，在正常生产</w:t>
      </w:r>
      <w:r>
        <w:rPr>
          <w:w w:val="100"/>
        </w:rPr>
        <w:t> </w:t>
      </w:r>
      <w:r>
        <w:rPr>
          <w:spacing w:val="-2"/>
        </w:rPr>
        <w:t>经营过程中，以该存货的估计售价减去估计的销售费用和相关税费后的金额，</w:t>
      </w:r>
      <w:r>
        <w:rPr>
          <w:w w:val="100"/>
        </w:rPr>
        <w:t> </w:t>
      </w:r>
      <w:r>
        <w:rPr>
          <w:spacing w:val="-5"/>
        </w:rPr>
        <w:t>确定其可变现净值；需要经过加工的材料存货，在正常生产经营过程中，以所</w:t>
      </w:r>
      <w:r>
        <w:rPr>
          <w:w w:val="100"/>
        </w:rPr>
        <w:t> </w:t>
      </w:r>
      <w:r>
        <w:rPr>
          <w:spacing w:val="-5"/>
          <w:w w:val="100"/>
        </w:rPr>
        <w:t>生产的产成品的估计售价减去至完工时估计将要发生的成本、估计的销售费用</w:t>
      </w:r>
      <w:r>
        <w:rPr>
          <w:w w:val="100"/>
        </w:rPr>
        <w:t> </w:t>
      </w:r>
      <w:r>
        <w:rPr>
          <w:spacing w:val="-5"/>
        </w:rPr>
        <w:t>和相关税费后的金额，确定其可变现净值；为执行销售合同或者劳务合同而持</w:t>
      </w:r>
      <w:r>
        <w:rPr>
          <w:w w:val="100"/>
        </w:rPr>
        <w:t> </w:t>
      </w:r>
      <w:r>
        <w:rPr>
          <w:spacing w:val="-5"/>
        </w:rPr>
        <w:t>有的存货，其可变现净值以合同价格为基础计算，若持有存货的数量多于销售</w:t>
      </w:r>
      <w:r>
        <w:rPr>
          <w:w w:val="100"/>
        </w:rPr>
        <w:t> </w:t>
      </w:r>
      <w:r>
        <w:rPr>
          <w:spacing w:val="-2"/>
        </w:rPr>
        <w:t>合同订购数量的，超出部分的存货的可变现净值以一般销售价格为基础计算。</w:t>
      </w:r>
      <w:r>
        <w:rPr>
          <w:w w:val="100"/>
        </w:rPr>
        <w:t> </w:t>
      </w:r>
      <w:r>
        <w:rPr>
          <w:spacing w:val="-8"/>
          <w:w w:val="100"/>
        </w:rPr>
        <w:t>期末按照单个存货项目计提存货跌价准备；但对于数量繁多、单价较低的存货，</w:t>
      </w:r>
      <w:r>
        <w:rPr>
          <w:w w:val="100"/>
        </w:rPr>
        <w:t> </w:t>
      </w:r>
      <w:r>
        <w:rPr>
          <w:spacing w:val="-2"/>
        </w:rPr>
        <w:t>按照存货类别计提存货跌价准备；与在同一地区生产和销售的产品系列相关、</w:t>
      </w:r>
      <w:r>
        <w:rPr>
          <w:w w:val="100"/>
        </w:rPr>
        <w:t> </w:t>
      </w:r>
      <w:r>
        <w:rPr>
          <w:spacing w:val="-5"/>
        </w:rPr>
        <w:t>具有相同或类似最终用途或目的，且难以与其他项目分开计量的存货，则合并</w:t>
      </w:r>
      <w:r>
        <w:rPr>
          <w:w w:val="100"/>
        </w:rPr>
        <w:t> </w:t>
      </w:r>
      <w:r>
        <w:rPr/>
        <w:t>计提存货跌价准备。</w:t>
      </w:r>
      <w:r>
        <w:rPr>
          <w:w w:val="100"/>
        </w:rPr>
        <w:t> </w:t>
      </w:r>
      <w:r>
        <w:rPr>
          <w:spacing w:val="-5"/>
          <w:w w:val="100"/>
        </w:rPr>
        <w:t>除有明确证据表明资产负债表日市场价格异常外，存货项目的可变现净值以资</w:t>
      </w:r>
      <w:r>
        <w:rPr>
          <w:w w:val="100"/>
        </w:rPr>
        <w:t> </w:t>
      </w:r>
      <w:r>
        <w:rPr/>
        <w:t>产负债表日市场价格为基础确定。</w:t>
      </w:r>
      <w:r>
        <w:rPr>
          <w:w w:val="100"/>
        </w:rPr>
        <w:t> </w:t>
      </w:r>
      <w:r>
        <w:rPr/>
        <w:t>本期期末存货项目的可变现净值以资产负债表日市场价格为基础确定。</w:t>
      </w:r>
    </w:p>
    <w:p>
      <w:pPr>
        <w:tabs>
          <w:tab w:pos="1397" w:val="left" w:leader="none"/>
        </w:tabs>
        <w:spacing w:line="331" w:lineRule="auto" w:before="29"/>
        <w:ind w:left="1414" w:right="714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存货的盘存制度</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采用永续盘存制。</w:t>
      </w:r>
    </w:p>
    <w:p>
      <w:pPr>
        <w:pStyle w:val="Heading5"/>
        <w:tabs>
          <w:tab w:pos="1397" w:val="left" w:leader="none"/>
        </w:tabs>
        <w:spacing w:line="240" w:lineRule="auto" w:before="46"/>
        <w:ind w:left="846" w:right="3683"/>
        <w:jc w:val="left"/>
        <w:rPr>
          <w:b w:val="0"/>
          <w:bCs w:val="0"/>
        </w:rPr>
      </w:pPr>
      <w:r>
        <w:rPr>
          <w:rFonts w:ascii="Times New Roman" w:hAnsi="Times New Roman" w:cs="Times New Roman" w:eastAsia="Times New Roman" w:hint="default"/>
        </w:rPr>
        <w:t>5</w:t>
      </w:r>
      <w:r>
        <w:rPr/>
        <w:t>、</w:t>
        <w:tab/>
      </w:r>
      <w:r>
        <w:rPr>
          <w:spacing w:val="-1"/>
        </w:rPr>
        <w:t>低值易耗品和包装物的摊销方法</w:t>
      </w:r>
      <w:r>
        <w:rPr>
          <w:b w:val="0"/>
          <w:bCs w:val="0"/>
          <w:spacing w:val="-1"/>
        </w:rPr>
      </w:r>
    </w:p>
    <w:p>
      <w:pPr>
        <w:pStyle w:val="BodyText"/>
        <w:spacing w:line="240" w:lineRule="auto" w:before="107"/>
        <w:ind w:right="3683"/>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10"/>
        <w:ind w:right="3683"/>
        <w:jc w:val="left"/>
      </w:pPr>
      <w:r>
        <w:rPr/>
        <w:t>（</w:t>
      </w:r>
      <w:r>
        <w:rPr>
          <w:rFonts w:ascii="Times New Roman" w:hAnsi="Times New Roman" w:cs="Times New Roman" w:eastAsia="Times New Roman" w:hint="default"/>
        </w:rPr>
        <w:t>2</w:t>
      </w:r>
      <w:r>
        <w:rPr/>
        <w:t>）包装物采用一次转销法。</w:t>
      </w:r>
    </w:p>
    <w:p>
      <w:pPr>
        <w:pStyle w:val="Heading5"/>
        <w:spacing w:line="240" w:lineRule="auto" w:before="110"/>
        <w:ind w:right="3683"/>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持有待售</w:t>
      </w:r>
      <w:r>
        <w:rPr>
          <w:b w:val="0"/>
          <w:bCs w:val="0"/>
        </w:rPr>
      </w:r>
    </w:p>
    <w:p>
      <w:pPr>
        <w:pStyle w:val="BodyText"/>
        <w:spacing w:line="240" w:lineRule="auto" w:before="107"/>
        <w:ind w:left="850" w:right="1468"/>
        <w:jc w:val="left"/>
      </w:pPr>
      <w:r>
        <w:rPr/>
        <w:t>本公司将同时满足下列条件的非流动资产或处置组划分为持有待售类别：</w:t>
      </w:r>
    </w:p>
    <w:p>
      <w:pPr>
        <w:pStyle w:val="BodyText"/>
        <w:spacing w:line="240" w:lineRule="auto" w:before="126"/>
        <w:ind w:left="850" w:right="1468"/>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38" w:lineRule="auto" w:before="110"/>
        <w:ind w:left="850" w:right="1786"/>
        <w:jc w:val="both"/>
      </w:pPr>
      <w:r>
        <w:rPr>
          <w:spacing w:val="-4"/>
        </w:rPr>
        <w:t>（</w:t>
      </w:r>
      <w:r>
        <w:rPr>
          <w:rFonts w:ascii="Times New Roman" w:hAnsi="Times New Roman" w:cs="Times New Roman" w:eastAsia="Times New Roman" w:hint="default"/>
          <w:spacing w:val="-4"/>
        </w:rPr>
        <w:t>2</w:t>
      </w:r>
      <w:r>
        <w:rPr>
          <w:spacing w:val="-4"/>
        </w:rPr>
        <w:t>）出售极可能发生，即本公司已经就一项出售计划作出决议且获得确定的购买承</w:t>
      </w:r>
      <w:r>
        <w:rPr>
          <w:spacing w:val="-26"/>
        </w:rPr>
        <w:t> </w:t>
      </w:r>
      <w:r>
        <w:rPr>
          <w:spacing w:val="-26"/>
        </w:rPr>
      </w:r>
      <w:r>
        <w:rPr>
          <w:spacing w:val="-2"/>
        </w:rPr>
        <w:t>诺，预计出售将在一年内完成。有关规定要求本公司相关权力机构或者监管部门批</w:t>
      </w:r>
      <w:r>
        <w:rPr>
          <w:spacing w:val="-35"/>
        </w:rPr>
        <w:t> </w:t>
      </w:r>
      <w:r>
        <w:rPr>
          <w:spacing w:val="-35"/>
        </w:rPr>
      </w:r>
      <w:r>
        <w:rPr/>
        <w:t>准后方可出售的，已经获得批准。</w:t>
      </w:r>
    </w:p>
    <w:p>
      <w:pPr>
        <w:pStyle w:val="Heading5"/>
        <w:spacing w:line="240" w:lineRule="auto" w:before="40"/>
        <w:ind w:right="3683"/>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rFonts w:ascii="Times New Roman" w:hAnsi="Times New Roman" w:cs="Times New Roman" w:eastAsia="Times New Roman" w:hint="default"/>
          <w:spacing w:val="47"/>
        </w:rPr>
        <w:t> </w:t>
      </w:r>
      <w:r>
        <w:rPr/>
        <w:t>长期股权投资</w:t>
      </w:r>
      <w:r>
        <w:rPr>
          <w:b w:val="0"/>
          <w:bCs w:val="0"/>
        </w:rPr>
      </w:r>
    </w:p>
    <w:p>
      <w:pPr>
        <w:pStyle w:val="BodyText"/>
        <w:tabs>
          <w:tab w:pos="1397" w:val="left" w:leader="none"/>
        </w:tabs>
        <w:spacing w:line="345" w:lineRule="auto" w:before="107"/>
        <w:ind w:right="1786" w:hanging="569"/>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共同控制、重大影响的判断标准</w:t>
      </w:r>
      <w:r>
        <w:rPr>
          <w:rFonts w:ascii="宋体" w:hAnsi="宋体" w:cs="宋体" w:eastAsia="宋体" w:hint="default"/>
          <w:b/>
          <w:bCs/>
          <w:spacing w:val="-93"/>
        </w:rPr>
        <w:t> </w:t>
      </w:r>
      <w:r>
        <w:rPr>
          <w:rFonts w:ascii="宋体" w:hAnsi="宋体" w:cs="宋体" w:eastAsia="宋体" w:hint="default"/>
          <w:b/>
          <w:bCs/>
          <w:spacing w:val="-93"/>
        </w:rPr>
      </w:r>
      <w:r>
        <w:rPr>
          <w:spacing w:val="-5"/>
        </w:rPr>
        <w:t>共同控制，是指按照相关约定对某项安排所共有的控制，并且该安排的相关活</w:t>
      </w:r>
      <w:r>
        <w:rPr>
          <w:w w:val="100"/>
        </w:rPr>
        <w:t> </w:t>
      </w:r>
      <w:r>
        <w:rPr>
          <w:spacing w:val="-5"/>
          <w:w w:val="100"/>
        </w:rPr>
        <w:t>动必须经过分享控制权的参与方一致同意后才能决策。本公司与其他合营方一</w:t>
      </w:r>
      <w:r>
        <w:rPr>
          <w:w w:val="100"/>
        </w:rPr>
        <w:t> </w:t>
      </w:r>
      <w:r>
        <w:rPr>
          <w:spacing w:val="-5"/>
          <w:w w:val="100"/>
        </w:rPr>
        <w:t>同对被投资单位实施共同控制且对被投资单位净资产享有权利的，被投资单位</w:t>
      </w:r>
      <w:r>
        <w:rPr>
          <w:w w:val="100"/>
        </w:rPr>
        <w:t> </w:t>
      </w:r>
      <w:r>
        <w:rPr/>
        <w:t>为本公司的合营企业。</w:t>
      </w:r>
      <w:r>
        <w:rPr>
          <w:w w:val="100"/>
        </w:rPr>
        <w:t> </w:t>
      </w:r>
      <w:r>
        <w:rPr>
          <w:spacing w:val="-5"/>
        </w:rPr>
        <w:t>重大影响，是指对一个企业的财务和经营决策有参与决策的权力，但并不能够</w:t>
      </w:r>
      <w:r>
        <w:rPr>
          <w:w w:val="100"/>
        </w:rPr>
        <w:t> </w:t>
      </w:r>
      <w:r>
        <w:rPr>
          <w:spacing w:val="-5"/>
          <w:w w:val="100"/>
        </w:rPr>
        <w:t>控制或者与其他方一起共同控制这些政策的制定。本公司能够对被投资单位施</w:t>
      </w:r>
    </w:p>
    <w:p>
      <w:pPr>
        <w:spacing w:after="0" w:line="345"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240" w:lineRule="auto"/>
        <w:ind w:right="3683"/>
        <w:jc w:val="left"/>
      </w:pPr>
      <w:r>
        <w:rPr/>
        <w:t>加重大影响的，被投资单位为本公司联营企业。</w:t>
      </w:r>
    </w:p>
    <w:p>
      <w:pPr>
        <w:pStyle w:val="Heading5"/>
        <w:tabs>
          <w:tab w:pos="1397" w:val="left" w:leader="none"/>
        </w:tabs>
        <w:spacing w:line="240" w:lineRule="auto" w:before="126"/>
        <w:ind w:left="846" w:right="3683"/>
        <w:jc w:val="left"/>
        <w:rPr>
          <w:b w:val="0"/>
          <w:bCs w:val="0"/>
        </w:rPr>
      </w:pPr>
      <w:r>
        <w:rPr>
          <w:rFonts w:ascii="Times New Roman" w:hAnsi="Times New Roman" w:cs="Times New Roman" w:eastAsia="Times New Roman" w:hint="default"/>
        </w:rPr>
        <w:t>2</w:t>
      </w:r>
      <w:r>
        <w:rPr/>
        <w:t>、</w:t>
        <w:tab/>
        <w:t>初始投资成本的确定</w:t>
      </w:r>
      <w:r>
        <w:rPr>
          <w:b w:val="0"/>
          <w:bCs w:val="0"/>
        </w:rPr>
      </w:r>
    </w:p>
    <w:p>
      <w:pPr>
        <w:pStyle w:val="BodyText"/>
        <w:spacing w:line="348" w:lineRule="auto" w:before="110"/>
        <w:ind w:right="1468"/>
        <w:jc w:val="left"/>
      </w:pPr>
      <w:r>
        <w:rPr/>
        <w:t>（</w:t>
      </w:r>
      <w:r>
        <w:rPr>
          <w:rFonts w:ascii="Times New Roman" w:hAnsi="Times New Roman" w:cs="Times New Roman" w:eastAsia="Times New Roman" w:hint="default"/>
        </w:rPr>
        <w:t>1</w:t>
      </w:r>
      <w:r>
        <w:rPr/>
        <w:t>）企业合并形成的长期股权投资</w:t>
      </w:r>
      <w:r>
        <w:rPr>
          <w:w w:val="100"/>
        </w:rPr>
        <w:t> </w:t>
      </w:r>
      <w:r>
        <w:rPr>
          <w:spacing w:val="-5"/>
        </w:rPr>
        <w:t>同一控制下的企业合并：公司以支付现金、转让非现金资产或承担债务方式以</w:t>
      </w:r>
      <w:r>
        <w:rPr>
          <w:spacing w:val="-45"/>
        </w:rPr>
        <w:t> </w:t>
      </w:r>
      <w:r>
        <w:rPr>
          <w:spacing w:val="-45"/>
        </w:rPr>
      </w:r>
      <w:r>
        <w:rPr>
          <w:spacing w:val="-5"/>
          <w:w w:val="100"/>
        </w:rPr>
        <w:t>及以发行权益性证券作为合并对价的，在合并日按照取得被合并方所有者权益</w:t>
      </w:r>
      <w:r>
        <w:rPr>
          <w:spacing w:val="-85"/>
          <w:w w:val="100"/>
        </w:rPr>
        <w:t> </w:t>
      </w:r>
      <w:r>
        <w:rPr>
          <w:spacing w:val="-85"/>
          <w:w w:val="100"/>
        </w:rPr>
      </w:r>
      <w:r>
        <w:rPr/>
        <w:t>在最终控制方合并财务报表中的账面价值的份额作为长期股权投资的初始投</w:t>
      </w:r>
      <w:r>
        <w:rPr>
          <w:w w:val="100"/>
        </w:rPr>
        <w:t> </w:t>
      </w:r>
      <w:r>
        <w:rPr>
          <w:spacing w:val="-5"/>
        </w:rPr>
        <w:t>资成本。因追加投资等原因能够对同一控制下的被投资单位实施控制的，在合</w:t>
      </w:r>
      <w:r>
        <w:rPr>
          <w:spacing w:val="-45"/>
        </w:rPr>
        <w:t> </w:t>
      </w:r>
      <w:r>
        <w:rPr>
          <w:spacing w:val="-45"/>
        </w:rPr>
      </w:r>
      <w:r>
        <w:rPr/>
        <w:t>并日根据合并后应享有被合并方净资产在最终控制方合并财务报表中的账面</w:t>
      </w:r>
      <w:r>
        <w:rPr>
          <w:w w:val="100"/>
        </w:rPr>
        <w:t> </w:t>
      </w:r>
      <w:r>
        <w:rPr>
          <w:spacing w:val="-5"/>
        </w:rPr>
        <w:t>价值的份额，确定长期股权投资的初始投资成本。合并日长期股权投资的初始</w:t>
      </w:r>
      <w:r>
        <w:rPr>
          <w:spacing w:val="-45"/>
        </w:rPr>
        <w:t> </w:t>
      </w:r>
      <w:r>
        <w:rPr>
          <w:spacing w:val="-45"/>
        </w:rPr>
      </w:r>
      <w:r>
        <w:rPr>
          <w:spacing w:val="-5"/>
          <w:w w:val="100"/>
        </w:rPr>
        <w:t>投资成本，与达到合并前的长期股权投资账面价值加上合并日进一步取得股份</w:t>
      </w:r>
      <w:r>
        <w:rPr>
          <w:spacing w:val="-84"/>
          <w:w w:val="100"/>
        </w:rPr>
        <w:t> </w:t>
      </w:r>
      <w:r>
        <w:rPr>
          <w:spacing w:val="-84"/>
          <w:w w:val="100"/>
        </w:rPr>
      </w:r>
      <w:r>
        <w:rPr>
          <w:spacing w:val="-5"/>
        </w:rPr>
        <w:t>新支付对价的账面价值之和的差额，调整股本溢价，股本溢价不足冲减的，冲</w:t>
      </w:r>
      <w:r>
        <w:rPr>
          <w:spacing w:val="-45"/>
        </w:rPr>
        <w:t> </w:t>
      </w:r>
      <w:r>
        <w:rPr>
          <w:spacing w:val="-45"/>
        </w:rPr>
      </w:r>
      <w:r>
        <w:rPr/>
        <w:t>减留存收益。</w:t>
      </w:r>
      <w:r>
        <w:rPr>
          <w:w w:val="100"/>
        </w:rPr>
        <w:t> </w:t>
      </w:r>
      <w:r>
        <w:rPr>
          <w:spacing w:val="-5"/>
          <w:w w:val="100"/>
        </w:rPr>
        <w:t>非同一控制下的企业合并：公司按照购买日确定的合并成本作为长期股权投资</w:t>
      </w:r>
      <w:r>
        <w:rPr>
          <w:spacing w:val="-84"/>
          <w:w w:val="100"/>
        </w:rPr>
        <w:t> </w:t>
      </w:r>
      <w:r>
        <w:rPr>
          <w:spacing w:val="-84"/>
          <w:w w:val="100"/>
        </w:rPr>
      </w:r>
      <w:r>
        <w:rPr>
          <w:spacing w:val="-5"/>
          <w:w w:val="100"/>
        </w:rPr>
        <w:t>的初始投资成本。因追加投资等原因能够对非同一控制下的被投资单位实施控</w:t>
      </w:r>
      <w:r>
        <w:rPr>
          <w:spacing w:val="-85"/>
          <w:w w:val="100"/>
        </w:rPr>
        <w:t> </w:t>
      </w:r>
      <w:r>
        <w:rPr>
          <w:spacing w:val="-85"/>
          <w:w w:val="100"/>
        </w:rPr>
      </w:r>
      <w:r>
        <w:rPr>
          <w:spacing w:val="-5"/>
        </w:rPr>
        <w:t>制的，按照原持有的股权投资账面价值加上新增投资成本之和，作为改按成本</w:t>
      </w:r>
      <w:r>
        <w:rPr>
          <w:spacing w:val="-46"/>
        </w:rPr>
        <w:t> </w:t>
      </w:r>
      <w:r>
        <w:rPr>
          <w:spacing w:val="-46"/>
        </w:rPr>
      </w:r>
      <w:r>
        <w:rPr/>
        <w:t>法核算的初始投资成本。</w:t>
      </w:r>
    </w:p>
    <w:p>
      <w:pPr>
        <w:pStyle w:val="BodyText"/>
        <w:spacing w:line="348" w:lineRule="auto" w:before="31"/>
        <w:ind w:right="1468"/>
        <w:jc w:val="left"/>
      </w:pPr>
      <w:r>
        <w:rPr/>
        <w:t>（</w:t>
      </w:r>
      <w:r>
        <w:rPr>
          <w:rFonts w:ascii="Times New Roman" w:hAnsi="Times New Roman" w:cs="Times New Roman" w:eastAsia="Times New Roman" w:hint="default"/>
        </w:rPr>
        <w:t>2</w:t>
      </w:r>
      <w:r>
        <w:rPr/>
        <w:t>）其他方式取得的长期股权投资</w:t>
      </w:r>
      <w:r>
        <w:rPr>
          <w:w w:val="100"/>
        </w:rPr>
        <w:t> </w:t>
      </w:r>
      <w:r>
        <w:rPr>
          <w:spacing w:val="-5"/>
          <w:w w:val="100"/>
        </w:rPr>
        <w:t>以支付现金方式取得的长期股权投资，按照实际支付的购买价款作为初始投资</w:t>
      </w:r>
      <w:r>
        <w:rPr>
          <w:spacing w:val="-85"/>
          <w:w w:val="100"/>
        </w:rPr>
        <w:t> </w:t>
      </w:r>
      <w:r>
        <w:rPr>
          <w:spacing w:val="-85"/>
          <w:w w:val="100"/>
        </w:rPr>
      </w:r>
      <w:r>
        <w:rPr/>
        <w:t>成本。</w:t>
      </w:r>
      <w:r>
        <w:rPr>
          <w:spacing w:val="-102"/>
        </w:rPr>
        <w:t> </w:t>
      </w:r>
      <w:r>
        <w:rPr>
          <w:spacing w:val="-5"/>
          <w:w w:val="100"/>
        </w:rPr>
        <w:t>以发行权益性证券取得的长期股权投资，按照发行权益性证券的公允价值作为</w:t>
      </w:r>
      <w:r>
        <w:rPr>
          <w:spacing w:val="-84"/>
          <w:w w:val="100"/>
        </w:rPr>
        <w:t> </w:t>
      </w:r>
      <w:r>
        <w:rPr>
          <w:spacing w:val="-84"/>
          <w:w w:val="100"/>
        </w:rPr>
      </w:r>
      <w:r>
        <w:rPr/>
        <w:t>初始投资成本。</w:t>
      </w:r>
      <w:r>
        <w:rPr>
          <w:spacing w:val="-103"/>
        </w:rPr>
        <w:t> </w:t>
      </w:r>
      <w:r>
        <w:rPr>
          <w:spacing w:val="-103"/>
        </w:rPr>
      </w:r>
      <w:r>
        <w:rPr/>
        <w:t>在非货币性资产交换具有商业实质且换入资产和换出资产的公允价值均能够</w:t>
      </w:r>
      <w:r>
        <w:rPr>
          <w:w w:val="100"/>
        </w:rPr>
        <w:t> </w:t>
      </w:r>
      <w:r>
        <w:rPr>
          <w:spacing w:val="-5"/>
          <w:w w:val="100"/>
        </w:rPr>
        <w:t>可靠计量的前提下，非货币性资产交换换入的长期股权投资以换出资产的公允</w:t>
      </w:r>
      <w:r>
        <w:rPr>
          <w:spacing w:val="-84"/>
          <w:w w:val="100"/>
        </w:rPr>
        <w:t> </w:t>
      </w:r>
      <w:r>
        <w:rPr>
          <w:spacing w:val="-84"/>
          <w:w w:val="100"/>
        </w:rPr>
      </w:r>
      <w:r>
        <w:rPr>
          <w:spacing w:val="-5"/>
          <w:w w:val="100"/>
        </w:rPr>
        <w:t>价值和应支付的相关税费确定其初始投资成本，除非有确凿证据表明换入资产</w:t>
      </w:r>
      <w:r>
        <w:rPr>
          <w:spacing w:val="-85"/>
          <w:w w:val="100"/>
        </w:rPr>
        <w:t> </w:t>
      </w:r>
      <w:r>
        <w:rPr>
          <w:spacing w:val="-85"/>
          <w:w w:val="100"/>
        </w:rPr>
      </w:r>
      <w:r>
        <w:rPr>
          <w:spacing w:val="-5"/>
        </w:rPr>
        <w:t>的公允价值更加可靠；不满足上述前提的非货币性资产交换，以换出资产的账</w:t>
      </w:r>
      <w:r>
        <w:rPr>
          <w:spacing w:val="-46"/>
        </w:rPr>
        <w:t> </w:t>
      </w:r>
      <w:r>
        <w:rPr>
          <w:spacing w:val="-46"/>
        </w:rPr>
      </w:r>
      <w:r>
        <w:rPr/>
        <w:t>面价值和应支付的相关税费作为换入长期股权投资的初始投资成本。</w:t>
      </w:r>
      <w:r>
        <w:rPr>
          <w:w w:val="100"/>
        </w:rPr>
        <w:t> </w:t>
      </w:r>
      <w:r>
        <w:rPr>
          <w:spacing w:val="-5"/>
          <w:w w:val="100"/>
        </w:rPr>
        <w:t>通过债务重组取得的长期股权投资，以所放弃债权的公允价值和可直接归属于</w:t>
      </w:r>
      <w:r>
        <w:rPr>
          <w:spacing w:val="-84"/>
          <w:w w:val="100"/>
        </w:rPr>
        <w:t> </w:t>
      </w:r>
      <w:r>
        <w:rPr>
          <w:spacing w:val="-84"/>
          <w:w w:val="100"/>
        </w:rPr>
      </w:r>
      <w:r>
        <w:rPr>
          <w:spacing w:val="-5"/>
          <w:w w:val="100"/>
        </w:rPr>
        <w:t>该资产的税金等其他成本确定其入账价值，并将所放弃债权的公允价值与账面</w:t>
      </w:r>
      <w:r>
        <w:rPr>
          <w:spacing w:val="-85"/>
          <w:w w:val="100"/>
        </w:rPr>
        <w:t> </w:t>
      </w:r>
      <w:r>
        <w:rPr>
          <w:spacing w:val="-85"/>
          <w:w w:val="100"/>
        </w:rPr>
      </w:r>
      <w:r>
        <w:rPr/>
        <w:t>价值之间的差额，计入当期损益。</w:t>
      </w:r>
    </w:p>
    <w:p>
      <w:pPr>
        <w:pStyle w:val="Heading5"/>
        <w:tabs>
          <w:tab w:pos="1397" w:val="left" w:leader="none"/>
        </w:tabs>
        <w:spacing w:line="240" w:lineRule="auto" w:before="31"/>
        <w:ind w:left="846" w:right="3683"/>
        <w:jc w:val="left"/>
        <w:rPr>
          <w:b w:val="0"/>
          <w:bCs w:val="0"/>
        </w:rPr>
      </w:pPr>
      <w:r>
        <w:rPr>
          <w:rFonts w:ascii="Times New Roman" w:hAnsi="Times New Roman" w:cs="Times New Roman" w:eastAsia="Times New Roman" w:hint="default"/>
        </w:rPr>
        <w:t>3</w:t>
      </w:r>
      <w:r>
        <w:rPr/>
        <w:t>、</w:t>
        <w:tab/>
      </w:r>
      <w:r>
        <w:rPr>
          <w:spacing w:val="-1"/>
        </w:rPr>
        <w:t>后续计量及损益确认方法</w:t>
      </w:r>
      <w:r>
        <w:rPr>
          <w:b w:val="0"/>
          <w:bCs w:val="0"/>
          <w:spacing w:val="-1"/>
        </w:rPr>
      </w:r>
    </w:p>
    <w:p>
      <w:pPr>
        <w:pStyle w:val="BodyText"/>
        <w:spacing w:line="343" w:lineRule="auto" w:before="107"/>
        <w:ind w:right="1468"/>
        <w:jc w:val="left"/>
      </w:pPr>
      <w:r>
        <w:rPr/>
        <w:t>（</w:t>
      </w:r>
      <w:r>
        <w:rPr>
          <w:rFonts w:ascii="Times New Roman" w:hAnsi="Times New Roman" w:cs="Times New Roman" w:eastAsia="Times New Roman" w:hint="default"/>
        </w:rPr>
        <w:t>1</w:t>
      </w:r>
      <w:r>
        <w:rPr/>
        <w:t>）成本法核算的长期股权投资</w:t>
      </w:r>
      <w:r>
        <w:rPr>
          <w:w w:val="100"/>
        </w:rPr>
        <w:t> </w:t>
      </w:r>
      <w:r>
        <w:rPr>
          <w:spacing w:val="-5"/>
        </w:rPr>
        <w:t>公司对子公司的长期股权投资，采用成本法核算。除取得投资时实际支付的价</w:t>
      </w:r>
      <w:r>
        <w:rPr>
          <w:spacing w:val="-43"/>
        </w:rPr>
        <w:t> </w:t>
      </w:r>
      <w:r>
        <w:rPr>
          <w:spacing w:val="-43"/>
        </w:rPr>
      </w:r>
      <w:r>
        <w:rPr>
          <w:spacing w:val="-5"/>
          <w:w w:val="100"/>
        </w:rPr>
        <w:t>款或对价中包含的已宣告但尚未发放的现金股利或利润外，公司按照享有被投</w:t>
      </w:r>
      <w:r>
        <w:rPr>
          <w:spacing w:val="-85"/>
          <w:w w:val="100"/>
        </w:rPr>
        <w:t> </w:t>
      </w:r>
      <w:r>
        <w:rPr>
          <w:spacing w:val="-85"/>
          <w:w w:val="100"/>
        </w:rPr>
      </w:r>
      <w:r>
        <w:rPr/>
        <w:t>资单位宣告发放的现金股利或利润确认当期投资收益。</w:t>
      </w:r>
    </w:p>
    <w:p>
      <w:pPr>
        <w:spacing w:after="0" w:line="343"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48" w:lineRule="auto"/>
        <w:ind w:right="1468"/>
        <w:jc w:val="left"/>
      </w:pPr>
      <w:r>
        <w:rPr/>
        <w:t>（</w:t>
      </w:r>
      <w:r>
        <w:rPr>
          <w:rFonts w:ascii="Times New Roman" w:hAnsi="Times New Roman" w:cs="Times New Roman" w:eastAsia="Times New Roman" w:hint="default"/>
        </w:rPr>
        <w:t>2</w:t>
      </w:r>
      <w:r>
        <w:rPr/>
        <w:t>）权益法核算的长期股权投资</w:t>
      </w:r>
      <w:r>
        <w:rPr>
          <w:w w:val="100"/>
        </w:rPr>
        <w:t> </w:t>
      </w:r>
      <w:r>
        <w:rPr>
          <w:spacing w:val="-5"/>
        </w:rPr>
        <w:t>对联营企业和合营企业的长期股权投资，采用权益法核算。初始投资成本大于</w:t>
      </w:r>
      <w:r>
        <w:rPr>
          <w:spacing w:val="-46"/>
        </w:rPr>
        <w:t> </w:t>
      </w:r>
      <w:r>
        <w:rPr>
          <w:spacing w:val="-46"/>
        </w:rPr>
      </w:r>
      <w:r>
        <w:rPr>
          <w:spacing w:val="-5"/>
          <w:w w:val="100"/>
        </w:rPr>
        <w:t>投资时应享有被投资单位可辨认净资产公允价值份额的差额，不调整长期股权</w:t>
      </w:r>
      <w:r>
        <w:rPr>
          <w:spacing w:val="-83"/>
          <w:w w:val="100"/>
        </w:rPr>
        <w:t> </w:t>
      </w:r>
      <w:r>
        <w:rPr>
          <w:spacing w:val="-83"/>
          <w:w w:val="100"/>
        </w:rPr>
      </w:r>
      <w:r>
        <w:rPr>
          <w:spacing w:val="-5"/>
          <w:w w:val="100"/>
        </w:rPr>
        <w:t>投资的初始投资成本；初始投资成本小于投资时应享有被投资单位可辨认净资</w:t>
      </w:r>
      <w:r>
        <w:rPr>
          <w:spacing w:val="-85"/>
          <w:w w:val="100"/>
        </w:rPr>
        <w:t> </w:t>
      </w:r>
      <w:r>
        <w:rPr>
          <w:spacing w:val="-85"/>
          <w:w w:val="100"/>
        </w:rPr>
      </w:r>
      <w:r>
        <w:rPr/>
        <w:t>产公允价值份额的差额，计入当期损益。</w:t>
      </w:r>
      <w:r>
        <w:rPr>
          <w:w w:val="100"/>
        </w:rPr>
        <w:t> </w:t>
      </w:r>
      <w:r>
        <w:rPr>
          <w:spacing w:val="-2"/>
        </w:rPr>
        <w:t>公司按照应享有或应分担的被投资单位实现的净损益和其他综合收益的份额，</w:t>
      </w:r>
      <w:r>
        <w:rPr>
          <w:spacing w:val="-42"/>
        </w:rPr>
        <w:t> </w:t>
      </w:r>
      <w:r>
        <w:rPr>
          <w:spacing w:val="-42"/>
        </w:rPr>
      </w:r>
      <w:r>
        <w:rPr>
          <w:spacing w:val="-5"/>
        </w:rPr>
        <w:t>分别确认投资收益和其他综合收益，同时调整长期股权投资的账面价值；按照</w:t>
      </w:r>
      <w:r>
        <w:rPr>
          <w:spacing w:val="-46"/>
        </w:rPr>
        <w:t> </w:t>
      </w:r>
      <w:r>
        <w:rPr>
          <w:spacing w:val="-46"/>
        </w:rPr>
      </w:r>
      <w:r>
        <w:rPr>
          <w:spacing w:val="-5"/>
          <w:w w:val="100"/>
        </w:rPr>
        <w:t>被投资单位宣告分派的利润或现金股利计算应享有的部分，相应减少长期股权</w:t>
      </w:r>
      <w:r>
        <w:rPr>
          <w:spacing w:val="-85"/>
          <w:w w:val="100"/>
        </w:rPr>
        <w:t> </w:t>
      </w:r>
      <w:r>
        <w:rPr>
          <w:spacing w:val="-85"/>
          <w:w w:val="100"/>
        </w:rPr>
      </w:r>
      <w:r>
        <w:rPr>
          <w:spacing w:val="-5"/>
        </w:rPr>
        <w:t>投资的账面价值；对于被投资单位除净损益、其他综合收益和利润分配以外所</w:t>
      </w:r>
      <w:r>
        <w:rPr>
          <w:spacing w:val="-46"/>
        </w:rPr>
        <w:t> </w:t>
      </w:r>
      <w:r>
        <w:rPr>
          <w:spacing w:val="-46"/>
        </w:rPr>
      </w:r>
      <w:r>
        <w:rPr/>
        <w:t>有者权益的其他变动，调整长期股权投资的账面价值并计入所有者权益。</w:t>
      </w:r>
      <w:r>
        <w:rPr>
          <w:w w:val="100"/>
        </w:rPr>
        <w:t> </w:t>
      </w:r>
      <w:r>
        <w:rPr>
          <w:spacing w:val="-5"/>
          <w:w w:val="100"/>
        </w:rPr>
        <w:t>在确认应享有被投资单位净损益的份额时，以取得投资时被投资单位可辨认净</w:t>
      </w:r>
      <w:r>
        <w:rPr>
          <w:spacing w:val="-85"/>
          <w:w w:val="100"/>
        </w:rPr>
        <w:t> </w:t>
      </w:r>
      <w:r>
        <w:rPr>
          <w:spacing w:val="-85"/>
          <w:w w:val="100"/>
        </w:rPr>
      </w:r>
      <w:r>
        <w:rPr>
          <w:spacing w:val="-5"/>
        </w:rPr>
        <w:t>资产的公允价值为基础，并按照公司的会计政策及会计期间，对被投资单位的</w:t>
      </w:r>
      <w:r>
        <w:rPr>
          <w:spacing w:val="-46"/>
        </w:rPr>
        <w:t> </w:t>
      </w:r>
      <w:r>
        <w:rPr>
          <w:spacing w:val="-46"/>
        </w:rPr>
      </w:r>
      <w:r>
        <w:rPr>
          <w:spacing w:val="-2"/>
        </w:rPr>
        <w:t>净利润进行调整后确认。在持有投资期间，被投资单位编制合并财务报表的，</w:t>
      </w:r>
      <w:r>
        <w:rPr>
          <w:spacing w:val="-42"/>
        </w:rPr>
        <w:t> </w:t>
      </w:r>
      <w:r>
        <w:rPr>
          <w:spacing w:val="-42"/>
        </w:rPr>
      </w:r>
      <w:r>
        <w:rPr>
          <w:spacing w:val="-5"/>
          <w:w w:val="100"/>
        </w:rPr>
        <w:t>以合并财务报表中的净利润、其他综合收益和其他所有者权益变动中归属于被</w:t>
      </w:r>
      <w:r>
        <w:rPr>
          <w:spacing w:val="-85"/>
          <w:w w:val="100"/>
        </w:rPr>
        <w:t> </w:t>
      </w:r>
      <w:r>
        <w:rPr>
          <w:spacing w:val="-85"/>
          <w:w w:val="100"/>
        </w:rPr>
      </w:r>
      <w:r>
        <w:rPr/>
        <w:t>投资单位的金额为基础进行核算。</w:t>
      </w:r>
      <w:r>
        <w:rPr>
          <w:w w:val="100"/>
        </w:rPr>
        <w:t> </w:t>
      </w:r>
      <w:r>
        <w:rPr>
          <w:spacing w:val="-5"/>
          <w:w w:val="100"/>
        </w:rPr>
        <w:t>公司与联营企业、合营企业之间发生的未实现内部交易损益按照应享有的比例</w:t>
      </w:r>
      <w:r>
        <w:rPr>
          <w:spacing w:val="-85"/>
          <w:w w:val="100"/>
        </w:rPr>
        <w:t> </w:t>
      </w:r>
      <w:r>
        <w:rPr>
          <w:spacing w:val="-85"/>
          <w:w w:val="100"/>
        </w:rPr>
      </w:r>
      <w:r>
        <w:rPr>
          <w:spacing w:val="-5"/>
        </w:rPr>
        <w:t>计算归属于公司的部分，予以抵销，在此基础上确认投资收益。与被投资单位</w:t>
      </w:r>
      <w:r>
        <w:rPr>
          <w:spacing w:val="-48"/>
        </w:rPr>
        <w:t> </w:t>
      </w:r>
      <w:r>
        <w:rPr>
          <w:spacing w:val="-48"/>
        </w:rPr>
      </w:r>
      <w:r>
        <w:rPr>
          <w:spacing w:val="-5"/>
        </w:rPr>
        <w:t>发生的未实现内部交易损失，属于资产减值损失的，全额确认。公司与联营企</w:t>
      </w:r>
      <w:r>
        <w:rPr>
          <w:spacing w:val="-45"/>
        </w:rPr>
        <w:t> </w:t>
      </w:r>
      <w:r>
        <w:rPr>
          <w:spacing w:val="-45"/>
        </w:rPr>
      </w:r>
      <w:r>
        <w:rPr>
          <w:spacing w:val="-5"/>
        </w:rPr>
        <w:t>业、合营企业之间发生投出或出售资产的交易，该资产构成业务的，按照本附</w:t>
      </w:r>
      <w:r>
        <w:rPr>
          <w:spacing w:val="-48"/>
        </w:rPr>
        <w:t> </w:t>
      </w:r>
      <w:r>
        <w:rPr>
          <w:spacing w:val="-48"/>
        </w:rPr>
      </w:r>
      <w:r>
        <w:rPr>
          <w:spacing w:val="-15"/>
          <w:w w:val="100"/>
        </w:rPr>
        <w:t>注</w:t>
      </w:r>
      <w:r>
        <w:rPr>
          <w:rFonts w:ascii="Times New Roman" w:hAnsi="Times New Roman" w:cs="Times New Roman" w:eastAsia="Times New Roman" w:hint="default"/>
          <w:spacing w:val="-15"/>
          <w:w w:val="100"/>
        </w:rPr>
        <w:t>“</w:t>
      </w:r>
      <w:r>
        <w:rPr>
          <w:spacing w:val="-15"/>
          <w:w w:val="100"/>
        </w:rPr>
        <w:t>三、（五）同一控制下和非同一控制下企业合并的会计处理方法</w:t>
      </w:r>
      <w:r>
        <w:rPr>
          <w:rFonts w:ascii="Times New Roman" w:hAnsi="Times New Roman" w:cs="Times New Roman" w:eastAsia="Times New Roman" w:hint="default"/>
          <w:spacing w:val="-15"/>
          <w:w w:val="100"/>
        </w:rPr>
        <w:t>”</w:t>
      </w:r>
      <w:r>
        <w:rPr>
          <w:spacing w:val="-15"/>
          <w:w w:val="100"/>
        </w:rPr>
        <w:t>和</w:t>
      </w:r>
      <w:r>
        <w:rPr>
          <w:rFonts w:ascii="Times New Roman" w:hAnsi="Times New Roman" w:cs="Times New Roman" w:eastAsia="Times New Roman" w:hint="default"/>
          <w:spacing w:val="-15"/>
          <w:w w:val="100"/>
        </w:rPr>
        <w:t>“</w:t>
      </w:r>
      <w:r>
        <w:rPr>
          <w:spacing w:val="-15"/>
          <w:w w:val="100"/>
        </w:rPr>
        <w:t>三、（六）</w:t>
      </w:r>
      <w:r>
        <w:rPr>
          <w:spacing w:val="-73"/>
          <w:w w:val="100"/>
        </w:rPr>
        <w:t> </w:t>
      </w:r>
      <w:r>
        <w:rPr>
          <w:spacing w:val="-73"/>
          <w:w w:val="100"/>
        </w:rPr>
      </w:r>
      <w:r>
        <w:rPr/>
        <w:t>合并财务报表的编制方法</w:t>
      </w:r>
      <w:r>
        <w:rPr>
          <w:rFonts w:ascii="Times New Roman" w:hAnsi="Times New Roman" w:cs="Times New Roman" w:eastAsia="Times New Roman" w:hint="default"/>
        </w:rPr>
        <w:t>”</w:t>
      </w:r>
      <w:r>
        <w:rPr/>
        <w:t>中披露的相关政策进行会计处理。</w:t>
      </w:r>
      <w:r>
        <w:rPr>
          <w:w w:val="100"/>
        </w:rPr>
        <w:t> </w:t>
      </w:r>
      <w:r>
        <w:rPr>
          <w:spacing w:val="-2"/>
        </w:rPr>
        <w:t>在公司确认应分担被投资单位发生的亏损时，按照以下顺序进行处理：首先，</w:t>
      </w:r>
      <w:r>
        <w:rPr>
          <w:spacing w:val="-42"/>
        </w:rPr>
        <w:t> </w:t>
      </w:r>
      <w:r>
        <w:rPr>
          <w:spacing w:val="-42"/>
        </w:rPr>
      </w:r>
      <w:r>
        <w:rPr>
          <w:spacing w:val="-8"/>
          <w:w w:val="100"/>
        </w:rPr>
        <w:t>冲减长期股权投资的账面价值。其次，长期股权投资的账面价值不足以冲减的，</w:t>
      </w:r>
      <w:r>
        <w:rPr>
          <w:spacing w:val="-85"/>
          <w:w w:val="100"/>
        </w:rPr>
        <w:t> </w:t>
      </w:r>
      <w:r>
        <w:rPr>
          <w:spacing w:val="-85"/>
          <w:w w:val="100"/>
        </w:rPr>
      </w:r>
      <w:r>
        <w:rPr/>
        <w:t>以其他实质上构成对被投资单位净投资的长期权益账面价值为限继续确认投</w:t>
      </w:r>
      <w:r>
        <w:rPr>
          <w:w w:val="100"/>
        </w:rPr>
        <w:t> </w:t>
      </w:r>
      <w:r>
        <w:rPr>
          <w:spacing w:val="-5"/>
        </w:rPr>
        <w:t>资损失，冲减长期应收项目等的账面价值。最后，经过上述处理，按照投资合</w:t>
      </w:r>
      <w:r>
        <w:rPr>
          <w:spacing w:val="-45"/>
        </w:rPr>
        <w:t> </w:t>
      </w:r>
      <w:r>
        <w:rPr>
          <w:spacing w:val="-45"/>
        </w:rPr>
      </w:r>
      <w:r>
        <w:rPr>
          <w:spacing w:val="-5"/>
        </w:rPr>
        <w:t>同或协议约定企业仍承担额外义务的，按预计承担的义务确认预计负债，计入</w:t>
      </w:r>
      <w:r>
        <w:rPr>
          <w:spacing w:val="-45"/>
        </w:rPr>
        <w:t> </w:t>
      </w:r>
      <w:r>
        <w:rPr>
          <w:spacing w:val="-45"/>
        </w:rPr>
      </w:r>
      <w:r>
        <w:rPr/>
        <w:t>当期投资损失。</w:t>
      </w:r>
    </w:p>
    <w:p>
      <w:pPr>
        <w:pStyle w:val="BodyText"/>
        <w:spacing w:line="345" w:lineRule="auto" w:before="29"/>
        <w:ind w:right="1468"/>
        <w:jc w:val="left"/>
      </w:pPr>
      <w:r>
        <w:rPr/>
        <w:t>（</w:t>
      </w: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w:t>
      </w:r>
      <w:r>
        <w:rPr>
          <w:w w:val="100"/>
        </w:rPr>
        <w:t> </w:t>
      </w:r>
      <w:r>
        <w:rPr>
          <w:spacing w:val="-5"/>
        </w:rPr>
        <w:t>采用权益法核算的长期股权投资，在处置该项投资时，采用与被投资单位直接</w:t>
      </w:r>
      <w:r>
        <w:rPr>
          <w:spacing w:val="-45"/>
        </w:rPr>
        <w:t> </w:t>
      </w:r>
      <w:r>
        <w:rPr>
          <w:spacing w:val="-45"/>
        </w:rPr>
      </w:r>
      <w:r>
        <w:rPr>
          <w:spacing w:val="-5"/>
          <w:w w:val="100"/>
        </w:rPr>
        <w:t>处置相关资产或负债相同的基础，按相应比例对原计入其他综合收益的部分进</w:t>
      </w:r>
      <w:r>
        <w:rPr>
          <w:spacing w:val="-85"/>
          <w:w w:val="100"/>
        </w:rPr>
        <w:t> </w:t>
      </w:r>
      <w:r>
        <w:rPr>
          <w:spacing w:val="-85"/>
          <w:w w:val="100"/>
        </w:rPr>
      </w:r>
      <w:r>
        <w:rPr>
          <w:spacing w:val="-5"/>
        </w:rPr>
        <w:t>行会计处理。因被投资单位除净损益、其他综合收益和利润分配以外的其他所</w:t>
      </w:r>
      <w:r>
        <w:rPr>
          <w:spacing w:val="-45"/>
        </w:rPr>
        <w:t> </w:t>
      </w:r>
      <w:r>
        <w:rPr>
          <w:spacing w:val="-45"/>
        </w:rPr>
      </w:r>
      <w:r>
        <w:rPr>
          <w:spacing w:val="-5"/>
        </w:rPr>
        <w:t>有者权益变动而确认的所有者权益，按比例结转入当期损益，由于被投资方重</w:t>
      </w:r>
      <w:r>
        <w:rPr>
          <w:spacing w:val="-47"/>
        </w:rPr>
        <w:t> </w:t>
      </w:r>
      <w:r>
        <w:rPr>
          <w:spacing w:val="-47"/>
        </w:rPr>
      </w:r>
      <w:r>
        <w:rPr/>
        <w:t>新计量设定受益计划净负债或净资产变动而产生的其他综合收益除外。</w:t>
      </w:r>
    </w:p>
    <w:p>
      <w:pPr>
        <w:spacing w:after="0" w:line="345"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right="1468"/>
        <w:jc w:val="left"/>
      </w:pPr>
      <w:r>
        <w:rPr>
          <w:spacing w:val="-5"/>
          <w:w w:val="100"/>
        </w:rPr>
        <w:t>因处置部分股权投资等原因丧失了对被投资单位的共同控制或重大影响的，处</w:t>
      </w:r>
      <w:r>
        <w:rPr>
          <w:spacing w:val="-84"/>
          <w:w w:val="100"/>
        </w:rPr>
        <w:t> </w:t>
      </w:r>
      <w:r>
        <w:rPr>
          <w:spacing w:val="-84"/>
          <w:w w:val="100"/>
        </w:rPr>
      </w:r>
      <w:r>
        <w:rPr>
          <w:spacing w:val="-5"/>
          <w:w w:val="100"/>
        </w:rPr>
        <w:t>置后的剩余股权改按金融工具确认和计量准则核算，其在丧失共同控制或重大</w:t>
      </w:r>
      <w:r>
        <w:rPr>
          <w:spacing w:val="-84"/>
          <w:w w:val="100"/>
        </w:rPr>
        <w:t> </w:t>
      </w:r>
      <w:r>
        <w:rPr>
          <w:spacing w:val="-84"/>
          <w:w w:val="100"/>
        </w:rPr>
      </w:r>
      <w:r>
        <w:rPr>
          <w:spacing w:val="-5"/>
          <w:w w:val="100"/>
        </w:rPr>
        <w:t>影响之日的公允价值与账面价值之间的差额计入当期损益。原股权投资因采用</w:t>
      </w:r>
      <w:r>
        <w:rPr>
          <w:spacing w:val="-85"/>
          <w:w w:val="100"/>
        </w:rPr>
        <w:t> </w:t>
      </w:r>
      <w:r>
        <w:rPr>
          <w:spacing w:val="-85"/>
          <w:w w:val="100"/>
        </w:rPr>
      </w:r>
      <w:r>
        <w:rPr>
          <w:spacing w:val="-5"/>
          <w:w w:val="100"/>
        </w:rPr>
        <w:t>权益法核算而确认的其他综合收益，在终止采用权益法核算时采用与被投资单</w:t>
      </w:r>
      <w:r>
        <w:rPr>
          <w:spacing w:val="-84"/>
          <w:w w:val="100"/>
        </w:rPr>
        <w:t> </w:t>
      </w:r>
      <w:r>
        <w:rPr>
          <w:spacing w:val="-84"/>
          <w:w w:val="100"/>
        </w:rPr>
      </w:r>
      <w:r>
        <w:rPr>
          <w:spacing w:val="-2"/>
        </w:rPr>
        <w:t>位直接处置相关资产或负债相同的基础进行会计处理。因被投资方除净损益、</w:t>
      </w:r>
      <w:r>
        <w:rPr>
          <w:spacing w:val="-42"/>
        </w:rPr>
        <w:t> </w:t>
      </w:r>
      <w:r>
        <w:rPr>
          <w:spacing w:val="-42"/>
        </w:rPr>
      </w:r>
      <w:r>
        <w:rPr>
          <w:spacing w:val="-5"/>
          <w:w w:val="100"/>
        </w:rPr>
        <w:t>其他综合收益和利润分配以外的其他所有者权益变动而确认的所有者权益，在</w:t>
      </w:r>
      <w:r>
        <w:rPr>
          <w:spacing w:val="-84"/>
          <w:w w:val="100"/>
        </w:rPr>
        <w:t> </w:t>
      </w:r>
      <w:r>
        <w:rPr>
          <w:spacing w:val="-84"/>
          <w:w w:val="100"/>
        </w:rPr>
      </w:r>
      <w:r>
        <w:rPr/>
        <w:t>终止采用权益法核算时全部转入当期损益。</w:t>
      </w:r>
      <w:r>
        <w:rPr>
          <w:w w:val="100"/>
        </w:rPr>
        <w:t> </w:t>
      </w:r>
      <w:r>
        <w:rPr>
          <w:spacing w:val="-5"/>
          <w:w w:val="100"/>
        </w:rPr>
        <w:t>因处置部分股权投资、因其他投资方对子公司增资而导致本公司持股比例下降</w:t>
      </w:r>
      <w:r>
        <w:rPr>
          <w:spacing w:val="-85"/>
          <w:w w:val="100"/>
        </w:rPr>
        <w:t> </w:t>
      </w:r>
      <w:r>
        <w:rPr>
          <w:spacing w:val="-85"/>
          <w:w w:val="100"/>
        </w:rPr>
      </w:r>
      <w:r>
        <w:rPr>
          <w:spacing w:val="-5"/>
        </w:rPr>
        <w:t>等原因丧失了对被投资单位控制权的，在编制个别财务报表时，剩余股权能够</w:t>
      </w:r>
      <w:r>
        <w:rPr>
          <w:spacing w:val="-45"/>
        </w:rPr>
        <w:t> </w:t>
      </w:r>
      <w:r>
        <w:rPr>
          <w:spacing w:val="-45"/>
        </w:rPr>
      </w:r>
      <w:r>
        <w:rPr>
          <w:spacing w:val="-5"/>
        </w:rPr>
        <w:t>对被投资单位实施共同控制或重大影响的，改按权益法核算，并对该剩余股权</w:t>
      </w:r>
      <w:r>
        <w:rPr>
          <w:spacing w:val="-46"/>
        </w:rPr>
        <w:t> </w:t>
      </w:r>
      <w:r>
        <w:rPr>
          <w:spacing w:val="-46"/>
        </w:rPr>
      </w:r>
      <w:r>
        <w:rPr>
          <w:spacing w:val="-5"/>
          <w:w w:val="100"/>
        </w:rPr>
        <w:t>视同自取得时即采用权益法核算进行调整；剩余股权不能对被投资单位实施共</w:t>
      </w:r>
      <w:r>
        <w:rPr>
          <w:spacing w:val="-85"/>
          <w:w w:val="100"/>
        </w:rPr>
        <w:t> </w:t>
      </w:r>
      <w:r>
        <w:rPr>
          <w:spacing w:val="-85"/>
          <w:w w:val="100"/>
        </w:rPr>
      </w:r>
      <w:r>
        <w:rPr>
          <w:spacing w:val="-5"/>
          <w:w w:val="100"/>
        </w:rPr>
        <w:t>同控制或施加重大影响的，改按金融工具确认和计量准则的有关规定进行会计</w:t>
      </w:r>
      <w:r>
        <w:rPr>
          <w:spacing w:val="-84"/>
          <w:w w:val="100"/>
        </w:rPr>
        <w:t> </w:t>
      </w:r>
      <w:r>
        <w:rPr>
          <w:spacing w:val="-84"/>
          <w:w w:val="100"/>
        </w:rPr>
      </w:r>
      <w:r>
        <w:rPr/>
        <w:t>处理，其在丧失控制之日的公允价值与账面价值间的差额计入当期损益。</w:t>
      </w:r>
      <w:r>
        <w:rPr>
          <w:w w:val="100"/>
        </w:rPr>
        <w:t> </w:t>
      </w:r>
      <w:r>
        <w:rPr/>
        <w:t>处置的股权是因追加投资等原因通过企业合并取得的，在编制个别财务报表</w:t>
      </w:r>
      <w:r>
        <w:rPr>
          <w:w w:val="100"/>
        </w:rPr>
        <w:t> </w:t>
      </w:r>
      <w:r>
        <w:rPr>
          <w:spacing w:val="-5"/>
        </w:rPr>
        <w:t>时，处置后的剩余股权采用成本法或权益法核算的，购买日之前持有的股权投</w:t>
      </w:r>
      <w:r>
        <w:rPr>
          <w:spacing w:val="-46"/>
        </w:rPr>
        <w:t> </w:t>
      </w:r>
      <w:r>
        <w:rPr>
          <w:spacing w:val="-46"/>
        </w:rPr>
      </w:r>
      <w:r>
        <w:rPr>
          <w:spacing w:val="-5"/>
          <w:w w:val="100"/>
        </w:rPr>
        <w:t>资因采用权益法核算而确认的其他综合收益和其他所有者权益按比例结转；处</w:t>
      </w:r>
      <w:r>
        <w:rPr>
          <w:spacing w:val="-84"/>
          <w:w w:val="100"/>
        </w:rPr>
        <w:t> </w:t>
      </w:r>
      <w:r>
        <w:rPr>
          <w:spacing w:val="-84"/>
          <w:w w:val="100"/>
        </w:rPr>
      </w:r>
      <w:r>
        <w:rPr>
          <w:spacing w:val="-5"/>
          <w:w w:val="100"/>
        </w:rPr>
        <w:t>置后的剩余股权改按金融工具确认和计量准则进行会计处理的，其他综合收益</w:t>
      </w:r>
      <w:r>
        <w:rPr>
          <w:spacing w:val="-85"/>
          <w:w w:val="100"/>
        </w:rPr>
        <w:t> </w:t>
      </w:r>
      <w:r>
        <w:rPr>
          <w:spacing w:val="-85"/>
          <w:w w:val="100"/>
        </w:rPr>
      </w:r>
      <w:r>
        <w:rPr/>
        <w:t>和其他所有者权益全部结转。</w:t>
      </w:r>
    </w:p>
    <w:p>
      <w:pPr>
        <w:pStyle w:val="Heading5"/>
        <w:spacing w:line="240" w:lineRule="auto" w:before="27"/>
        <w:ind w:right="3683"/>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 </w:t>
      </w:r>
      <w:r>
        <w:rPr>
          <w:rFonts w:ascii="Times New Roman" w:hAnsi="Times New Roman" w:cs="Times New Roman" w:eastAsia="Times New Roman" w:hint="default"/>
          <w:spacing w:val="47"/>
        </w:rPr>
        <w:t> </w:t>
      </w:r>
      <w:r>
        <w:rPr/>
        <w:t>投资性房地产</w:t>
      </w:r>
      <w:r>
        <w:rPr>
          <w:b w:val="0"/>
          <w:bCs w:val="0"/>
        </w:rPr>
      </w:r>
    </w:p>
    <w:p>
      <w:pPr>
        <w:pStyle w:val="BodyText"/>
        <w:spacing w:line="350" w:lineRule="auto" w:before="110"/>
        <w:ind w:left="850" w:right="1468"/>
        <w:jc w:val="left"/>
      </w:pPr>
      <w:r>
        <w:rPr>
          <w:spacing w:val="-2"/>
        </w:rPr>
        <w:t>投资性房地产是指为赚取租金或资本增值，或两者兼有而持有的房地产，包括已出</w:t>
      </w:r>
      <w:r>
        <w:rPr>
          <w:spacing w:val="-35"/>
        </w:rPr>
        <w:t> </w:t>
      </w:r>
      <w:r>
        <w:rPr>
          <w:spacing w:val="-35"/>
        </w:rPr>
      </w:r>
      <w:r>
        <w:rPr>
          <w:spacing w:val="-2"/>
        </w:rPr>
        <w:t>租的土地使用权、持有并准备增值后转让的土地使用权、已出租的建筑物（含自行</w:t>
      </w:r>
      <w:r>
        <w:rPr>
          <w:spacing w:val="-35"/>
        </w:rPr>
        <w:t> </w:t>
      </w:r>
      <w:r>
        <w:rPr>
          <w:spacing w:val="-35"/>
        </w:rPr>
      </w:r>
      <w:r>
        <w:rPr>
          <w:spacing w:val="-2"/>
        </w:rPr>
        <w:t>建造或开发活动完成后用于出租的建筑物以及正在建造或开发过程中将来用于出租</w:t>
      </w:r>
      <w:r>
        <w:rPr>
          <w:spacing w:val="-35"/>
        </w:rPr>
        <w:t> </w:t>
      </w:r>
      <w:r>
        <w:rPr>
          <w:spacing w:val="-35"/>
        </w:rPr>
      </w:r>
      <w:r>
        <w:rPr>
          <w:spacing w:val="-19"/>
          <w:w w:val="100"/>
        </w:rPr>
        <w:t>的建筑物）。</w:t>
      </w:r>
      <w:r>
        <w:rPr>
          <w:spacing w:val="-103"/>
          <w:w w:val="100"/>
        </w:rPr>
        <w:t> </w:t>
      </w:r>
      <w:r>
        <w:rPr>
          <w:spacing w:val="-103"/>
          <w:w w:val="100"/>
        </w:rPr>
      </w:r>
      <w:r>
        <w:rPr>
          <w:spacing w:val="-2"/>
        </w:rPr>
        <w:t>本公司对现有投资性房地产采用公允价值模式计量，以资产负债表日该投资性房地</w:t>
      </w:r>
      <w:r>
        <w:rPr>
          <w:spacing w:val="-35"/>
        </w:rPr>
        <w:t> </w:t>
      </w:r>
      <w:r>
        <w:rPr>
          <w:spacing w:val="-35"/>
        </w:rPr>
      </w:r>
      <w:r>
        <w:rPr>
          <w:spacing w:val="-2"/>
        </w:rPr>
        <w:t>产的公允价值为基础调整其账面价值，公允价值与原账面价值之间的差额计入当期</w:t>
      </w:r>
      <w:r>
        <w:rPr>
          <w:spacing w:val="-35"/>
        </w:rPr>
        <w:t> </w:t>
      </w:r>
      <w:r>
        <w:rPr>
          <w:spacing w:val="-35"/>
        </w:rPr>
      </w:r>
      <w:r>
        <w:rPr/>
        <w:t>损益。</w:t>
      </w:r>
      <w:r>
        <w:rPr>
          <w:spacing w:val="-102"/>
        </w:rPr>
        <w:t> </w:t>
      </w:r>
      <w:r>
        <w:rPr>
          <w:spacing w:val="-2"/>
        </w:rPr>
        <w:t>本公司选择公允价值计量的依据：本公司投资性房地产所在地主要位于北京市、深</w:t>
      </w:r>
      <w:r>
        <w:rPr>
          <w:spacing w:val="-35"/>
        </w:rPr>
        <w:t> </w:t>
      </w:r>
      <w:r>
        <w:rPr>
          <w:spacing w:val="-35"/>
        </w:rPr>
      </w:r>
      <w:r>
        <w:rPr>
          <w:spacing w:val="-2"/>
        </w:rPr>
        <w:t>圳市及长沙市，房地产交易市场活跃，能够从房地产交易市场上取得同类或类似房</w:t>
      </w:r>
      <w:r>
        <w:rPr>
          <w:spacing w:val="-35"/>
        </w:rPr>
        <w:t> </w:t>
      </w:r>
      <w:r>
        <w:rPr>
          <w:spacing w:val="-35"/>
        </w:rPr>
      </w:r>
      <w:r>
        <w:rPr>
          <w:spacing w:val="-2"/>
        </w:rPr>
        <w:t>地产的市场价格及其他相关信息，从而对投资性房地产的公允价值作出科学合理的</w:t>
      </w:r>
      <w:r>
        <w:rPr>
          <w:spacing w:val="-35"/>
        </w:rPr>
        <w:t> </w:t>
      </w:r>
      <w:r>
        <w:rPr>
          <w:spacing w:val="-35"/>
        </w:rPr>
      </w:r>
      <w:r>
        <w:rPr/>
        <w:t>估计。</w:t>
      </w:r>
    </w:p>
    <w:p>
      <w:pPr>
        <w:pStyle w:val="Heading5"/>
        <w:spacing w:line="240" w:lineRule="auto" w:before="27"/>
        <w:ind w:right="3683"/>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固定资产</w:t>
      </w:r>
      <w:r>
        <w:rPr>
          <w:b w:val="0"/>
          <w:bCs w:val="0"/>
        </w:rPr>
      </w:r>
    </w:p>
    <w:p>
      <w:pPr>
        <w:pStyle w:val="BodyText"/>
        <w:tabs>
          <w:tab w:pos="1397" w:val="left" w:leader="none"/>
        </w:tabs>
        <w:spacing w:line="338" w:lineRule="auto" w:before="110"/>
        <w:ind w:right="1791" w:hanging="569"/>
        <w:jc w:val="left"/>
      </w:pPr>
      <w:r>
        <w:rPr>
          <w:rFonts w:ascii="Times New Roman" w:hAnsi="Times New Roman" w:cs="Times New Roman" w:eastAsia="Times New Roman" w:hint="default"/>
          <w:b/>
          <w:bCs/>
        </w:rPr>
        <w:t>1</w:t>
      </w:r>
      <w:r>
        <w:rPr>
          <w:rFonts w:ascii="宋体" w:hAnsi="宋体" w:cs="宋体" w:eastAsia="宋体" w:hint="default"/>
          <w:b/>
          <w:bCs/>
        </w:rPr>
        <w:t>、</w:t>
        <w:tab/>
        <w:t>固定资产确认条件</w:t>
      </w:r>
      <w:r>
        <w:rPr>
          <w:rFonts w:ascii="宋体" w:hAnsi="宋体" w:cs="宋体" w:eastAsia="宋体" w:hint="default"/>
          <w:b/>
          <w:bCs/>
          <w:spacing w:val="-103"/>
        </w:rPr>
        <w:t> </w:t>
      </w:r>
      <w:r>
        <w:rPr>
          <w:rFonts w:ascii="宋体" w:hAnsi="宋体" w:cs="宋体" w:eastAsia="宋体" w:hint="default"/>
          <w:b/>
          <w:bCs/>
          <w:spacing w:val="-103"/>
        </w:rPr>
      </w:r>
      <w:r>
        <w:rPr>
          <w:spacing w:val="-5"/>
        </w:rPr>
        <w:t>固定资产指为生产商品、提供劳务、出租或经营管理而持有，并且使用寿命超</w:t>
      </w:r>
      <w:r>
        <w:rPr>
          <w:w w:val="100"/>
        </w:rPr>
        <w:t> </w:t>
      </w:r>
      <w:r>
        <w:rPr/>
        <w:t>过一个会计年度的有形资产。固定资产在同时满足下列条件时予以确认：</w:t>
      </w:r>
    </w:p>
    <w:p>
      <w:pPr>
        <w:spacing w:after="0" w:line="338"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240" w:lineRule="auto"/>
        <w:ind w:right="3683"/>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10"/>
        <w:ind w:right="3683"/>
        <w:jc w:val="left"/>
      </w:pPr>
      <w:r>
        <w:rPr/>
        <w:t>（</w:t>
      </w:r>
      <w:r>
        <w:rPr>
          <w:rFonts w:ascii="Times New Roman" w:hAnsi="Times New Roman" w:cs="Times New Roman" w:eastAsia="Times New Roman" w:hint="default"/>
        </w:rPr>
        <w:t>2</w:t>
      </w:r>
      <w:r>
        <w:rPr/>
        <w:t>）该固定资产的成本能够可靠地计量。</w:t>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2</w:t>
      </w:r>
      <w:r>
        <w:rPr/>
        <w:t>、</w:t>
        <w:tab/>
        <w:t>折旧方法</w:t>
      </w:r>
      <w:r>
        <w:rPr>
          <w:b w:val="0"/>
          <w:bCs w:val="0"/>
        </w:rPr>
      </w:r>
    </w:p>
    <w:p>
      <w:pPr>
        <w:pStyle w:val="BodyText"/>
        <w:spacing w:line="350" w:lineRule="auto" w:before="107"/>
        <w:ind w:right="1712"/>
        <w:jc w:val="left"/>
      </w:pPr>
      <w:r>
        <w:rPr/>
        <w:pict>
          <v:shape style="position:absolute;margin-left:119.059998pt;margin-top:160.68367pt;width:412.4pt;height:108.6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4"/>
                    <w:gridCol w:w="1522"/>
                    <w:gridCol w:w="1611"/>
                    <w:gridCol w:w="1318"/>
                    <w:gridCol w:w="1611"/>
                  </w:tblGrid>
                  <w:tr>
                    <w:trPr>
                      <w:trHeight w:val="365" w:hRule="exact"/>
                    </w:trPr>
                    <w:tc>
                      <w:tcPr>
                        <w:tcW w:w="214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16"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15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431" w:right="0"/>
                          <w:jc w:val="left"/>
                          <w:rPr>
                            <w:rFonts w:ascii="宋体" w:hAnsi="宋体" w:cs="宋体" w:eastAsia="宋体" w:hint="default"/>
                            <w:sz w:val="16"/>
                            <w:szCs w:val="16"/>
                          </w:rPr>
                        </w:pPr>
                        <w:r>
                          <w:rPr>
                            <w:rFonts w:ascii="宋体" w:hAnsi="宋体" w:cs="宋体" w:eastAsia="宋体" w:hint="default"/>
                            <w:sz w:val="16"/>
                            <w:szCs w:val="16"/>
                          </w:rPr>
                          <w:t>折旧方法</w:t>
                        </w:r>
                      </w:p>
                    </w:tc>
                    <w:tc>
                      <w:tcPr>
                        <w:tcW w:w="161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37" w:right="0"/>
                          <w:jc w:val="left"/>
                          <w:rPr>
                            <w:rFonts w:ascii="宋体" w:hAnsi="宋体" w:cs="宋体" w:eastAsia="宋体" w:hint="default"/>
                            <w:sz w:val="16"/>
                            <w:szCs w:val="16"/>
                          </w:rPr>
                        </w:pPr>
                        <w:r>
                          <w:rPr>
                            <w:rFonts w:ascii="宋体" w:hAnsi="宋体" w:cs="宋体" w:eastAsia="宋体" w:hint="default"/>
                            <w:sz w:val="16"/>
                            <w:szCs w:val="16"/>
                          </w:rPr>
                          <w:t>折旧年限（年）</w:t>
                        </w:r>
                      </w:p>
                    </w:tc>
                    <w:tc>
                      <w:tcPr>
                        <w:tcW w:w="13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残值率（</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6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250" w:right="0"/>
                          <w:jc w:val="left"/>
                          <w:rPr>
                            <w:rFonts w:ascii="宋体" w:hAnsi="宋体" w:cs="宋体" w:eastAsia="宋体" w:hint="default"/>
                            <w:sz w:val="16"/>
                            <w:szCs w:val="16"/>
                          </w:rPr>
                        </w:pPr>
                        <w:r>
                          <w:rPr>
                            <w:rFonts w:ascii="宋体" w:hAnsi="宋体" w:cs="宋体" w:eastAsia="宋体" w:hint="default"/>
                            <w:sz w:val="16"/>
                            <w:szCs w:val="16"/>
                          </w:rPr>
                          <w:t>年折旧率（</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353" w:hRule="exact"/>
                    </w:trPr>
                    <w:tc>
                      <w:tcPr>
                        <w:tcW w:w="21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235"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13" w:right="0"/>
                          <w:jc w:val="left"/>
                          <w:rPr>
                            <w:rFonts w:ascii="宋体" w:hAnsi="宋体" w:cs="宋体" w:eastAsia="宋体" w:hint="default"/>
                            <w:sz w:val="16"/>
                            <w:szCs w:val="16"/>
                          </w:rPr>
                        </w:pPr>
                        <w:r>
                          <w:rPr>
                            <w:rFonts w:ascii="宋体" w:hAnsi="宋体" w:cs="宋体" w:eastAsia="宋体" w:hint="default"/>
                            <w:sz w:val="16"/>
                            <w:szCs w:val="16"/>
                          </w:rPr>
                          <w:t>年限平均法</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5" w:right="0"/>
                          <w:jc w:val="center"/>
                          <w:rPr>
                            <w:rFonts w:ascii="Times New Roman" w:hAnsi="Times New Roman" w:cs="Times New Roman" w:eastAsia="Times New Roman" w:hint="default"/>
                            <w:sz w:val="16"/>
                            <w:szCs w:val="16"/>
                          </w:rPr>
                        </w:pPr>
                        <w:r>
                          <w:rPr>
                            <w:rFonts w:ascii="Times New Roman"/>
                            <w:sz w:val="16"/>
                          </w:rPr>
                          <w:t>20-50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2" w:right="0"/>
                          <w:jc w:val="center"/>
                          <w:rPr>
                            <w:rFonts w:ascii="Times New Roman" w:hAnsi="Times New Roman" w:cs="Times New Roman" w:eastAsia="Times New Roman" w:hint="default"/>
                            <w:sz w:val="16"/>
                            <w:szCs w:val="16"/>
                          </w:rPr>
                        </w:pPr>
                        <w:r>
                          <w:rPr>
                            <w:rFonts w:ascii="Times New Roman"/>
                            <w:sz w:val="16"/>
                          </w:rPr>
                          <w:t>5-10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550" w:right="0"/>
                          <w:jc w:val="left"/>
                          <w:rPr>
                            <w:rFonts w:ascii="Times New Roman" w:hAnsi="Times New Roman" w:cs="Times New Roman" w:eastAsia="Times New Roman" w:hint="default"/>
                            <w:sz w:val="16"/>
                            <w:szCs w:val="16"/>
                          </w:rPr>
                        </w:pPr>
                        <w:r>
                          <w:rPr>
                            <w:rFonts w:ascii="Times New Roman"/>
                            <w:sz w:val="16"/>
                          </w:rPr>
                          <w:t>1.80-4.75</w:t>
                        </w:r>
                      </w:p>
                    </w:tc>
                  </w:tr>
                  <w:tr>
                    <w:trPr>
                      <w:trHeight w:val="353" w:hRule="exact"/>
                    </w:trPr>
                    <w:tc>
                      <w:tcPr>
                        <w:tcW w:w="21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235" w:right="0"/>
                          <w:jc w:val="left"/>
                          <w:rPr>
                            <w:rFonts w:ascii="宋体" w:hAnsi="宋体" w:cs="宋体" w:eastAsia="宋体" w:hint="default"/>
                            <w:sz w:val="16"/>
                            <w:szCs w:val="16"/>
                          </w:rPr>
                        </w:pPr>
                        <w:r>
                          <w:rPr>
                            <w:rFonts w:ascii="宋体" w:hAnsi="宋体" w:cs="宋体" w:eastAsia="宋体" w:hint="default"/>
                            <w:sz w:val="16"/>
                            <w:szCs w:val="16"/>
                          </w:rPr>
                          <w:t>机器设备</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13" w:right="0"/>
                          <w:jc w:val="left"/>
                          <w:rPr>
                            <w:rFonts w:ascii="宋体" w:hAnsi="宋体" w:cs="宋体" w:eastAsia="宋体" w:hint="default"/>
                            <w:sz w:val="16"/>
                            <w:szCs w:val="16"/>
                          </w:rPr>
                        </w:pPr>
                        <w:r>
                          <w:rPr>
                            <w:rFonts w:ascii="宋体" w:hAnsi="宋体" w:cs="宋体" w:eastAsia="宋体" w:hint="default"/>
                            <w:sz w:val="16"/>
                            <w:szCs w:val="16"/>
                          </w:rPr>
                          <w:t>年限平均法</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3" w:right="0"/>
                          <w:jc w:val="center"/>
                          <w:rPr>
                            <w:rFonts w:ascii="Times New Roman" w:hAnsi="Times New Roman" w:cs="Times New Roman" w:eastAsia="Times New Roman" w:hint="default"/>
                            <w:sz w:val="16"/>
                            <w:szCs w:val="16"/>
                          </w:rPr>
                        </w:pPr>
                        <w:r>
                          <w:rPr>
                            <w:rFonts w:ascii="Times New Roman"/>
                            <w:sz w:val="16"/>
                          </w:rPr>
                          <w:t>5-20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1" w:right="0"/>
                          <w:jc w:val="center"/>
                          <w:rPr>
                            <w:rFonts w:ascii="Times New Roman" w:hAnsi="Times New Roman" w:cs="Times New Roman" w:eastAsia="Times New Roman" w:hint="default"/>
                            <w:sz w:val="16"/>
                            <w:szCs w:val="16"/>
                          </w:rPr>
                        </w:pPr>
                        <w:r>
                          <w:rPr>
                            <w:rFonts w:ascii="Times New Roman"/>
                            <w:sz w:val="16"/>
                          </w:rPr>
                          <w:t>0-5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509" w:right="0"/>
                          <w:jc w:val="left"/>
                          <w:rPr>
                            <w:rFonts w:ascii="Times New Roman" w:hAnsi="Times New Roman" w:cs="Times New Roman" w:eastAsia="Times New Roman" w:hint="default"/>
                            <w:sz w:val="16"/>
                            <w:szCs w:val="16"/>
                          </w:rPr>
                        </w:pPr>
                        <w:r>
                          <w:rPr>
                            <w:rFonts w:ascii="Times New Roman"/>
                            <w:sz w:val="16"/>
                          </w:rPr>
                          <w:t>4.75-20.00</w:t>
                        </w:r>
                      </w:p>
                    </w:tc>
                  </w:tr>
                  <w:tr>
                    <w:trPr>
                      <w:trHeight w:val="355" w:hRule="exact"/>
                    </w:trPr>
                    <w:tc>
                      <w:tcPr>
                        <w:tcW w:w="21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235" w:right="0"/>
                          <w:jc w:val="left"/>
                          <w:rPr>
                            <w:rFonts w:ascii="宋体" w:hAnsi="宋体" w:cs="宋体" w:eastAsia="宋体" w:hint="default"/>
                            <w:sz w:val="16"/>
                            <w:szCs w:val="16"/>
                          </w:rPr>
                        </w:pPr>
                        <w:r>
                          <w:rPr>
                            <w:rFonts w:ascii="宋体" w:hAnsi="宋体" w:cs="宋体" w:eastAsia="宋体" w:hint="default"/>
                            <w:sz w:val="16"/>
                            <w:szCs w:val="16"/>
                          </w:rPr>
                          <w:t>运输工具</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13" w:right="0"/>
                          <w:jc w:val="left"/>
                          <w:rPr>
                            <w:rFonts w:ascii="宋体" w:hAnsi="宋体" w:cs="宋体" w:eastAsia="宋体" w:hint="default"/>
                            <w:sz w:val="16"/>
                            <w:szCs w:val="16"/>
                          </w:rPr>
                        </w:pPr>
                        <w:r>
                          <w:rPr>
                            <w:rFonts w:ascii="宋体" w:hAnsi="宋体" w:cs="宋体" w:eastAsia="宋体" w:hint="default"/>
                            <w:sz w:val="16"/>
                            <w:szCs w:val="16"/>
                          </w:rPr>
                          <w:t>年限平均法</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13" w:right="0"/>
                          <w:jc w:val="center"/>
                          <w:rPr>
                            <w:rFonts w:ascii="Times New Roman" w:hAnsi="Times New Roman" w:cs="Times New Roman" w:eastAsia="Times New Roman" w:hint="default"/>
                            <w:sz w:val="16"/>
                            <w:szCs w:val="16"/>
                          </w:rPr>
                        </w:pPr>
                        <w:r>
                          <w:rPr>
                            <w:rFonts w:ascii="Times New Roman"/>
                            <w:sz w:val="16"/>
                          </w:rPr>
                          <w:t>5-15</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11" w:right="0"/>
                          <w:jc w:val="center"/>
                          <w:rPr>
                            <w:rFonts w:ascii="Times New Roman" w:hAnsi="Times New Roman" w:cs="Times New Roman" w:eastAsia="Times New Roman" w:hint="default"/>
                            <w:sz w:val="16"/>
                            <w:szCs w:val="16"/>
                          </w:rPr>
                        </w:pPr>
                        <w:r>
                          <w:rPr>
                            <w:rFonts w:ascii="Times New Roman"/>
                            <w:sz w:val="16"/>
                          </w:rPr>
                          <w:t>0-5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left="509" w:right="0"/>
                          <w:jc w:val="left"/>
                          <w:rPr>
                            <w:rFonts w:ascii="Times New Roman" w:hAnsi="Times New Roman" w:cs="Times New Roman" w:eastAsia="Times New Roman" w:hint="default"/>
                            <w:sz w:val="16"/>
                            <w:szCs w:val="16"/>
                          </w:rPr>
                        </w:pPr>
                        <w:r>
                          <w:rPr>
                            <w:rFonts w:ascii="Times New Roman"/>
                            <w:sz w:val="16"/>
                          </w:rPr>
                          <w:t>6.33-20.00</w:t>
                        </w:r>
                      </w:p>
                    </w:tc>
                  </w:tr>
                  <w:tr>
                    <w:trPr>
                      <w:trHeight w:val="353" w:hRule="exact"/>
                    </w:trPr>
                    <w:tc>
                      <w:tcPr>
                        <w:tcW w:w="21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35" w:right="0"/>
                          <w:jc w:val="left"/>
                          <w:rPr>
                            <w:rFonts w:ascii="宋体" w:hAnsi="宋体" w:cs="宋体" w:eastAsia="宋体" w:hint="default"/>
                            <w:sz w:val="16"/>
                            <w:szCs w:val="16"/>
                          </w:rPr>
                        </w:pPr>
                        <w:r>
                          <w:rPr>
                            <w:rFonts w:ascii="宋体" w:hAnsi="宋体" w:cs="宋体" w:eastAsia="宋体" w:hint="default"/>
                            <w:sz w:val="16"/>
                            <w:szCs w:val="16"/>
                          </w:rPr>
                          <w:t>电子设备及办公设备</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213" w:right="0"/>
                          <w:jc w:val="left"/>
                          <w:rPr>
                            <w:rFonts w:ascii="宋体" w:hAnsi="宋体" w:cs="宋体" w:eastAsia="宋体" w:hint="default"/>
                            <w:sz w:val="16"/>
                            <w:szCs w:val="16"/>
                          </w:rPr>
                        </w:pPr>
                        <w:r>
                          <w:rPr>
                            <w:rFonts w:ascii="宋体" w:hAnsi="宋体" w:cs="宋体" w:eastAsia="宋体" w:hint="default"/>
                            <w:sz w:val="16"/>
                            <w:szCs w:val="16"/>
                          </w:rPr>
                          <w:t>年限平均法</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3" w:right="0"/>
                          <w:jc w:val="center"/>
                          <w:rPr>
                            <w:rFonts w:ascii="Times New Roman" w:hAnsi="Times New Roman" w:cs="Times New Roman" w:eastAsia="Times New Roman" w:hint="default"/>
                            <w:sz w:val="16"/>
                            <w:szCs w:val="16"/>
                          </w:rPr>
                        </w:pPr>
                        <w:r>
                          <w:rPr>
                            <w:rFonts w:ascii="Times New Roman"/>
                            <w:sz w:val="16"/>
                          </w:rPr>
                          <w:t>5-10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1" w:right="0"/>
                          <w:jc w:val="center"/>
                          <w:rPr>
                            <w:rFonts w:ascii="Times New Roman" w:hAnsi="Times New Roman" w:cs="Times New Roman" w:eastAsia="Times New Roman" w:hint="default"/>
                            <w:sz w:val="16"/>
                            <w:szCs w:val="16"/>
                          </w:rPr>
                        </w:pPr>
                        <w:r>
                          <w:rPr>
                            <w:rFonts w:ascii="Times New Roman"/>
                            <w:sz w:val="16"/>
                          </w:rPr>
                          <w:t>0-5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509" w:right="0"/>
                          <w:jc w:val="left"/>
                          <w:rPr>
                            <w:rFonts w:ascii="Times New Roman" w:hAnsi="Times New Roman" w:cs="Times New Roman" w:eastAsia="Times New Roman" w:hint="default"/>
                            <w:sz w:val="16"/>
                            <w:szCs w:val="16"/>
                          </w:rPr>
                        </w:pPr>
                        <w:r>
                          <w:rPr>
                            <w:rFonts w:ascii="Times New Roman"/>
                            <w:sz w:val="16"/>
                          </w:rPr>
                          <w:t>9.50-20.00</w:t>
                        </w:r>
                      </w:p>
                    </w:tc>
                  </w:tr>
                  <w:tr>
                    <w:trPr>
                      <w:trHeight w:val="365" w:hRule="exact"/>
                    </w:trPr>
                    <w:tc>
                      <w:tcPr>
                        <w:tcW w:w="214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23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5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3"/>
                          <w:ind w:left="213" w:right="0"/>
                          <w:jc w:val="left"/>
                          <w:rPr>
                            <w:rFonts w:ascii="宋体" w:hAnsi="宋体" w:cs="宋体" w:eastAsia="宋体" w:hint="default"/>
                            <w:sz w:val="16"/>
                            <w:szCs w:val="16"/>
                          </w:rPr>
                        </w:pPr>
                        <w:r>
                          <w:rPr>
                            <w:rFonts w:ascii="宋体" w:hAnsi="宋体" w:cs="宋体" w:eastAsia="宋体" w:hint="default"/>
                            <w:sz w:val="16"/>
                            <w:szCs w:val="16"/>
                          </w:rPr>
                          <w:t>年限平均法</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13" w:right="0"/>
                          <w:jc w:val="center"/>
                          <w:rPr>
                            <w:rFonts w:ascii="Times New Roman" w:hAnsi="Times New Roman" w:cs="Times New Roman" w:eastAsia="Times New Roman" w:hint="default"/>
                            <w:sz w:val="16"/>
                            <w:szCs w:val="16"/>
                          </w:rPr>
                        </w:pPr>
                        <w:r>
                          <w:rPr>
                            <w:rFonts w:ascii="Times New Roman"/>
                            <w:sz w:val="16"/>
                          </w:rPr>
                          <w:t>5-10</w:t>
                        </w:r>
                      </w:p>
                    </w:tc>
                    <w:tc>
                      <w:tcPr>
                        <w:tcW w:w="13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11" w:right="0"/>
                          <w:jc w:val="center"/>
                          <w:rPr>
                            <w:rFonts w:ascii="Times New Roman" w:hAnsi="Times New Roman" w:cs="Times New Roman" w:eastAsia="Times New Roman" w:hint="default"/>
                            <w:sz w:val="16"/>
                            <w:szCs w:val="16"/>
                          </w:rPr>
                        </w:pPr>
                        <w:r>
                          <w:rPr>
                            <w:rFonts w:ascii="Times New Roman"/>
                            <w:sz w:val="16"/>
                          </w:rPr>
                          <w:t>0-5</w:t>
                        </w:r>
                      </w:p>
                    </w:tc>
                    <w:tc>
                      <w:tcPr>
                        <w:tcW w:w="16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left="509" w:right="0"/>
                          <w:jc w:val="left"/>
                          <w:rPr>
                            <w:rFonts w:ascii="Times New Roman" w:hAnsi="Times New Roman" w:cs="Times New Roman" w:eastAsia="Times New Roman" w:hint="default"/>
                            <w:sz w:val="16"/>
                            <w:szCs w:val="16"/>
                          </w:rPr>
                        </w:pPr>
                        <w:r>
                          <w:rPr>
                            <w:rFonts w:ascii="Times New Roman"/>
                            <w:sz w:val="16"/>
                          </w:rPr>
                          <w:t>9.50-20.00</w:t>
                        </w:r>
                      </w:p>
                    </w:tc>
                  </w:tr>
                </w:tbl>
                <w:p>
                  <w:pPr/>
                </w:p>
              </w:txbxContent>
            </v:textbox>
            <w10:wrap type="none"/>
          </v:shape>
        </w:pict>
      </w:r>
      <w:r>
        <w:rPr>
          <w:spacing w:val="-5"/>
        </w:rPr>
        <w:t>固定资产折旧采用年限平均法分类计提，根据固定资产类别、预计使用寿命和</w:t>
      </w:r>
      <w:r>
        <w:rPr>
          <w:spacing w:val="-47"/>
        </w:rPr>
        <w:t> </w:t>
      </w:r>
      <w:r>
        <w:rPr>
          <w:spacing w:val="-47"/>
        </w:rPr>
      </w:r>
      <w:r>
        <w:rPr>
          <w:spacing w:val="-5"/>
          <w:w w:val="100"/>
        </w:rPr>
        <w:t>预计净残值率确定折旧率。如固定资产各组成部分的使用寿命不同或者以不同</w:t>
      </w:r>
      <w:r>
        <w:rPr>
          <w:spacing w:val="-84"/>
          <w:w w:val="100"/>
        </w:rPr>
        <w:t> </w:t>
      </w:r>
      <w:r>
        <w:rPr>
          <w:spacing w:val="-84"/>
          <w:w w:val="100"/>
        </w:rPr>
      </w:r>
      <w:r>
        <w:rPr/>
        <w:t>方式为企业提供经济利益，则选择不同折旧率或折旧方法，分别计提折旧。</w:t>
      </w:r>
      <w:r>
        <w:rPr>
          <w:w w:val="100"/>
        </w:rPr>
        <w:t> </w:t>
      </w:r>
      <w:r>
        <w:rPr>
          <w:spacing w:val="-5"/>
          <w:w w:val="100"/>
        </w:rPr>
        <w:t>融资租赁方式租入的固定资产，能合理确定租赁期届满时将会取得租赁资产所</w:t>
      </w:r>
      <w:r>
        <w:rPr>
          <w:spacing w:val="-84"/>
          <w:w w:val="100"/>
        </w:rPr>
        <w:t> </w:t>
      </w:r>
      <w:r>
        <w:rPr>
          <w:spacing w:val="-84"/>
          <w:w w:val="100"/>
        </w:rPr>
      </w:r>
      <w:r>
        <w:rPr>
          <w:spacing w:val="-5"/>
        </w:rPr>
        <w:t>有权的，在租赁资产尚可使用年限内计提折旧；无法合理确定租赁期届满时能</w:t>
      </w:r>
      <w:r>
        <w:rPr>
          <w:spacing w:val="-45"/>
        </w:rPr>
        <w:t> </w:t>
      </w:r>
      <w:r>
        <w:rPr>
          <w:spacing w:val="-45"/>
        </w:rPr>
      </w:r>
      <w:r>
        <w:rPr>
          <w:spacing w:val="-5"/>
          <w:w w:val="100"/>
        </w:rPr>
        <w:t>够取得租赁资产所有权的，在租赁期与租赁资产尚可使用年限两者中较短的期</w:t>
      </w:r>
      <w:r>
        <w:rPr>
          <w:spacing w:val="-84"/>
          <w:w w:val="100"/>
        </w:rPr>
        <w:t> </w:t>
      </w:r>
      <w:r>
        <w:rPr>
          <w:spacing w:val="-84"/>
          <w:w w:val="100"/>
        </w:rPr>
      </w:r>
      <w:r>
        <w:rPr/>
        <w:t>间内计提折旧。</w:t>
      </w:r>
      <w:r>
        <w:rPr>
          <w:spacing w:val="-103"/>
        </w:rPr>
        <w:t> </w:t>
      </w:r>
      <w:r>
        <w:rPr>
          <w:spacing w:val="-103"/>
        </w:rPr>
      </w:r>
      <w:r>
        <w:rPr/>
        <w:t>各类固定资产折旧方法、折旧年限、残值率和年折旧率如下：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tabs>
          <w:tab w:pos="1397" w:val="left" w:leader="none"/>
        </w:tabs>
        <w:spacing w:line="340" w:lineRule="auto" w:before="36"/>
        <w:ind w:left="1414" w:right="178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融资租入固定资产的认定依据、计价方法</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pacing w:val="-5"/>
          <w:w w:val="100"/>
          <w:sz w:val="21"/>
          <w:szCs w:val="21"/>
        </w:rPr>
        <w:t>公司与租赁方所签订的租赁协议条款中规定了下列条件之一的，确认为融资租</w:t>
      </w:r>
      <w:r>
        <w:rPr>
          <w:rFonts w:ascii="宋体" w:hAnsi="宋体" w:cs="宋体" w:eastAsia="宋体" w:hint="default"/>
          <w:w w:val="100"/>
          <w:sz w:val="21"/>
          <w:szCs w:val="21"/>
        </w:rPr>
        <w:t> </w:t>
      </w:r>
      <w:r>
        <w:rPr>
          <w:rFonts w:ascii="宋体" w:hAnsi="宋体" w:cs="宋体" w:eastAsia="宋体" w:hint="default"/>
          <w:sz w:val="21"/>
          <w:szCs w:val="21"/>
        </w:rPr>
        <w:t>入资产：</w:t>
      </w:r>
    </w:p>
    <w:p>
      <w:pPr>
        <w:pStyle w:val="BodyText"/>
        <w:spacing w:line="240" w:lineRule="auto" w:before="35"/>
        <w:ind w:right="3683"/>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331" w:lineRule="auto" w:before="110"/>
        <w:ind w:right="1468"/>
        <w:jc w:val="left"/>
      </w:pPr>
      <w:r>
        <w:rPr>
          <w:spacing w:val="-2"/>
        </w:rPr>
        <w:t>（</w:t>
      </w:r>
      <w:r>
        <w:rPr>
          <w:rFonts w:ascii="Times New Roman" w:hAnsi="Times New Roman" w:cs="Times New Roman" w:eastAsia="Times New Roman" w:hint="default"/>
          <w:spacing w:val="-2"/>
        </w:rPr>
        <w:t>2</w:t>
      </w:r>
      <w:r>
        <w:rPr>
          <w:spacing w:val="-2"/>
        </w:rPr>
        <w:t>）公司具有购买资产的选择权，购买价款远低于行使选择权时该资产的公</w:t>
      </w:r>
      <w:r>
        <w:rPr>
          <w:spacing w:val="-42"/>
        </w:rPr>
        <w:t> </w:t>
      </w:r>
      <w:r>
        <w:rPr>
          <w:spacing w:val="-42"/>
        </w:rPr>
      </w:r>
      <w:r>
        <w:rPr/>
        <w:t>允价值；</w:t>
      </w:r>
    </w:p>
    <w:p>
      <w:pPr>
        <w:pStyle w:val="BodyText"/>
        <w:spacing w:line="240" w:lineRule="auto" w:before="43"/>
        <w:ind w:right="3683"/>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45" w:lineRule="auto" w:before="110"/>
        <w:ind w:right="1468"/>
        <w:jc w:val="left"/>
      </w:pPr>
      <w:r>
        <w:rPr>
          <w:spacing w:val="-2"/>
        </w:rPr>
        <w:t>（</w:t>
      </w:r>
      <w:r>
        <w:rPr>
          <w:rFonts w:ascii="Times New Roman" w:hAnsi="Times New Roman" w:cs="Times New Roman" w:eastAsia="Times New Roman" w:hint="default"/>
          <w:spacing w:val="-2"/>
        </w:rPr>
        <w:t>4</w:t>
      </w:r>
      <w:r>
        <w:rPr>
          <w:spacing w:val="-2"/>
        </w:rPr>
        <w:t>）租赁开始日的最低租赁付款额现值，与该资产的公允价值不存在较大的</w:t>
      </w:r>
      <w:r>
        <w:rPr>
          <w:spacing w:val="-42"/>
        </w:rPr>
        <w:t> </w:t>
      </w:r>
      <w:r>
        <w:rPr>
          <w:spacing w:val="-42"/>
        </w:rPr>
      </w:r>
      <w:r>
        <w:rPr/>
        <w:t>差异。</w:t>
      </w:r>
      <w:r>
        <w:rPr>
          <w:spacing w:val="-102"/>
        </w:rPr>
        <w:t> </w:t>
      </w:r>
      <w:r>
        <w:rPr>
          <w:spacing w:val="-5"/>
          <w:w w:val="100"/>
        </w:rPr>
        <w:t>公司在承租开始日，将租赁资产公允价值与最低租赁付款额现值两者中较低者</w:t>
      </w:r>
      <w:r>
        <w:rPr>
          <w:spacing w:val="-84"/>
          <w:w w:val="100"/>
        </w:rPr>
        <w:t> </w:t>
      </w:r>
      <w:r>
        <w:rPr>
          <w:spacing w:val="-84"/>
          <w:w w:val="100"/>
        </w:rPr>
      </w:r>
      <w:r>
        <w:rPr>
          <w:spacing w:val="-5"/>
        </w:rPr>
        <w:t>作为租入资产的入账价值，将最低租赁付款额作为长期应付款的入账价值，其</w:t>
      </w:r>
      <w:r>
        <w:rPr>
          <w:spacing w:val="-46"/>
        </w:rPr>
        <w:t> </w:t>
      </w:r>
      <w:r>
        <w:rPr>
          <w:spacing w:val="-46"/>
        </w:rPr>
      </w:r>
      <w:r>
        <w:rPr/>
        <w:t>差额作为未确认的融资费。</w:t>
      </w:r>
    </w:p>
    <w:p>
      <w:pPr>
        <w:pStyle w:val="Heading5"/>
        <w:spacing w:line="240" w:lineRule="auto" w:before="31"/>
        <w:ind w:right="3683"/>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在建工程</w:t>
      </w:r>
      <w:r>
        <w:rPr>
          <w:b w:val="0"/>
          <w:bCs w:val="0"/>
        </w:rPr>
      </w:r>
    </w:p>
    <w:p>
      <w:pPr>
        <w:pStyle w:val="BodyText"/>
        <w:spacing w:line="350" w:lineRule="auto" w:before="110"/>
        <w:ind w:left="850" w:right="1824"/>
        <w:jc w:val="both"/>
      </w:pPr>
      <w:r>
        <w:rPr>
          <w:spacing w:val="-2"/>
        </w:rPr>
        <w:t>在建工程项目按建造该项资产达到预定可使用状态前所发生的必要支出，作为固定</w:t>
      </w:r>
      <w:r>
        <w:rPr>
          <w:spacing w:val="-35"/>
        </w:rPr>
        <w:t> </w:t>
      </w:r>
      <w:r>
        <w:rPr>
          <w:spacing w:val="-35"/>
        </w:rPr>
      </w:r>
      <w:r>
        <w:rPr>
          <w:spacing w:val="-2"/>
        </w:rPr>
        <w:t>资产的入账价值。所建造的固定资产在工程已达到预定可使用状态，但尚未办理竣</w:t>
      </w:r>
      <w:r>
        <w:rPr>
          <w:spacing w:val="-35"/>
        </w:rPr>
        <w:t> </w:t>
      </w:r>
      <w:r>
        <w:rPr>
          <w:spacing w:val="-35"/>
        </w:rPr>
      </w:r>
      <w:r>
        <w:rPr>
          <w:spacing w:val="-2"/>
        </w:rPr>
        <w:t>工决算的，自达到预定可使用状态之日起，根据工程预算、造价或者工程实际成本</w:t>
      </w:r>
      <w:r>
        <w:rPr>
          <w:spacing w:val="-34"/>
        </w:rPr>
        <w:t> </w:t>
      </w:r>
      <w:r>
        <w:rPr>
          <w:spacing w:val="-34"/>
        </w:rPr>
      </w:r>
      <w:r>
        <w:rPr>
          <w:spacing w:val="-2"/>
        </w:rPr>
        <w:t>等，按估计的价值转入固定资产，并按本公司固定资产折旧政策计提固定资产的折</w:t>
      </w:r>
    </w:p>
    <w:p>
      <w:pPr>
        <w:spacing w:after="0" w:line="350" w:lineRule="auto"/>
        <w:jc w:val="both"/>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left="850" w:right="1468"/>
        <w:jc w:val="left"/>
      </w:pPr>
      <w:r>
        <w:rPr>
          <w:spacing w:val="-2"/>
        </w:rPr>
        <w:t>旧，待办理竣工决算后，再按实际成本调整原来的暂估价值，但不调整原已计提的</w:t>
      </w:r>
      <w:r>
        <w:rPr>
          <w:spacing w:val="-35"/>
        </w:rPr>
        <w:t> </w:t>
      </w:r>
      <w:r>
        <w:rPr>
          <w:spacing w:val="-35"/>
        </w:rPr>
      </w:r>
      <w:r>
        <w:rPr/>
        <w:t>折旧额。</w:t>
      </w:r>
    </w:p>
    <w:p>
      <w:pPr>
        <w:pStyle w:val="Heading5"/>
        <w:spacing w:line="240" w:lineRule="auto" w:before="29"/>
        <w:ind w:right="3683"/>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借款费用</w:t>
      </w:r>
      <w:r>
        <w:rPr>
          <w:b w:val="0"/>
          <w:bCs w:val="0"/>
        </w:rPr>
      </w:r>
    </w:p>
    <w:p>
      <w:pPr>
        <w:pStyle w:val="BodyText"/>
        <w:tabs>
          <w:tab w:pos="1397" w:val="left" w:leader="none"/>
        </w:tabs>
        <w:spacing w:line="348" w:lineRule="auto" w:before="107"/>
        <w:ind w:right="1786" w:hanging="569"/>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借款费用资本化的确认原则</w:t>
      </w:r>
      <w:r>
        <w:rPr>
          <w:rFonts w:ascii="宋体" w:hAnsi="宋体" w:cs="宋体" w:eastAsia="宋体" w:hint="default"/>
          <w:b/>
          <w:bCs/>
          <w:spacing w:val="-96"/>
        </w:rPr>
        <w:t> </w:t>
      </w:r>
      <w:r>
        <w:rPr>
          <w:rFonts w:ascii="宋体" w:hAnsi="宋体" w:cs="宋体" w:eastAsia="宋体" w:hint="default"/>
          <w:b/>
          <w:bCs/>
          <w:spacing w:val="-96"/>
        </w:rPr>
      </w:r>
      <w:r>
        <w:rPr>
          <w:spacing w:val="-5"/>
        </w:rPr>
        <w:t>借款费用，包括借款利息、折价或者溢价的摊销、辅助费用以及因外币借款而</w:t>
      </w:r>
      <w:r>
        <w:rPr>
          <w:w w:val="100"/>
        </w:rPr>
        <w:t> </w:t>
      </w:r>
      <w:r>
        <w:rPr/>
        <w:t>发生的汇兑差额等。</w:t>
      </w:r>
      <w:r>
        <w:rPr>
          <w:w w:val="100"/>
        </w:rPr>
        <w:t> </w:t>
      </w:r>
      <w:r>
        <w:rPr/>
        <w:t>公司发生的借款费用，可直接归属于符合资本化条件的资产的购建或者生产</w:t>
      </w:r>
      <w:r>
        <w:rPr>
          <w:w w:val="100"/>
        </w:rPr>
        <w:t> </w:t>
      </w:r>
      <w:r>
        <w:rPr>
          <w:spacing w:val="-5"/>
        </w:rPr>
        <w:t>的，予以资本化，计入相关资产成本；其他借款费用，在发生时根据其发生额</w:t>
      </w:r>
      <w:r>
        <w:rPr>
          <w:w w:val="100"/>
        </w:rPr>
        <w:t> </w:t>
      </w:r>
      <w:r>
        <w:rPr/>
        <w:t>确认为费用，计入当期损益。</w:t>
      </w:r>
      <w:r>
        <w:rPr>
          <w:w w:val="100"/>
        </w:rPr>
        <w:t> </w:t>
      </w:r>
      <w:r>
        <w:rPr>
          <w:spacing w:val="-5"/>
          <w:w w:val="100"/>
        </w:rPr>
        <w:t>符合资本化条件的资产，是指需要经过相当长时间的购建或者生产活动才能达</w:t>
      </w:r>
      <w:r>
        <w:rPr>
          <w:w w:val="100"/>
        </w:rPr>
        <w:t> </w:t>
      </w:r>
      <w:r>
        <w:rPr/>
        <w:t>到预定可使用或者可销售状态的固定资产、投资性房地产和存货等资产。</w:t>
      </w:r>
      <w:r>
        <w:rPr>
          <w:w w:val="100"/>
        </w:rPr>
        <w:t> </w:t>
      </w:r>
      <w:r>
        <w:rPr/>
        <w:t>借款费用同时满足下列条件时开始资本化：</w:t>
      </w:r>
    </w:p>
    <w:p>
      <w:pPr>
        <w:pStyle w:val="BodyText"/>
        <w:spacing w:line="331" w:lineRule="auto" w:before="29"/>
        <w:ind w:right="1468"/>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w:t>
      </w:r>
      <w:r>
        <w:rPr>
          <w:spacing w:val="-42"/>
        </w:rPr>
        <w:t> </w:t>
      </w:r>
      <w:r>
        <w:rPr>
          <w:spacing w:val="-42"/>
        </w:rPr>
      </w:r>
      <w:r>
        <w:rPr/>
        <w:t>产而以支付现金、转移非现金资产或者承担带息债务形式发生的支出；</w:t>
      </w:r>
    </w:p>
    <w:p>
      <w:pPr>
        <w:pStyle w:val="BodyText"/>
        <w:spacing w:line="240" w:lineRule="auto" w:before="46"/>
        <w:ind w:right="3683"/>
        <w:jc w:val="left"/>
      </w:pPr>
      <w:r>
        <w:rPr/>
        <w:t>（</w:t>
      </w:r>
      <w:r>
        <w:rPr>
          <w:rFonts w:ascii="Times New Roman" w:hAnsi="Times New Roman" w:cs="Times New Roman" w:eastAsia="Times New Roman" w:hint="default"/>
        </w:rPr>
        <w:t>2</w:t>
      </w:r>
      <w:r>
        <w:rPr/>
        <w:t>）借款费用已经发生；</w:t>
      </w:r>
    </w:p>
    <w:p>
      <w:pPr>
        <w:pStyle w:val="BodyText"/>
        <w:spacing w:line="331" w:lineRule="auto" w:before="107"/>
        <w:ind w:right="1468"/>
        <w:jc w:val="left"/>
      </w:pPr>
      <w:r>
        <w:rPr>
          <w:spacing w:val="-2"/>
        </w:rPr>
        <w:t>（</w:t>
      </w:r>
      <w:r>
        <w:rPr>
          <w:rFonts w:ascii="Times New Roman" w:hAnsi="Times New Roman" w:cs="Times New Roman" w:eastAsia="Times New Roman" w:hint="default"/>
          <w:spacing w:val="-2"/>
        </w:rPr>
        <w:t>3</w:t>
      </w:r>
      <w:r>
        <w:rPr>
          <w:spacing w:val="-2"/>
        </w:rPr>
        <w:t>）为使资产达到预定可使用或者可销售状态所必要的购建或者生产活动已</w:t>
      </w:r>
      <w:r>
        <w:rPr>
          <w:spacing w:val="-42"/>
        </w:rPr>
        <w:t> </w:t>
      </w:r>
      <w:r>
        <w:rPr>
          <w:spacing w:val="-42"/>
        </w:rPr>
      </w:r>
      <w:r>
        <w:rPr/>
        <w:t>经开始。</w:t>
      </w:r>
    </w:p>
    <w:p>
      <w:pPr>
        <w:pStyle w:val="BodyText"/>
        <w:tabs>
          <w:tab w:pos="1397" w:val="left" w:leader="none"/>
        </w:tabs>
        <w:spacing w:line="348" w:lineRule="auto" w:before="46"/>
        <w:ind w:right="1712" w:hanging="569"/>
        <w:jc w:val="left"/>
      </w:pPr>
      <w:r>
        <w:rPr>
          <w:rFonts w:ascii="Times New Roman" w:hAnsi="Times New Roman" w:cs="Times New Roman" w:eastAsia="Times New Roman" w:hint="default"/>
          <w:b/>
          <w:bCs/>
        </w:rPr>
        <w:t>2</w:t>
      </w:r>
      <w:r>
        <w:rPr>
          <w:rFonts w:ascii="宋体" w:hAnsi="宋体" w:cs="宋体" w:eastAsia="宋体" w:hint="default"/>
          <w:b/>
          <w:bCs/>
        </w:rPr>
        <w:t>、</w:t>
        <w:tab/>
        <w:t>借款费用资本化期间</w:t>
      </w:r>
      <w:r>
        <w:rPr>
          <w:rFonts w:ascii="宋体" w:hAnsi="宋体" w:cs="宋体" w:eastAsia="宋体" w:hint="default"/>
          <w:b/>
          <w:bCs/>
          <w:spacing w:val="-103"/>
        </w:rPr>
        <w:t> </w:t>
      </w:r>
      <w:r>
        <w:rPr>
          <w:rFonts w:ascii="宋体" w:hAnsi="宋体" w:cs="宋体" w:eastAsia="宋体" w:hint="default"/>
          <w:b/>
          <w:bCs/>
          <w:spacing w:val="-103"/>
        </w:rPr>
      </w:r>
      <w:r>
        <w:rPr>
          <w:spacing w:val="-5"/>
        </w:rPr>
        <w:t>资本化期间，指从借款费用开始资本化时点到停止资本化时点的期间，借款费</w:t>
      </w:r>
      <w:r>
        <w:rPr>
          <w:w w:val="100"/>
        </w:rPr>
        <w:t> </w:t>
      </w:r>
      <w:r>
        <w:rPr/>
        <w:t>用暂停资本化的期间不包括在内。</w:t>
      </w:r>
      <w:r>
        <w:rPr>
          <w:w w:val="100"/>
        </w:rPr>
        <w:t> </w:t>
      </w:r>
      <w:r>
        <w:rPr>
          <w:spacing w:val="-5"/>
          <w:w w:val="100"/>
        </w:rPr>
        <w:t>当购建或者生产符合资本化条件的资产达到预定可使用或者可销售状态时，借</w:t>
      </w:r>
      <w:r>
        <w:rPr>
          <w:w w:val="100"/>
        </w:rPr>
        <w:t> </w:t>
      </w:r>
      <w:r>
        <w:rPr/>
        <w:t>款费用停止资本化。</w:t>
      </w:r>
      <w:r>
        <w:rPr>
          <w:w w:val="100"/>
        </w:rPr>
        <w:t> </w:t>
      </w:r>
      <w:r>
        <w:rPr>
          <w:spacing w:val="-2"/>
        </w:rPr>
        <w:t>当购建或者生产符合资本化条件的资产中部分项目分别完工且可单独使用时，</w:t>
      </w:r>
      <w:r>
        <w:rPr>
          <w:w w:val="100"/>
        </w:rPr>
        <w:t> </w:t>
      </w:r>
      <w:r>
        <w:rPr/>
        <w:t>该部分资产借款费用停止资本化。</w:t>
      </w:r>
      <w:r>
        <w:rPr>
          <w:w w:val="100"/>
        </w:rPr>
        <w:t> </w:t>
      </w:r>
      <w:r>
        <w:rPr>
          <w:spacing w:val="-5"/>
          <w:w w:val="100"/>
        </w:rPr>
        <w:t>购建或者生产的资产的各部分分别完工，但必须等到整体完工后才可使用或可</w:t>
      </w:r>
      <w:r>
        <w:rPr>
          <w:w w:val="100"/>
        </w:rPr>
        <w:t> </w:t>
      </w:r>
      <w:r>
        <w:rPr/>
        <w:t>对外销售的，在该资产整体完工时停止借款费用资本化。</w:t>
      </w:r>
    </w:p>
    <w:p>
      <w:pPr>
        <w:pStyle w:val="BodyText"/>
        <w:tabs>
          <w:tab w:pos="1397" w:val="left" w:leader="none"/>
        </w:tabs>
        <w:spacing w:line="340" w:lineRule="auto" w:before="31"/>
        <w:ind w:right="1786" w:hanging="569"/>
        <w:jc w:val="left"/>
      </w:pPr>
      <w:r>
        <w:rPr>
          <w:rFonts w:ascii="Times New Roman" w:hAnsi="Times New Roman" w:cs="Times New Roman" w:eastAsia="Times New Roman" w:hint="default"/>
          <w:b/>
          <w:bCs/>
        </w:rPr>
        <w:t>3</w:t>
      </w:r>
      <w:r>
        <w:rPr>
          <w:rFonts w:ascii="宋体" w:hAnsi="宋体" w:cs="宋体" w:eastAsia="宋体" w:hint="default"/>
          <w:b/>
          <w:bCs/>
        </w:rPr>
        <w:t>、</w:t>
        <w:tab/>
        <w:t>暂停资本化期间</w:t>
      </w:r>
      <w:r>
        <w:rPr>
          <w:rFonts w:ascii="宋体" w:hAnsi="宋体" w:cs="宋体" w:eastAsia="宋体" w:hint="default"/>
          <w:b/>
          <w:bCs/>
          <w:spacing w:val="-104"/>
        </w:rPr>
        <w:t> </w:t>
      </w:r>
      <w:r>
        <w:rPr>
          <w:rFonts w:ascii="宋体" w:hAnsi="宋体" w:cs="宋体" w:eastAsia="宋体" w:hint="default"/>
          <w:b/>
          <w:bCs/>
          <w:spacing w:val="-104"/>
        </w:rPr>
      </w:r>
      <w:r>
        <w:rPr>
          <w:spacing w:val="-5"/>
          <w:w w:val="100"/>
        </w:rPr>
        <w:t>符合资本化条件的资产在购建或生产过程中发生的非正常中断、且中断时间连</w:t>
      </w:r>
      <w:r>
        <w:rPr>
          <w:w w:val="100"/>
        </w:rPr>
        <w:t> </w:t>
      </w:r>
      <w:r>
        <w:rPr/>
        <w:t>续超过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spacing w:val="-5"/>
        </w:rPr>
        <w:t>个月的，则借款费用暂停资本化；该项中断如是所购建或生产的符合</w:t>
      </w:r>
      <w:r>
        <w:rPr>
          <w:w w:val="100"/>
        </w:rPr>
        <w:t> </w:t>
      </w:r>
      <w:r>
        <w:rPr>
          <w:spacing w:val="-5"/>
          <w:w w:val="100"/>
        </w:rPr>
        <w:t>资本化条件的资产达到预定可使用状态或者可销售状态必要的程序，则借款费</w:t>
      </w:r>
      <w:r>
        <w:rPr>
          <w:w w:val="100"/>
        </w:rPr>
        <w:t> </w:t>
      </w:r>
      <w:r>
        <w:rPr>
          <w:spacing w:val="-5"/>
        </w:rPr>
        <w:t>用继续资本化。在中断期间发生的借款费用确认为当期损益，直至资产的购建</w:t>
      </w:r>
      <w:r>
        <w:rPr>
          <w:w w:val="100"/>
        </w:rPr>
        <w:t> </w:t>
      </w:r>
      <w:r>
        <w:rPr/>
        <w:t>或者生产活动重新开始后借款费用继续资本化。</w:t>
      </w:r>
    </w:p>
    <w:p>
      <w:pPr>
        <w:tabs>
          <w:tab w:pos="1397" w:val="left" w:leader="none"/>
        </w:tabs>
        <w:spacing w:line="328" w:lineRule="auto" w:before="37"/>
        <w:ind w:left="1414" w:right="178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借款费用资本化率、资本化金额的计算方法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pacing w:val="-5"/>
          <w:w w:val="100"/>
          <w:sz w:val="21"/>
          <w:szCs w:val="21"/>
        </w:rPr>
        <w:t>对于为购建或者生产符合资本化条件的资产而借入的专门借款，以专门借款当</w:t>
      </w:r>
    </w:p>
    <w:p>
      <w:pPr>
        <w:spacing w:after="0" w:line="328" w:lineRule="auto"/>
        <w:jc w:val="left"/>
        <w:rPr>
          <w:rFonts w:ascii="宋体" w:hAnsi="宋体" w:cs="宋体" w:eastAsia="宋体" w:hint="default"/>
          <w:sz w:val="21"/>
          <w:szCs w:val="21"/>
        </w:rPr>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right="1468"/>
        <w:jc w:val="left"/>
      </w:pPr>
      <w:r>
        <w:rPr>
          <w:spacing w:val="-5"/>
          <w:w w:val="100"/>
        </w:rPr>
        <w:t>期实际发生的借款费用，减去尚未动用的借款资金存入银行取得的利息收入或</w:t>
      </w:r>
      <w:r>
        <w:rPr>
          <w:spacing w:val="-84"/>
          <w:w w:val="100"/>
        </w:rPr>
        <w:t> </w:t>
      </w:r>
      <w:r>
        <w:rPr>
          <w:spacing w:val="-84"/>
          <w:w w:val="100"/>
        </w:rPr>
      </w:r>
      <w:r>
        <w:rPr/>
        <w:t>进行暂时性投资取得的投资收益后的金额，来确定借款费用的资本化金额。</w:t>
      </w:r>
      <w:r>
        <w:rPr>
          <w:w w:val="100"/>
        </w:rPr>
        <w:t> </w:t>
      </w:r>
      <w:r>
        <w:rPr>
          <w:spacing w:val="-5"/>
          <w:w w:val="100"/>
        </w:rPr>
        <w:t>对于为购建或者生产符合资本化条件的资产而占用的一般借款，根据累计资产</w:t>
      </w:r>
      <w:r>
        <w:rPr>
          <w:spacing w:val="-85"/>
          <w:w w:val="100"/>
        </w:rPr>
        <w:t> </w:t>
      </w:r>
      <w:r>
        <w:rPr>
          <w:spacing w:val="-85"/>
          <w:w w:val="100"/>
        </w:rPr>
      </w:r>
      <w:r>
        <w:rPr/>
        <w:t>支出超过专门借款部分的资产支出加权平均数乘以所占用一般借款的资本化</w:t>
      </w:r>
      <w:r>
        <w:rPr>
          <w:w w:val="100"/>
        </w:rPr>
        <w:t> </w:t>
      </w:r>
      <w:r>
        <w:rPr>
          <w:spacing w:val="-5"/>
        </w:rPr>
        <w:t>率，计算确定一般借款应予资本化的借款费用金额。资本化率根据一般借款加</w:t>
      </w:r>
      <w:r>
        <w:rPr>
          <w:spacing w:val="-46"/>
        </w:rPr>
        <w:t> </w:t>
      </w:r>
      <w:r>
        <w:rPr>
          <w:spacing w:val="-46"/>
        </w:rPr>
      </w:r>
      <w:r>
        <w:rPr/>
        <w:t>权平均利率计算确定。</w:t>
      </w:r>
    </w:p>
    <w:p>
      <w:pPr>
        <w:pStyle w:val="Heading5"/>
        <w:spacing w:line="240" w:lineRule="auto" w:before="27"/>
        <w:ind w:right="3683"/>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无形资产</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无形资产的计价方法</w:t>
      </w:r>
      <w:r>
        <w:rPr>
          <w:b w:val="0"/>
          <w:bCs w:val="0"/>
        </w:rPr>
      </w:r>
    </w:p>
    <w:p>
      <w:pPr>
        <w:pStyle w:val="BodyText"/>
        <w:spacing w:line="348" w:lineRule="auto" w:before="110"/>
        <w:ind w:right="1468"/>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5"/>
        </w:rPr>
        <w:t>外购无形资产的成本，包括购买价款、相关税费以及直接归属于使该项资产达</w:t>
      </w:r>
      <w:r>
        <w:rPr>
          <w:spacing w:val="-45"/>
        </w:rPr>
        <w:t> </w:t>
      </w:r>
      <w:r>
        <w:rPr>
          <w:spacing w:val="-45"/>
        </w:rPr>
      </w:r>
      <w:r>
        <w:rPr>
          <w:spacing w:val="-5"/>
          <w:w w:val="100"/>
        </w:rPr>
        <w:t>到预定用途所发生的其他支出。购买无形资产的价款超过正常信用条件延期支</w:t>
      </w:r>
      <w:r>
        <w:rPr>
          <w:spacing w:val="-84"/>
          <w:w w:val="100"/>
        </w:rPr>
        <w:t> </w:t>
      </w:r>
      <w:r>
        <w:rPr>
          <w:spacing w:val="-84"/>
          <w:w w:val="100"/>
        </w:rPr>
      </w:r>
      <w:r>
        <w:rPr>
          <w:spacing w:val="-2"/>
        </w:rPr>
        <w:t>付，实质上具有融资性质的，无形资产的成本以购买价款的现值为基础确定。</w:t>
      </w:r>
      <w:r>
        <w:rPr>
          <w:spacing w:val="-42"/>
        </w:rPr>
        <w:t> </w:t>
      </w:r>
      <w:r>
        <w:rPr>
          <w:spacing w:val="-42"/>
        </w:rPr>
      </w:r>
      <w:r>
        <w:rPr>
          <w:spacing w:val="-5"/>
          <w:w w:val="100"/>
        </w:rPr>
        <w:t>债务重组取得债务人用以抵债的无形资产，以所放弃债权的公允价值和可直接</w:t>
      </w:r>
      <w:r>
        <w:rPr>
          <w:spacing w:val="-85"/>
          <w:w w:val="100"/>
        </w:rPr>
        <w:t> </w:t>
      </w:r>
      <w:r>
        <w:rPr>
          <w:spacing w:val="-85"/>
          <w:w w:val="100"/>
        </w:rPr>
      </w:r>
      <w:r>
        <w:rPr>
          <w:spacing w:val="-5"/>
          <w:w w:val="100"/>
        </w:rPr>
        <w:t>归属于使该资产达到预定用途所发生的税金等其他成本确定其入账价值，并将</w:t>
      </w:r>
      <w:r>
        <w:rPr>
          <w:spacing w:val="-85"/>
          <w:w w:val="100"/>
        </w:rPr>
        <w:t> </w:t>
      </w:r>
      <w:r>
        <w:rPr>
          <w:spacing w:val="-85"/>
          <w:w w:val="100"/>
        </w:rPr>
      </w:r>
      <w:r>
        <w:rPr/>
        <w:t>所放弃债权的公允价值与账面价值之间的差额，计入当期损益。</w:t>
      </w:r>
      <w:r>
        <w:rPr>
          <w:w w:val="100"/>
        </w:rPr>
        <w:t> </w:t>
      </w:r>
      <w:r>
        <w:rPr/>
        <w:t>在非货币性资产交换具有商业实质且换入资产和换出资产的公允价值均能够</w:t>
      </w:r>
      <w:r>
        <w:rPr>
          <w:w w:val="100"/>
        </w:rPr>
        <w:t> </w:t>
      </w:r>
      <w:r>
        <w:rPr>
          <w:spacing w:val="-5"/>
          <w:w w:val="100"/>
        </w:rPr>
        <w:t>可靠计量的前提下，非货币性资产交换换入的无形资产以换出资产的公允价值</w:t>
      </w:r>
      <w:r>
        <w:rPr>
          <w:spacing w:val="-84"/>
          <w:w w:val="100"/>
        </w:rPr>
        <w:t> </w:t>
      </w:r>
      <w:r>
        <w:rPr>
          <w:spacing w:val="-84"/>
          <w:w w:val="100"/>
        </w:rPr>
      </w:r>
      <w:r>
        <w:rPr>
          <w:spacing w:val="-2"/>
        </w:rPr>
        <w:t>为基础确定其入账价值，除非有确凿证据表明换入资产的公允价值更加可靠；</w:t>
      </w:r>
      <w:r>
        <w:rPr>
          <w:spacing w:val="-42"/>
        </w:rPr>
        <w:t> </w:t>
      </w:r>
      <w:r>
        <w:rPr>
          <w:spacing w:val="-42"/>
        </w:rPr>
      </w:r>
      <w:r>
        <w:rPr>
          <w:spacing w:val="-5"/>
          <w:w w:val="100"/>
        </w:rPr>
        <w:t>不满足上述前提的非货币性资产交换，以换出资产的账面价值和应支付的相关</w:t>
      </w:r>
      <w:r>
        <w:rPr>
          <w:spacing w:val="-85"/>
          <w:w w:val="100"/>
        </w:rPr>
        <w:t> </w:t>
      </w:r>
      <w:r>
        <w:rPr>
          <w:spacing w:val="-85"/>
          <w:w w:val="100"/>
        </w:rPr>
      </w:r>
      <w:r>
        <w:rPr/>
        <w:t>税费作为换入无形资产的成本，不确认损益。</w:t>
      </w:r>
    </w:p>
    <w:p>
      <w:pPr>
        <w:pStyle w:val="BodyText"/>
        <w:spacing w:line="328" w:lineRule="auto" w:before="31"/>
        <w:ind w:right="4979"/>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348" w:lineRule="auto" w:before="48"/>
        <w:ind w:right="1468"/>
        <w:jc w:val="left"/>
      </w:pPr>
      <w:r>
        <w:rPr/>
        <w:t>对于使用寿命有限的无形资产，在为企业带来经济利益的期限内按直线法摊</w:t>
      </w:r>
      <w:r>
        <w:rPr>
          <w:w w:val="100"/>
        </w:rPr>
        <w:t> </w:t>
      </w:r>
      <w:r>
        <w:rPr>
          <w:spacing w:val="-5"/>
        </w:rPr>
        <w:t>销；无法预见无形资产为企业带来经济利益期限的，视为使用寿命不确定的无</w:t>
      </w:r>
      <w:r>
        <w:rPr>
          <w:spacing w:val="-46"/>
        </w:rPr>
        <w:t> </w:t>
      </w:r>
      <w:r>
        <w:rPr>
          <w:spacing w:val="-46"/>
        </w:rPr>
      </w:r>
      <w:r>
        <w:rPr/>
        <w:t>形资产，不予摊销。</w:t>
      </w:r>
    </w:p>
    <w:p>
      <w:pPr>
        <w:pStyle w:val="Heading5"/>
        <w:tabs>
          <w:tab w:pos="1397" w:val="left" w:leader="none"/>
        </w:tabs>
        <w:spacing w:line="240" w:lineRule="auto" w:before="31"/>
        <w:ind w:left="846" w:right="3683"/>
        <w:jc w:val="left"/>
        <w:rPr>
          <w:b w:val="0"/>
          <w:bCs w:val="0"/>
        </w:rPr>
      </w:pPr>
      <w:r>
        <w:rPr>
          <w:rFonts w:ascii="Times New Roman" w:hAnsi="Times New Roman" w:cs="Times New Roman" w:eastAsia="Times New Roman" w:hint="default"/>
        </w:rPr>
        <w:t>2</w:t>
      </w:r>
      <w:r>
        <w:rPr/>
        <w:t>、</w:t>
        <w:tab/>
      </w:r>
      <w:r>
        <w:rPr>
          <w:spacing w:val="-1"/>
        </w:rPr>
        <w:t>使用寿命有限的无形资产的使用寿命估计情况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194"/>
        <w:gridCol w:w="1973"/>
        <w:gridCol w:w="2018"/>
        <w:gridCol w:w="2019"/>
      </w:tblGrid>
      <w:tr>
        <w:trPr>
          <w:trHeight w:val="365" w:hRule="exact"/>
        </w:trPr>
        <w:tc>
          <w:tcPr>
            <w:tcW w:w="21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61" w:right="0"/>
              <w:jc w:val="left"/>
              <w:rPr>
                <w:rFonts w:ascii="宋体" w:hAnsi="宋体" w:cs="宋体" w:eastAsia="宋体" w:hint="default"/>
                <w:sz w:val="16"/>
                <w:szCs w:val="16"/>
              </w:rPr>
            </w:pPr>
            <w:r>
              <w:rPr>
                <w:rFonts w:ascii="宋体" w:hAnsi="宋体" w:cs="宋体" w:eastAsia="宋体" w:hint="default"/>
                <w:sz w:val="16"/>
                <w:szCs w:val="16"/>
              </w:rPr>
              <w:t>预计使用寿命（年）</w:t>
            </w:r>
          </w:p>
        </w:tc>
        <w:tc>
          <w:tcPr>
            <w:tcW w:w="20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摊销方法</w:t>
            </w:r>
          </w:p>
        </w:tc>
        <w:tc>
          <w:tcPr>
            <w:tcW w:w="201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1"/>
              <w:jc w:val="center"/>
              <w:rPr>
                <w:rFonts w:ascii="宋体" w:hAnsi="宋体" w:cs="宋体" w:eastAsia="宋体" w:hint="default"/>
                <w:sz w:val="16"/>
                <w:szCs w:val="16"/>
              </w:rPr>
            </w:pPr>
            <w:r>
              <w:rPr>
                <w:rFonts w:ascii="宋体" w:hAnsi="宋体" w:cs="宋体" w:eastAsia="宋体" w:hint="default"/>
                <w:sz w:val="16"/>
                <w:szCs w:val="16"/>
              </w:rPr>
              <w:t>依据</w:t>
            </w:r>
          </w:p>
        </w:tc>
      </w:tr>
      <w:tr>
        <w:trPr>
          <w:trHeight w:val="353"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权证确定使用期限</w:t>
            </w:r>
          </w:p>
        </w:tc>
        <w:tc>
          <w:tcPr>
            <w:tcW w:w="20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直线法</w:t>
            </w:r>
          </w:p>
        </w:tc>
        <w:tc>
          <w:tcPr>
            <w:tcW w:w="20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法定寿命</w:t>
            </w:r>
          </w:p>
        </w:tc>
      </w:tr>
      <w:tr>
        <w:trPr>
          <w:trHeight w:val="353"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专利权</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15</w:t>
            </w:r>
          </w:p>
        </w:tc>
        <w:tc>
          <w:tcPr>
            <w:tcW w:w="20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直线法</w:t>
            </w:r>
          </w:p>
        </w:tc>
        <w:tc>
          <w:tcPr>
            <w:tcW w:w="20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预计受益期</w:t>
            </w:r>
          </w:p>
        </w:tc>
      </w:tr>
      <w:tr>
        <w:trPr>
          <w:trHeight w:val="355"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计算机软件</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Times New Roman" w:hAnsi="Times New Roman" w:cs="Times New Roman" w:eastAsia="Times New Roman" w:hint="default"/>
                <w:sz w:val="16"/>
                <w:szCs w:val="16"/>
              </w:rPr>
            </w:pPr>
            <w:r>
              <w:rPr>
                <w:rFonts w:ascii="Times New Roman"/>
                <w:sz w:val="16"/>
              </w:rPr>
              <w:t>1-10</w:t>
            </w:r>
          </w:p>
        </w:tc>
        <w:tc>
          <w:tcPr>
            <w:tcW w:w="20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直线法</w:t>
            </w:r>
          </w:p>
        </w:tc>
        <w:tc>
          <w:tcPr>
            <w:tcW w:w="20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预计受益期</w:t>
            </w:r>
          </w:p>
        </w:tc>
      </w:tr>
      <w:tr>
        <w:trPr>
          <w:trHeight w:val="353"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非专利技术</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5-10</w:t>
            </w:r>
          </w:p>
        </w:tc>
        <w:tc>
          <w:tcPr>
            <w:tcW w:w="20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直线法</w:t>
            </w:r>
          </w:p>
        </w:tc>
        <w:tc>
          <w:tcPr>
            <w:tcW w:w="20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预计受益期</w:t>
            </w:r>
          </w:p>
        </w:tc>
      </w:tr>
      <w:tr>
        <w:trPr>
          <w:trHeight w:val="365" w:hRule="exact"/>
        </w:trPr>
        <w:tc>
          <w:tcPr>
            <w:tcW w:w="21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特许权</w:t>
            </w:r>
          </w:p>
        </w:tc>
        <w:tc>
          <w:tcPr>
            <w:tcW w:w="19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5-10</w:t>
            </w:r>
          </w:p>
        </w:tc>
        <w:tc>
          <w:tcPr>
            <w:tcW w:w="20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直线法</w:t>
            </w:r>
          </w:p>
        </w:tc>
        <w:tc>
          <w:tcPr>
            <w:tcW w:w="20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预计受益期</w:t>
            </w:r>
          </w:p>
        </w:tc>
      </w:tr>
    </w:tbl>
    <w:p>
      <w:pPr>
        <w:spacing w:line="240" w:lineRule="auto" w:before="6"/>
        <w:rPr>
          <w:rFonts w:ascii="宋体" w:hAnsi="宋体" w:cs="宋体" w:eastAsia="宋体" w:hint="default"/>
          <w:b/>
          <w:bCs/>
          <w:sz w:val="5"/>
          <w:szCs w:val="5"/>
        </w:rPr>
      </w:pPr>
    </w:p>
    <w:p>
      <w:pPr>
        <w:tabs>
          <w:tab w:pos="1397" w:val="left" w:leader="none"/>
        </w:tabs>
        <w:spacing w:line="331" w:lineRule="auto" w:before="36"/>
        <w:ind w:left="1414" w:right="2099"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使用寿命不确定的无形资产的判断依据以及对其使用寿命进行复核的程序</w:t>
      </w:r>
      <w:r>
        <w:rPr>
          <w:rFonts w:ascii="宋体" w:hAnsi="宋体" w:cs="宋体" w:eastAsia="宋体" w:hint="default"/>
          <w:b/>
          <w:bCs/>
          <w:spacing w:val="-77"/>
          <w:sz w:val="21"/>
          <w:szCs w:val="21"/>
        </w:rPr>
        <w:t> </w:t>
      </w:r>
      <w:r>
        <w:rPr>
          <w:rFonts w:ascii="宋体" w:hAnsi="宋体" w:cs="宋体" w:eastAsia="宋体" w:hint="default"/>
          <w:b/>
          <w:bCs/>
          <w:spacing w:val="-77"/>
          <w:sz w:val="21"/>
          <w:szCs w:val="21"/>
        </w:rPr>
      </w:r>
      <w:r>
        <w:rPr>
          <w:rFonts w:ascii="宋体" w:hAnsi="宋体" w:cs="宋体" w:eastAsia="宋体" w:hint="default"/>
          <w:sz w:val="21"/>
          <w:szCs w:val="21"/>
        </w:rPr>
        <w:t>本报告期本公司无使用寿命不确定的无形资产。</w:t>
      </w:r>
    </w:p>
    <w:p>
      <w:pPr>
        <w:spacing w:after="0" w:line="331" w:lineRule="auto"/>
        <w:jc w:val="left"/>
        <w:rPr>
          <w:rFonts w:ascii="宋体" w:hAnsi="宋体" w:cs="宋体" w:eastAsia="宋体" w:hint="default"/>
          <w:sz w:val="21"/>
          <w:szCs w:val="21"/>
        </w:rPr>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tabs>
          <w:tab w:pos="1397" w:val="left" w:leader="none"/>
        </w:tabs>
        <w:spacing w:line="345" w:lineRule="auto"/>
        <w:ind w:right="1712" w:hanging="569"/>
        <w:jc w:val="left"/>
      </w:pPr>
      <w:r>
        <w:rPr>
          <w:rFonts w:ascii="Times New Roman" w:hAnsi="Times New Roman" w:cs="Times New Roman" w:eastAsia="Times New Roman" w:hint="default"/>
          <w:b/>
          <w:bCs/>
        </w:rPr>
        <w:t>4</w:t>
      </w:r>
      <w:r>
        <w:rPr>
          <w:rFonts w:ascii="宋体" w:hAnsi="宋体" w:cs="宋体" w:eastAsia="宋体" w:hint="default"/>
          <w:b/>
          <w:bCs/>
        </w:rPr>
        <w:t>、</w:t>
        <w:tab/>
      </w:r>
      <w:r>
        <w:rPr>
          <w:rFonts w:ascii="宋体" w:hAnsi="宋体" w:cs="宋体" w:eastAsia="宋体" w:hint="default"/>
          <w:b/>
          <w:bCs/>
          <w:spacing w:val="-1"/>
        </w:rPr>
        <w:t>划分研究阶段和开发阶段的具体标准</w:t>
      </w:r>
      <w:r>
        <w:rPr>
          <w:rFonts w:ascii="宋体" w:hAnsi="宋体" w:cs="宋体" w:eastAsia="宋体" w:hint="default"/>
          <w:b/>
          <w:bCs/>
          <w:spacing w:val="-90"/>
        </w:rPr>
        <w:t> </w:t>
      </w:r>
      <w:r>
        <w:rPr>
          <w:rFonts w:ascii="宋体" w:hAnsi="宋体" w:cs="宋体" w:eastAsia="宋体" w:hint="default"/>
          <w:b/>
          <w:bCs/>
          <w:spacing w:val="-90"/>
        </w:rPr>
      </w:r>
      <w:r>
        <w:rPr/>
        <w:t>公司内部研究开发项目的支出分为研究阶段支出和开发阶段支出。</w:t>
      </w:r>
      <w:r>
        <w:rPr>
          <w:w w:val="100"/>
        </w:rPr>
        <w:t> </w:t>
      </w:r>
      <w:r>
        <w:rPr/>
        <w:t>研究阶段：为获取并理解新的科学或技术知识等而进行的独创性的有计划调</w:t>
      </w:r>
      <w:r>
        <w:rPr>
          <w:w w:val="100"/>
        </w:rPr>
        <w:t> </w:t>
      </w:r>
      <w:r>
        <w:rPr/>
        <w:t>查、研究活动的阶段。</w:t>
      </w:r>
      <w:r>
        <w:rPr>
          <w:w w:val="100"/>
        </w:rPr>
        <w:t> </w:t>
      </w:r>
      <w:r>
        <w:rPr>
          <w:spacing w:val="-5"/>
        </w:rPr>
        <w:t>开发阶段：在进行商业性生产或使用前，将研究成果或其他知识应用于某项计</w:t>
      </w:r>
      <w:r>
        <w:rPr>
          <w:w w:val="100"/>
        </w:rPr>
        <w:t> </w:t>
      </w:r>
      <w:r>
        <w:rPr>
          <w:spacing w:val="-8"/>
        </w:rPr>
        <w:t>划或设计，以生产出新的或具有实质性改进的材料、装置、产品等活动的阶段。</w:t>
      </w:r>
    </w:p>
    <w:p>
      <w:pPr>
        <w:tabs>
          <w:tab w:pos="1397" w:val="left" w:leader="none"/>
        </w:tabs>
        <w:spacing w:line="331" w:lineRule="auto" w:before="31"/>
        <w:ind w:left="1414" w:right="1918"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开发阶段支出资本化的具体条件</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46"/>
        <w:ind w:right="1468"/>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8"/>
        <w:ind w:right="368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8" w:lineRule="auto" w:before="110"/>
        <w:ind w:right="1789"/>
        <w:jc w:val="both"/>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w:t>
      </w:r>
      <w:r>
        <w:rPr>
          <w:spacing w:val="-42"/>
        </w:rPr>
        <w:t> </w:t>
      </w:r>
      <w:r>
        <w:rPr>
          <w:spacing w:val="-42"/>
        </w:rPr>
      </w:r>
      <w:r>
        <w:rPr>
          <w:spacing w:val="-5"/>
        </w:rPr>
        <w:t>品存在市场或无形资产自身存在市场，无形资产将在内部使用的，能够证明其</w:t>
      </w:r>
      <w:r>
        <w:rPr>
          <w:spacing w:val="-46"/>
        </w:rPr>
        <w:t> </w:t>
      </w:r>
      <w:r>
        <w:rPr>
          <w:spacing w:val="-46"/>
        </w:rPr>
      </w:r>
      <w:r>
        <w:rPr/>
        <w:t>有用性；</w:t>
      </w:r>
    </w:p>
    <w:p>
      <w:pPr>
        <w:pStyle w:val="BodyText"/>
        <w:spacing w:line="331" w:lineRule="auto" w:before="40"/>
        <w:ind w:right="1468"/>
        <w:jc w:val="left"/>
      </w:pPr>
      <w:r>
        <w:rPr>
          <w:spacing w:val="-2"/>
        </w:rPr>
        <w:t>（</w:t>
      </w:r>
      <w:r>
        <w:rPr>
          <w:rFonts w:ascii="Times New Roman" w:hAnsi="Times New Roman" w:cs="Times New Roman" w:eastAsia="Times New Roman" w:hint="default"/>
          <w:spacing w:val="-2"/>
        </w:rPr>
        <w:t>4</w:t>
      </w:r>
      <w:r>
        <w:rPr>
          <w:spacing w:val="-2"/>
        </w:rPr>
        <w:t>）有足够的技术、财务资源和其他资源支持，以完成该无形资产的开发，</w:t>
      </w:r>
      <w:r>
        <w:rPr>
          <w:spacing w:val="-42"/>
        </w:rPr>
        <w:t> </w:t>
      </w:r>
      <w:r>
        <w:rPr>
          <w:spacing w:val="-42"/>
        </w:rPr>
      </w:r>
      <w:r>
        <w:rPr/>
        <w:t>并有能力使用或出售该无形资产；</w:t>
      </w:r>
    </w:p>
    <w:p>
      <w:pPr>
        <w:pStyle w:val="BodyText"/>
        <w:spacing w:line="340" w:lineRule="auto" w:before="43"/>
        <w:ind w:right="1468"/>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5"/>
        </w:rPr>
        <w:t>开发阶段的支出，若不满足上列条件的，于发生时计入当期损益。研究阶段的</w:t>
      </w:r>
      <w:r>
        <w:rPr>
          <w:spacing w:val="-49"/>
        </w:rPr>
        <w:t> </w:t>
      </w:r>
      <w:r>
        <w:rPr>
          <w:spacing w:val="-49"/>
        </w:rPr>
      </w:r>
      <w:r>
        <w:rPr/>
        <w:t>支出，在发生时计入当期损益。</w:t>
      </w:r>
    </w:p>
    <w:p>
      <w:pPr>
        <w:pStyle w:val="Heading5"/>
        <w:spacing w:line="240" w:lineRule="auto" w:before="35"/>
        <w:ind w:right="3683"/>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 </w:t>
      </w:r>
      <w:r>
        <w:rPr>
          <w:rFonts w:ascii="Times New Roman" w:hAnsi="Times New Roman" w:cs="Times New Roman" w:eastAsia="Times New Roman" w:hint="default"/>
          <w:spacing w:val="47"/>
        </w:rPr>
        <w:t> </w:t>
      </w:r>
      <w:r>
        <w:rPr/>
        <w:t>长期资产减值</w:t>
      </w:r>
      <w:r>
        <w:rPr>
          <w:b w:val="0"/>
          <w:bCs w:val="0"/>
        </w:rPr>
      </w:r>
    </w:p>
    <w:p>
      <w:pPr>
        <w:pStyle w:val="BodyText"/>
        <w:spacing w:line="350" w:lineRule="auto" w:before="110"/>
        <w:ind w:left="850" w:right="1468"/>
        <w:jc w:val="left"/>
      </w:pPr>
      <w:r>
        <w:rPr>
          <w:spacing w:val="-2"/>
        </w:rPr>
        <w:t>长期股权投资、固定资产、在建工程、使用寿命有限的无形资产等长期资产，于资</w:t>
      </w:r>
      <w:r>
        <w:rPr>
          <w:spacing w:val="-35"/>
        </w:rPr>
        <w:t> </w:t>
      </w:r>
      <w:r>
        <w:rPr>
          <w:spacing w:val="-35"/>
        </w:rPr>
      </w:r>
      <w:r>
        <w:rPr>
          <w:spacing w:val="-2"/>
        </w:rPr>
        <w:t>产负债表日存在减值迹象的，进行减值测试。减值测试结果表明资产的可收回金额</w:t>
      </w:r>
      <w:r>
        <w:rPr>
          <w:spacing w:val="-35"/>
        </w:rPr>
        <w:t> </w:t>
      </w:r>
      <w:r>
        <w:rPr>
          <w:spacing w:val="-35"/>
        </w:rPr>
      </w:r>
      <w:r>
        <w:rPr>
          <w:spacing w:val="-2"/>
        </w:rPr>
        <w:t>低于其账面价值的，按其差额计提减值准备并计入减值损失。可收回金额为资产的</w:t>
      </w:r>
      <w:r>
        <w:rPr>
          <w:spacing w:val="-35"/>
        </w:rPr>
        <w:t> </w:t>
      </w:r>
      <w:r>
        <w:rPr>
          <w:spacing w:val="-35"/>
        </w:rPr>
      </w:r>
      <w:r>
        <w:rPr/>
        <w:t>公允价值减去处置费用后的净额与资产预计未来现金流量的现值两者之间的较高</w:t>
      </w:r>
      <w:r>
        <w:rPr>
          <w:w w:val="100"/>
        </w:rPr>
        <w:t> </w:t>
      </w:r>
      <w:r>
        <w:rPr>
          <w:spacing w:val="-2"/>
        </w:rPr>
        <w:t>者。资产减值准备按单项资产为基础计算并确认，如果难以对单项资产的可收回金</w:t>
      </w:r>
      <w:r>
        <w:rPr>
          <w:spacing w:val="-35"/>
        </w:rPr>
        <w:t> </w:t>
      </w:r>
      <w:r>
        <w:rPr>
          <w:spacing w:val="-35"/>
        </w:rPr>
      </w:r>
      <w:r>
        <w:rPr>
          <w:spacing w:val="-2"/>
        </w:rPr>
        <w:t>额进行估计的，以该资产所属的资产组确定资产组的可收回金额。资产组是能够独</w:t>
      </w:r>
      <w:r>
        <w:rPr>
          <w:spacing w:val="-35"/>
        </w:rPr>
        <w:t> </w:t>
      </w:r>
      <w:r>
        <w:rPr>
          <w:spacing w:val="-35"/>
        </w:rPr>
      </w:r>
      <w:r>
        <w:rPr/>
        <w:t>立产生现金流入的最小资产组合。</w:t>
      </w:r>
      <w:r>
        <w:rPr>
          <w:w w:val="100"/>
        </w:rPr>
        <w:t> </w:t>
      </w:r>
      <w:r>
        <w:rPr>
          <w:spacing w:val="-2"/>
        </w:rPr>
        <w:t>商誉、使用寿命不确定的无形资产、尚未达到可使用状态的无形资产至少在每年年</w:t>
      </w:r>
      <w:r>
        <w:rPr>
          <w:spacing w:val="-35"/>
        </w:rPr>
        <w:t> </w:t>
      </w:r>
      <w:r>
        <w:rPr>
          <w:spacing w:val="-35"/>
        </w:rPr>
      </w:r>
      <w:r>
        <w:rPr/>
        <w:t>度终了进行减值测试。</w:t>
      </w:r>
      <w:r>
        <w:rPr>
          <w:w w:val="100"/>
        </w:rPr>
        <w:t> </w:t>
      </w:r>
      <w:r>
        <w:rPr>
          <w:spacing w:val="-2"/>
        </w:rPr>
        <w:t>本公司进行商誉减值测试，对于因企业合并形成的商誉的账面价值，自购买日起按</w:t>
      </w:r>
      <w:r>
        <w:rPr>
          <w:spacing w:val="-35"/>
        </w:rPr>
        <w:t> </w:t>
      </w:r>
      <w:r>
        <w:rPr>
          <w:spacing w:val="-35"/>
        </w:rPr>
      </w:r>
      <w:r>
        <w:rPr>
          <w:spacing w:val="-2"/>
        </w:rPr>
        <w:t>照合理的方法分摊至相关的资产组；难以分摊至相关的资产组的，将其分摊至相关</w:t>
      </w:r>
      <w:r>
        <w:rPr>
          <w:spacing w:val="-35"/>
        </w:rPr>
        <w:t> </w:t>
      </w:r>
      <w:r>
        <w:rPr>
          <w:spacing w:val="-35"/>
        </w:rPr>
      </w:r>
      <w:r>
        <w:rPr>
          <w:spacing w:val="-2"/>
        </w:rPr>
        <w:t>的资产组组合。本公司在分摊商誉的账面价值时，根据相关资产组或资产组组合能</w:t>
      </w:r>
      <w:r>
        <w:rPr>
          <w:spacing w:val="-35"/>
        </w:rPr>
        <w:t> </w:t>
      </w:r>
      <w:r>
        <w:rPr>
          <w:spacing w:val="-35"/>
        </w:rPr>
      </w:r>
      <w:r>
        <w:rPr>
          <w:spacing w:val="-2"/>
        </w:rPr>
        <w:t>够从企业合并的协同效应中获得的相对受益情况进行分摊，在此基础上进行商誉减</w:t>
      </w:r>
      <w:r>
        <w:rPr>
          <w:spacing w:val="-35"/>
        </w:rPr>
        <w:t> </w:t>
      </w:r>
      <w:r>
        <w:rPr>
          <w:spacing w:val="-35"/>
        </w:rPr>
      </w:r>
      <w:r>
        <w:rPr/>
        <w:t>值测试。</w:t>
      </w:r>
      <w:r>
        <w:rPr>
          <w:w w:val="100"/>
        </w:rPr>
        <w:t> </w:t>
      </w:r>
      <w:r>
        <w:rPr>
          <w:spacing w:val="-2"/>
        </w:rPr>
        <w:t>在对包含商誉的相关资产组或者资产组组合进行减值测试时，如与商誉相关的资产</w:t>
      </w:r>
    </w:p>
    <w:p>
      <w:pPr>
        <w:spacing w:after="0" w:line="350"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left="850" w:right="1825"/>
        <w:jc w:val="both"/>
      </w:pPr>
      <w:r>
        <w:rPr>
          <w:spacing w:val="-2"/>
        </w:rPr>
        <w:t>组或者资产组组合存在减值迹象的，先对不包含商誉的资产组或者资产组组合进行</w:t>
      </w:r>
      <w:r>
        <w:rPr>
          <w:spacing w:val="-35"/>
        </w:rPr>
        <w:t> </w:t>
      </w:r>
      <w:r>
        <w:rPr>
          <w:spacing w:val="-35"/>
        </w:rPr>
      </w:r>
      <w:r>
        <w:rPr>
          <w:spacing w:val="-2"/>
        </w:rPr>
        <w:t>减值测试，计算可收回金额，并与相关账面价值相比较，确认相应的减值损失。再</w:t>
      </w:r>
      <w:r>
        <w:rPr>
          <w:spacing w:val="-35"/>
        </w:rPr>
        <w:t> </w:t>
      </w:r>
      <w:r>
        <w:rPr>
          <w:spacing w:val="-35"/>
        </w:rPr>
      </w:r>
      <w:r>
        <w:rPr>
          <w:spacing w:val="-2"/>
        </w:rPr>
        <w:t>对包含商誉的资产组或者资产组组合进行减值测试，比较这些相关资产组或者资产</w:t>
      </w:r>
      <w:r>
        <w:rPr>
          <w:spacing w:val="-35"/>
        </w:rPr>
        <w:t> </w:t>
      </w:r>
      <w:r>
        <w:rPr>
          <w:spacing w:val="-35"/>
        </w:rPr>
      </w:r>
      <w:r>
        <w:rPr>
          <w:spacing w:val="-2"/>
        </w:rPr>
        <w:t>组组合的账面价值（包括所分摊的商誉的账面价值部分）与其可收回金额，如相关</w:t>
      </w:r>
      <w:r>
        <w:rPr>
          <w:spacing w:val="-35"/>
        </w:rPr>
        <w:t> </w:t>
      </w:r>
      <w:r>
        <w:rPr>
          <w:spacing w:val="-35"/>
        </w:rPr>
      </w:r>
      <w:r>
        <w:rPr>
          <w:spacing w:val="-2"/>
        </w:rPr>
        <w:t>资产组或者资产组组合的可收回金额低于其账面价值的，确认商誉的减值损失。上</w:t>
      </w:r>
      <w:r>
        <w:rPr>
          <w:spacing w:val="-35"/>
        </w:rPr>
        <w:t> </w:t>
      </w:r>
      <w:r>
        <w:rPr>
          <w:spacing w:val="-35"/>
        </w:rPr>
      </w:r>
      <w:r>
        <w:rPr/>
        <w:t>述资产减值损失一经确认，在以后会计期间不予转回。</w:t>
      </w:r>
    </w:p>
    <w:p>
      <w:pPr>
        <w:pStyle w:val="Heading5"/>
        <w:spacing w:line="240" w:lineRule="auto" w:before="27"/>
        <w:ind w:right="3683"/>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 </w:t>
      </w:r>
      <w:r>
        <w:rPr>
          <w:rFonts w:ascii="Times New Roman" w:hAnsi="Times New Roman" w:cs="Times New Roman" w:eastAsia="Times New Roman" w:hint="default"/>
          <w:spacing w:val="47"/>
        </w:rPr>
        <w:t> </w:t>
      </w:r>
      <w:r>
        <w:rPr/>
        <w:t>长期待摊费用</w:t>
      </w:r>
      <w:r>
        <w:rPr>
          <w:b w:val="0"/>
          <w:bCs w:val="0"/>
        </w:rPr>
      </w:r>
    </w:p>
    <w:p>
      <w:pPr>
        <w:pStyle w:val="BodyText"/>
        <w:spacing w:line="350" w:lineRule="auto" w:before="110"/>
        <w:ind w:left="850" w:right="1825"/>
        <w:jc w:val="both"/>
      </w:pPr>
      <w:r>
        <w:rPr>
          <w:spacing w:val="-2"/>
        </w:rPr>
        <w:t>长期待摊费用为已经发生但应由本期和以后各期负担的分摊期限在一年以上的各项</w:t>
      </w:r>
      <w:r>
        <w:rPr>
          <w:spacing w:val="-35"/>
        </w:rPr>
        <w:t> </w:t>
      </w:r>
      <w:r>
        <w:rPr>
          <w:spacing w:val="-35"/>
        </w:rPr>
      </w:r>
      <w:r>
        <w:rPr>
          <w:spacing w:val="-2"/>
        </w:rPr>
        <w:t>费用。本公司长期待摊费用包括固定资产改良支出、装修费等。长期待摊费用在受</w:t>
      </w:r>
      <w:r>
        <w:rPr>
          <w:spacing w:val="-35"/>
        </w:rPr>
        <w:t> </w:t>
      </w:r>
      <w:r>
        <w:rPr>
          <w:spacing w:val="-35"/>
        </w:rPr>
      </w:r>
      <w:r>
        <w:rPr/>
        <w:t>益期内平均摊销。</w:t>
      </w:r>
    </w:p>
    <w:p>
      <w:pPr>
        <w:pStyle w:val="Heading5"/>
        <w:spacing w:line="240" w:lineRule="auto" w:before="29"/>
        <w:ind w:right="3683"/>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职工薪酬</w:t>
      </w:r>
      <w:r>
        <w:rPr>
          <w:b w:val="0"/>
          <w:bCs w:val="0"/>
        </w:rPr>
      </w:r>
    </w:p>
    <w:p>
      <w:pPr>
        <w:pStyle w:val="BodyText"/>
        <w:tabs>
          <w:tab w:pos="1397" w:val="left" w:leader="none"/>
        </w:tabs>
        <w:spacing w:line="345" w:lineRule="auto" w:before="110"/>
        <w:ind w:right="1786" w:hanging="569"/>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短期薪酬的会计处理方法</w:t>
      </w:r>
      <w:r>
        <w:rPr>
          <w:rFonts w:ascii="宋体" w:hAnsi="宋体" w:cs="宋体" w:eastAsia="宋体" w:hint="default"/>
          <w:b/>
          <w:bCs/>
          <w:spacing w:val="-94"/>
        </w:rPr>
        <w:t> </w:t>
      </w:r>
      <w:r>
        <w:rPr>
          <w:rFonts w:ascii="宋体" w:hAnsi="宋体" w:cs="宋体" w:eastAsia="宋体" w:hint="default"/>
          <w:b/>
          <w:bCs/>
          <w:spacing w:val="-94"/>
        </w:rPr>
      </w:r>
      <w:r>
        <w:rPr>
          <w:spacing w:val="-5"/>
          <w:w w:val="100"/>
        </w:rPr>
        <w:t>本公司在职工为本公司提供服务的会计期间，将实际发生的短期薪酬确认为负</w:t>
      </w:r>
      <w:r>
        <w:rPr>
          <w:w w:val="100"/>
        </w:rPr>
        <w:t> </w:t>
      </w:r>
      <w:r>
        <w:rPr/>
        <w:t>债，并计入当期损益或相关资产成本。</w:t>
      </w:r>
      <w:r>
        <w:rPr>
          <w:w w:val="100"/>
        </w:rPr>
        <w:t> </w:t>
      </w:r>
      <w:r>
        <w:rPr>
          <w:spacing w:val="-5"/>
          <w:w w:val="100"/>
        </w:rPr>
        <w:t>本公司为职工缴纳的社会保险费和住房公积金，以及按规定提取的工会经费和</w:t>
      </w:r>
      <w:r>
        <w:rPr>
          <w:w w:val="100"/>
        </w:rPr>
        <w:t> </w:t>
      </w:r>
      <w:r>
        <w:rPr>
          <w:spacing w:val="-5"/>
        </w:rPr>
        <w:t>职工教育经费，在职工为本公司提供服务的会计期间，根据规定的计提基础和</w:t>
      </w:r>
      <w:r>
        <w:rPr>
          <w:w w:val="100"/>
        </w:rPr>
        <w:t> </w:t>
      </w:r>
      <w:r>
        <w:rPr/>
        <w:t>计提比例计算确定相应的职工薪酬金额。</w:t>
      </w:r>
      <w:r>
        <w:rPr>
          <w:w w:val="100"/>
        </w:rPr>
        <w:t> </w:t>
      </w:r>
      <w:r>
        <w:rPr/>
        <w:t>职工福利费为非货币性福利的，如能够可靠计量的，按照公允价值计量。</w:t>
      </w:r>
    </w:p>
    <w:p>
      <w:pPr>
        <w:pStyle w:val="Heading5"/>
        <w:spacing w:line="240" w:lineRule="auto" w:before="31"/>
        <w:ind w:left="846" w:right="0"/>
        <w:jc w:val="both"/>
        <w:rPr>
          <w:b w:val="0"/>
          <w:bCs w:val="0"/>
        </w:rPr>
      </w:pPr>
      <w:r>
        <w:rPr>
          <w:rFonts w:ascii="Times New Roman" w:hAnsi="Times New Roman" w:cs="Times New Roman" w:eastAsia="Times New Roman" w:hint="default"/>
        </w:rPr>
        <w:t>2</w:t>
      </w:r>
      <w:r>
        <w:rPr/>
        <w:t>、 </w:t>
      </w:r>
      <w:r>
        <w:rPr>
          <w:spacing w:val="22"/>
        </w:rPr>
        <w:t> </w:t>
      </w:r>
      <w:r>
        <w:rPr/>
        <w:t>离职后福利的会计处理方法</w:t>
      </w:r>
      <w:r>
        <w:rPr>
          <w:b w:val="0"/>
          <w:bCs w:val="0"/>
        </w:rPr>
      </w:r>
    </w:p>
    <w:p>
      <w:pPr>
        <w:pStyle w:val="BodyText"/>
        <w:spacing w:line="345" w:lineRule="auto" w:before="110"/>
        <w:ind w:right="1468"/>
        <w:jc w:val="left"/>
      </w:pPr>
      <w:r>
        <w:rPr/>
        <w:t>（</w:t>
      </w:r>
      <w:r>
        <w:rPr>
          <w:rFonts w:ascii="Times New Roman" w:hAnsi="Times New Roman" w:cs="Times New Roman" w:eastAsia="Times New Roman" w:hint="default"/>
        </w:rPr>
        <w:t>1</w:t>
      </w:r>
      <w:r>
        <w:rPr/>
        <w:t>）设定提存计划</w:t>
      </w:r>
      <w:r>
        <w:rPr>
          <w:w w:val="100"/>
        </w:rPr>
        <w:t> </w:t>
      </w:r>
      <w:r>
        <w:rPr>
          <w:spacing w:val="-5"/>
          <w:w w:val="100"/>
        </w:rPr>
        <w:t>本公司按当地政府的相关规定为职工缴纳基本养老保险和失业保险，在职工为</w:t>
      </w:r>
      <w:r>
        <w:rPr>
          <w:spacing w:val="-88"/>
          <w:w w:val="100"/>
        </w:rPr>
        <w:t> </w:t>
      </w:r>
      <w:r>
        <w:rPr>
          <w:spacing w:val="-88"/>
          <w:w w:val="100"/>
        </w:rPr>
      </w:r>
      <w:r>
        <w:rPr/>
        <w:t>本公司提供服务的会计期间，按以当地规定的缴纳基数和比例计算应缴纳金</w:t>
      </w:r>
      <w:r>
        <w:rPr>
          <w:w w:val="100"/>
        </w:rPr>
        <w:t> </w:t>
      </w:r>
      <w:r>
        <w:rPr/>
        <w:t>额，确认为负债，并计入当期损益或相关资产成本。</w:t>
      </w:r>
      <w:r>
        <w:rPr>
          <w:w w:val="100"/>
        </w:rPr>
        <w:t> </w:t>
      </w:r>
      <w:r>
        <w:rPr>
          <w:spacing w:val="-5"/>
          <w:w w:val="100"/>
        </w:rPr>
        <w:t>除基本养老保险外，本公司还依据国家企业年金制度的相关政策建立了企业年</w:t>
      </w:r>
      <w:r>
        <w:rPr>
          <w:spacing w:val="-84"/>
          <w:w w:val="100"/>
        </w:rPr>
        <w:t> </w:t>
      </w:r>
      <w:r>
        <w:rPr>
          <w:spacing w:val="-84"/>
          <w:w w:val="100"/>
        </w:rPr>
      </w:r>
      <w:r>
        <w:rPr>
          <w:spacing w:val="-5"/>
          <w:w w:val="100"/>
        </w:rPr>
        <w:t>金缴费制度（补充养老保险）。本公司按职工工资总额的一定比例向当地社会</w:t>
      </w:r>
      <w:r>
        <w:rPr>
          <w:spacing w:val="-87"/>
          <w:w w:val="100"/>
        </w:rPr>
        <w:t> </w:t>
      </w:r>
      <w:r>
        <w:rPr>
          <w:spacing w:val="-87"/>
          <w:w w:val="100"/>
        </w:rPr>
      </w:r>
      <w:r>
        <w:rPr/>
        <w:t>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45" w:lineRule="auto" w:before="7"/>
        <w:ind w:right="1468"/>
        <w:jc w:val="left"/>
      </w:pPr>
      <w:r>
        <w:rPr/>
        <w:t>（</w:t>
      </w:r>
      <w:r>
        <w:rPr>
          <w:rFonts w:ascii="Times New Roman" w:hAnsi="Times New Roman" w:cs="Times New Roman" w:eastAsia="Times New Roman" w:hint="default"/>
        </w:rPr>
        <w:t>2</w:t>
      </w:r>
      <w:r>
        <w:rPr/>
        <w:t>）设定受益计划</w:t>
      </w:r>
      <w:r>
        <w:rPr>
          <w:w w:val="100"/>
        </w:rPr>
        <w:t> </w:t>
      </w:r>
      <w:r>
        <w:rPr/>
        <w:t>本公司根据预期累计福利单位法确定的公式将设定受益计划产生的福利义务</w:t>
      </w:r>
      <w:r>
        <w:rPr>
          <w:w w:val="100"/>
        </w:rPr>
        <w:t> </w:t>
      </w:r>
      <w:r>
        <w:rPr/>
        <w:t>归属于职工提供服务的期间，并计入当期损益或相关资产成本。</w:t>
      </w:r>
      <w:r>
        <w:rPr>
          <w:w w:val="100"/>
        </w:rPr>
        <w:t> </w:t>
      </w:r>
      <w:r>
        <w:rPr/>
        <w:t>设定受益计划义务现值减去设定受益计划资产公允价值所形成的赤字或盈余</w:t>
      </w:r>
      <w:r>
        <w:rPr>
          <w:w w:val="100"/>
        </w:rPr>
        <w:t> </w:t>
      </w:r>
      <w:r>
        <w:rPr>
          <w:spacing w:val="-5"/>
        </w:rPr>
        <w:t>确认为一项设定受益计划净负债或净资产。设定受益计划存在盈余的，本公司</w:t>
      </w:r>
      <w:r>
        <w:rPr>
          <w:spacing w:val="-46"/>
        </w:rPr>
        <w:t> </w:t>
      </w:r>
      <w:r>
        <w:rPr>
          <w:spacing w:val="-46"/>
        </w:rPr>
      </w:r>
      <w:r>
        <w:rPr/>
        <w:t>以设定受益计划的盈余和资产上限两项的孰低者计量设定受益计划净资产。</w:t>
      </w:r>
      <w:r>
        <w:rPr>
          <w:w w:val="100"/>
        </w:rPr>
        <w:t> </w:t>
      </w:r>
      <w:r>
        <w:rPr>
          <w:spacing w:val="-5"/>
          <w:w w:val="100"/>
        </w:rPr>
        <w:t>所有设定受益计划义务，包括预期在职工提供服务的年度报告期间结束后的十</w:t>
      </w:r>
      <w:r>
        <w:rPr>
          <w:spacing w:val="-84"/>
          <w:w w:val="100"/>
        </w:rPr>
        <w:t> </w:t>
      </w:r>
      <w:r>
        <w:rPr>
          <w:spacing w:val="-84"/>
          <w:w w:val="100"/>
        </w:rPr>
      </w:r>
      <w:r>
        <w:rPr>
          <w:spacing w:val="-5"/>
          <w:w w:val="100"/>
        </w:rPr>
        <w:t>二个月内支付的义务，根据资产负债表日与设定受益计划义务期限和币种相匹</w:t>
      </w:r>
    </w:p>
    <w:p>
      <w:pPr>
        <w:spacing w:after="0" w:line="345"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right="1468"/>
        <w:jc w:val="left"/>
      </w:pPr>
      <w:r>
        <w:rPr/>
        <w:t>配的国债或活跃市场上的高质量公司债券的市场收益率予以折现。</w:t>
      </w:r>
      <w:r>
        <w:rPr>
          <w:w w:val="100"/>
        </w:rPr>
        <w:t> </w:t>
      </w:r>
      <w:r>
        <w:rPr/>
        <w:t>设定受益计划产生的服务成本和设定受益计划净负债或净资产的利息净额计</w:t>
      </w:r>
      <w:r>
        <w:rPr>
          <w:w w:val="100"/>
        </w:rPr>
        <w:t> </w:t>
      </w:r>
      <w:r>
        <w:rPr>
          <w:spacing w:val="-5"/>
          <w:w w:val="100"/>
        </w:rPr>
        <w:t>入当期损益或相关资产成本；重新计量设定受益计划净负债或净资产所产生的</w:t>
      </w:r>
      <w:r>
        <w:rPr>
          <w:spacing w:val="-85"/>
          <w:w w:val="100"/>
        </w:rPr>
        <w:t> </w:t>
      </w:r>
      <w:r>
        <w:rPr>
          <w:spacing w:val="-85"/>
          <w:w w:val="100"/>
        </w:rPr>
      </w:r>
      <w:r>
        <w:rPr>
          <w:spacing w:val="-5"/>
        </w:rPr>
        <w:t>变动计入其他综合收益，并且在后续会计期间不转回至损益，在原设定受益计</w:t>
      </w:r>
      <w:r>
        <w:rPr>
          <w:spacing w:val="-46"/>
        </w:rPr>
        <w:t> </w:t>
      </w:r>
      <w:r>
        <w:rPr>
          <w:spacing w:val="-46"/>
        </w:rPr>
      </w:r>
      <w:r>
        <w:rPr>
          <w:spacing w:val="-2"/>
        </w:rPr>
        <w:t>划终止时在权益范围内将原计入其他综合收益的部分全部结转至未分配利润。</w:t>
      </w:r>
      <w:r>
        <w:rPr>
          <w:spacing w:val="-42"/>
        </w:rPr>
        <w:t> </w:t>
      </w:r>
      <w:r>
        <w:rPr>
          <w:spacing w:val="-42"/>
        </w:rPr>
      </w:r>
      <w:r>
        <w:rPr>
          <w:spacing w:val="-5"/>
          <w:w w:val="100"/>
        </w:rPr>
        <w:t>在设定受益计划结算时，按在结算日确定的设定受益计划义务现值和结算价格</w:t>
      </w:r>
      <w:r>
        <w:rPr>
          <w:spacing w:val="-84"/>
          <w:w w:val="100"/>
        </w:rPr>
        <w:t> </w:t>
      </w:r>
      <w:r>
        <w:rPr>
          <w:spacing w:val="-84"/>
          <w:w w:val="100"/>
        </w:rPr>
      </w:r>
      <w:r>
        <w:rPr/>
        <w:t>两者的差额，确认结算利得或损失。</w:t>
      </w:r>
    </w:p>
    <w:p>
      <w:pPr>
        <w:pStyle w:val="BodyText"/>
        <w:tabs>
          <w:tab w:pos="1397" w:val="left" w:leader="none"/>
        </w:tabs>
        <w:spacing w:line="343" w:lineRule="auto" w:before="29"/>
        <w:ind w:right="1789" w:hanging="569"/>
        <w:jc w:val="left"/>
      </w:pPr>
      <w:r>
        <w:rPr>
          <w:rFonts w:ascii="Times New Roman" w:hAnsi="Times New Roman" w:cs="Times New Roman" w:eastAsia="Times New Roman" w:hint="default"/>
          <w:b/>
          <w:bCs/>
        </w:rPr>
        <w:t>3</w:t>
      </w:r>
      <w:r>
        <w:rPr>
          <w:rFonts w:ascii="宋体" w:hAnsi="宋体" w:cs="宋体" w:eastAsia="宋体" w:hint="default"/>
          <w:b/>
          <w:bCs/>
        </w:rPr>
        <w:t>、</w:t>
        <w:tab/>
      </w:r>
      <w:r>
        <w:rPr>
          <w:rFonts w:ascii="宋体" w:hAnsi="宋体" w:cs="宋体" w:eastAsia="宋体" w:hint="default"/>
          <w:b/>
          <w:bCs/>
          <w:spacing w:val="-1"/>
        </w:rPr>
        <w:t>辞退福利的会计处理方法</w:t>
      </w:r>
      <w:r>
        <w:rPr>
          <w:rFonts w:ascii="宋体" w:hAnsi="宋体" w:cs="宋体" w:eastAsia="宋体" w:hint="default"/>
          <w:b/>
          <w:bCs/>
          <w:spacing w:val="-94"/>
        </w:rPr>
        <w:t> </w:t>
      </w:r>
      <w:r>
        <w:rPr>
          <w:rFonts w:ascii="宋体" w:hAnsi="宋体" w:cs="宋体" w:eastAsia="宋体" w:hint="default"/>
          <w:b/>
          <w:bCs/>
          <w:spacing w:val="-94"/>
        </w:rPr>
      </w:r>
      <w:r>
        <w:rPr/>
        <w:t>本公司在不能单方面撤回因解除劳动关系计划或裁减建议所提供的辞退福利</w:t>
      </w:r>
      <w:r>
        <w:rPr>
          <w:w w:val="100"/>
        </w:rPr>
        <w:t> </w:t>
      </w:r>
      <w:r>
        <w:rPr>
          <w:spacing w:val="-5"/>
          <w:w w:val="100"/>
        </w:rPr>
        <w:t>时，或确认与涉及支付辞退福利的重组相关的成本或费用时（两者孰早），确</w:t>
      </w:r>
      <w:r>
        <w:rPr>
          <w:w w:val="100"/>
        </w:rPr>
        <w:t> </w:t>
      </w:r>
      <w:r>
        <w:rPr/>
        <w:t>认辞退福利产生的职工薪酬负债，并计入当期损益。</w:t>
      </w:r>
    </w:p>
    <w:p>
      <w:pPr>
        <w:pStyle w:val="BodyText"/>
        <w:tabs>
          <w:tab w:pos="1397" w:val="left" w:leader="none"/>
        </w:tabs>
        <w:spacing w:line="343" w:lineRule="auto" w:before="35"/>
        <w:ind w:right="1712" w:hanging="569"/>
        <w:jc w:val="left"/>
      </w:pPr>
      <w:r>
        <w:rPr>
          <w:rFonts w:ascii="Times New Roman" w:hAnsi="Times New Roman" w:cs="Times New Roman" w:eastAsia="Times New Roman" w:hint="default"/>
          <w:b/>
          <w:bCs/>
        </w:rPr>
        <w:t>4</w:t>
      </w:r>
      <w:r>
        <w:rPr>
          <w:rFonts w:ascii="宋体" w:hAnsi="宋体" w:cs="宋体" w:eastAsia="宋体" w:hint="default"/>
          <w:b/>
          <w:bCs/>
        </w:rPr>
        <w:t>、</w:t>
        <w:tab/>
      </w:r>
      <w:r>
        <w:rPr>
          <w:rFonts w:ascii="宋体" w:hAnsi="宋体" w:cs="宋体" w:eastAsia="宋体" w:hint="default"/>
          <w:b/>
          <w:bCs/>
          <w:spacing w:val="-1"/>
        </w:rPr>
        <w:t>其他长期职工福利的会计处理方法</w:t>
      </w:r>
      <w:r>
        <w:rPr>
          <w:rFonts w:ascii="宋体" w:hAnsi="宋体" w:cs="宋体" w:eastAsia="宋体" w:hint="default"/>
          <w:b/>
          <w:bCs/>
          <w:spacing w:val="-92"/>
        </w:rPr>
        <w:t> </w:t>
      </w:r>
      <w:r>
        <w:rPr>
          <w:rFonts w:ascii="宋体" w:hAnsi="宋体" w:cs="宋体" w:eastAsia="宋体" w:hint="default"/>
          <w:b/>
          <w:bCs/>
          <w:spacing w:val="-92"/>
        </w:rPr>
      </w:r>
      <w:r>
        <w:rPr>
          <w:spacing w:val="-5"/>
        </w:rPr>
        <w:t>本公司向职工提供的其他长期职工福利，符合设定提存计划条件的，应当按照</w:t>
      </w:r>
      <w:r>
        <w:rPr>
          <w:w w:val="100"/>
        </w:rPr>
        <w:t> </w:t>
      </w:r>
      <w:r>
        <w:rPr>
          <w:spacing w:val="-2"/>
        </w:rPr>
        <w:t>有关设定提存计划的规定进行处理；除此外，根据设定受益计划的有关规定，</w:t>
      </w:r>
      <w:r>
        <w:rPr>
          <w:w w:val="100"/>
        </w:rPr>
        <w:t> </w:t>
      </w:r>
      <w:r>
        <w:rPr/>
        <w:t>确认和计量其他长期职工福利净负债或净资产。</w:t>
      </w:r>
    </w:p>
    <w:p>
      <w:pPr>
        <w:pStyle w:val="Heading5"/>
        <w:spacing w:line="240" w:lineRule="auto" w:before="33"/>
        <w:ind w:right="3683"/>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预计负债</w:t>
      </w:r>
      <w:r>
        <w:rPr>
          <w:b w:val="0"/>
          <w:bCs w:val="0"/>
        </w:rPr>
      </w:r>
    </w:p>
    <w:p>
      <w:pPr>
        <w:tabs>
          <w:tab w:pos="1397" w:val="left" w:leader="none"/>
        </w:tabs>
        <w:spacing w:line="338" w:lineRule="auto" w:before="110"/>
        <w:ind w:left="1414" w:right="1791"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预计负债的确认标准</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5"/>
          <w:sz w:val="21"/>
          <w:szCs w:val="21"/>
        </w:rPr>
        <w:t>与诉讼、债务担保、亏损合同、重组事项等或有事项相关的义务同时满足下列</w:t>
      </w:r>
      <w:r>
        <w:rPr>
          <w:rFonts w:ascii="宋体" w:hAnsi="宋体" w:cs="宋体" w:eastAsia="宋体" w:hint="default"/>
          <w:w w:val="100"/>
          <w:sz w:val="21"/>
          <w:szCs w:val="21"/>
        </w:rPr>
        <w:t> </w:t>
      </w:r>
      <w:r>
        <w:rPr>
          <w:rFonts w:ascii="宋体" w:hAnsi="宋体" w:cs="宋体" w:eastAsia="宋体" w:hint="default"/>
          <w:sz w:val="21"/>
          <w:szCs w:val="21"/>
        </w:rPr>
        <w:t>条件时，本公司确认为预计负债：</w:t>
      </w:r>
    </w:p>
    <w:p>
      <w:pPr>
        <w:pStyle w:val="BodyText"/>
        <w:spacing w:line="240" w:lineRule="auto" w:before="40"/>
        <w:ind w:right="3683"/>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10"/>
        <w:ind w:right="3683"/>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07"/>
        <w:ind w:right="3683"/>
        <w:jc w:val="left"/>
      </w:pPr>
      <w:r>
        <w:rPr/>
        <w:t>（</w:t>
      </w:r>
      <w:r>
        <w:rPr>
          <w:rFonts w:ascii="Times New Roman" w:hAnsi="Times New Roman" w:cs="Times New Roman" w:eastAsia="Times New Roman" w:hint="default"/>
        </w:rPr>
        <w:t>3</w:t>
      </w:r>
      <w:r>
        <w:rPr/>
        <w:t>）该义务的金额能够可靠地计量。</w:t>
      </w:r>
    </w:p>
    <w:p>
      <w:pPr>
        <w:pStyle w:val="BodyText"/>
        <w:tabs>
          <w:tab w:pos="1397" w:val="left" w:leader="none"/>
        </w:tabs>
        <w:spacing w:line="345" w:lineRule="auto" w:before="110"/>
        <w:ind w:right="1712" w:hanging="569"/>
        <w:jc w:val="left"/>
      </w:pPr>
      <w:r>
        <w:rPr>
          <w:rFonts w:ascii="Times New Roman" w:hAnsi="Times New Roman" w:cs="Times New Roman" w:eastAsia="Times New Roman" w:hint="default"/>
          <w:b/>
          <w:bCs/>
        </w:rPr>
        <w:t>2</w:t>
      </w:r>
      <w:r>
        <w:rPr>
          <w:rFonts w:ascii="宋体" w:hAnsi="宋体" w:cs="宋体" w:eastAsia="宋体" w:hint="default"/>
          <w:b/>
          <w:bCs/>
        </w:rPr>
        <w:t>、</w:t>
        <w:tab/>
      </w:r>
      <w:r>
        <w:rPr>
          <w:rFonts w:ascii="宋体" w:hAnsi="宋体" w:cs="宋体" w:eastAsia="宋体" w:hint="default"/>
          <w:b/>
          <w:bCs/>
          <w:spacing w:val="-1"/>
        </w:rPr>
        <w:t>各类预计负债的计量方法</w:t>
      </w:r>
      <w:r>
        <w:rPr>
          <w:rFonts w:ascii="宋体" w:hAnsi="宋体" w:cs="宋体" w:eastAsia="宋体" w:hint="default"/>
          <w:b/>
          <w:bCs/>
          <w:spacing w:val="-94"/>
        </w:rPr>
        <w:t> </w:t>
      </w:r>
      <w:r>
        <w:rPr>
          <w:rFonts w:ascii="宋体" w:hAnsi="宋体" w:cs="宋体" w:eastAsia="宋体" w:hint="default"/>
          <w:b/>
          <w:bCs/>
          <w:spacing w:val="-94"/>
        </w:rPr>
      </w:r>
      <w:r>
        <w:rPr>
          <w:spacing w:val="-2"/>
        </w:rPr>
        <w:t>本公司预计负债按履行相关现时义务所需的支出的最佳估计数进行初始计量。</w:t>
      </w:r>
      <w:r>
        <w:rPr>
          <w:w w:val="100"/>
        </w:rPr>
        <w:t> </w:t>
      </w:r>
      <w:r>
        <w:rPr>
          <w:spacing w:val="-5"/>
        </w:rPr>
        <w:t>本公司在确定最佳估计数时，综合考虑与或有事项有关的风险、不确定性和货</w:t>
      </w:r>
      <w:r>
        <w:rPr>
          <w:w w:val="100"/>
        </w:rPr>
        <w:t> </w:t>
      </w:r>
      <w:r>
        <w:rPr>
          <w:spacing w:val="-5"/>
        </w:rPr>
        <w:t>币时间价值等因素。对于货币时间价值影响重大的，通过对相关未来现金流出</w:t>
      </w:r>
      <w:r>
        <w:rPr>
          <w:w w:val="100"/>
        </w:rPr>
        <w:t> </w:t>
      </w:r>
      <w:r>
        <w:rPr/>
        <w:t>进行折现后确定最佳估计数。</w:t>
      </w:r>
    </w:p>
    <w:p>
      <w:pPr>
        <w:pStyle w:val="BodyText"/>
        <w:spacing w:line="350" w:lineRule="auto" w:before="31"/>
        <w:ind w:right="1468"/>
        <w:jc w:val="left"/>
      </w:pPr>
      <w:r>
        <w:rPr/>
        <w:t>最佳估计数分别以下情况处理：</w:t>
      </w:r>
      <w:r>
        <w:rPr>
          <w:w w:val="100"/>
        </w:rPr>
        <w:t> </w:t>
      </w:r>
      <w:r>
        <w:rPr>
          <w:spacing w:val="-5"/>
          <w:w w:val="100"/>
        </w:rPr>
        <w:t>所需支出存在一个连续范围（或区间），且该范围内各种结果发生的可能性相</w:t>
      </w:r>
      <w:r>
        <w:rPr>
          <w:spacing w:val="-87"/>
          <w:w w:val="100"/>
        </w:rPr>
        <w:t> </w:t>
      </w:r>
      <w:r>
        <w:rPr>
          <w:spacing w:val="-87"/>
          <w:w w:val="100"/>
        </w:rPr>
      </w:r>
      <w:r>
        <w:rPr/>
        <w:t>同的，则最佳估计数按照该范围的中间值即上下限金额的平均数确定。</w:t>
      </w:r>
      <w:r>
        <w:rPr>
          <w:w w:val="100"/>
        </w:rPr>
        <w:t> </w:t>
      </w:r>
      <w:r>
        <w:rPr>
          <w:spacing w:val="-5"/>
          <w:w w:val="100"/>
        </w:rPr>
        <w:t>所需支出不存在一个连续范围（或区间），或虽然存在一个连续范围但该范围</w:t>
      </w:r>
      <w:r>
        <w:rPr>
          <w:spacing w:val="-86"/>
          <w:w w:val="100"/>
        </w:rPr>
        <w:t> </w:t>
      </w:r>
      <w:r>
        <w:rPr>
          <w:spacing w:val="-86"/>
          <w:w w:val="100"/>
        </w:rPr>
      </w:r>
      <w:r>
        <w:rPr>
          <w:spacing w:val="-5"/>
        </w:rPr>
        <w:t>内各种结果发生的可能性不相同的，如或有事项涉及单个项目的，则最佳估计</w:t>
      </w:r>
      <w:r>
        <w:rPr>
          <w:spacing w:val="-47"/>
        </w:rPr>
        <w:t> </w:t>
      </w:r>
      <w:r>
        <w:rPr>
          <w:spacing w:val="-47"/>
        </w:rPr>
      </w:r>
      <w:r>
        <w:rPr>
          <w:spacing w:val="-5"/>
        </w:rPr>
        <w:t>数按照最可能发生金额确定；如或有事项涉及多个项目的，则最佳估计数按各</w:t>
      </w:r>
      <w:r>
        <w:rPr>
          <w:spacing w:val="-45"/>
        </w:rPr>
        <w:t> </w:t>
      </w:r>
      <w:r>
        <w:rPr>
          <w:spacing w:val="-45"/>
        </w:rPr>
      </w:r>
      <w:r>
        <w:rPr/>
        <w:t>种可能结果及相关概率计算确定。</w:t>
      </w:r>
    </w:p>
    <w:p>
      <w:pPr>
        <w:spacing w:after="0" w:line="350"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right="1786"/>
        <w:jc w:val="both"/>
      </w:pPr>
      <w:r>
        <w:rPr>
          <w:spacing w:val="-5"/>
          <w:w w:val="100"/>
        </w:rPr>
        <w:t>本公司清偿预计负债所需支出全部或部分预期由第三方补偿的，补偿金额在基</w:t>
      </w:r>
      <w:r>
        <w:rPr>
          <w:spacing w:val="-85"/>
          <w:w w:val="100"/>
        </w:rPr>
        <w:t> </w:t>
      </w:r>
      <w:r>
        <w:rPr>
          <w:spacing w:val="-85"/>
          <w:w w:val="100"/>
        </w:rPr>
      </w:r>
      <w:r>
        <w:rPr>
          <w:spacing w:val="-5"/>
        </w:rPr>
        <w:t>本确定能够收到时，作为资产单独确认，确认的补偿金额不超过预计负债的账</w:t>
      </w:r>
      <w:r>
        <w:rPr>
          <w:spacing w:val="-47"/>
        </w:rPr>
        <w:t> </w:t>
      </w:r>
      <w:r>
        <w:rPr>
          <w:spacing w:val="-47"/>
        </w:rPr>
      </w:r>
      <w:r>
        <w:rPr/>
        <w:t>面价值。</w:t>
      </w:r>
    </w:p>
    <w:p>
      <w:pPr>
        <w:pStyle w:val="Heading5"/>
        <w:spacing w:line="240" w:lineRule="auto" w:before="27"/>
        <w:ind w:right="3683"/>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股份支付</w:t>
      </w:r>
      <w:r>
        <w:rPr>
          <w:b w:val="0"/>
          <w:bCs w:val="0"/>
        </w:rPr>
      </w:r>
    </w:p>
    <w:p>
      <w:pPr>
        <w:pStyle w:val="BodyText"/>
        <w:spacing w:line="350" w:lineRule="auto" w:before="110"/>
        <w:ind w:left="846" w:right="1468" w:firstLine="4"/>
        <w:jc w:val="left"/>
      </w:pPr>
      <w:r>
        <w:rPr/>
        <w:t>本公司的股份支付是为了获取职工或其他方提供服务而授予权益工具或者承担以权</w:t>
      </w:r>
      <w:r>
        <w:rPr>
          <w:w w:val="100"/>
        </w:rPr>
        <w:t> </w:t>
      </w:r>
      <w:r>
        <w:rPr/>
        <w:t>益工具为基础确定的负债的交易。本公司的股份支付为以权益结算的股份支付。</w:t>
      </w:r>
      <w:r>
        <w:rPr>
          <w:w w:val="100"/>
        </w:rPr>
        <w:t> </w:t>
      </w:r>
      <w:r>
        <w:rPr>
          <w:rFonts w:ascii="宋体" w:hAnsi="宋体" w:cs="宋体" w:eastAsia="宋体" w:hint="default"/>
          <w:b/>
          <w:bCs/>
        </w:rPr>
        <w:t>以权益结算的股份支付及权益工具</w:t>
      </w:r>
      <w:r>
        <w:rPr>
          <w:rFonts w:ascii="宋体" w:hAnsi="宋体" w:cs="宋体" w:eastAsia="宋体" w:hint="default"/>
          <w:b/>
          <w:bCs/>
          <w:w w:val="100"/>
        </w:rPr>
        <w:t> </w:t>
      </w:r>
      <w:r>
        <w:rPr>
          <w:spacing w:val="-4"/>
        </w:rPr>
        <w:t>以权益结算的股份支付换取职工提供服务的，以授予职工权益工具的公允价值计量。</w:t>
      </w:r>
      <w:r>
        <w:rPr>
          <w:spacing w:val="-26"/>
        </w:rPr>
        <w:t> </w:t>
      </w:r>
      <w:r>
        <w:rPr>
          <w:spacing w:val="-26"/>
        </w:rPr>
      </w:r>
      <w:r>
        <w:rPr/>
        <w:t>存在活跃市场的，按照活跃市场中的报价确定；不存在活跃市场的，采用估值技术</w:t>
      </w:r>
      <w:r>
        <w:rPr>
          <w:w w:val="100"/>
        </w:rPr>
        <w:t> </w:t>
      </w:r>
      <w:r>
        <w:rPr/>
        <w:t>确定，包括参考熟悉情况并自愿交易的各方最近进行的市场交易中使用的价格、参</w:t>
      </w:r>
      <w:r>
        <w:rPr>
          <w:w w:val="100"/>
        </w:rPr>
        <w:t> </w:t>
      </w:r>
      <w:r>
        <w:rPr>
          <w:spacing w:val="-4"/>
        </w:rPr>
        <w:t>照实质上相同的其他金融工具的当前公允价值、现金流量折现法和期权定价模型等。</w:t>
      </w:r>
      <w:r>
        <w:rPr>
          <w:spacing w:val="-25"/>
        </w:rPr>
        <w:t> </w:t>
      </w:r>
      <w:r>
        <w:rPr>
          <w:spacing w:val="-25"/>
        </w:rPr>
      </w:r>
      <w:r>
        <w:rPr/>
        <w:t>在各个资产负债表日，根据最新取得的可行权人数变动、业绩指标完成情况等后续</w:t>
      </w:r>
      <w:r>
        <w:rPr>
          <w:w w:val="100"/>
        </w:rPr>
        <w:t> </w:t>
      </w:r>
      <w:r>
        <w:rPr/>
        <w:t>信息，修正预计可行权的股票期权数量，并以此为依据确认各期应分摊的费用。对</w:t>
      </w:r>
      <w:r>
        <w:rPr>
          <w:w w:val="100"/>
        </w:rPr>
        <w:t> </w:t>
      </w:r>
      <w:r>
        <w:rPr/>
        <w:t>于跨越多个会计期间的期权费用，一般可以按照该期权在某会计期间内等待期长度</w:t>
      </w:r>
      <w:r>
        <w:rPr>
          <w:w w:val="100"/>
        </w:rPr>
        <w:t> </w:t>
      </w:r>
      <w:r>
        <w:rPr/>
        <w:t>占整个等待期长度的比例进行分摊。</w:t>
      </w:r>
    </w:p>
    <w:p>
      <w:pPr>
        <w:pStyle w:val="Heading5"/>
        <w:spacing w:line="240" w:lineRule="auto" w:before="27"/>
        <w:ind w:right="3683"/>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收入</w:t>
      </w:r>
      <w:r>
        <w:rPr>
          <w:b w:val="0"/>
          <w:bCs w:val="0"/>
        </w:rPr>
      </w:r>
    </w:p>
    <w:p>
      <w:pPr>
        <w:pStyle w:val="BodyText"/>
        <w:spacing w:line="240" w:lineRule="auto" w:before="110"/>
        <w:ind w:left="850" w:right="1468"/>
        <w:jc w:val="left"/>
      </w:pPr>
      <w:r>
        <w:rPr>
          <w:spacing w:val="-4"/>
        </w:rPr>
        <w:t>本公司的营业收入主要包括产品销售、租金收入及劳务收入等，收入确认政策如下：</w:t>
      </w:r>
    </w:p>
    <w:p>
      <w:pPr>
        <w:pStyle w:val="BodyText"/>
        <w:tabs>
          <w:tab w:pos="1397" w:val="left" w:leader="none"/>
        </w:tabs>
        <w:spacing w:line="345" w:lineRule="auto" w:before="126"/>
        <w:ind w:right="1786" w:hanging="569"/>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产品销售（含材料销售）</w:t>
      </w:r>
      <w:r>
        <w:rPr>
          <w:rFonts w:ascii="宋体" w:hAnsi="宋体" w:cs="宋体" w:eastAsia="宋体" w:hint="default"/>
          <w:b/>
          <w:bCs/>
          <w:spacing w:val="-94"/>
        </w:rPr>
        <w:t> </w:t>
      </w:r>
      <w:r>
        <w:rPr>
          <w:rFonts w:ascii="宋体" w:hAnsi="宋体" w:cs="宋体" w:eastAsia="宋体" w:hint="default"/>
          <w:b/>
          <w:bCs/>
          <w:spacing w:val="-94"/>
        </w:rPr>
      </w:r>
      <w:r>
        <w:rPr>
          <w:spacing w:val="-5"/>
          <w:w w:val="100"/>
        </w:rPr>
        <w:t>本公司在已将产品所有权上的主要风险和报酬转移给购货方（通常为集团实体</w:t>
      </w:r>
      <w:r>
        <w:rPr>
          <w:w w:val="100"/>
        </w:rPr>
        <w:t> </w:t>
      </w:r>
      <w:r>
        <w:rPr>
          <w:spacing w:val="-5"/>
          <w:w w:val="100"/>
        </w:rPr>
        <w:t>向客户交付产品的当日）、本公司既没有保留通常与所有权相联系的继续管理</w:t>
      </w:r>
      <w:r>
        <w:rPr>
          <w:w w:val="100"/>
        </w:rPr>
        <w:t> </w:t>
      </w:r>
      <w:r>
        <w:rPr>
          <w:spacing w:val="-5"/>
        </w:rPr>
        <w:t>权、也没有对已售出的产品实施有效控制、而客户已接受产品或不存在其他影</w:t>
      </w:r>
      <w:r>
        <w:rPr>
          <w:w w:val="100"/>
        </w:rPr>
        <w:t> </w:t>
      </w:r>
      <w:r>
        <w:rPr>
          <w:spacing w:val="-5"/>
          <w:w w:val="100"/>
        </w:rPr>
        <w:t>响客户接受产品的未履行责任时确认，根据累计风险估计销售退回及计提产品</w:t>
      </w:r>
      <w:r>
        <w:rPr>
          <w:w w:val="100"/>
        </w:rPr>
        <w:t> </w:t>
      </w:r>
      <w:r>
        <w:rPr>
          <w:spacing w:val="-8"/>
          <w:w w:val="100"/>
        </w:rPr>
        <w:t>质量保证（预计负债、保用拨备）。</w:t>
      </w:r>
    </w:p>
    <w:p>
      <w:pPr>
        <w:pStyle w:val="Heading5"/>
        <w:tabs>
          <w:tab w:pos="1397" w:val="left" w:leader="none"/>
        </w:tabs>
        <w:spacing w:line="240" w:lineRule="auto" w:before="33"/>
        <w:ind w:left="846" w:right="3683"/>
        <w:jc w:val="left"/>
        <w:rPr>
          <w:b w:val="0"/>
          <w:bCs w:val="0"/>
        </w:rPr>
      </w:pPr>
      <w:r>
        <w:rPr>
          <w:rFonts w:ascii="Times New Roman" w:hAnsi="Times New Roman" w:cs="Times New Roman" w:eastAsia="Times New Roman" w:hint="default"/>
        </w:rPr>
        <w:t>2</w:t>
      </w:r>
      <w:r>
        <w:rPr/>
        <w:t>、</w:t>
        <w:tab/>
        <w:t>租金收入</w:t>
      </w:r>
      <w:r>
        <w:rPr>
          <w:b w:val="0"/>
          <w:bCs w:val="0"/>
        </w:rPr>
      </w:r>
    </w:p>
    <w:p>
      <w:pPr>
        <w:pStyle w:val="BodyText"/>
        <w:spacing w:line="240" w:lineRule="auto" w:before="107"/>
        <w:ind w:right="0"/>
        <w:jc w:val="both"/>
      </w:pPr>
      <w:r>
        <w:rPr/>
        <w:t>投资性房地产及固定资产出租收入，按照租赁合同在约定的租赁期限内确认。</w:t>
      </w:r>
    </w:p>
    <w:p>
      <w:pPr>
        <w:pStyle w:val="BodyText"/>
        <w:tabs>
          <w:tab w:pos="1397" w:val="left" w:leader="none"/>
        </w:tabs>
        <w:spacing w:line="343" w:lineRule="auto" w:before="126"/>
        <w:ind w:right="1786" w:hanging="569"/>
        <w:jc w:val="left"/>
      </w:pPr>
      <w:r>
        <w:rPr>
          <w:rFonts w:ascii="Times New Roman" w:hAnsi="Times New Roman" w:cs="Times New Roman" w:eastAsia="Times New Roman" w:hint="default"/>
          <w:b/>
          <w:bCs/>
        </w:rPr>
        <w:t>3</w:t>
      </w:r>
      <w:r>
        <w:rPr>
          <w:rFonts w:ascii="宋体" w:hAnsi="宋体" w:cs="宋体" w:eastAsia="宋体" w:hint="default"/>
          <w:b/>
          <w:bCs/>
        </w:rPr>
        <w:t>、</w:t>
        <w:tab/>
      </w:r>
      <w:r>
        <w:rPr>
          <w:rFonts w:ascii="宋体" w:hAnsi="宋体" w:cs="宋体" w:eastAsia="宋体" w:hint="default"/>
          <w:b/>
          <w:bCs/>
          <w:spacing w:val="-1"/>
        </w:rPr>
        <w:t>劳务收入（技术服务及维修服务）</w:t>
      </w:r>
      <w:r>
        <w:rPr>
          <w:rFonts w:ascii="宋体" w:hAnsi="宋体" w:cs="宋体" w:eastAsia="宋体" w:hint="default"/>
          <w:b/>
          <w:bCs/>
          <w:spacing w:val="-92"/>
        </w:rPr>
        <w:t> </w:t>
      </w:r>
      <w:r>
        <w:rPr>
          <w:rFonts w:ascii="宋体" w:hAnsi="宋体" w:cs="宋体" w:eastAsia="宋体" w:hint="default"/>
          <w:b/>
          <w:bCs/>
          <w:spacing w:val="-92"/>
        </w:rPr>
      </w:r>
      <w:r>
        <w:rPr>
          <w:spacing w:val="-5"/>
          <w:w w:val="100"/>
        </w:rPr>
        <w:t>本公司对外提供的劳务包括技术服务及维修服务，其中技术服务按照合同约定</w:t>
      </w:r>
      <w:r>
        <w:rPr>
          <w:w w:val="100"/>
        </w:rPr>
        <w:t> </w:t>
      </w:r>
      <w:r>
        <w:rPr>
          <w:spacing w:val="-5"/>
        </w:rPr>
        <w:t>条款，在提供技术服务后并开具发票后确认收入实现；维修服务在执行维修业</w:t>
      </w:r>
      <w:r>
        <w:rPr>
          <w:w w:val="100"/>
        </w:rPr>
        <w:t> </w:t>
      </w:r>
      <w:r>
        <w:rPr/>
        <w:t>务并交付产品时确认维修服务收入。</w:t>
      </w:r>
    </w:p>
    <w:p>
      <w:pPr>
        <w:pStyle w:val="Heading5"/>
        <w:spacing w:line="240" w:lineRule="auto" w:before="35"/>
        <w:ind w:right="3683"/>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政府补助</w:t>
      </w:r>
      <w:r>
        <w:rPr>
          <w:b w:val="0"/>
          <w:bCs w:val="0"/>
        </w:rPr>
      </w:r>
    </w:p>
    <w:p>
      <w:pPr>
        <w:pStyle w:val="BodyText"/>
        <w:tabs>
          <w:tab w:pos="1397" w:val="left" w:leader="none"/>
        </w:tabs>
        <w:spacing w:line="343" w:lineRule="auto" w:before="107"/>
        <w:ind w:right="1791" w:hanging="569"/>
        <w:jc w:val="left"/>
      </w:pPr>
      <w:r>
        <w:rPr>
          <w:rFonts w:ascii="Times New Roman" w:hAnsi="Times New Roman" w:cs="Times New Roman" w:eastAsia="Times New Roman" w:hint="default"/>
          <w:b/>
          <w:bCs/>
        </w:rPr>
        <w:t>1</w:t>
      </w:r>
      <w:r>
        <w:rPr>
          <w:rFonts w:ascii="宋体" w:hAnsi="宋体" w:cs="宋体" w:eastAsia="宋体" w:hint="default"/>
          <w:b/>
          <w:bCs/>
        </w:rPr>
        <w:t>、</w:t>
        <w:tab/>
        <w:t>类型</w:t>
      </w:r>
      <w:r>
        <w:rPr>
          <w:rFonts w:ascii="宋体" w:hAnsi="宋体" w:cs="宋体" w:eastAsia="宋体" w:hint="default"/>
          <w:b/>
          <w:bCs/>
          <w:w w:val="100"/>
        </w:rPr>
        <w:t> </w:t>
      </w:r>
      <w:r>
        <w:rPr>
          <w:spacing w:val="-5"/>
        </w:rPr>
        <w:t>政府补助，是本公司从政府无偿取得的货币性资产与非货币性资产。分为与资</w:t>
      </w:r>
      <w:r>
        <w:rPr>
          <w:w w:val="100"/>
        </w:rPr>
        <w:t> </w:t>
      </w:r>
      <w:r>
        <w:rPr/>
        <w:t>产相关的政府补助和与收益相关的政府补助。</w:t>
      </w:r>
      <w:r>
        <w:rPr>
          <w:w w:val="100"/>
        </w:rPr>
        <w:t> </w:t>
      </w:r>
      <w:r>
        <w:rPr>
          <w:spacing w:val="-5"/>
        </w:rPr>
        <w:t>与资产相关的政府补助，是指本公司取得的、用于购建或以其他方式形成长期</w:t>
      </w:r>
    </w:p>
    <w:p>
      <w:pPr>
        <w:spacing w:after="0" w:line="343"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right="1468"/>
        <w:jc w:val="left"/>
      </w:pPr>
      <w:r>
        <w:rPr>
          <w:spacing w:val="-5"/>
        </w:rPr>
        <w:t>资产的政府补助。与收益相关的政府补助，是指除与资产相关的政府补助之外</w:t>
      </w:r>
      <w:r>
        <w:rPr>
          <w:spacing w:val="-45"/>
        </w:rPr>
        <w:t> </w:t>
      </w:r>
      <w:r>
        <w:rPr>
          <w:spacing w:val="-45"/>
        </w:rPr>
      </w:r>
      <w:r>
        <w:rPr/>
        <w:t>的政府补助。</w:t>
      </w:r>
    </w:p>
    <w:p>
      <w:pPr>
        <w:pStyle w:val="Heading5"/>
        <w:tabs>
          <w:tab w:pos="1397" w:val="left" w:leader="none"/>
        </w:tabs>
        <w:spacing w:line="240" w:lineRule="auto" w:before="29"/>
        <w:ind w:left="846" w:right="3683"/>
        <w:jc w:val="left"/>
        <w:rPr>
          <w:b w:val="0"/>
          <w:bCs w:val="0"/>
        </w:rPr>
      </w:pPr>
      <w:r>
        <w:rPr>
          <w:rFonts w:ascii="Times New Roman" w:hAnsi="Times New Roman" w:cs="Times New Roman" w:eastAsia="Times New Roman" w:hint="default"/>
        </w:rPr>
        <w:t>2</w:t>
      </w:r>
      <w:r>
        <w:rPr/>
        <w:t>、</w:t>
        <w:tab/>
        <w:t>确认时点</w:t>
      </w:r>
      <w:r>
        <w:rPr>
          <w:b w:val="0"/>
          <w:bCs w:val="0"/>
        </w:rPr>
      </w:r>
    </w:p>
    <w:p>
      <w:pPr>
        <w:pStyle w:val="BodyText"/>
        <w:spacing w:line="240" w:lineRule="auto" w:before="107"/>
        <w:ind w:right="3683"/>
        <w:jc w:val="left"/>
      </w:pPr>
      <w:r>
        <w:rPr/>
        <w:t>政府补助在同时满足下列条件的，才能予以确认：</w:t>
      </w:r>
    </w:p>
    <w:p>
      <w:pPr>
        <w:pStyle w:val="BodyText"/>
        <w:spacing w:line="240" w:lineRule="auto" w:before="126"/>
        <w:ind w:right="3683"/>
        <w:jc w:val="left"/>
      </w:pPr>
      <w:r>
        <w:rPr/>
        <w:t>（</w:t>
      </w:r>
      <w:r>
        <w:rPr>
          <w:rFonts w:ascii="Times New Roman" w:hAnsi="Times New Roman" w:cs="Times New Roman" w:eastAsia="Times New Roman" w:hint="default"/>
        </w:rPr>
        <w:t>1</w:t>
      </w:r>
      <w:r>
        <w:rPr/>
        <w:t>）企业能够满足政府补助所附条件；</w:t>
      </w:r>
    </w:p>
    <w:p>
      <w:pPr>
        <w:pStyle w:val="BodyText"/>
        <w:spacing w:line="240" w:lineRule="auto" w:before="110"/>
        <w:ind w:right="3683"/>
        <w:jc w:val="left"/>
      </w:pPr>
      <w:r>
        <w:rPr/>
        <w:t>（</w:t>
      </w:r>
      <w:r>
        <w:rPr>
          <w:rFonts w:ascii="Times New Roman" w:hAnsi="Times New Roman" w:cs="Times New Roman" w:eastAsia="Times New Roman" w:hint="default"/>
        </w:rPr>
        <w:t>2</w:t>
      </w:r>
      <w:r>
        <w:rPr/>
        <w:t>）企业能够收到政府补助。</w:t>
      </w:r>
    </w:p>
    <w:p>
      <w:pPr>
        <w:pStyle w:val="Heading5"/>
        <w:tabs>
          <w:tab w:pos="1397" w:val="left" w:leader="none"/>
        </w:tabs>
        <w:spacing w:line="240" w:lineRule="auto" w:before="107"/>
        <w:ind w:left="846" w:right="3683"/>
        <w:jc w:val="left"/>
        <w:rPr>
          <w:b w:val="0"/>
          <w:bCs w:val="0"/>
        </w:rPr>
      </w:pPr>
      <w:r>
        <w:rPr>
          <w:rFonts w:ascii="Times New Roman" w:hAnsi="Times New Roman" w:cs="Times New Roman" w:eastAsia="Times New Roman" w:hint="default"/>
        </w:rPr>
        <w:t>3</w:t>
      </w:r>
      <w:r>
        <w:rPr/>
        <w:t>、</w:t>
        <w:tab/>
        <w:t>会计处理</w:t>
      </w:r>
      <w:r>
        <w:rPr>
          <w:b w:val="0"/>
          <w:bCs w:val="0"/>
        </w:rPr>
      </w:r>
    </w:p>
    <w:p>
      <w:pPr>
        <w:pStyle w:val="BodyText"/>
        <w:spacing w:line="350" w:lineRule="auto" w:before="110"/>
        <w:ind w:right="1468"/>
        <w:jc w:val="left"/>
      </w:pPr>
      <w:r>
        <w:rPr>
          <w:spacing w:val="-5"/>
        </w:rPr>
        <w:t>与资产相关的政府补助，冲减相关资产账面价值或确认为递延收益。确认为递</w:t>
      </w:r>
      <w:r>
        <w:rPr>
          <w:spacing w:val="-46"/>
        </w:rPr>
        <w:t> </w:t>
      </w:r>
      <w:r>
        <w:rPr>
          <w:spacing w:val="-46"/>
        </w:rPr>
      </w:r>
      <w:r>
        <w:rPr>
          <w:spacing w:val="-11"/>
          <w:w w:val="100"/>
        </w:rPr>
        <w:t>延收益的，在相关资产使用寿命内按照合理、系统的方法分期计入当期损益（与</w:t>
      </w:r>
      <w:r>
        <w:rPr>
          <w:spacing w:val="-82"/>
          <w:w w:val="100"/>
        </w:rPr>
        <w:t> </w:t>
      </w:r>
      <w:r>
        <w:rPr>
          <w:spacing w:val="-82"/>
          <w:w w:val="100"/>
        </w:rPr>
      </w:r>
      <w:r>
        <w:rPr>
          <w:spacing w:val="-5"/>
        </w:rPr>
        <w:t>本公司日常活动相关的，计入其他收益；与本公司日常活动无关的，计入营业</w:t>
      </w:r>
      <w:r>
        <w:rPr>
          <w:spacing w:val="-49"/>
        </w:rPr>
        <w:t> </w:t>
      </w:r>
      <w:r>
        <w:rPr>
          <w:spacing w:val="-49"/>
        </w:rPr>
      </w:r>
      <w:r>
        <w:rPr>
          <w:spacing w:val="-22"/>
          <w:w w:val="100"/>
        </w:rPr>
        <w:t>外收入）；</w:t>
      </w:r>
      <w:r>
        <w:rPr>
          <w:w w:val="100"/>
        </w:rPr>
        <w:t> </w:t>
      </w:r>
      <w:r>
        <w:rPr>
          <w:spacing w:val="-2"/>
        </w:rPr>
        <w:t>与收益相关的政府补助，用于补偿本公司以后期间的相关成本费用或损失的，</w:t>
      </w:r>
      <w:r>
        <w:rPr>
          <w:spacing w:val="-42"/>
        </w:rPr>
        <w:t> </w:t>
      </w:r>
      <w:r>
        <w:rPr>
          <w:spacing w:val="-42"/>
        </w:rPr>
      </w:r>
      <w:r>
        <w:rPr>
          <w:spacing w:val="-5"/>
        </w:rPr>
        <w:t>确认为递延收益，并在确认相关成本费用或损失的期间，计入当期损益（与本</w:t>
      </w:r>
      <w:r>
        <w:rPr>
          <w:spacing w:val="-46"/>
        </w:rPr>
        <w:t> </w:t>
      </w:r>
      <w:r>
        <w:rPr>
          <w:spacing w:val="-46"/>
        </w:rPr>
      </w:r>
      <w:r>
        <w:rPr>
          <w:spacing w:val="-5"/>
        </w:rPr>
        <w:t>公司日常活动相关的，计入其他收益；与本公司日常活动无关的，计入营业外</w:t>
      </w:r>
      <w:r>
        <w:rPr>
          <w:spacing w:val="-49"/>
        </w:rPr>
        <w:t> </w:t>
      </w:r>
      <w:r>
        <w:rPr>
          <w:spacing w:val="-49"/>
        </w:rPr>
      </w:r>
      <w:r>
        <w:rPr>
          <w:spacing w:val="-5"/>
        </w:rPr>
        <w:t>收入）或冲减相关成本费用或损失；用于补偿本公司已发生的相关成本费用或</w:t>
      </w:r>
      <w:r>
        <w:rPr>
          <w:spacing w:val="-48"/>
        </w:rPr>
        <w:t> </w:t>
      </w:r>
      <w:r>
        <w:rPr>
          <w:spacing w:val="-48"/>
        </w:rPr>
      </w:r>
      <w:r>
        <w:rPr>
          <w:spacing w:val="-5"/>
        </w:rPr>
        <w:t>损失的，直接计入当期损益（与本公司日常活动相关的，计入其他收益；与本</w:t>
      </w:r>
      <w:r>
        <w:rPr>
          <w:spacing w:val="-46"/>
        </w:rPr>
        <w:t> </w:t>
      </w:r>
      <w:r>
        <w:rPr>
          <w:spacing w:val="-46"/>
        </w:rPr>
      </w:r>
      <w:r>
        <w:rPr/>
        <w:t>公司日常活动无关的，计入营业外收入）或冲减相关成本费用或损失。</w:t>
      </w:r>
      <w:r>
        <w:rPr>
          <w:w w:val="100"/>
        </w:rPr>
        <w:t> </w:t>
      </w:r>
      <w:r>
        <w:rPr>
          <w:spacing w:val="-2"/>
        </w:rPr>
        <w:t>本公司取得的政策性优惠贷款贴息，区分以下两种情况，分别进行会计处理：</w:t>
      </w:r>
    </w:p>
    <w:p>
      <w:pPr>
        <w:pStyle w:val="BodyText"/>
        <w:spacing w:line="340" w:lineRule="auto" w:before="27"/>
        <w:ind w:right="1789"/>
        <w:jc w:val="both"/>
      </w:pPr>
      <w:r>
        <w:rPr>
          <w:spacing w:val="-2"/>
        </w:rPr>
        <w:t>（</w:t>
      </w:r>
      <w:r>
        <w:rPr>
          <w:rFonts w:ascii="Times New Roman" w:hAnsi="Times New Roman" w:cs="Times New Roman" w:eastAsia="Times New Roman" w:hint="default"/>
          <w:spacing w:val="-2"/>
        </w:rPr>
        <w:t>1</w:t>
      </w:r>
      <w:r>
        <w:rPr>
          <w:spacing w:val="-2"/>
        </w:rPr>
        <w:t>）财政将贴息资金拨付给贷款银行，由贷款银行以政策性优惠利率向本公</w:t>
      </w:r>
      <w:r>
        <w:rPr>
          <w:spacing w:val="-42"/>
        </w:rPr>
        <w:t> </w:t>
      </w:r>
      <w:r>
        <w:rPr>
          <w:spacing w:val="-42"/>
        </w:rPr>
      </w:r>
      <w:r>
        <w:rPr>
          <w:spacing w:val="-5"/>
        </w:rPr>
        <w:t>司提供贷款的，本公司以实际收到的借款金额作为借款的入账价值，按照借款</w:t>
      </w:r>
      <w:r>
        <w:rPr>
          <w:spacing w:val="-46"/>
        </w:rPr>
        <w:t> </w:t>
      </w:r>
      <w:r>
        <w:rPr>
          <w:spacing w:val="-46"/>
        </w:rPr>
      </w:r>
      <w:r>
        <w:rPr/>
        <w:t>本金和该政策性优惠利率计算相关借款费用。</w:t>
      </w:r>
    </w:p>
    <w:p>
      <w:pPr>
        <w:pStyle w:val="BodyText"/>
        <w:spacing w:line="331" w:lineRule="auto" w:before="35"/>
        <w:ind w:right="1468"/>
        <w:jc w:val="left"/>
      </w:pPr>
      <w:r>
        <w:rPr>
          <w:spacing w:val="-2"/>
        </w:rPr>
        <w:t>（</w:t>
      </w:r>
      <w:r>
        <w:rPr>
          <w:rFonts w:ascii="Times New Roman" w:hAnsi="Times New Roman" w:cs="Times New Roman" w:eastAsia="Times New Roman" w:hint="default"/>
          <w:spacing w:val="-2"/>
        </w:rPr>
        <w:t>2</w:t>
      </w:r>
      <w:r>
        <w:rPr>
          <w:spacing w:val="-2"/>
        </w:rPr>
        <w:t>）财政将贴息资金直接拨付给本公司的，本公司将对应的贴息冲减相关借</w:t>
      </w:r>
      <w:r>
        <w:rPr>
          <w:spacing w:val="-42"/>
        </w:rPr>
        <w:t> </w:t>
      </w:r>
      <w:r>
        <w:rPr>
          <w:spacing w:val="-42"/>
        </w:rPr>
      </w:r>
      <w:r>
        <w:rPr/>
        <w:t>款费用。</w:t>
      </w:r>
    </w:p>
    <w:p>
      <w:pPr>
        <w:pStyle w:val="BodyText"/>
        <w:spacing w:line="348" w:lineRule="auto" w:before="46"/>
        <w:ind w:left="850" w:right="1468" w:hanging="713"/>
        <w:jc w:val="left"/>
      </w:pPr>
      <w:r>
        <w:rPr>
          <w:rFonts w:ascii="Times New Roman" w:hAnsi="Times New Roman" w:cs="Times New Roman" w:eastAsia="Times New Roman" w:hint="default"/>
          <w:b/>
          <w:bCs/>
        </w:rPr>
        <w:t>(</w:t>
      </w:r>
      <w:r>
        <w:rPr>
          <w:rFonts w:ascii="宋体" w:hAnsi="宋体" w:cs="宋体" w:eastAsia="宋体" w:hint="default"/>
          <w:b/>
          <w:bCs/>
        </w:rPr>
        <w:t>二十六</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21"/>
        </w:rPr>
        <w:t> </w:t>
      </w:r>
      <w:r>
        <w:rPr>
          <w:rFonts w:ascii="宋体" w:hAnsi="宋体" w:cs="宋体" w:eastAsia="宋体" w:hint="default"/>
          <w:b/>
          <w:bCs/>
        </w:rPr>
        <w:t>递延所得税资产和递延所得税负债</w:t>
      </w:r>
      <w:r>
        <w:rPr>
          <w:rFonts w:ascii="宋体" w:hAnsi="宋体" w:cs="宋体" w:eastAsia="宋体" w:hint="default"/>
          <w:b/>
          <w:bCs/>
          <w:spacing w:val="-104"/>
        </w:rPr>
        <w:t> </w:t>
      </w:r>
      <w:r>
        <w:rPr>
          <w:rFonts w:ascii="宋体" w:hAnsi="宋体" w:cs="宋体" w:eastAsia="宋体" w:hint="default"/>
          <w:b/>
          <w:bCs/>
          <w:spacing w:val="-104"/>
        </w:rPr>
      </w:r>
      <w:r>
        <w:rPr>
          <w:spacing w:val="-2"/>
        </w:rPr>
        <w:t>对于可抵扣暂时性差异确认递延所得税资产，以未来期间很可能取得的用来抵扣可</w:t>
      </w:r>
      <w:r>
        <w:rPr>
          <w:w w:val="100"/>
        </w:rPr>
        <w:t> </w:t>
      </w:r>
      <w:r>
        <w:rPr>
          <w:spacing w:val="-2"/>
        </w:rPr>
        <w:t>抵扣暂时性差异的应纳税所得额为限。对于能够结转以后年度的可抵扣亏损和税款</w:t>
      </w:r>
      <w:r>
        <w:rPr>
          <w:w w:val="100"/>
        </w:rPr>
        <w:t> </w:t>
      </w:r>
      <w:r>
        <w:rPr>
          <w:spacing w:val="-2"/>
        </w:rPr>
        <w:t>抵减，以很可能获得用来抵扣可抵扣亏损和税款抵减的未来应纳税所得额为限，确</w:t>
      </w:r>
      <w:r>
        <w:rPr>
          <w:w w:val="100"/>
        </w:rPr>
        <w:t> </w:t>
      </w:r>
      <w:r>
        <w:rPr/>
        <w:t>认相应的递延所得税资产。</w:t>
      </w:r>
      <w:r>
        <w:rPr>
          <w:w w:val="100"/>
        </w:rPr>
        <w:t> </w:t>
      </w:r>
      <w:r>
        <w:rPr/>
        <w:t>对于应纳税暂时性差异，除特殊情况外，确认递延所得税负债。</w:t>
      </w:r>
      <w:r>
        <w:rPr>
          <w:w w:val="100"/>
        </w:rPr>
        <w:t> </w:t>
      </w:r>
      <w:r>
        <w:rPr>
          <w:spacing w:val="-2"/>
        </w:rPr>
        <w:t>不确认递延所得税资产或递延所得税负债的特殊情况包括：商誉的初始确认；除企</w:t>
      </w:r>
      <w:r>
        <w:rPr>
          <w:w w:val="100"/>
        </w:rPr>
        <w:t> </w:t>
      </w:r>
      <w:r>
        <w:rPr>
          <w:spacing w:val="-2"/>
        </w:rPr>
        <w:t>业合并以外的发生时既不影响会计利润也不影响应纳税所得额（或可抵扣亏损）的</w:t>
      </w:r>
      <w:r>
        <w:rPr>
          <w:w w:val="100"/>
        </w:rPr>
        <w:t> </w:t>
      </w:r>
      <w:r>
        <w:rPr/>
        <w:t>其他交易或事项。</w:t>
      </w:r>
      <w:r>
        <w:rPr>
          <w:w w:val="100"/>
        </w:rPr>
        <w:t> </w:t>
      </w:r>
      <w:r>
        <w:rPr>
          <w:spacing w:val="-2"/>
        </w:rPr>
        <w:t>当拥有以净额结算的法定权利，且意图以净额结算或取得资产、清偿负债同时进行</w:t>
      </w:r>
      <w:r>
        <w:rPr>
          <w:w w:val="100"/>
        </w:rPr>
        <w:t> </w:t>
      </w:r>
      <w:r>
        <w:rPr/>
        <w:t>时，当期所得税资产及当期所得税负债以抵销后的净额列报。</w:t>
      </w:r>
    </w:p>
    <w:p>
      <w:pPr>
        <w:spacing w:after="0" w:line="348" w:lineRule="auto"/>
        <w:jc w:val="left"/>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BodyText"/>
        <w:spacing w:line="350" w:lineRule="auto"/>
        <w:ind w:left="850" w:right="1825"/>
        <w:jc w:val="both"/>
      </w:pPr>
      <w:r>
        <w:rPr>
          <w:spacing w:val="-2"/>
        </w:rPr>
        <w:t>当拥有以净额结算当期所得税资产及当期所得税负债的法定权利，且递延所得税资</w:t>
      </w:r>
      <w:r>
        <w:rPr>
          <w:spacing w:val="-35"/>
        </w:rPr>
        <w:t> </w:t>
      </w:r>
      <w:r>
        <w:rPr>
          <w:spacing w:val="-35"/>
        </w:rPr>
      </w:r>
      <w:r>
        <w:rPr>
          <w:spacing w:val="-2"/>
        </w:rPr>
        <w:t>产及递延所得税负债是与同一税收征管部门对同一纳税主体征收的所得税相关或者</w:t>
      </w:r>
      <w:r>
        <w:rPr>
          <w:spacing w:val="-35"/>
        </w:rPr>
        <w:t> </w:t>
      </w:r>
      <w:r>
        <w:rPr>
          <w:spacing w:val="-35"/>
        </w:rPr>
      </w:r>
      <w:r>
        <w:rPr>
          <w:spacing w:val="-2"/>
        </w:rPr>
        <w:t>是对不同的纳税主体相关，但在未来每一具有重要性的递延所得税资产及负债转回</w:t>
      </w:r>
      <w:r>
        <w:rPr>
          <w:spacing w:val="-35"/>
        </w:rPr>
        <w:t> </w:t>
      </w:r>
      <w:r>
        <w:rPr>
          <w:spacing w:val="-35"/>
        </w:rPr>
      </w:r>
      <w:r>
        <w:rPr>
          <w:spacing w:val="-2"/>
        </w:rPr>
        <w:t>的期间内，涉及的纳税主体意图以净额结算当期所得税资产和负债或是同时取得资</w:t>
      </w:r>
      <w:r>
        <w:rPr>
          <w:spacing w:val="-35"/>
        </w:rPr>
        <w:t> </w:t>
      </w:r>
      <w:r>
        <w:rPr>
          <w:spacing w:val="-35"/>
        </w:rPr>
      </w:r>
      <w:r>
        <w:rPr/>
        <w:t>产、清偿负债时，递延所得税资产及递延所得税负债以抵销后的净额列报。</w:t>
      </w:r>
    </w:p>
    <w:p>
      <w:pPr>
        <w:pStyle w:val="Heading5"/>
        <w:spacing w:line="240" w:lineRule="auto" w:before="29"/>
        <w:ind w:right="3683"/>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租赁</w:t>
      </w:r>
      <w:r>
        <w:rPr>
          <w:b w:val="0"/>
          <w:bCs w:val="0"/>
        </w:rPr>
      </w:r>
    </w:p>
    <w:p>
      <w:pPr>
        <w:pStyle w:val="Heading5"/>
        <w:spacing w:line="240" w:lineRule="auto" w:before="107"/>
        <w:ind w:left="846" w:right="0"/>
        <w:jc w:val="both"/>
        <w:rPr>
          <w:b w:val="0"/>
          <w:bCs w:val="0"/>
        </w:rPr>
      </w:pPr>
      <w:r>
        <w:rPr>
          <w:rFonts w:ascii="Times New Roman" w:hAnsi="Times New Roman" w:cs="Times New Roman" w:eastAsia="Times New Roman" w:hint="default"/>
        </w:rPr>
        <w:t>1</w:t>
      </w:r>
      <w:r>
        <w:rPr/>
        <w:t>、 </w:t>
      </w:r>
      <w:r>
        <w:rPr>
          <w:spacing w:val="27"/>
        </w:rPr>
        <w:t> </w:t>
      </w:r>
      <w:r>
        <w:rPr/>
        <w:t>经营租赁会计处理</w:t>
      </w:r>
      <w:r>
        <w:rPr>
          <w:b w:val="0"/>
          <w:bCs w:val="0"/>
        </w:rPr>
      </w:r>
    </w:p>
    <w:p>
      <w:pPr>
        <w:pStyle w:val="BodyText"/>
        <w:spacing w:line="336" w:lineRule="auto" w:before="110"/>
        <w:ind w:right="1468"/>
        <w:jc w:val="left"/>
      </w:pPr>
      <w:r>
        <w:rPr/>
        <w:t>（</w:t>
      </w:r>
      <w:r>
        <w:rPr>
          <w:rFonts w:ascii="Times New Roman" w:hAnsi="Times New Roman" w:cs="Times New Roman" w:eastAsia="Times New Roman" w:hint="default"/>
        </w:rPr>
        <w:t>1</w:t>
      </w:r>
      <w:r>
        <w:rPr/>
        <w:t>）公司租入资产所支付的租赁费，在不扣除免租期的整个租赁期内，按直</w:t>
      </w:r>
      <w:r>
        <w:rPr>
          <w:w w:val="100"/>
        </w:rPr>
        <w:t> </w:t>
      </w:r>
      <w:r>
        <w:rPr>
          <w:spacing w:val="-2"/>
        </w:rPr>
        <w:t>线法进行分摊，计入当期费用。公司支付的与租赁交易相关的初始直接费用，</w:t>
      </w:r>
      <w:r>
        <w:rPr>
          <w:spacing w:val="-42"/>
        </w:rPr>
        <w:t> </w:t>
      </w:r>
      <w:r>
        <w:rPr>
          <w:spacing w:val="-42"/>
        </w:rPr>
      </w:r>
      <w:r>
        <w:rPr/>
        <w:t>计入当期费用。</w:t>
      </w:r>
      <w:r>
        <w:rPr>
          <w:spacing w:val="-103"/>
        </w:rPr>
        <w:t> </w:t>
      </w:r>
      <w:r>
        <w:rPr>
          <w:spacing w:val="-103"/>
        </w:rPr>
      </w:r>
      <w:r>
        <w:rPr>
          <w:spacing w:val="-5"/>
          <w:w w:val="100"/>
        </w:rPr>
        <w:t>资产出租方承担了应由公司承担的与租赁相关的费用时，公司将该部分费用从</w:t>
      </w:r>
      <w:r>
        <w:rPr>
          <w:spacing w:val="-84"/>
          <w:w w:val="100"/>
        </w:rPr>
        <w:t> </w:t>
      </w:r>
      <w:r>
        <w:rPr>
          <w:spacing w:val="-84"/>
          <w:w w:val="100"/>
        </w:rPr>
      </w:r>
      <w:r>
        <w:rPr/>
        <w:t>租金总额中扣除，按扣除后的租金费用在租赁期内分摊，计入当期费用。</w:t>
      </w:r>
    </w:p>
    <w:p>
      <w:pPr>
        <w:pStyle w:val="BodyText"/>
        <w:spacing w:line="328" w:lineRule="auto" w:before="20"/>
        <w:ind w:right="1468"/>
        <w:jc w:val="left"/>
      </w:pPr>
      <w:r>
        <w:rPr>
          <w:spacing w:val="-2"/>
        </w:rPr>
        <w:t>（</w:t>
      </w:r>
      <w:r>
        <w:rPr>
          <w:rFonts w:ascii="Times New Roman" w:hAnsi="Times New Roman" w:cs="Times New Roman" w:eastAsia="Times New Roman" w:hint="default"/>
          <w:spacing w:val="-2"/>
        </w:rPr>
        <w:t>2</w:t>
      </w:r>
      <w:r>
        <w:rPr>
          <w:spacing w:val="-2"/>
        </w:rPr>
        <w:t>）公司出租资产所收取的租赁费，在不扣除免租期的整个租赁期内，按直</w:t>
      </w:r>
      <w:r>
        <w:rPr>
          <w:spacing w:val="-42"/>
        </w:rPr>
        <w:t> </w:t>
      </w:r>
      <w:r>
        <w:rPr>
          <w:spacing w:val="-42"/>
        </w:rPr>
      </w:r>
      <w:r>
        <w:rPr>
          <w:spacing w:val="-5"/>
        </w:rPr>
        <w:t>线法进行分摊，确认为租赁相关收入。公司支付的与租赁交易相关的初始直接</w:t>
      </w:r>
      <w:r>
        <w:rPr>
          <w:spacing w:val="-45"/>
        </w:rPr>
        <w:t> </w:t>
      </w:r>
      <w:r>
        <w:rPr>
          <w:spacing w:val="-45"/>
        </w:rPr>
      </w:r>
      <w:r>
        <w:rPr>
          <w:spacing w:val="-5"/>
        </w:rPr>
        <w:t>费用，计入当期费用；如金额较大的，则予以资本化，在整个租赁期间内按照</w:t>
      </w:r>
      <w:r>
        <w:rPr>
          <w:spacing w:val="-45"/>
        </w:rPr>
        <w:t> </w:t>
      </w:r>
      <w:r>
        <w:rPr>
          <w:spacing w:val="-45"/>
        </w:rPr>
      </w:r>
      <w:r>
        <w:rPr/>
        <w:t>与租赁相关收入确认相同的基础分期计入当期收益。</w:t>
      </w:r>
      <w:r>
        <w:rPr>
          <w:w w:val="100"/>
        </w:rPr>
        <w:t> </w:t>
      </w:r>
      <w:r>
        <w:rPr>
          <w:spacing w:val="-5"/>
          <w:w w:val="100"/>
        </w:rPr>
        <w:t>公司承担了应由承租方承担的与租赁相关的费用时，公司将该部分费用从租金</w:t>
      </w:r>
      <w:r>
        <w:rPr>
          <w:spacing w:val="-84"/>
          <w:w w:val="100"/>
        </w:rPr>
        <w:t> </w:t>
      </w:r>
      <w:r>
        <w:rPr>
          <w:spacing w:val="-84"/>
          <w:w w:val="100"/>
        </w:rPr>
      </w:r>
      <w:r>
        <w:rPr/>
        <w:t>收入总额中扣除，按扣除后的租金费用在租赁期内分配。</w:t>
      </w:r>
    </w:p>
    <w:p>
      <w:pPr>
        <w:pStyle w:val="Heading5"/>
        <w:spacing w:line="240" w:lineRule="auto" w:before="26"/>
        <w:ind w:left="846" w:right="0"/>
        <w:jc w:val="both"/>
        <w:rPr>
          <w:b w:val="0"/>
          <w:bCs w:val="0"/>
        </w:rPr>
      </w:pPr>
      <w:r>
        <w:rPr>
          <w:rFonts w:ascii="Times New Roman" w:hAnsi="Times New Roman" w:cs="Times New Roman" w:eastAsia="Times New Roman" w:hint="default"/>
        </w:rPr>
        <w:t>2</w:t>
      </w:r>
      <w:r>
        <w:rPr/>
        <w:t>、 </w:t>
      </w:r>
      <w:r>
        <w:rPr>
          <w:spacing w:val="27"/>
        </w:rPr>
        <w:t> </w:t>
      </w:r>
      <w:r>
        <w:rPr/>
        <w:t>融资租赁会计处理</w:t>
      </w:r>
      <w:r>
        <w:rPr>
          <w:b w:val="0"/>
          <w:bCs w:val="0"/>
        </w:rPr>
      </w:r>
    </w:p>
    <w:p>
      <w:pPr>
        <w:pStyle w:val="BodyText"/>
        <w:spacing w:line="328" w:lineRule="auto" w:before="89"/>
        <w:ind w:right="1786"/>
        <w:jc w:val="both"/>
      </w:pPr>
      <w:r>
        <w:rPr>
          <w:spacing w:val="-2"/>
        </w:rPr>
        <w:t>（</w:t>
      </w:r>
      <w:r>
        <w:rPr>
          <w:rFonts w:ascii="Times New Roman" w:hAnsi="Times New Roman" w:cs="Times New Roman" w:eastAsia="Times New Roman" w:hint="default"/>
          <w:spacing w:val="-2"/>
        </w:rPr>
        <w:t>1</w:t>
      </w:r>
      <w:r>
        <w:rPr>
          <w:spacing w:val="-2"/>
        </w:rPr>
        <w:t>）融资租入资产：公司在承租开始日，将租赁资产公允价值与最低租赁付</w:t>
      </w:r>
      <w:r>
        <w:rPr>
          <w:spacing w:val="-42"/>
        </w:rPr>
        <w:t> </w:t>
      </w:r>
      <w:r>
        <w:rPr>
          <w:spacing w:val="-42"/>
        </w:rPr>
      </w:r>
      <w:r>
        <w:rPr>
          <w:spacing w:val="-5"/>
          <w:w w:val="100"/>
        </w:rPr>
        <w:t>款额现值两者中较低者作为租入资产的入账价值，将最低租赁付款额作为长期</w:t>
      </w:r>
      <w:r>
        <w:rPr>
          <w:spacing w:val="-84"/>
          <w:w w:val="100"/>
        </w:rPr>
        <w:t> </w:t>
      </w:r>
      <w:r>
        <w:rPr>
          <w:spacing w:val="-84"/>
          <w:w w:val="100"/>
        </w:rPr>
      </w:r>
      <w:r>
        <w:rPr>
          <w:spacing w:val="-5"/>
        </w:rPr>
        <w:t>应付款的入账价值，其差额作为未确认的融资费用。公司采用实际利率法对未</w:t>
      </w:r>
      <w:r>
        <w:rPr>
          <w:spacing w:val="-47"/>
        </w:rPr>
        <w:t> </w:t>
      </w:r>
      <w:r>
        <w:rPr>
          <w:spacing w:val="-47"/>
        </w:rPr>
      </w:r>
      <w:r>
        <w:rPr>
          <w:spacing w:val="-5"/>
        </w:rPr>
        <w:t>确认的融资费用，在资产租赁期间内摊销，计入财务费用。公司发生的初始直</w:t>
      </w:r>
      <w:r>
        <w:rPr>
          <w:spacing w:val="-48"/>
        </w:rPr>
        <w:t> </w:t>
      </w:r>
      <w:r>
        <w:rPr>
          <w:spacing w:val="-48"/>
        </w:rPr>
      </w:r>
      <w:r>
        <w:rPr/>
        <w:t>接费用，计入租入资产价值。</w:t>
      </w:r>
    </w:p>
    <w:p>
      <w:pPr>
        <w:pStyle w:val="BodyText"/>
        <w:spacing w:line="326" w:lineRule="auto" w:before="26"/>
        <w:ind w:right="1786"/>
        <w:jc w:val="both"/>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w:t>
      </w:r>
      <w:r>
        <w:rPr>
          <w:spacing w:val="-42"/>
        </w:rPr>
        <w:t> </w:t>
      </w:r>
      <w:r>
        <w:rPr>
          <w:spacing w:val="-42"/>
        </w:rPr>
      </w:r>
      <w:r>
        <w:rPr>
          <w:spacing w:val="-5"/>
          <w:w w:val="100"/>
        </w:rPr>
        <w:t>和与其现值的差额确认为未实现融资收益，在将来收到租金的各期间内确认为</w:t>
      </w:r>
      <w:r>
        <w:rPr>
          <w:spacing w:val="-85"/>
          <w:w w:val="100"/>
        </w:rPr>
        <w:t> </w:t>
      </w:r>
      <w:r>
        <w:rPr>
          <w:spacing w:val="-85"/>
          <w:w w:val="100"/>
        </w:rPr>
      </w:r>
      <w:r>
        <w:rPr>
          <w:spacing w:val="-5"/>
        </w:rPr>
        <w:t>租赁收入。公司发生的与出租交易相关的初始直接费用，计入应收融资租赁款</w:t>
      </w:r>
      <w:r>
        <w:rPr>
          <w:spacing w:val="-47"/>
        </w:rPr>
        <w:t> </w:t>
      </w:r>
      <w:r>
        <w:rPr>
          <w:spacing w:val="-47"/>
        </w:rPr>
      </w:r>
      <w:r>
        <w:rPr/>
        <w:t>的初始计量中，并减少租赁期内确认的收益金额。</w:t>
      </w:r>
    </w:p>
    <w:p>
      <w:pPr>
        <w:pStyle w:val="Heading5"/>
        <w:spacing w:line="240" w:lineRule="auto" w:before="50"/>
        <w:ind w:right="3683"/>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终止经营</w:t>
      </w:r>
      <w:r>
        <w:rPr>
          <w:b w:val="0"/>
          <w:bCs w:val="0"/>
        </w:rPr>
      </w:r>
    </w:p>
    <w:p>
      <w:pPr>
        <w:pStyle w:val="BodyText"/>
        <w:spacing w:line="348" w:lineRule="auto" w:before="110"/>
        <w:ind w:left="850" w:right="1468"/>
        <w:jc w:val="left"/>
      </w:pPr>
      <w:r>
        <w:rPr>
          <w:spacing w:val="-2"/>
        </w:rPr>
        <w:t>终止经营是满足下列条件之一的、能够单独区分的组成部分，且该组成部分已被本</w:t>
      </w:r>
      <w:r>
        <w:rPr>
          <w:spacing w:val="-35"/>
        </w:rPr>
        <w:t> </w:t>
      </w:r>
      <w:r>
        <w:rPr>
          <w:spacing w:val="-35"/>
        </w:rPr>
      </w:r>
      <w:r>
        <w:rPr/>
        <w:t>公司处置或被本公司划归为持有待售类别：</w:t>
      </w:r>
    </w:p>
    <w:p>
      <w:pPr>
        <w:pStyle w:val="BodyText"/>
        <w:spacing w:line="240" w:lineRule="auto" w:before="31"/>
        <w:ind w:left="850" w:right="0"/>
        <w:jc w:val="both"/>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328" w:lineRule="auto" w:before="110"/>
        <w:ind w:left="850" w:right="1468"/>
        <w:jc w:val="left"/>
      </w:pPr>
      <w:r>
        <w:rPr>
          <w:spacing w:val="-4"/>
        </w:rPr>
        <w:t>（</w:t>
      </w:r>
      <w:r>
        <w:rPr>
          <w:rFonts w:ascii="Times New Roman" w:hAnsi="Times New Roman" w:cs="Times New Roman" w:eastAsia="Times New Roman" w:hint="default"/>
          <w:spacing w:val="-4"/>
        </w:rPr>
        <w:t>2</w:t>
      </w:r>
      <w:r>
        <w:rPr>
          <w:spacing w:val="-4"/>
        </w:rPr>
        <w:t>）该组成部分是拟对一项独立的主要业务或一个单独的主要经营地区进行处置的</w:t>
      </w:r>
      <w:r>
        <w:rPr>
          <w:spacing w:val="-27"/>
        </w:rPr>
        <w:t> </w:t>
      </w:r>
      <w:r>
        <w:rPr>
          <w:spacing w:val="-27"/>
        </w:rPr>
      </w:r>
      <w:r>
        <w:rPr/>
        <w:t>一项相关联计划的一部分；</w:t>
      </w:r>
    </w:p>
    <w:p>
      <w:pPr>
        <w:pStyle w:val="BodyText"/>
        <w:spacing w:line="240" w:lineRule="auto" w:before="48"/>
        <w:ind w:left="850" w:right="0"/>
        <w:jc w:val="both"/>
      </w:pPr>
      <w:r>
        <w:rPr/>
        <w:t>（</w:t>
      </w:r>
      <w:r>
        <w:rPr>
          <w:rFonts w:ascii="Times New Roman" w:hAnsi="Times New Roman" w:cs="Times New Roman" w:eastAsia="Times New Roman" w:hint="default"/>
        </w:rPr>
        <w:t>3</w:t>
      </w:r>
      <w:r>
        <w:rPr/>
        <w:t>）该组成部分是专为转售而取得的子公司。</w:t>
      </w:r>
    </w:p>
    <w:p>
      <w:pPr>
        <w:spacing w:after="0" w:line="240" w:lineRule="auto"/>
        <w:jc w:val="both"/>
        <w:sectPr>
          <w:pgSz w:w="11910" w:h="16840"/>
          <w:pgMar w:header="753" w:footer="997" w:top="1440" w:bottom="1180" w:left="1660" w:right="0"/>
        </w:sectPr>
      </w:pPr>
    </w:p>
    <w:p>
      <w:pPr>
        <w:spacing w:line="240" w:lineRule="auto" w:before="0"/>
        <w:rPr>
          <w:rFonts w:ascii="宋体" w:hAnsi="宋体" w:cs="宋体" w:eastAsia="宋体" w:hint="default"/>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回购本公司股份</w:t>
      </w:r>
      <w:r>
        <w:rPr>
          <w:b w:val="0"/>
          <w:bCs w:val="0"/>
        </w:rPr>
      </w:r>
    </w:p>
    <w:p>
      <w:pPr>
        <w:pStyle w:val="BodyText"/>
        <w:spacing w:line="240" w:lineRule="auto" w:before="88"/>
        <w:ind w:left="850" w:right="1468"/>
        <w:jc w:val="left"/>
      </w:pPr>
      <w:r>
        <w:rPr/>
        <w:t>公司于</w:t>
      </w:r>
      <w:r>
        <w:rPr>
          <w:spacing w:val="-53"/>
        </w:rPr>
        <w:t> </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5 </w:t>
      </w:r>
      <w:r>
        <w:rPr/>
        <w:t>月</w:t>
      </w:r>
      <w:r>
        <w:rPr>
          <w:spacing w:val="-55"/>
        </w:rPr>
        <w:t> </w:t>
      </w:r>
      <w:r>
        <w:rPr>
          <w:rFonts w:ascii="Times New Roman" w:hAnsi="Times New Roman" w:cs="Times New Roman" w:eastAsia="Times New Roman" w:hint="default"/>
        </w:rPr>
        <w:t>21 </w:t>
      </w:r>
      <w:r>
        <w:rPr/>
        <w:t>日召开</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1"/>
        </w:rPr>
        <w:t> </w:t>
      </w:r>
      <w:r>
        <w:rPr/>
        <w:t>年度股东大会，审议通过了《关于重大资产重</w:t>
      </w:r>
    </w:p>
    <w:p>
      <w:pPr>
        <w:pStyle w:val="BodyText"/>
        <w:spacing w:line="314" w:lineRule="auto" w:before="91"/>
        <w:ind w:left="850" w:right="1468"/>
        <w:jc w:val="left"/>
      </w:pPr>
      <w:r>
        <w:rPr/>
        <w:t>组购入资产 </w:t>
      </w:r>
      <w:r>
        <w:rPr>
          <w:rFonts w:ascii="Times New Roman" w:hAnsi="Times New Roman" w:cs="Times New Roman" w:eastAsia="Times New Roman" w:hint="default"/>
        </w:rPr>
        <w:t>2018</w:t>
      </w:r>
      <w:r>
        <w:rPr>
          <w:rFonts w:ascii="Times New Roman" w:hAnsi="Times New Roman" w:cs="Times New Roman" w:eastAsia="Times New Roman" w:hint="default"/>
          <w:spacing w:val="51"/>
        </w:rPr>
        <w:t> </w:t>
      </w:r>
      <w:r>
        <w:rPr/>
        <w:t>年度业绩承诺实现情况及业绩补偿方案的议案》和《关于提请股</w:t>
      </w:r>
      <w:r>
        <w:rPr>
          <w:w w:val="100"/>
        </w:rPr>
        <w:t> </w:t>
      </w:r>
      <w:r>
        <w:rPr/>
        <w:t>东大会授权董事会全权办理补偿股份回购、注销相关事宜并因注册资本变更修订</w:t>
      </w:r>
      <w:r>
        <w:rPr>
          <w:rFonts w:ascii="Times New Roman" w:hAnsi="Times New Roman" w:cs="Times New Roman" w:eastAsia="Times New Roman" w:hint="default"/>
        </w:rPr>
        <w:t>&lt;</w:t>
      </w:r>
      <w:r>
        <w:rPr>
          <w:rFonts w:ascii="Times New Roman" w:hAnsi="Times New Roman" w:cs="Times New Roman" w:eastAsia="Times New Roman" w:hint="default"/>
          <w:w w:val="100"/>
        </w:rPr>
        <w:t> </w:t>
      </w:r>
      <w:r>
        <w:rPr>
          <w:spacing w:val="-5"/>
          <w:w w:val="100"/>
        </w:rPr>
        <w:t>公司章程</w:t>
      </w:r>
      <w:r>
        <w:rPr>
          <w:rFonts w:ascii="Times New Roman" w:hAnsi="Times New Roman" w:cs="Times New Roman" w:eastAsia="Times New Roman" w:hint="default"/>
          <w:spacing w:val="-5"/>
          <w:w w:val="100"/>
        </w:rPr>
        <w:t>&gt;</w:t>
      </w:r>
      <w:r>
        <w:rPr>
          <w:spacing w:val="-5"/>
          <w:w w:val="100"/>
        </w:rPr>
        <w:t>的议案》，因公司重大资产重组购入资产北京圣非凡电子系统技术开发有</w:t>
      </w:r>
      <w:r>
        <w:rPr>
          <w:spacing w:val="-74"/>
          <w:w w:val="100"/>
        </w:rPr>
        <w:t> </w:t>
      </w:r>
      <w:r>
        <w:rPr>
          <w:spacing w:val="-74"/>
          <w:w w:val="100"/>
        </w:rPr>
      </w:r>
      <w:r>
        <w:rPr/>
        <w:t>限公司</w:t>
      </w:r>
      <w:r>
        <w:rPr>
          <w:spacing w:val="-3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spacing w:val="-4"/>
        </w:rPr>
        <w:t>年度扣除非经常性损益归属于母公司所有者的净利润未达业绩承诺，资</w:t>
      </w:r>
      <w:r>
        <w:rPr>
          <w:spacing w:val="-98"/>
        </w:rPr>
        <w:t> </w:t>
      </w:r>
      <w:r>
        <w:rPr>
          <w:spacing w:val="-98"/>
        </w:rPr>
      </w:r>
      <w:r>
        <w:rPr>
          <w:spacing w:val="-2"/>
        </w:rPr>
        <w:t>产注入方中国电子信息产业集团有限公司需向公司进行股份补偿，根据双方签署的</w:t>
      </w:r>
    </w:p>
    <w:p>
      <w:pPr>
        <w:pStyle w:val="BodyText"/>
        <w:spacing w:line="240" w:lineRule="auto" w:before="39"/>
        <w:ind w:left="850" w:right="1468"/>
        <w:jc w:val="left"/>
      </w:pPr>
      <w:r>
        <w:rPr>
          <w:w w:val="100"/>
        </w:rPr>
        <w:t>《盈</w:t>
      </w:r>
      <w:r>
        <w:rPr>
          <w:spacing w:val="-3"/>
          <w:w w:val="100"/>
        </w:rPr>
        <w:t>利</w:t>
      </w:r>
      <w:r>
        <w:rPr>
          <w:w w:val="100"/>
        </w:rPr>
        <w:t>预</w:t>
      </w:r>
      <w:r>
        <w:rPr>
          <w:spacing w:val="-3"/>
          <w:w w:val="100"/>
        </w:rPr>
        <w:t>测</w:t>
      </w:r>
      <w:r>
        <w:rPr>
          <w:w w:val="100"/>
        </w:rPr>
        <w:t>补</w:t>
      </w:r>
      <w:r>
        <w:rPr>
          <w:spacing w:val="-3"/>
          <w:w w:val="100"/>
        </w:rPr>
        <w:t>偿</w:t>
      </w:r>
      <w:r>
        <w:rPr>
          <w:w w:val="100"/>
        </w:rPr>
        <w:t>协</w:t>
      </w:r>
      <w:r>
        <w:rPr>
          <w:spacing w:val="-3"/>
          <w:w w:val="100"/>
        </w:rPr>
        <w:t>议</w:t>
      </w:r>
      <w:r>
        <w:rPr>
          <w:spacing w:val="-106"/>
          <w:w w:val="100"/>
        </w:rPr>
        <w:t>》、</w:t>
      </w:r>
      <w:r>
        <w:rPr>
          <w:spacing w:val="-3"/>
          <w:w w:val="100"/>
        </w:rPr>
        <w:t>《</w:t>
      </w:r>
      <w:r>
        <w:rPr>
          <w:w w:val="100"/>
        </w:rPr>
        <w:t>盈利</w:t>
      </w:r>
      <w:r>
        <w:rPr>
          <w:spacing w:val="-3"/>
          <w:w w:val="100"/>
        </w:rPr>
        <w:t>预</w:t>
      </w:r>
      <w:r>
        <w:rPr>
          <w:w w:val="100"/>
        </w:rPr>
        <w:t>测</w:t>
      </w:r>
      <w:r>
        <w:rPr>
          <w:spacing w:val="-3"/>
          <w:w w:val="100"/>
        </w:rPr>
        <w:t>补</w:t>
      </w:r>
      <w:r>
        <w:rPr>
          <w:w w:val="100"/>
        </w:rPr>
        <w:t>偿</w:t>
      </w:r>
      <w:r>
        <w:rPr>
          <w:spacing w:val="-3"/>
          <w:w w:val="100"/>
        </w:rPr>
        <w:t>协</w:t>
      </w:r>
      <w:r>
        <w:rPr>
          <w:w w:val="100"/>
        </w:rPr>
        <w:t>议</w:t>
      </w:r>
      <w:r>
        <w:rPr>
          <w:spacing w:val="-3"/>
          <w:w w:val="100"/>
        </w:rPr>
        <w:t>之</w:t>
      </w:r>
      <w:r>
        <w:rPr>
          <w:w w:val="100"/>
        </w:rPr>
        <w:t>补</w:t>
      </w:r>
      <w:r>
        <w:rPr>
          <w:spacing w:val="-3"/>
          <w:w w:val="100"/>
        </w:rPr>
        <w:t>充</w:t>
      </w:r>
      <w:r>
        <w:rPr>
          <w:w w:val="100"/>
        </w:rPr>
        <w:t>协议</w:t>
      </w:r>
      <w:r>
        <w:rPr>
          <w:spacing w:val="-3"/>
          <w:w w:val="100"/>
        </w:rPr>
        <w:t>》</w:t>
      </w:r>
      <w:r>
        <w:rPr>
          <w:w w:val="100"/>
        </w:rPr>
        <w:t>约</w:t>
      </w:r>
      <w:r>
        <w:rPr>
          <w:spacing w:val="-3"/>
          <w:w w:val="100"/>
        </w:rPr>
        <w:t>定</w:t>
      </w:r>
      <w:r>
        <w:rPr>
          <w:w w:val="100"/>
        </w:rPr>
        <w:t>，</w:t>
      </w:r>
      <w:r>
        <w:rPr>
          <w:spacing w:val="-3"/>
          <w:w w:val="100"/>
        </w:rPr>
        <w:t>公</w:t>
      </w:r>
      <w:r>
        <w:rPr>
          <w:w w:val="100"/>
        </w:rPr>
        <w:t>司</w:t>
      </w:r>
      <w:r>
        <w:rPr>
          <w:spacing w:val="-3"/>
          <w:w w:val="100"/>
        </w:rPr>
        <w:t>将</w:t>
      </w:r>
      <w:r>
        <w:rPr>
          <w:w w:val="100"/>
        </w:rPr>
        <w:t>以</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元的价</w:t>
      </w:r>
    </w:p>
    <w:p>
      <w:pPr>
        <w:pStyle w:val="BodyText"/>
        <w:spacing w:line="319" w:lineRule="auto" w:before="91"/>
        <w:ind w:left="850" w:right="1681"/>
        <w:jc w:val="left"/>
      </w:pPr>
      <w:r>
        <w:rPr>
          <w:spacing w:val="-2"/>
          <w:w w:val="100"/>
        </w:rPr>
        <w:t>格回购中国电子信息产业集团有限公司</w:t>
      </w:r>
      <w:r>
        <w:rPr>
          <w:spacing w:val="-53"/>
          <w:w w:val="100"/>
        </w:rPr>
        <w:t> </w:t>
      </w:r>
      <w:r>
        <w:rPr>
          <w:rFonts w:ascii="Times New Roman" w:hAnsi="Times New Roman" w:cs="Times New Roman" w:eastAsia="Times New Roman" w:hint="default"/>
          <w:spacing w:val="-1"/>
          <w:w w:val="100"/>
        </w:rPr>
        <w:t>7,983,507</w:t>
      </w:r>
      <w:r>
        <w:rPr>
          <w:rFonts w:ascii="Times New Roman" w:hAnsi="Times New Roman" w:cs="Times New Roman" w:eastAsia="Times New Roman" w:hint="default"/>
          <w:w w:val="100"/>
        </w:rPr>
        <w:t> </w:t>
      </w:r>
      <w:r>
        <w:rPr>
          <w:spacing w:val="-11"/>
          <w:w w:val="100"/>
        </w:rPr>
        <w:t>股并予以注销。</w:t>
      </w:r>
      <w:r>
        <w:rPr>
          <w:rFonts w:ascii="Times New Roman" w:hAnsi="Times New Roman" w:cs="Times New Roman" w:eastAsia="Times New Roman" w:hint="default"/>
          <w:spacing w:val="-11"/>
          <w:w w:val="100"/>
        </w:rPr>
        <w:t>2019</w:t>
      </w:r>
      <w:r>
        <w:rPr>
          <w:rFonts w:ascii="Times New Roman" w:hAnsi="Times New Roman" w:cs="Times New Roman" w:eastAsia="Times New Roman" w:hint="default"/>
          <w:spacing w:val="-1"/>
          <w:w w:val="100"/>
        </w:rPr>
        <w:t> </w:t>
      </w:r>
      <w:r>
        <w:rPr>
          <w:w w:val="100"/>
        </w:rPr>
        <w:t>年</w:t>
      </w:r>
      <w:r>
        <w:rPr>
          <w:spacing w:val="-52"/>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w w:val="100"/>
        </w:rPr>
        <w:t> </w:t>
      </w:r>
      <w:r>
        <w:rPr>
          <w:w w:val="100"/>
        </w:rPr>
        <w:t>月</w:t>
      </w:r>
      <w:r>
        <w:rPr>
          <w:spacing w:val="-53"/>
          <w:w w:val="100"/>
        </w:rPr>
        <w:t> </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spacing w:val="-1"/>
          <w:w w:val="100"/>
        </w:rPr>
        <w:t> </w:t>
      </w:r>
      <w:r>
        <w:rPr>
          <w:w w:val="100"/>
        </w:rPr>
        <w:t>日， </w:t>
      </w:r>
      <w:r>
        <w:rPr/>
        <w:t>上述回购的股份在中国证券登记结算有限责任公司深圳分公司完成注销手续。回购</w:t>
      </w:r>
      <w:r>
        <w:rPr>
          <w:w w:val="100"/>
        </w:rPr>
        <w:t> </w:t>
      </w:r>
      <w:r>
        <w:rPr>
          <w:spacing w:val="-5"/>
        </w:rPr>
        <w:t>注销完成后，公司总股本由</w:t>
      </w:r>
      <w:r>
        <w:rPr>
          <w:spacing w:val="-46"/>
        </w:rPr>
        <w:t> </w:t>
      </w:r>
      <w:r>
        <w:rPr>
          <w:rFonts w:ascii="Times New Roman" w:hAnsi="Times New Roman" w:cs="Times New Roman" w:eastAsia="Times New Roman" w:hint="default"/>
        </w:rPr>
        <w:t>2,936,165,560</w:t>
      </w:r>
      <w:r>
        <w:rPr>
          <w:rFonts w:ascii="Times New Roman" w:hAnsi="Times New Roman" w:cs="Times New Roman" w:eastAsia="Times New Roman" w:hint="default"/>
          <w:spacing w:val="5"/>
        </w:rPr>
        <w:t> </w:t>
      </w:r>
      <w:r>
        <w:rPr/>
        <w:t>股减少至</w:t>
      </w:r>
      <w:r>
        <w:rPr>
          <w:spacing w:val="-50"/>
        </w:rPr>
        <w:t> </w:t>
      </w:r>
      <w:r>
        <w:rPr>
          <w:rFonts w:ascii="Times New Roman" w:hAnsi="Times New Roman" w:cs="Times New Roman" w:eastAsia="Times New Roman" w:hint="default"/>
        </w:rPr>
        <w:t>2,928,182,053</w:t>
      </w:r>
      <w:r>
        <w:rPr>
          <w:rFonts w:ascii="Times New Roman" w:hAnsi="Times New Roman" w:cs="Times New Roman" w:eastAsia="Times New Roman" w:hint="default"/>
          <w:spacing w:val="5"/>
        </w:rPr>
        <w:t> </w:t>
      </w:r>
      <w:r>
        <w:rPr>
          <w:spacing w:val="-6"/>
        </w:rPr>
        <w:t>股，中国电子直接</w:t>
      </w:r>
      <w:r>
        <w:rPr>
          <w:spacing w:val="-91"/>
        </w:rPr>
        <w:t> </w:t>
      </w:r>
      <w:r>
        <w:rPr>
          <w:spacing w:val="-91"/>
        </w:rPr>
      </w:r>
      <w:r>
        <w:rPr/>
        <w:t>持有公司</w:t>
      </w:r>
      <w:r>
        <w:rPr>
          <w:spacing w:val="-45"/>
        </w:rPr>
        <w:t> </w:t>
      </w:r>
      <w:r>
        <w:rPr>
          <w:rFonts w:ascii="Times New Roman" w:hAnsi="Times New Roman" w:cs="Times New Roman" w:eastAsia="Times New Roman" w:hint="default"/>
        </w:rPr>
        <w:t>1,188,482,503</w:t>
      </w:r>
      <w:r>
        <w:rPr>
          <w:rFonts w:ascii="Times New Roman" w:hAnsi="Times New Roman" w:cs="Times New Roman" w:eastAsia="Times New Roman" w:hint="default"/>
          <w:spacing w:val="6"/>
        </w:rPr>
        <w:t> </w:t>
      </w:r>
      <w:r>
        <w:rPr>
          <w:spacing w:val="-6"/>
        </w:rPr>
        <w:t>股，占公司股本总额的</w:t>
      </w:r>
      <w:r>
        <w:rPr>
          <w:spacing w:val="-45"/>
        </w:rPr>
        <w:t> </w:t>
      </w:r>
      <w:r>
        <w:rPr>
          <w:rFonts w:ascii="Times New Roman" w:hAnsi="Times New Roman" w:cs="Times New Roman" w:eastAsia="Times New Roman" w:hint="default"/>
          <w:spacing w:val="-4"/>
        </w:rPr>
        <w:t>40.59%</w:t>
      </w:r>
      <w:r>
        <w:rPr>
          <w:spacing w:val="-4"/>
        </w:rPr>
        <w:t>，仍为公司控股股东及实际控</w:t>
      </w:r>
      <w:r>
        <w:rPr>
          <w:spacing w:val="-85"/>
        </w:rPr>
        <w:t> </w:t>
      </w:r>
      <w:r>
        <w:rPr>
          <w:spacing w:val="-85"/>
        </w:rPr>
      </w:r>
      <w:r>
        <w:rPr/>
        <w:t>制人。</w:t>
      </w:r>
    </w:p>
    <w:p>
      <w:pPr>
        <w:pStyle w:val="Heading5"/>
        <w:spacing w:line="240" w:lineRule="auto" w:before="56"/>
        <w:ind w:right="3683"/>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 </w:t>
      </w:r>
      <w:r>
        <w:rPr>
          <w:rFonts w:ascii="Times New Roman" w:hAnsi="Times New Roman" w:cs="Times New Roman" w:eastAsia="Times New Roman" w:hint="default"/>
          <w:spacing w:val="44"/>
        </w:rPr>
        <w:t> </w:t>
      </w:r>
      <w:r>
        <w:rPr/>
        <w:t>重要会计政策和会计估计的变更</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重要会计政策变更</w:t>
      </w:r>
      <w:r>
        <w:rPr>
          <w:b w:val="0"/>
          <w:bCs w:val="0"/>
        </w:rPr>
      </w:r>
    </w:p>
    <w:p>
      <w:pPr>
        <w:pStyle w:val="BodyText"/>
        <w:spacing w:line="240" w:lineRule="auto" w:before="88"/>
        <w:ind w:right="0"/>
        <w:jc w:val="both"/>
      </w:pPr>
      <w:r>
        <w:rPr>
          <w:spacing w:val="-6"/>
        </w:rPr>
        <w:t>（</w:t>
      </w:r>
      <w:r>
        <w:rPr>
          <w:rFonts w:ascii="Times New Roman" w:hAnsi="Times New Roman" w:cs="Times New Roman" w:eastAsia="Times New Roman" w:hint="default"/>
          <w:spacing w:val="-6"/>
        </w:rPr>
        <w:t>1</w:t>
      </w:r>
      <w:r>
        <w:rPr>
          <w:spacing w:val="-6"/>
        </w:rPr>
        <w:t>）执行《财政部关于修订印发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spacing w:val="-4"/>
        </w:rPr>
        <w:t>年度一般企业财务报表格式的通知》和</w:t>
      </w:r>
    </w:p>
    <w:p>
      <w:pPr>
        <w:pStyle w:val="BodyText"/>
        <w:spacing w:line="240" w:lineRule="auto" w:before="88"/>
        <w:ind w:right="0"/>
        <w:jc w:val="both"/>
      </w:pPr>
      <w:r>
        <w:rPr/>
        <w:t>《关于修订印发合并财务报表格式（</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版）的通知》</w:t>
      </w:r>
    </w:p>
    <w:p>
      <w:pPr>
        <w:pStyle w:val="BodyText"/>
        <w:spacing w:line="240" w:lineRule="auto" w:before="88"/>
        <w:ind w:right="0"/>
        <w:jc w:val="both"/>
      </w:pPr>
      <w:r>
        <w:rPr/>
        <w:t>财政部分别于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日和</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日发布了《关于修订印发</w:t>
      </w:r>
    </w:p>
    <w:p>
      <w:pPr>
        <w:pStyle w:val="BodyText"/>
        <w:spacing w:line="314" w:lineRule="auto" w:before="91"/>
        <w:ind w:right="1789"/>
        <w:jc w:val="both"/>
      </w:pPr>
      <w:r>
        <w:rPr/>
        <w:pict>
          <v:shape style="position:absolute;margin-left:119.779999pt;margin-top:57.873669pt;width:411.7pt;height:279.0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9"/>
                    <w:gridCol w:w="1219"/>
                    <w:gridCol w:w="2134"/>
                    <w:gridCol w:w="2098"/>
                  </w:tblGrid>
                  <w:tr>
                    <w:trPr>
                      <w:trHeight w:val="396" w:hRule="exact"/>
                    </w:trPr>
                    <w:tc>
                      <w:tcPr>
                        <w:tcW w:w="2739"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08" w:right="0"/>
                          <w:jc w:val="left"/>
                          <w:rPr>
                            <w:rFonts w:ascii="宋体" w:hAnsi="宋体" w:cs="宋体" w:eastAsia="宋体" w:hint="default"/>
                            <w:sz w:val="16"/>
                            <w:szCs w:val="16"/>
                          </w:rPr>
                        </w:pPr>
                        <w:r>
                          <w:rPr>
                            <w:rFonts w:ascii="宋体" w:hAnsi="宋体" w:cs="宋体" w:eastAsia="宋体" w:hint="default"/>
                            <w:sz w:val="16"/>
                            <w:szCs w:val="16"/>
                          </w:rPr>
                          <w:t>会计政策变更的内容和原因</w:t>
                        </w:r>
                      </w:p>
                    </w:tc>
                    <w:tc>
                      <w:tcPr>
                        <w:tcW w:w="1219"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审批程序</w:t>
                        </w:r>
                      </w:p>
                    </w:tc>
                    <w:tc>
                      <w:tcPr>
                        <w:tcW w:w="423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74"/>
                          <w:ind w:left="1068" w:right="0"/>
                          <w:jc w:val="left"/>
                          <w:rPr>
                            <w:rFonts w:ascii="宋体" w:hAnsi="宋体" w:cs="宋体" w:eastAsia="宋体" w:hint="default"/>
                            <w:sz w:val="16"/>
                            <w:szCs w:val="16"/>
                          </w:rPr>
                        </w:pPr>
                        <w:r>
                          <w:rPr>
                            <w:rFonts w:ascii="宋体" w:hAnsi="宋体" w:cs="宋体" w:eastAsia="宋体" w:hint="default"/>
                            <w:sz w:val="16"/>
                            <w:szCs w:val="16"/>
                          </w:rPr>
                          <w:t>受影响的报表项目名称和金额</w:t>
                        </w:r>
                      </w:p>
                    </w:tc>
                  </w:tr>
                  <w:tr>
                    <w:trPr>
                      <w:trHeight w:val="386" w:hRule="exact"/>
                    </w:trPr>
                    <w:tc>
                      <w:tcPr>
                        <w:tcW w:w="2739" w:type="dxa"/>
                        <w:vMerge/>
                        <w:tcBorders>
                          <w:left w:val="nil" w:sz="6" w:space="0" w:color="auto"/>
                          <w:bottom w:val="dotted" w:sz="4" w:space="0" w:color="000000"/>
                          <w:right w:val="dotted" w:sz="4" w:space="0" w:color="000000"/>
                        </w:tcBorders>
                      </w:tcPr>
                      <w:p>
                        <w:pPr/>
                      </w:p>
                    </w:tc>
                    <w:tc>
                      <w:tcPr>
                        <w:tcW w:w="1219" w:type="dxa"/>
                        <w:vMerge/>
                        <w:tcBorders>
                          <w:left w:val="dotted" w:sz="4" w:space="0" w:color="000000"/>
                          <w:bottom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2"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20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806"/>
                          <w:jc w:val="right"/>
                          <w:rPr>
                            <w:rFonts w:ascii="宋体" w:hAnsi="宋体" w:cs="宋体" w:eastAsia="宋体" w:hint="default"/>
                            <w:sz w:val="16"/>
                            <w:szCs w:val="16"/>
                          </w:rPr>
                        </w:pPr>
                        <w:r>
                          <w:rPr>
                            <w:rFonts w:ascii="宋体" w:hAnsi="宋体" w:cs="宋体" w:eastAsia="宋体" w:hint="default"/>
                            <w:sz w:val="16"/>
                            <w:szCs w:val="16"/>
                          </w:rPr>
                          <w:t>母公司</w:t>
                        </w:r>
                      </w:p>
                    </w:tc>
                  </w:tr>
                  <w:tr>
                    <w:trPr>
                      <w:trHeight w:val="3065"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59" w:lineRule="auto"/>
                          <w:ind w:left="108" w:right="98"/>
                          <w:jc w:val="both"/>
                          <w:rPr>
                            <w:rFonts w:ascii="宋体" w:hAnsi="宋体" w:cs="宋体" w:eastAsia="宋体" w:hint="default"/>
                            <w:sz w:val="16"/>
                            <w:szCs w:val="16"/>
                          </w:rPr>
                        </w:pPr>
                        <w:r>
                          <w:rPr>
                            <w:rFonts w:ascii="宋体" w:hAnsi="宋体" w:cs="宋体" w:eastAsia="宋体" w:hint="default"/>
                            <w:spacing w:val="-3"/>
                            <w:sz w:val="16"/>
                            <w:szCs w:val="16"/>
                          </w:rPr>
                          <w:t>（</w:t>
                        </w:r>
                        <w:r>
                          <w:rPr>
                            <w:rFonts w:ascii="Times New Roman" w:hAnsi="Times New Roman" w:cs="Times New Roman" w:eastAsia="Times New Roman" w:hint="default"/>
                            <w:spacing w:val="-3"/>
                            <w:sz w:val="16"/>
                            <w:szCs w:val="16"/>
                          </w:rPr>
                          <w:t>1</w:t>
                        </w:r>
                        <w:r>
                          <w:rPr>
                            <w:rFonts w:ascii="宋体" w:hAnsi="宋体" w:cs="宋体" w:eastAsia="宋体" w:hint="default"/>
                            <w:spacing w:val="-3"/>
                            <w:sz w:val="16"/>
                            <w:szCs w:val="16"/>
                          </w:rPr>
                          <w:t>）资产负债表中</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应收票据及应收</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7"/>
                            <w:sz w:val="16"/>
                            <w:szCs w:val="16"/>
                          </w:rPr>
                          <w:t>账款</w:t>
                        </w:r>
                        <w:r>
                          <w:rPr>
                            <w:rFonts w:ascii="Times New Roman" w:hAnsi="Times New Roman" w:cs="Times New Roman" w:eastAsia="Times New Roman" w:hint="default"/>
                            <w:spacing w:val="7"/>
                            <w:sz w:val="16"/>
                            <w:szCs w:val="16"/>
                          </w:rPr>
                          <w:t>”</w:t>
                        </w:r>
                        <w:r>
                          <w:rPr>
                            <w:rFonts w:ascii="宋体" w:hAnsi="宋体" w:cs="宋体" w:eastAsia="宋体" w:hint="default"/>
                            <w:spacing w:val="7"/>
                            <w:sz w:val="16"/>
                            <w:szCs w:val="16"/>
                          </w:rPr>
                          <w:t>拆分为</w:t>
                        </w:r>
                        <w:r>
                          <w:rPr>
                            <w:rFonts w:ascii="Times New Roman" w:hAnsi="Times New Roman" w:cs="Times New Roman" w:eastAsia="Times New Roman" w:hint="default"/>
                            <w:spacing w:val="7"/>
                            <w:sz w:val="16"/>
                            <w:szCs w:val="16"/>
                          </w:rPr>
                          <w:t>“</w:t>
                        </w:r>
                        <w:r>
                          <w:rPr>
                            <w:rFonts w:ascii="宋体" w:hAnsi="宋体" w:cs="宋体" w:eastAsia="宋体" w:hint="default"/>
                            <w:spacing w:val="7"/>
                            <w:sz w:val="16"/>
                            <w:szCs w:val="16"/>
                          </w:rPr>
                          <w:t>应收票据</w:t>
                        </w:r>
                        <w:r>
                          <w:rPr>
                            <w:rFonts w:ascii="Times New Roman" w:hAnsi="Times New Roman" w:cs="Times New Roman" w:eastAsia="Times New Roman" w:hint="default"/>
                            <w:spacing w:val="7"/>
                            <w:sz w:val="16"/>
                            <w:szCs w:val="16"/>
                          </w:rPr>
                          <w:t>”</w:t>
                        </w:r>
                        <w:r>
                          <w:rPr>
                            <w:rFonts w:ascii="宋体" w:hAnsi="宋体" w:cs="宋体" w:eastAsia="宋体" w:hint="default"/>
                            <w:spacing w:val="7"/>
                            <w:sz w:val="16"/>
                            <w:szCs w:val="16"/>
                          </w:rPr>
                          <w:t>和</w:t>
                        </w:r>
                        <w:r>
                          <w:rPr>
                            <w:rFonts w:ascii="Times New Roman" w:hAnsi="Times New Roman" w:cs="Times New Roman" w:eastAsia="Times New Roman" w:hint="default"/>
                            <w:spacing w:val="7"/>
                            <w:sz w:val="16"/>
                            <w:szCs w:val="16"/>
                          </w:rPr>
                          <w:t>“</w:t>
                        </w:r>
                        <w:r>
                          <w:rPr>
                            <w:rFonts w:ascii="宋体" w:hAnsi="宋体" w:cs="宋体" w:eastAsia="宋体" w:hint="default"/>
                            <w:spacing w:val="7"/>
                            <w:sz w:val="16"/>
                            <w:szCs w:val="16"/>
                          </w:rPr>
                          <w:t>应收账</w:t>
                        </w:r>
                        <w:r>
                          <w:rPr>
                            <w:rFonts w:ascii="宋体" w:hAnsi="宋体" w:cs="宋体" w:eastAsia="宋体" w:hint="default"/>
                            <w:spacing w:val="-48"/>
                            <w:sz w:val="16"/>
                            <w:szCs w:val="16"/>
                          </w:rPr>
                          <w:t> </w:t>
                        </w:r>
                        <w:r>
                          <w:rPr>
                            <w:rFonts w:ascii="宋体" w:hAnsi="宋体" w:cs="宋体" w:eastAsia="宋体" w:hint="default"/>
                            <w:spacing w:val="-48"/>
                            <w:sz w:val="16"/>
                            <w:szCs w:val="16"/>
                          </w:rPr>
                        </w:r>
                        <w:r>
                          <w:rPr>
                            <w:rFonts w:ascii="宋体" w:hAnsi="宋体" w:cs="宋体" w:eastAsia="宋体" w:hint="default"/>
                            <w:spacing w:val="2"/>
                            <w:sz w:val="16"/>
                            <w:szCs w:val="16"/>
                          </w:rPr>
                          <w:t>款</w:t>
                        </w:r>
                        <w:r>
                          <w:rPr>
                            <w:rFonts w:ascii="Times New Roman" w:hAnsi="Times New Roman" w:cs="Times New Roman" w:eastAsia="Times New Roman" w:hint="default"/>
                            <w:spacing w:val="2"/>
                            <w:sz w:val="16"/>
                            <w:szCs w:val="16"/>
                          </w:rPr>
                          <w:t>”</w:t>
                        </w:r>
                        <w:r>
                          <w:rPr>
                            <w:rFonts w:ascii="宋体" w:hAnsi="宋体" w:cs="宋体" w:eastAsia="宋体" w:hint="default"/>
                            <w:spacing w:val="2"/>
                            <w:sz w:val="16"/>
                            <w:szCs w:val="16"/>
                          </w:rPr>
                          <w:t>列示；</w:t>
                        </w:r>
                        <w:r>
                          <w:rPr>
                            <w:rFonts w:ascii="Times New Roman" w:hAnsi="Times New Roman" w:cs="Times New Roman" w:eastAsia="Times New Roman" w:hint="default"/>
                            <w:spacing w:val="2"/>
                            <w:sz w:val="16"/>
                            <w:szCs w:val="16"/>
                          </w:rPr>
                          <w:t>“</w:t>
                        </w:r>
                        <w:r>
                          <w:rPr>
                            <w:rFonts w:ascii="宋体" w:hAnsi="宋体" w:cs="宋体" w:eastAsia="宋体" w:hint="default"/>
                            <w:spacing w:val="2"/>
                            <w:sz w:val="16"/>
                            <w:szCs w:val="16"/>
                          </w:rPr>
                          <w:t>应付票据及应付账款</w:t>
                        </w:r>
                        <w:r>
                          <w:rPr>
                            <w:rFonts w:ascii="Times New Roman" w:hAnsi="Times New Roman" w:cs="Times New Roman" w:eastAsia="Times New Roman" w:hint="default"/>
                            <w:spacing w:val="2"/>
                            <w:sz w:val="16"/>
                            <w:szCs w:val="16"/>
                          </w:rPr>
                          <w:t>”</w:t>
                        </w:r>
                        <w:r>
                          <w:rPr>
                            <w:rFonts w:ascii="宋体" w:hAnsi="宋体" w:cs="宋体" w:eastAsia="宋体" w:hint="default"/>
                            <w:spacing w:val="2"/>
                            <w:sz w:val="16"/>
                            <w:szCs w:val="16"/>
                          </w:rPr>
                          <w:t>拆</w:t>
                        </w:r>
                        <w:r>
                          <w:rPr>
                            <w:rFonts w:ascii="宋体" w:hAnsi="宋体" w:cs="宋体" w:eastAsia="宋体" w:hint="default"/>
                            <w:spacing w:val="-50"/>
                            <w:sz w:val="16"/>
                            <w:szCs w:val="16"/>
                          </w:rPr>
                          <w:t> </w:t>
                        </w:r>
                        <w:r>
                          <w:rPr>
                            <w:rFonts w:ascii="宋体" w:hAnsi="宋体" w:cs="宋体" w:eastAsia="宋体" w:hint="default"/>
                            <w:spacing w:val="-1"/>
                            <w:sz w:val="16"/>
                            <w:szCs w:val="16"/>
                          </w:rPr>
                          <w:t>分为</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应付票据</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和</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应付账款</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列示；</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比较数据相应调整。</w:t>
                        </w:r>
                      </w:p>
                    </w:tc>
                    <w:tc>
                      <w:tcPr>
                        <w:tcW w:w="121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w:t>
                        </w:r>
                        <w:r>
                          <w:rPr>
                            <w:rFonts w:ascii="宋体" w:hAnsi="宋体" w:cs="宋体" w:eastAsia="宋体" w:hint="default"/>
                            <w:spacing w:val="-53"/>
                            <w:sz w:val="16"/>
                            <w:szCs w:val="16"/>
                          </w:rPr>
                          <w:t> </w:t>
                        </w: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月</w:t>
                        </w:r>
                        <w:r>
                          <w:rPr>
                            <w:rFonts w:ascii="宋体" w:hAnsi="宋体" w:cs="宋体" w:eastAsia="宋体" w:hint="default"/>
                            <w:spacing w:val="-53"/>
                            <w:sz w:val="16"/>
                            <w:szCs w:val="16"/>
                          </w:rPr>
                          <w:t> </w:t>
                        </w:r>
                        <w:r>
                          <w:rPr>
                            <w:rFonts w:ascii="Times New Roman" w:hAnsi="Times New Roman" w:cs="Times New Roman" w:eastAsia="Times New Roman" w:hint="default"/>
                            <w:sz w:val="16"/>
                            <w:szCs w:val="16"/>
                          </w:rPr>
                          <w:t>29</w:t>
                        </w:r>
                      </w:p>
                      <w:p>
                        <w:pPr>
                          <w:pStyle w:val="TableParagraph"/>
                          <w:spacing w:line="276" w:lineRule="auto" w:before="18"/>
                          <w:ind w:left="103" w:right="48"/>
                          <w:jc w:val="both"/>
                          <w:rPr>
                            <w:rFonts w:ascii="Times New Roman" w:hAnsi="Times New Roman" w:cs="Times New Roman" w:eastAsia="Times New Roman" w:hint="default"/>
                            <w:sz w:val="16"/>
                            <w:szCs w:val="16"/>
                          </w:rPr>
                        </w:pPr>
                        <w:r>
                          <w:rPr>
                            <w:rFonts w:ascii="宋体" w:hAnsi="宋体" w:cs="宋体" w:eastAsia="宋体" w:hint="default"/>
                            <w:spacing w:val="5"/>
                            <w:sz w:val="16"/>
                            <w:szCs w:val="16"/>
                          </w:rPr>
                          <w:t>日公司召开第</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5"/>
                            <w:sz w:val="16"/>
                            <w:szCs w:val="16"/>
                          </w:rPr>
                          <w:t>七届董事会第</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39"/>
                            <w:sz w:val="16"/>
                            <w:szCs w:val="16"/>
                          </w:rPr>
                          <w:t>二十三次会</w:t>
                        </w:r>
                        <w:r>
                          <w:rPr>
                            <w:rFonts w:ascii="宋体" w:hAnsi="宋体" w:cs="宋体" w:eastAsia="宋体" w:hint="default"/>
                            <w:spacing w:val="-71"/>
                            <w:sz w:val="16"/>
                            <w:szCs w:val="16"/>
                          </w:rPr>
                          <w:t> </w:t>
                        </w:r>
                        <w:r>
                          <w:rPr>
                            <w:rFonts w:ascii="宋体" w:hAnsi="宋体" w:cs="宋体" w:eastAsia="宋体" w:hint="default"/>
                            <w:spacing w:val="5"/>
                            <w:sz w:val="16"/>
                            <w:szCs w:val="16"/>
                          </w:rPr>
                          <w:t>议、第七届监</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5"/>
                            <w:sz w:val="16"/>
                            <w:szCs w:val="16"/>
                          </w:rPr>
                          <w:t>事会第九次会</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5"/>
                            <w:sz w:val="16"/>
                            <w:szCs w:val="16"/>
                          </w:rPr>
                          <w:t>议审议通过；</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Times New Roman" w:hAnsi="Times New Roman" w:cs="Times New Roman" w:eastAsia="Times New Roman" w:hint="default"/>
                            <w:sz w:val="16"/>
                            <w:szCs w:val="16"/>
                          </w:rPr>
                          <w:t>2020</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w:t>
                        </w:r>
                        <w:r>
                          <w:rPr>
                            <w:rFonts w:ascii="宋体" w:hAnsi="宋体" w:cs="宋体" w:eastAsia="宋体" w:hint="default"/>
                            <w:spacing w:val="-53"/>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月</w:t>
                        </w:r>
                        <w:r>
                          <w:rPr>
                            <w:rFonts w:ascii="宋体" w:hAnsi="宋体" w:cs="宋体" w:eastAsia="宋体" w:hint="default"/>
                            <w:spacing w:val="-53"/>
                            <w:sz w:val="16"/>
                            <w:szCs w:val="16"/>
                          </w:rPr>
                          <w:t> </w:t>
                        </w:r>
                        <w:r>
                          <w:rPr>
                            <w:rFonts w:ascii="Times New Roman" w:hAnsi="Times New Roman" w:cs="Times New Roman" w:eastAsia="Times New Roman" w:hint="default"/>
                            <w:sz w:val="16"/>
                            <w:szCs w:val="16"/>
                          </w:rPr>
                          <w:t>28</w:t>
                        </w:r>
                      </w:p>
                      <w:p>
                        <w:pPr>
                          <w:pStyle w:val="TableParagraph"/>
                          <w:spacing w:line="276" w:lineRule="auto"/>
                          <w:ind w:left="103" w:right="99"/>
                          <w:jc w:val="both"/>
                          <w:rPr>
                            <w:rFonts w:ascii="宋体" w:hAnsi="宋体" w:cs="宋体" w:eastAsia="宋体" w:hint="default"/>
                            <w:sz w:val="16"/>
                            <w:szCs w:val="16"/>
                          </w:rPr>
                        </w:pPr>
                        <w:r>
                          <w:rPr>
                            <w:rFonts w:ascii="宋体" w:hAnsi="宋体" w:cs="宋体" w:eastAsia="宋体" w:hint="default"/>
                            <w:spacing w:val="5"/>
                            <w:sz w:val="16"/>
                            <w:szCs w:val="16"/>
                          </w:rPr>
                          <w:t>日公司第七届</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5"/>
                            <w:sz w:val="16"/>
                            <w:szCs w:val="16"/>
                          </w:rPr>
                          <w:t>董事会第三十</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5"/>
                            <w:sz w:val="16"/>
                            <w:szCs w:val="16"/>
                          </w:rPr>
                          <w:t>八次会议、第</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5"/>
                            <w:sz w:val="16"/>
                            <w:szCs w:val="16"/>
                          </w:rPr>
                          <w:t>七届监事会第</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5"/>
                            <w:sz w:val="16"/>
                            <w:szCs w:val="16"/>
                          </w:rPr>
                          <w:t>十四次会议审</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议通过</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59" w:lineRule="auto" w:before="74"/>
                          <w:ind w:left="103" w:right="98"/>
                          <w:jc w:val="both"/>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应收票据及应收账款</w:t>
                        </w:r>
                        <w:r>
                          <w:rPr>
                            <w:rFonts w:ascii="Times New Roman" w:hAnsi="Times New Roman" w:cs="Times New Roman" w:eastAsia="Times New Roman" w:hint="default"/>
                            <w:sz w:val="16"/>
                            <w:szCs w:val="16"/>
                          </w:rPr>
                          <w:t>”</w:t>
                        </w:r>
                        <w:r>
                          <w:rPr>
                            <w:rFonts w:ascii="宋体" w:hAnsi="宋体" w:cs="宋体" w:eastAsia="宋体" w:hint="default"/>
                            <w:sz w:val="16"/>
                            <w:szCs w:val="16"/>
                          </w:rPr>
                          <w:t>拆分</w:t>
                        </w:r>
                        <w:r>
                          <w:rPr>
                            <w:rFonts w:ascii="宋体" w:hAnsi="宋体" w:cs="宋体" w:eastAsia="宋体" w:hint="default"/>
                            <w:spacing w:val="-64"/>
                            <w:sz w:val="16"/>
                            <w:szCs w:val="16"/>
                          </w:rPr>
                          <w:t> </w:t>
                        </w:r>
                        <w:r>
                          <w:rPr>
                            <w:rFonts w:ascii="宋体" w:hAnsi="宋体" w:cs="宋体" w:eastAsia="宋体" w:hint="default"/>
                            <w:sz w:val="16"/>
                            <w:szCs w:val="16"/>
                          </w:rPr>
                          <w:t>为</w:t>
                        </w:r>
                        <w:r>
                          <w:rPr>
                            <w:rFonts w:ascii="宋体" w:hAnsi="宋体" w:cs="宋体" w:eastAsia="宋体" w:hint="default"/>
                            <w:spacing w:val="-56"/>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6"/>
                            <w:sz w:val="16"/>
                            <w:szCs w:val="16"/>
                          </w:rPr>
                          <w:t> </w:t>
                        </w:r>
                        <w:r>
                          <w:rPr>
                            <w:rFonts w:ascii="宋体" w:hAnsi="宋体" w:cs="宋体" w:eastAsia="宋体" w:hint="default"/>
                            <w:sz w:val="16"/>
                            <w:szCs w:val="16"/>
                          </w:rPr>
                          <w:t>应</w:t>
                        </w:r>
                        <w:r>
                          <w:rPr>
                            <w:rFonts w:ascii="宋体" w:hAnsi="宋体" w:cs="宋体" w:eastAsia="宋体" w:hint="default"/>
                            <w:spacing w:val="-56"/>
                            <w:sz w:val="16"/>
                            <w:szCs w:val="16"/>
                          </w:rPr>
                          <w:t> </w:t>
                        </w:r>
                        <w:r>
                          <w:rPr>
                            <w:rFonts w:ascii="宋体" w:hAnsi="宋体" w:cs="宋体" w:eastAsia="宋体" w:hint="default"/>
                            <w:sz w:val="16"/>
                            <w:szCs w:val="16"/>
                          </w:rPr>
                          <w:t>收</w:t>
                        </w:r>
                        <w:r>
                          <w:rPr>
                            <w:rFonts w:ascii="宋体" w:hAnsi="宋体" w:cs="宋体" w:eastAsia="宋体" w:hint="default"/>
                            <w:spacing w:val="-59"/>
                            <w:sz w:val="16"/>
                            <w:szCs w:val="16"/>
                          </w:rPr>
                          <w:t> </w:t>
                        </w:r>
                        <w:r>
                          <w:rPr>
                            <w:rFonts w:ascii="宋体" w:hAnsi="宋体" w:cs="宋体" w:eastAsia="宋体" w:hint="default"/>
                            <w:sz w:val="16"/>
                            <w:szCs w:val="16"/>
                          </w:rPr>
                          <w:t>票</w:t>
                        </w:r>
                        <w:r>
                          <w:rPr>
                            <w:rFonts w:ascii="宋体" w:hAnsi="宋体" w:cs="宋体" w:eastAsia="宋体" w:hint="default"/>
                            <w:spacing w:val="-57"/>
                            <w:sz w:val="16"/>
                            <w:szCs w:val="16"/>
                          </w:rPr>
                          <w:t> </w:t>
                        </w:r>
                        <w:r>
                          <w:rPr>
                            <w:rFonts w:ascii="宋体" w:hAnsi="宋体" w:cs="宋体" w:eastAsia="宋体" w:hint="default"/>
                            <w:sz w:val="16"/>
                            <w:szCs w:val="16"/>
                          </w:rPr>
                          <w:t>据</w:t>
                        </w:r>
                        <w:r>
                          <w:rPr>
                            <w:rFonts w:ascii="宋体" w:hAnsi="宋体" w:cs="宋体" w:eastAsia="宋体" w:hint="default"/>
                            <w:spacing w:val="-56"/>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6"/>
                            <w:sz w:val="16"/>
                            <w:szCs w:val="16"/>
                          </w:rPr>
                          <w:t> </w:t>
                        </w:r>
                        <w:r>
                          <w:rPr>
                            <w:rFonts w:ascii="宋体" w:hAnsi="宋体" w:cs="宋体" w:eastAsia="宋体" w:hint="default"/>
                            <w:sz w:val="16"/>
                            <w:szCs w:val="16"/>
                          </w:rPr>
                          <w:t>和</w:t>
                        </w:r>
                        <w:r>
                          <w:rPr>
                            <w:rFonts w:ascii="宋体" w:hAnsi="宋体" w:cs="宋体" w:eastAsia="宋体" w:hint="default"/>
                            <w:spacing w:val="-59"/>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6"/>
                            <w:sz w:val="16"/>
                            <w:szCs w:val="16"/>
                          </w:rPr>
                          <w:t> </w:t>
                        </w:r>
                        <w:r>
                          <w:rPr>
                            <w:rFonts w:ascii="宋体" w:hAnsi="宋体" w:cs="宋体" w:eastAsia="宋体" w:hint="default"/>
                            <w:sz w:val="16"/>
                            <w:szCs w:val="16"/>
                          </w:rPr>
                          <w:t>应</w:t>
                        </w:r>
                        <w:r>
                          <w:rPr>
                            <w:rFonts w:ascii="宋体" w:hAnsi="宋体" w:cs="宋体" w:eastAsia="宋体" w:hint="default"/>
                            <w:spacing w:val="-57"/>
                            <w:sz w:val="16"/>
                            <w:szCs w:val="16"/>
                          </w:rPr>
                          <w:t> </w:t>
                        </w:r>
                        <w:r>
                          <w:rPr>
                            <w:rFonts w:ascii="宋体" w:hAnsi="宋体" w:cs="宋体" w:eastAsia="宋体" w:hint="default"/>
                            <w:sz w:val="16"/>
                            <w:szCs w:val="16"/>
                          </w:rPr>
                          <w:t>收</w:t>
                        </w:r>
                        <w:r>
                          <w:rPr>
                            <w:rFonts w:ascii="宋体" w:hAnsi="宋体" w:cs="宋体" w:eastAsia="宋体" w:hint="default"/>
                            <w:spacing w:val="-59"/>
                            <w:sz w:val="16"/>
                            <w:szCs w:val="16"/>
                          </w:rPr>
                          <w:t> </w:t>
                        </w:r>
                        <w:r>
                          <w:rPr>
                            <w:rFonts w:ascii="宋体" w:hAnsi="宋体" w:cs="宋体" w:eastAsia="宋体" w:hint="default"/>
                            <w:sz w:val="16"/>
                            <w:szCs w:val="16"/>
                          </w:rPr>
                          <w:t>账</w:t>
                        </w:r>
                        <w:r>
                          <w:rPr>
                            <w:rFonts w:ascii="宋体" w:hAnsi="宋体" w:cs="宋体" w:eastAsia="宋体" w:hint="default"/>
                            <w:w w:val="100"/>
                            <w:sz w:val="16"/>
                            <w:szCs w:val="16"/>
                          </w:rPr>
                          <w:t> </w:t>
                        </w:r>
                        <w:r>
                          <w:rPr>
                            <w:rFonts w:ascii="宋体" w:hAnsi="宋体" w:cs="宋体" w:eastAsia="宋体" w:hint="default"/>
                            <w:spacing w:val="-5"/>
                            <w:sz w:val="16"/>
                            <w:szCs w:val="16"/>
                          </w:rPr>
                          <w:t>款</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应收票据</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上年年末余</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额 </w:t>
                        </w:r>
                        <w:r>
                          <w:rPr>
                            <w:rFonts w:ascii="Times New Roman" w:hAnsi="Times New Roman" w:cs="Times New Roman" w:eastAsia="Times New Roman" w:hint="default"/>
                            <w:sz w:val="16"/>
                            <w:szCs w:val="16"/>
                          </w:rPr>
                          <w:t>754,922,504.48  </w:t>
                        </w:r>
                        <w:r>
                          <w:rPr>
                            <w:rFonts w:ascii="宋体" w:hAnsi="宋体" w:cs="宋体" w:eastAsia="宋体" w:hint="default"/>
                            <w:sz w:val="16"/>
                            <w:szCs w:val="16"/>
                          </w:rPr>
                          <w:t>元，</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应</w:t>
                        </w:r>
                      </w:p>
                      <w:p>
                        <w:pPr>
                          <w:pStyle w:val="TableParagraph"/>
                          <w:spacing w:line="240" w:lineRule="auto" w:before="4"/>
                          <w:ind w:left="103" w:right="0"/>
                          <w:jc w:val="both"/>
                          <w:rPr>
                            <w:rFonts w:ascii="宋体" w:hAnsi="宋体" w:cs="宋体" w:eastAsia="宋体" w:hint="default"/>
                            <w:sz w:val="16"/>
                            <w:szCs w:val="16"/>
                          </w:rPr>
                        </w:pPr>
                        <w:r>
                          <w:rPr>
                            <w:rFonts w:ascii="宋体" w:hAnsi="宋体" w:cs="宋体" w:eastAsia="宋体" w:hint="default"/>
                            <w:spacing w:val="29"/>
                            <w:sz w:val="16"/>
                            <w:szCs w:val="16"/>
                          </w:rPr>
                          <w:t>收账款</w:t>
                        </w:r>
                        <w:r>
                          <w:rPr>
                            <w:rFonts w:ascii="宋体" w:hAnsi="宋体" w:cs="宋体" w:eastAsia="宋体" w:hint="default"/>
                            <w:spacing w:val="-36"/>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上</w:t>
                        </w:r>
                        <w:r>
                          <w:rPr>
                            <w:rFonts w:ascii="宋体" w:hAnsi="宋体" w:cs="宋体" w:eastAsia="宋体" w:hint="default"/>
                            <w:spacing w:val="-34"/>
                            <w:sz w:val="16"/>
                            <w:szCs w:val="16"/>
                          </w:rPr>
                          <w:t> </w:t>
                        </w:r>
                        <w:r>
                          <w:rPr>
                            <w:rFonts w:ascii="宋体" w:hAnsi="宋体" w:cs="宋体" w:eastAsia="宋体" w:hint="default"/>
                            <w:sz w:val="16"/>
                            <w:szCs w:val="16"/>
                          </w:rPr>
                          <w:t>年</w:t>
                        </w:r>
                        <w:r>
                          <w:rPr>
                            <w:rFonts w:ascii="宋体" w:hAnsi="宋体" w:cs="宋体" w:eastAsia="宋体" w:hint="default"/>
                            <w:spacing w:val="-34"/>
                            <w:sz w:val="16"/>
                            <w:szCs w:val="16"/>
                          </w:rPr>
                          <w:t> </w:t>
                        </w:r>
                        <w:r>
                          <w:rPr>
                            <w:rFonts w:ascii="宋体" w:hAnsi="宋体" w:cs="宋体" w:eastAsia="宋体" w:hint="default"/>
                            <w:sz w:val="16"/>
                            <w:szCs w:val="16"/>
                          </w:rPr>
                          <w:t>年</w:t>
                        </w:r>
                        <w:r>
                          <w:rPr>
                            <w:rFonts w:ascii="宋体" w:hAnsi="宋体" w:cs="宋体" w:eastAsia="宋体" w:hint="default"/>
                            <w:spacing w:val="-36"/>
                            <w:sz w:val="16"/>
                            <w:szCs w:val="16"/>
                          </w:rPr>
                          <w:t> </w:t>
                        </w:r>
                        <w:r>
                          <w:rPr>
                            <w:rFonts w:ascii="宋体" w:hAnsi="宋体" w:cs="宋体" w:eastAsia="宋体" w:hint="default"/>
                            <w:sz w:val="16"/>
                            <w:szCs w:val="16"/>
                          </w:rPr>
                          <w:t>末</w:t>
                        </w:r>
                        <w:r>
                          <w:rPr>
                            <w:rFonts w:ascii="宋体" w:hAnsi="宋体" w:cs="宋体" w:eastAsia="宋体" w:hint="default"/>
                            <w:spacing w:val="-34"/>
                            <w:sz w:val="16"/>
                            <w:szCs w:val="16"/>
                          </w:rPr>
                          <w:t> </w:t>
                        </w:r>
                        <w:r>
                          <w:rPr>
                            <w:rFonts w:ascii="宋体" w:hAnsi="宋体" w:cs="宋体" w:eastAsia="宋体" w:hint="default"/>
                            <w:sz w:val="16"/>
                            <w:szCs w:val="16"/>
                          </w:rPr>
                          <w:t>余</w:t>
                        </w:r>
                        <w:r>
                          <w:rPr>
                            <w:rFonts w:ascii="宋体" w:hAnsi="宋体" w:cs="宋体" w:eastAsia="宋体" w:hint="default"/>
                            <w:spacing w:val="-36"/>
                            <w:sz w:val="16"/>
                            <w:szCs w:val="16"/>
                          </w:rPr>
                          <w:t> </w:t>
                        </w:r>
                        <w:r>
                          <w:rPr>
                            <w:rFonts w:ascii="宋体" w:hAnsi="宋体" w:cs="宋体" w:eastAsia="宋体" w:hint="default"/>
                            <w:sz w:val="16"/>
                            <w:szCs w:val="16"/>
                          </w:rPr>
                          <w:t>额</w:t>
                        </w:r>
                      </w:p>
                      <w:p>
                        <w:pPr>
                          <w:pStyle w:val="TableParagraph"/>
                          <w:spacing w:line="240" w:lineRule="auto" w:before="18"/>
                          <w:ind w:left="103" w:right="0"/>
                          <w:jc w:val="both"/>
                          <w:rPr>
                            <w:rFonts w:ascii="宋体" w:hAnsi="宋体" w:cs="宋体" w:eastAsia="宋体" w:hint="default"/>
                            <w:sz w:val="16"/>
                            <w:szCs w:val="16"/>
                          </w:rPr>
                        </w:pPr>
                        <w:r>
                          <w:rPr>
                            <w:rFonts w:ascii="Times New Roman" w:hAnsi="Times New Roman" w:cs="Times New Roman" w:eastAsia="Times New Roman" w:hint="default"/>
                            <w:sz w:val="16"/>
                            <w:szCs w:val="16"/>
                          </w:rPr>
                          <w:t>2,967,217,578.89</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元；</w:t>
                        </w:r>
                      </w:p>
                      <w:p>
                        <w:pPr>
                          <w:pStyle w:val="TableParagraph"/>
                          <w:spacing w:line="259" w:lineRule="auto" w:before="59"/>
                          <w:ind w:left="103" w:right="98"/>
                          <w:jc w:val="both"/>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应付票据及应付账款</w:t>
                        </w:r>
                        <w:r>
                          <w:rPr>
                            <w:rFonts w:ascii="Times New Roman" w:hAnsi="Times New Roman" w:cs="Times New Roman" w:eastAsia="Times New Roman" w:hint="default"/>
                            <w:sz w:val="16"/>
                            <w:szCs w:val="16"/>
                          </w:rPr>
                          <w:t>”</w:t>
                        </w:r>
                        <w:r>
                          <w:rPr>
                            <w:rFonts w:ascii="宋体" w:hAnsi="宋体" w:cs="宋体" w:eastAsia="宋体" w:hint="default"/>
                            <w:sz w:val="16"/>
                            <w:szCs w:val="16"/>
                          </w:rPr>
                          <w:t>拆分</w:t>
                        </w:r>
                        <w:r>
                          <w:rPr>
                            <w:rFonts w:ascii="宋体" w:hAnsi="宋体" w:cs="宋体" w:eastAsia="宋体" w:hint="default"/>
                            <w:spacing w:val="-64"/>
                            <w:sz w:val="16"/>
                            <w:szCs w:val="16"/>
                          </w:rPr>
                          <w:t> </w:t>
                        </w:r>
                        <w:r>
                          <w:rPr>
                            <w:rFonts w:ascii="宋体" w:hAnsi="宋体" w:cs="宋体" w:eastAsia="宋体" w:hint="default"/>
                            <w:sz w:val="16"/>
                            <w:szCs w:val="16"/>
                          </w:rPr>
                          <w:t>为</w:t>
                        </w:r>
                        <w:r>
                          <w:rPr>
                            <w:rFonts w:ascii="宋体" w:hAnsi="宋体" w:cs="宋体" w:eastAsia="宋体" w:hint="default"/>
                            <w:spacing w:val="-56"/>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6"/>
                            <w:sz w:val="16"/>
                            <w:szCs w:val="16"/>
                          </w:rPr>
                          <w:t> </w:t>
                        </w:r>
                        <w:r>
                          <w:rPr>
                            <w:rFonts w:ascii="宋体" w:hAnsi="宋体" w:cs="宋体" w:eastAsia="宋体" w:hint="default"/>
                            <w:sz w:val="16"/>
                            <w:szCs w:val="16"/>
                          </w:rPr>
                          <w:t>应</w:t>
                        </w:r>
                        <w:r>
                          <w:rPr>
                            <w:rFonts w:ascii="宋体" w:hAnsi="宋体" w:cs="宋体" w:eastAsia="宋体" w:hint="default"/>
                            <w:spacing w:val="-57"/>
                            <w:sz w:val="16"/>
                            <w:szCs w:val="16"/>
                          </w:rPr>
                          <w:t> </w:t>
                        </w:r>
                        <w:r>
                          <w:rPr>
                            <w:rFonts w:ascii="宋体" w:hAnsi="宋体" w:cs="宋体" w:eastAsia="宋体" w:hint="default"/>
                            <w:sz w:val="16"/>
                            <w:szCs w:val="16"/>
                          </w:rPr>
                          <w:t>付</w:t>
                        </w:r>
                        <w:r>
                          <w:rPr>
                            <w:rFonts w:ascii="宋体" w:hAnsi="宋体" w:cs="宋体" w:eastAsia="宋体" w:hint="default"/>
                            <w:spacing w:val="-59"/>
                            <w:sz w:val="16"/>
                            <w:szCs w:val="16"/>
                          </w:rPr>
                          <w:t> </w:t>
                        </w:r>
                        <w:r>
                          <w:rPr>
                            <w:rFonts w:ascii="宋体" w:hAnsi="宋体" w:cs="宋体" w:eastAsia="宋体" w:hint="default"/>
                            <w:sz w:val="16"/>
                            <w:szCs w:val="16"/>
                          </w:rPr>
                          <w:t>票</w:t>
                        </w:r>
                        <w:r>
                          <w:rPr>
                            <w:rFonts w:ascii="宋体" w:hAnsi="宋体" w:cs="宋体" w:eastAsia="宋体" w:hint="default"/>
                            <w:spacing w:val="-57"/>
                            <w:sz w:val="16"/>
                            <w:szCs w:val="16"/>
                          </w:rPr>
                          <w:t> </w:t>
                        </w:r>
                        <w:r>
                          <w:rPr>
                            <w:rFonts w:ascii="宋体" w:hAnsi="宋体" w:cs="宋体" w:eastAsia="宋体" w:hint="default"/>
                            <w:sz w:val="16"/>
                            <w:szCs w:val="16"/>
                          </w:rPr>
                          <w:t>据</w:t>
                        </w:r>
                        <w:r>
                          <w:rPr>
                            <w:rFonts w:ascii="宋体" w:hAnsi="宋体" w:cs="宋体" w:eastAsia="宋体" w:hint="default"/>
                            <w:spacing w:val="-56"/>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6"/>
                            <w:sz w:val="16"/>
                            <w:szCs w:val="16"/>
                          </w:rPr>
                          <w:t> </w:t>
                        </w:r>
                        <w:r>
                          <w:rPr>
                            <w:rFonts w:ascii="宋体" w:hAnsi="宋体" w:cs="宋体" w:eastAsia="宋体" w:hint="default"/>
                            <w:sz w:val="16"/>
                            <w:szCs w:val="16"/>
                          </w:rPr>
                          <w:t>和</w:t>
                        </w:r>
                        <w:r>
                          <w:rPr>
                            <w:rFonts w:ascii="宋体" w:hAnsi="宋体" w:cs="宋体" w:eastAsia="宋体" w:hint="default"/>
                            <w:spacing w:val="-59"/>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6"/>
                            <w:sz w:val="16"/>
                            <w:szCs w:val="16"/>
                          </w:rPr>
                          <w:t> </w:t>
                        </w:r>
                        <w:r>
                          <w:rPr>
                            <w:rFonts w:ascii="宋体" w:hAnsi="宋体" w:cs="宋体" w:eastAsia="宋体" w:hint="default"/>
                            <w:sz w:val="16"/>
                            <w:szCs w:val="16"/>
                          </w:rPr>
                          <w:t>应</w:t>
                        </w:r>
                        <w:r>
                          <w:rPr>
                            <w:rFonts w:ascii="宋体" w:hAnsi="宋体" w:cs="宋体" w:eastAsia="宋体" w:hint="default"/>
                            <w:spacing w:val="-57"/>
                            <w:sz w:val="16"/>
                            <w:szCs w:val="16"/>
                          </w:rPr>
                          <w:t> </w:t>
                        </w:r>
                        <w:r>
                          <w:rPr>
                            <w:rFonts w:ascii="宋体" w:hAnsi="宋体" w:cs="宋体" w:eastAsia="宋体" w:hint="default"/>
                            <w:sz w:val="16"/>
                            <w:szCs w:val="16"/>
                          </w:rPr>
                          <w:t>付</w:t>
                        </w:r>
                        <w:r>
                          <w:rPr>
                            <w:rFonts w:ascii="宋体" w:hAnsi="宋体" w:cs="宋体" w:eastAsia="宋体" w:hint="default"/>
                            <w:spacing w:val="-59"/>
                            <w:sz w:val="16"/>
                            <w:szCs w:val="16"/>
                          </w:rPr>
                          <w:t> </w:t>
                        </w:r>
                        <w:r>
                          <w:rPr>
                            <w:rFonts w:ascii="宋体" w:hAnsi="宋体" w:cs="宋体" w:eastAsia="宋体" w:hint="default"/>
                            <w:sz w:val="16"/>
                            <w:szCs w:val="16"/>
                          </w:rPr>
                          <w:t>账</w:t>
                        </w:r>
                        <w:r>
                          <w:rPr>
                            <w:rFonts w:ascii="宋体" w:hAnsi="宋体" w:cs="宋体" w:eastAsia="宋体" w:hint="default"/>
                            <w:w w:val="100"/>
                            <w:sz w:val="16"/>
                            <w:szCs w:val="16"/>
                          </w:rPr>
                          <w:t> </w:t>
                        </w:r>
                        <w:r>
                          <w:rPr>
                            <w:rFonts w:ascii="宋体" w:hAnsi="宋体" w:cs="宋体" w:eastAsia="宋体" w:hint="default"/>
                            <w:spacing w:val="-5"/>
                            <w:sz w:val="16"/>
                            <w:szCs w:val="16"/>
                          </w:rPr>
                          <w:t>款</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应付票据</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上年年末余</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额 </w:t>
                        </w:r>
                        <w:r>
                          <w:rPr>
                            <w:rFonts w:ascii="Times New Roman" w:hAnsi="Times New Roman" w:cs="Times New Roman" w:eastAsia="Times New Roman" w:hint="default"/>
                            <w:sz w:val="16"/>
                            <w:szCs w:val="16"/>
                          </w:rPr>
                          <w:t>566,228,681.78  </w:t>
                        </w:r>
                        <w:r>
                          <w:rPr>
                            <w:rFonts w:ascii="宋体" w:hAnsi="宋体" w:cs="宋体" w:eastAsia="宋体" w:hint="default"/>
                            <w:sz w:val="16"/>
                            <w:szCs w:val="16"/>
                          </w:rPr>
                          <w:t>元，</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应</w:t>
                        </w:r>
                      </w:p>
                      <w:p>
                        <w:pPr>
                          <w:pStyle w:val="TableParagraph"/>
                          <w:spacing w:line="240" w:lineRule="auto" w:before="5"/>
                          <w:ind w:left="103" w:right="0"/>
                          <w:jc w:val="both"/>
                          <w:rPr>
                            <w:rFonts w:ascii="宋体" w:hAnsi="宋体" w:cs="宋体" w:eastAsia="宋体" w:hint="default"/>
                            <w:sz w:val="16"/>
                            <w:szCs w:val="16"/>
                          </w:rPr>
                        </w:pPr>
                        <w:r>
                          <w:rPr>
                            <w:rFonts w:ascii="宋体" w:hAnsi="宋体" w:cs="宋体" w:eastAsia="宋体" w:hint="default"/>
                            <w:spacing w:val="29"/>
                            <w:sz w:val="16"/>
                            <w:szCs w:val="16"/>
                          </w:rPr>
                          <w:t>付账款</w:t>
                        </w:r>
                        <w:r>
                          <w:rPr>
                            <w:rFonts w:ascii="宋体" w:hAnsi="宋体" w:cs="宋体" w:eastAsia="宋体" w:hint="default"/>
                            <w:spacing w:val="-36"/>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上</w:t>
                        </w:r>
                        <w:r>
                          <w:rPr>
                            <w:rFonts w:ascii="宋体" w:hAnsi="宋体" w:cs="宋体" w:eastAsia="宋体" w:hint="default"/>
                            <w:spacing w:val="-34"/>
                            <w:sz w:val="16"/>
                            <w:szCs w:val="16"/>
                          </w:rPr>
                          <w:t> </w:t>
                        </w:r>
                        <w:r>
                          <w:rPr>
                            <w:rFonts w:ascii="宋体" w:hAnsi="宋体" w:cs="宋体" w:eastAsia="宋体" w:hint="default"/>
                            <w:sz w:val="16"/>
                            <w:szCs w:val="16"/>
                          </w:rPr>
                          <w:t>年</w:t>
                        </w:r>
                        <w:r>
                          <w:rPr>
                            <w:rFonts w:ascii="宋体" w:hAnsi="宋体" w:cs="宋体" w:eastAsia="宋体" w:hint="default"/>
                            <w:spacing w:val="-34"/>
                            <w:sz w:val="16"/>
                            <w:szCs w:val="16"/>
                          </w:rPr>
                          <w:t> </w:t>
                        </w:r>
                        <w:r>
                          <w:rPr>
                            <w:rFonts w:ascii="宋体" w:hAnsi="宋体" w:cs="宋体" w:eastAsia="宋体" w:hint="default"/>
                            <w:sz w:val="16"/>
                            <w:szCs w:val="16"/>
                          </w:rPr>
                          <w:t>年</w:t>
                        </w:r>
                        <w:r>
                          <w:rPr>
                            <w:rFonts w:ascii="宋体" w:hAnsi="宋体" w:cs="宋体" w:eastAsia="宋体" w:hint="default"/>
                            <w:spacing w:val="-36"/>
                            <w:sz w:val="16"/>
                            <w:szCs w:val="16"/>
                          </w:rPr>
                          <w:t> </w:t>
                        </w:r>
                        <w:r>
                          <w:rPr>
                            <w:rFonts w:ascii="宋体" w:hAnsi="宋体" w:cs="宋体" w:eastAsia="宋体" w:hint="default"/>
                            <w:sz w:val="16"/>
                            <w:szCs w:val="16"/>
                          </w:rPr>
                          <w:t>末</w:t>
                        </w:r>
                        <w:r>
                          <w:rPr>
                            <w:rFonts w:ascii="宋体" w:hAnsi="宋体" w:cs="宋体" w:eastAsia="宋体" w:hint="default"/>
                            <w:spacing w:val="-34"/>
                            <w:sz w:val="16"/>
                            <w:szCs w:val="16"/>
                          </w:rPr>
                          <w:t> </w:t>
                        </w:r>
                        <w:r>
                          <w:rPr>
                            <w:rFonts w:ascii="宋体" w:hAnsi="宋体" w:cs="宋体" w:eastAsia="宋体" w:hint="default"/>
                            <w:sz w:val="16"/>
                            <w:szCs w:val="16"/>
                          </w:rPr>
                          <w:t>余</w:t>
                        </w:r>
                        <w:r>
                          <w:rPr>
                            <w:rFonts w:ascii="宋体" w:hAnsi="宋体" w:cs="宋体" w:eastAsia="宋体" w:hint="default"/>
                            <w:spacing w:val="-36"/>
                            <w:sz w:val="16"/>
                            <w:szCs w:val="16"/>
                          </w:rPr>
                          <w:t> </w:t>
                        </w:r>
                        <w:r>
                          <w:rPr>
                            <w:rFonts w:ascii="宋体" w:hAnsi="宋体" w:cs="宋体" w:eastAsia="宋体" w:hint="default"/>
                            <w:sz w:val="16"/>
                            <w:szCs w:val="16"/>
                          </w:rPr>
                          <w:t>额</w:t>
                        </w:r>
                      </w:p>
                      <w:p>
                        <w:pPr>
                          <w:pStyle w:val="TableParagraph"/>
                          <w:spacing w:line="240" w:lineRule="auto" w:before="18"/>
                          <w:ind w:left="103" w:right="0"/>
                          <w:jc w:val="both"/>
                          <w:rPr>
                            <w:rFonts w:ascii="宋体" w:hAnsi="宋体" w:cs="宋体" w:eastAsia="宋体" w:hint="default"/>
                            <w:sz w:val="16"/>
                            <w:szCs w:val="16"/>
                          </w:rPr>
                        </w:pPr>
                        <w:r>
                          <w:rPr>
                            <w:rFonts w:ascii="Times New Roman" w:hAnsi="Times New Roman" w:cs="Times New Roman" w:eastAsia="Times New Roman" w:hint="default"/>
                            <w:sz w:val="16"/>
                            <w:szCs w:val="16"/>
                          </w:rPr>
                          <w:t>2,147,640,016.23</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元。</w:t>
                        </w:r>
                      </w:p>
                    </w:tc>
                    <w:tc>
                      <w:tcPr>
                        <w:tcW w:w="2098" w:type="dxa"/>
                        <w:tcBorders>
                          <w:top w:val="dotted" w:sz="4" w:space="0" w:color="000000"/>
                          <w:left w:val="dotted" w:sz="4" w:space="0" w:color="000000"/>
                          <w:bottom w:val="dotted" w:sz="4" w:space="0" w:color="000000"/>
                          <w:right w:val="nil" w:sz="6" w:space="0" w:color="auto"/>
                        </w:tcBorders>
                      </w:tcPr>
                      <w:p>
                        <w:pPr>
                          <w:pStyle w:val="TableParagraph"/>
                          <w:spacing w:line="259" w:lineRule="auto" w:before="74"/>
                          <w:ind w:left="103" w:right="101"/>
                          <w:jc w:val="both"/>
                          <w:rPr>
                            <w:rFonts w:ascii="宋体" w:hAnsi="宋体" w:cs="宋体" w:eastAsia="宋体" w:hint="default"/>
                            <w:sz w:val="16"/>
                            <w:szCs w:val="16"/>
                          </w:rPr>
                        </w:pPr>
                        <w:r>
                          <w:rPr>
                            <w:rFonts w:ascii="Times New Roman" w:hAnsi="Times New Roman" w:cs="Times New Roman" w:eastAsia="Times New Roman" w:hint="default"/>
                            <w:spacing w:val="9"/>
                            <w:sz w:val="16"/>
                            <w:szCs w:val="16"/>
                          </w:rPr>
                          <w:t>“</w:t>
                        </w:r>
                        <w:r>
                          <w:rPr>
                            <w:rFonts w:ascii="宋体" w:hAnsi="宋体" w:cs="宋体" w:eastAsia="宋体" w:hint="default"/>
                            <w:spacing w:val="9"/>
                            <w:sz w:val="16"/>
                            <w:szCs w:val="16"/>
                          </w:rPr>
                          <w:t>应收票据及应收账款</w:t>
                        </w:r>
                        <w:r>
                          <w:rPr>
                            <w:rFonts w:ascii="Times New Roman" w:hAnsi="Times New Roman" w:cs="Times New Roman" w:eastAsia="Times New Roman" w:hint="default"/>
                            <w:spacing w:val="9"/>
                            <w:sz w:val="16"/>
                            <w:szCs w:val="16"/>
                          </w:rPr>
                          <w:t>”</w:t>
                        </w:r>
                        <w:r>
                          <w:rPr>
                            <w:rFonts w:ascii="宋体" w:hAnsi="宋体" w:cs="宋体" w:eastAsia="宋体" w:hint="default"/>
                            <w:spacing w:val="9"/>
                            <w:sz w:val="16"/>
                            <w:szCs w:val="16"/>
                          </w:rPr>
                          <w:t>拆</w:t>
                        </w:r>
                        <w:r>
                          <w:rPr>
                            <w:rFonts w:ascii="宋体" w:hAnsi="宋体" w:cs="宋体" w:eastAsia="宋体" w:hint="default"/>
                            <w:spacing w:val="-50"/>
                            <w:sz w:val="16"/>
                            <w:szCs w:val="16"/>
                          </w:rPr>
                          <w:t> </w:t>
                        </w:r>
                        <w:r>
                          <w:rPr>
                            <w:rFonts w:ascii="宋体" w:hAnsi="宋体" w:cs="宋体" w:eastAsia="宋体" w:hint="default"/>
                            <w:spacing w:val="3"/>
                            <w:sz w:val="16"/>
                            <w:szCs w:val="16"/>
                          </w:rPr>
                          <w:t>分为</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应收票据</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和</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应收账</w:t>
                        </w:r>
                        <w:r>
                          <w:rPr>
                            <w:rFonts w:ascii="宋体" w:hAnsi="宋体" w:cs="宋体" w:eastAsia="宋体" w:hint="default"/>
                            <w:spacing w:val="-54"/>
                            <w:sz w:val="16"/>
                            <w:szCs w:val="16"/>
                          </w:rPr>
                          <w:t> </w:t>
                        </w:r>
                        <w:r>
                          <w:rPr>
                            <w:rFonts w:ascii="宋体" w:hAnsi="宋体" w:cs="宋体" w:eastAsia="宋体" w:hint="default"/>
                            <w:spacing w:val="3"/>
                            <w:sz w:val="16"/>
                            <w:szCs w:val="16"/>
                          </w:rPr>
                          <w:t>款</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应收票据</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上年年末</w:t>
                        </w:r>
                        <w:r>
                          <w:rPr>
                            <w:rFonts w:ascii="宋体" w:hAnsi="宋体" w:cs="宋体" w:eastAsia="宋体" w:hint="default"/>
                            <w:spacing w:val="-55"/>
                            <w:sz w:val="16"/>
                            <w:szCs w:val="16"/>
                          </w:rPr>
                          <w:t> </w:t>
                        </w:r>
                        <w:r>
                          <w:rPr>
                            <w:rFonts w:ascii="宋体" w:hAnsi="宋体" w:cs="宋体" w:eastAsia="宋体" w:hint="default"/>
                            <w:w w:val="100"/>
                            <w:sz w:val="16"/>
                            <w:szCs w:val="16"/>
                          </w:rPr>
                          <w:t>余额</w:t>
                        </w:r>
                        <w:r>
                          <w:rPr>
                            <w:rFonts w:ascii="宋体" w:hAnsi="宋体" w:cs="宋体" w:eastAsia="宋体" w:hint="default"/>
                            <w:spacing w:val="-36"/>
                            <w:w w:val="100"/>
                            <w:sz w:val="16"/>
                            <w:szCs w:val="16"/>
                          </w:rPr>
                          <w:t> </w:t>
                        </w:r>
                        <w:r>
                          <w:rPr>
                            <w:rFonts w:ascii="Times New Roman" w:hAnsi="Times New Roman" w:cs="Times New Roman" w:eastAsia="Times New Roman" w:hint="default"/>
                            <w:spacing w:val="-2"/>
                            <w:w w:val="100"/>
                            <w:sz w:val="16"/>
                            <w:szCs w:val="16"/>
                          </w:rPr>
                          <w:t>207,803,710.72</w:t>
                        </w:r>
                        <w:r>
                          <w:rPr>
                            <w:rFonts w:ascii="Times New Roman" w:hAnsi="Times New Roman" w:cs="Times New Roman" w:eastAsia="Times New Roman" w:hint="default"/>
                            <w:spacing w:val="10"/>
                            <w:w w:val="100"/>
                            <w:sz w:val="16"/>
                            <w:szCs w:val="16"/>
                          </w:rPr>
                          <w:t> </w:t>
                        </w:r>
                        <w:r>
                          <w:rPr>
                            <w:rFonts w:ascii="宋体" w:hAnsi="宋体" w:cs="宋体" w:eastAsia="宋体" w:hint="default"/>
                            <w:spacing w:val="-19"/>
                            <w:w w:val="100"/>
                            <w:sz w:val="16"/>
                            <w:szCs w:val="16"/>
                          </w:rPr>
                          <w:t>元，</w:t>
                        </w:r>
                        <w:r>
                          <w:rPr>
                            <w:rFonts w:ascii="Times New Roman" w:hAnsi="Times New Roman" w:cs="Times New Roman" w:eastAsia="Times New Roman" w:hint="default"/>
                            <w:spacing w:val="-19"/>
                            <w:w w:val="100"/>
                            <w:sz w:val="16"/>
                            <w:szCs w:val="16"/>
                          </w:rPr>
                          <w:t>“</w:t>
                        </w:r>
                        <w:r>
                          <w:rPr>
                            <w:rFonts w:ascii="宋体" w:hAnsi="宋体" w:cs="宋体" w:eastAsia="宋体" w:hint="default"/>
                            <w:spacing w:val="-19"/>
                            <w:w w:val="100"/>
                            <w:sz w:val="16"/>
                            <w:szCs w:val="16"/>
                          </w:rPr>
                          <w:t>应</w:t>
                        </w:r>
                      </w:p>
                      <w:p>
                        <w:pPr>
                          <w:pStyle w:val="TableParagraph"/>
                          <w:spacing w:line="240" w:lineRule="auto" w:before="4"/>
                          <w:ind w:left="103" w:right="0"/>
                          <w:jc w:val="both"/>
                          <w:rPr>
                            <w:rFonts w:ascii="宋体" w:hAnsi="宋体" w:cs="宋体" w:eastAsia="宋体" w:hint="default"/>
                            <w:sz w:val="16"/>
                            <w:szCs w:val="16"/>
                          </w:rPr>
                        </w:pPr>
                        <w:r>
                          <w:rPr>
                            <w:rFonts w:ascii="宋体" w:hAnsi="宋体" w:cs="宋体" w:eastAsia="宋体" w:hint="default"/>
                            <w:spacing w:val="26"/>
                            <w:sz w:val="16"/>
                            <w:szCs w:val="16"/>
                          </w:rPr>
                          <w:t>收账款</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上</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宋体" w:hAnsi="宋体" w:cs="宋体" w:eastAsia="宋体" w:hint="default"/>
                            <w:sz w:val="16"/>
                            <w:szCs w:val="16"/>
                          </w:rPr>
                          <w:t>末</w:t>
                        </w:r>
                        <w:r>
                          <w:rPr>
                            <w:rFonts w:ascii="宋体" w:hAnsi="宋体" w:cs="宋体" w:eastAsia="宋体" w:hint="default"/>
                            <w:spacing w:val="-39"/>
                            <w:sz w:val="16"/>
                            <w:szCs w:val="16"/>
                          </w:rPr>
                          <w:t> </w:t>
                        </w:r>
                        <w:r>
                          <w:rPr>
                            <w:rFonts w:ascii="宋体" w:hAnsi="宋体" w:cs="宋体" w:eastAsia="宋体" w:hint="default"/>
                            <w:sz w:val="16"/>
                            <w:szCs w:val="16"/>
                          </w:rPr>
                          <w:t>余</w:t>
                        </w:r>
                        <w:r>
                          <w:rPr>
                            <w:rFonts w:ascii="宋体" w:hAnsi="宋体" w:cs="宋体" w:eastAsia="宋体" w:hint="default"/>
                            <w:spacing w:val="-41"/>
                            <w:sz w:val="16"/>
                            <w:szCs w:val="16"/>
                          </w:rPr>
                          <w:t> </w:t>
                        </w:r>
                        <w:r>
                          <w:rPr>
                            <w:rFonts w:ascii="宋体" w:hAnsi="宋体" w:cs="宋体" w:eastAsia="宋体" w:hint="default"/>
                            <w:sz w:val="16"/>
                            <w:szCs w:val="16"/>
                          </w:rPr>
                          <w:t>额</w:t>
                        </w:r>
                      </w:p>
                      <w:p>
                        <w:pPr>
                          <w:pStyle w:val="TableParagraph"/>
                          <w:spacing w:line="240" w:lineRule="auto" w:before="18"/>
                          <w:ind w:left="103" w:right="0"/>
                          <w:jc w:val="both"/>
                          <w:rPr>
                            <w:rFonts w:ascii="宋体" w:hAnsi="宋体" w:cs="宋体" w:eastAsia="宋体" w:hint="default"/>
                            <w:sz w:val="16"/>
                            <w:szCs w:val="16"/>
                          </w:rPr>
                        </w:pPr>
                        <w:r>
                          <w:rPr>
                            <w:rFonts w:ascii="Times New Roman" w:hAnsi="Times New Roman" w:cs="Times New Roman" w:eastAsia="Times New Roman" w:hint="default"/>
                            <w:sz w:val="16"/>
                            <w:szCs w:val="16"/>
                          </w:rPr>
                          <w:t>291,459,712.34</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p>
                        <w:pPr>
                          <w:pStyle w:val="TableParagraph"/>
                          <w:spacing w:line="259" w:lineRule="auto" w:before="59"/>
                          <w:ind w:left="103" w:right="101"/>
                          <w:jc w:val="both"/>
                          <w:rPr>
                            <w:rFonts w:ascii="宋体" w:hAnsi="宋体" w:cs="宋体" w:eastAsia="宋体" w:hint="default"/>
                            <w:sz w:val="16"/>
                            <w:szCs w:val="16"/>
                          </w:rPr>
                        </w:pPr>
                        <w:r>
                          <w:rPr>
                            <w:rFonts w:ascii="Times New Roman" w:hAnsi="Times New Roman" w:cs="Times New Roman" w:eastAsia="Times New Roman" w:hint="default"/>
                            <w:spacing w:val="9"/>
                            <w:sz w:val="16"/>
                            <w:szCs w:val="16"/>
                          </w:rPr>
                          <w:t>“</w:t>
                        </w:r>
                        <w:r>
                          <w:rPr>
                            <w:rFonts w:ascii="宋体" w:hAnsi="宋体" w:cs="宋体" w:eastAsia="宋体" w:hint="default"/>
                            <w:spacing w:val="9"/>
                            <w:sz w:val="16"/>
                            <w:szCs w:val="16"/>
                          </w:rPr>
                          <w:t>应付票据及应付账款</w:t>
                        </w:r>
                        <w:r>
                          <w:rPr>
                            <w:rFonts w:ascii="Times New Roman" w:hAnsi="Times New Roman" w:cs="Times New Roman" w:eastAsia="Times New Roman" w:hint="default"/>
                            <w:spacing w:val="9"/>
                            <w:sz w:val="16"/>
                            <w:szCs w:val="16"/>
                          </w:rPr>
                          <w:t>”</w:t>
                        </w:r>
                        <w:r>
                          <w:rPr>
                            <w:rFonts w:ascii="宋体" w:hAnsi="宋体" w:cs="宋体" w:eastAsia="宋体" w:hint="default"/>
                            <w:spacing w:val="9"/>
                            <w:sz w:val="16"/>
                            <w:szCs w:val="16"/>
                          </w:rPr>
                          <w:t>拆</w:t>
                        </w:r>
                        <w:r>
                          <w:rPr>
                            <w:rFonts w:ascii="宋体" w:hAnsi="宋体" w:cs="宋体" w:eastAsia="宋体" w:hint="default"/>
                            <w:spacing w:val="-50"/>
                            <w:sz w:val="16"/>
                            <w:szCs w:val="16"/>
                          </w:rPr>
                          <w:t> </w:t>
                        </w:r>
                        <w:r>
                          <w:rPr>
                            <w:rFonts w:ascii="宋体" w:hAnsi="宋体" w:cs="宋体" w:eastAsia="宋体" w:hint="default"/>
                            <w:spacing w:val="3"/>
                            <w:sz w:val="16"/>
                            <w:szCs w:val="16"/>
                          </w:rPr>
                          <w:t>分为</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应付票据</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和</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应付账</w:t>
                        </w:r>
                        <w:r>
                          <w:rPr>
                            <w:rFonts w:ascii="宋体" w:hAnsi="宋体" w:cs="宋体" w:eastAsia="宋体" w:hint="default"/>
                            <w:spacing w:val="-54"/>
                            <w:sz w:val="16"/>
                            <w:szCs w:val="16"/>
                          </w:rPr>
                          <w:t> </w:t>
                        </w:r>
                        <w:r>
                          <w:rPr>
                            <w:rFonts w:ascii="宋体" w:hAnsi="宋体" w:cs="宋体" w:eastAsia="宋体" w:hint="default"/>
                            <w:spacing w:val="3"/>
                            <w:sz w:val="16"/>
                            <w:szCs w:val="16"/>
                          </w:rPr>
                          <w:t>款</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应付票据</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上年年末</w:t>
                        </w:r>
                        <w:r>
                          <w:rPr>
                            <w:rFonts w:ascii="宋体" w:hAnsi="宋体" w:cs="宋体" w:eastAsia="宋体" w:hint="default"/>
                            <w:spacing w:val="-55"/>
                            <w:sz w:val="16"/>
                            <w:szCs w:val="16"/>
                          </w:rPr>
                          <w:t> </w:t>
                        </w:r>
                        <w:r>
                          <w:rPr>
                            <w:rFonts w:ascii="宋体" w:hAnsi="宋体" w:cs="宋体" w:eastAsia="宋体" w:hint="default"/>
                            <w:sz w:val="16"/>
                            <w:szCs w:val="16"/>
                          </w:rPr>
                          <w:t>余额</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96,018,562.15</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元，</w:t>
                        </w:r>
                        <w:r>
                          <w:rPr>
                            <w:rFonts w:ascii="Times New Roman" w:hAnsi="Times New Roman" w:cs="Times New Roman" w:eastAsia="Times New Roman" w:hint="default"/>
                            <w:sz w:val="16"/>
                            <w:szCs w:val="16"/>
                          </w:rPr>
                          <w:t>“</w:t>
                        </w:r>
                        <w:r>
                          <w:rPr>
                            <w:rFonts w:ascii="宋体" w:hAnsi="宋体" w:cs="宋体" w:eastAsia="宋体" w:hint="default"/>
                            <w:sz w:val="16"/>
                            <w:szCs w:val="16"/>
                          </w:rPr>
                          <w:t>应</w:t>
                        </w:r>
                      </w:p>
                      <w:p>
                        <w:pPr>
                          <w:pStyle w:val="TableParagraph"/>
                          <w:spacing w:line="240" w:lineRule="auto" w:before="5"/>
                          <w:ind w:left="103" w:right="0"/>
                          <w:jc w:val="both"/>
                          <w:rPr>
                            <w:rFonts w:ascii="宋体" w:hAnsi="宋体" w:cs="宋体" w:eastAsia="宋体" w:hint="default"/>
                            <w:sz w:val="16"/>
                            <w:szCs w:val="16"/>
                          </w:rPr>
                        </w:pPr>
                        <w:r>
                          <w:rPr>
                            <w:rFonts w:ascii="宋体" w:hAnsi="宋体" w:cs="宋体" w:eastAsia="宋体" w:hint="default"/>
                            <w:spacing w:val="26"/>
                            <w:sz w:val="16"/>
                            <w:szCs w:val="16"/>
                          </w:rPr>
                          <w:t>付账款</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上</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宋体" w:hAnsi="宋体" w:cs="宋体" w:eastAsia="宋体" w:hint="default"/>
                            <w:sz w:val="16"/>
                            <w:szCs w:val="16"/>
                          </w:rPr>
                          <w:t>末</w:t>
                        </w:r>
                        <w:r>
                          <w:rPr>
                            <w:rFonts w:ascii="宋体" w:hAnsi="宋体" w:cs="宋体" w:eastAsia="宋体" w:hint="default"/>
                            <w:spacing w:val="-39"/>
                            <w:sz w:val="16"/>
                            <w:szCs w:val="16"/>
                          </w:rPr>
                          <w:t> </w:t>
                        </w:r>
                        <w:r>
                          <w:rPr>
                            <w:rFonts w:ascii="宋体" w:hAnsi="宋体" w:cs="宋体" w:eastAsia="宋体" w:hint="default"/>
                            <w:sz w:val="16"/>
                            <w:szCs w:val="16"/>
                          </w:rPr>
                          <w:t>余</w:t>
                        </w:r>
                        <w:r>
                          <w:rPr>
                            <w:rFonts w:ascii="宋体" w:hAnsi="宋体" w:cs="宋体" w:eastAsia="宋体" w:hint="default"/>
                            <w:spacing w:val="-41"/>
                            <w:sz w:val="16"/>
                            <w:szCs w:val="16"/>
                          </w:rPr>
                          <w:t> </w:t>
                        </w:r>
                        <w:r>
                          <w:rPr>
                            <w:rFonts w:ascii="宋体" w:hAnsi="宋体" w:cs="宋体" w:eastAsia="宋体" w:hint="default"/>
                            <w:sz w:val="16"/>
                            <w:szCs w:val="16"/>
                          </w:rPr>
                          <w:t>额</w:t>
                        </w:r>
                      </w:p>
                      <w:p>
                        <w:pPr>
                          <w:pStyle w:val="TableParagraph"/>
                          <w:spacing w:line="240" w:lineRule="auto" w:before="18"/>
                          <w:ind w:left="103" w:right="0"/>
                          <w:jc w:val="both"/>
                          <w:rPr>
                            <w:rFonts w:ascii="宋体" w:hAnsi="宋体" w:cs="宋体" w:eastAsia="宋体" w:hint="default"/>
                            <w:sz w:val="16"/>
                            <w:szCs w:val="16"/>
                          </w:rPr>
                        </w:pPr>
                        <w:r>
                          <w:rPr>
                            <w:rFonts w:ascii="Times New Roman" w:hAnsi="Times New Roman" w:cs="Times New Roman" w:eastAsia="Times New Roman" w:hint="default"/>
                            <w:sz w:val="16"/>
                            <w:szCs w:val="16"/>
                          </w:rPr>
                          <w:t>399,008,076.19</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tc>
                  </w:tr>
                  <w:tr>
                    <w:trPr>
                      <w:trHeight w:val="1106"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59" w:lineRule="auto" w:before="77"/>
                          <w:ind w:left="108" w:right="101"/>
                          <w:jc w:val="both"/>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）在利润表中投资收益项下新增</w:t>
                        </w:r>
                        <w:r>
                          <w:rPr>
                            <w:rFonts w:ascii="宋体" w:hAnsi="宋体" w:cs="宋体" w:eastAsia="宋体" w:hint="default"/>
                            <w:spacing w:val="-43"/>
                            <w:sz w:val="16"/>
                            <w:szCs w:val="16"/>
                          </w:rPr>
                          <w:t> </w:t>
                        </w:r>
                        <w:r>
                          <w:rPr>
                            <w:rFonts w:ascii="宋体" w:hAnsi="宋体" w:cs="宋体" w:eastAsia="宋体" w:hint="default"/>
                            <w:spacing w:val="-43"/>
                            <w:sz w:val="16"/>
                            <w:szCs w:val="16"/>
                          </w:rPr>
                        </w:r>
                        <w:r>
                          <w:rPr>
                            <w:rFonts w:ascii="Times New Roman" w:hAnsi="Times New Roman" w:cs="Times New Roman" w:eastAsia="Times New Roman" w:hint="default"/>
                            <w:sz w:val="16"/>
                            <w:szCs w:val="16"/>
                          </w:rPr>
                          <w:t>“</w:t>
                        </w:r>
                        <w:r>
                          <w:rPr>
                            <w:rFonts w:ascii="宋体" w:hAnsi="宋体" w:cs="宋体" w:eastAsia="宋体" w:hint="default"/>
                            <w:sz w:val="16"/>
                            <w:szCs w:val="16"/>
                          </w:rPr>
                          <w:t>其中：以摊余成本计量的金融资产</w:t>
                        </w:r>
                        <w:r>
                          <w:rPr>
                            <w:rFonts w:ascii="宋体" w:hAnsi="宋体" w:cs="宋体" w:eastAsia="宋体" w:hint="default"/>
                            <w:spacing w:val="-35"/>
                            <w:sz w:val="16"/>
                            <w:szCs w:val="16"/>
                          </w:rPr>
                          <w:t> </w:t>
                        </w:r>
                        <w:r>
                          <w:rPr>
                            <w:rFonts w:ascii="宋体" w:hAnsi="宋体" w:cs="宋体" w:eastAsia="宋体" w:hint="default"/>
                            <w:spacing w:val="-35"/>
                            <w:sz w:val="16"/>
                            <w:szCs w:val="16"/>
                          </w:rPr>
                        </w:r>
                        <w:r>
                          <w:rPr>
                            <w:rFonts w:ascii="宋体" w:hAnsi="宋体" w:cs="宋体" w:eastAsia="宋体" w:hint="default"/>
                            <w:sz w:val="16"/>
                            <w:szCs w:val="16"/>
                          </w:rPr>
                          <w:t>终止确认收益</w:t>
                        </w:r>
                        <w:r>
                          <w:rPr>
                            <w:rFonts w:ascii="Times New Roman" w:hAnsi="Times New Roman" w:cs="Times New Roman" w:eastAsia="Times New Roman" w:hint="default"/>
                            <w:sz w:val="16"/>
                            <w:szCs w:val="16"/>
                          </w:rPr>
                          <w:t>”</w:t>
                        </w:r>
                        <w:r>
                          <w:rPr>
                            <w:rFonts w:ascii="宋体" w:hAnsi="宋体" w:cs="宋体" w:eastAsia="宋体" w:hint="default"/>
                            <w:sz w:val="16"/>
                            <w:szCs w:val="16"/>
                          </w:rPr>
                          <w:t>项目。比较数据不调</w:t>
                        </w:r>
                        <w:r>
                          <w:rPr>
                            <w:rFonts w:ascii="宋体" w:hAnsi="宋体" w:cs="宋体" w:eastAsia="宋体" w:hint="default"/>
                            <w:spacing w:val="-35"/>
                            <w:sz w:val="16"/>
                            <w:szCs w:val="16"/>
                          </w:rPr>
                          <w:t> </w:t>
                        </w:r>
                        <w:r>
                          <w:rPr>
                            <w:rFonts w:ascii="宋体" w:hAnsi="宋体" w:cs="宋体" w:eastAsia="宋体" w:hint="default"/>
                            <w:spacing w:val="-35"/>
                            <w:sz w:val="16"/>
                            <w:szCs w:val="16"/>
                          </w:rPr>
                        </w:r>
                        <w:r>
                          <w:rPr>
                            <w:rFonts w:ascii="宋体" w:hAnsi="宋体" w:cs="宋体" w:eastAsia="宋体" w:hint="default"/>
                            <w:sz w:val="16"/>
                            <w:szCs w:val="16"/>
                          </w:rPr>
                          <w:t>整。</w:t>
                        </w:r>
                      </w:p>
                    </w:tc>
                    <w:tc>
                      <w:tcPr>
                        <w:tcW w:w="1219" w:type="dxa"/>
                        <w:vMerge/>
                        <w:tcBorders>
                          <w:left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59" w:lineRule="auto"/>
                          <w:ind w:left="103" w:right="91"/>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w:t>
                        </w:r>
                        <w:r>
                          <w:rPr>
                            <w:rFonts w:ascii="宋体" w:hAnsi="宋体" w:cs="宋体" w:eastAsia="宋体" w:hint="default"/>
                            <w:spacing w:val="6"/>
                            <w:sz w:val="16"/>
                            <w:szCs w:val="16"/>
                          </w:rPr>
                          <w:t>以摊余成本计量的金融资</w:t>
                        </w:r>
                        <w:r>
                          <w:rPr>
                            <w:rFonts w:ascii="宋体" w:hAnsi="宋体" w:cs="宋体" w:eastAsia="宋体" w:hint="default"/>
                            <w:spacing w:val="-59"/>
                            <w:sz w:val="16"/>
                            <w:szCs w:val="16"/>
                          </w:rPr>
                          <w:t> </w:t>
                        </w:r>
                        <w:r>
                          <w:rPr>
                            <w:rFonts w:ascii="宋体" w:hAnsi="宋体" w:cs="宋体" w:eastAsia="宋体" w:hint="default"/>
                            <w:spacing w:val="6"/>
                            <w:sz w:val="16"/>
                            <w:szCs w:val="16"/>
                          </w:rPr>
                          <w:t>产终止确认收益</w:t>
                        </w:r>
                        <w:r>
                          <w:rPr>
                            <w:rFonts w:ascii="Times New Roman" w:hAnsi="Times New Roman" w:cs="Times New Roman" w:eastAsia="Times New Roman" w:hint="default"/>
                            <w:spacing w:val="6"/>
                            <w:sz w:val="16"/>
                            <w:szCs w:val="16"/>
                          </w:rPr>
                          <w:t>”</w:t>
                        </w:r>
                        <w:r>
                          <w:rPr>
                            <w:rFonts w:ascii="宋体" w:hAnsi="宋体" w:cs="宋体" w:eastAsia="宋体" w:hint="default"/>
                            <w:spacing w:val="6"/>
                            <w:sz w:val="16"/>
                            <w:szCs w:val="16"/>
                          </w:rPr>
                          <w:t>本期金额</w:t>
                        </w:r>
                        <w:r>
                          <w:rPr>
                            <w:rFonts w:ascii="宋体" w:hAnsi="宋体" w:cs="宋体" w:eastAsia="宋体" w:hint="default"/>
                            <w:sz w:val="16"/>
                            <w:szCs w:val="16"/>
                          </w:rPr>
                        </w:r>
                      </w:p>
                      <w:p>
                        <w:pPr>
                          <w:pStyle w:val="TableParagraph"/>
                          <w:spacing w:line="240" w:lineRule="auto" w:before="4"/>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-16,485,645.87</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tc>
                    <w:tc>
                      <w:tcPr>
                        <w:tcW w:w="20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865"/>
                          <w:jc w:val="right"/>
                          <w:rPr>
                            <w:rFonts w:ascii="宋体" w:hAnsi="宋体" w:cs="宋体" w:eastAsia="宋体" w:hint="default"/>
                            <w:sz w:val="16"/>
                            <w:szCs w:val="16"/>
                          </w:rPr>
                        </w:pPr>
                        <w:r>
                          <w:rPr>
                            <w:rFonts w:ascii="宋体" w:hAnsi="宋体" w:cs="宋体" w:eastAsia="宋体" w:hint="default"/>
                            <w:spacing w:val="-1"/>
                            <w:sz w:val="16"/>
                            <w:szCs w:val="16"/>
                          </w:rPr>
                          <w:t>母公司无影响。</w:t>
                        </w:r>
                      </w:p>
                    </w:tc>
                  </w:tr>
                  <w:tr>
                    <w:trPr>
                      <w:trHeight w:val="598" w:hRule="exact"/>
                    </w:trPr>
                    <w:tc>
                      <w:tcPr>
                        <w:tcW w:w="2739" w:type="dxa"/>
                        <w:tcBorders>
                          <w:top w:val="dotted" w:sz="4" w:space="0" w:color="000000"/>
                          <w:left w:val="nil" w:sz="6" w:space="0" w:color="auto"/>
                          <w:bottom w:val="single" w:sz="12" w:space="0" w:color="000000"/>
                          <w:right w:val="dotted" w:sz="4" w:space="0" w:color="000000"/>
                        </w:tcBorders>
                      </w:tcPr>
                      <w:p>
                        <w:pPr>
                          <w:pStyle w:val="TableParagraph"/>
                          <w:spacing w:line="259" w:lineRule="auto" w:before="77"/>
                          <w:ind w:left="108" w:right="101"/>
                          <w:jc w:val="left"/>
                          <w:rPr>
                            <w:rFonts w:ascii="宋体" w:hAnsi="宋体" w:cs="宋体" w:eastAsia="宋体" w:hint="default"/>
                            <w:sz w:val="16"/>
                            <w:szCs w:val="16"/>
                          </w:rPr>
                        </w:pPr>
                        <w:r>
                          <w:rPr>
                            <w:rFonts w:ascii="宋体" w:hAnsi="宋体" w:cs="宋体" w:eastAsia="宋体" w:hint="default"/>
                            <w:spacing w:val="2"/>
                            <w:sz w:val="16"/>
                            <w:szCs w:val="16"/>
                          </w:rPr>
                          <w:t>（</w:t>
                        </w:r>
                        <w:r>
                          <w:rPr>
                            <w:rFonts w:ascii="Times New Roman" w:hAnsi="Times New Roman" w:cs="Times New Roman" w:eastAsia="Times New Roman" w:hint="default"/>
                            <w:spacing w:val="2"/>
                            <w:sz w:val="16"/>
                            <w:szCs w:val="16"/>
                          </w:rPr>
                          <w:t>3</w:t>
                        </w:r>
                        <w:r>
                          <w:rPr>
                            <w:rFonts w:ascii="宋体" w:hAnsi="宋体" w:cs="宋体" w:eastAsia="宋体" w:hint="default"/>
                            <w:spacing w:val="2"/>
                            <w:sz w:val="16"/>
                            <w:szCs w:val="16"/>
                          </w:rPr>
                          <w:t>）</w:t>
                        </w:r>
                        <w:r>
                          <w:rPr>
                            <w:rFonts w:ascii="Times New Roman" w:hAnsi="Times New Roman" w:cs="Times New Roman" w:eastAsia="Times New Roman" w:hint="default"/>
                            <w:spacing w:val="2"/>
                            <w:sz w:val="16"/>
                            <w:szCs w:val="16"/>
                          </w:rPr>
                          <w:t>“</w:t>
                        </w:r>
                        <w:r>
                          <w:rPr>
                            <w:rFonts w:ascii="宋体" w:hAnsi="宋体" w:cs="宋体" w:eastAsia="宋体" w:hint="default"/>
                            <w:spacing w:val="2"/>
                            <w:sz w:val="16"/>
                            <w:szCs w:val="16"/>
                          </w:rPr>
                          <w:t>递延收益</w:t>
                        </w:r>
                        <w:r>
                          <w:rPr>
                            <w:rFonts w:ascii="Times New Roman" w:hAnsi="Times New Roman" w:cs="Times New Roman" w:eastAsia="Times New Roman" w:hint="default"/>
                            <w:spacing w:val="2"/>
                            <w:sz w:val="16"/>
                            <w:szCs w:val="16"/>
                          </w:rPr>
                          <w:t>”</w:t>
                        </w:r>
                        <w:r>
                          <w:rPr>
                            <w:rFonts w:ascii="宋体" w:hAnsi="宋体" w:cs="宋体" w:eastAsia="宋体" w:hint="default"/>
                            <w:spacing w:val="2"/>
                            <w:sz w:val="16"/>
                            <w:szCs w:val="16"/>
                          </w:rPr>
                          <w:t>项目中摊销期限只</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4"/>
                            <w:sz w:val="16"/>
                            <w:szCs w:val="16"/>
                          </w:rPr>
                          <w:t>剩一年或不足一年的，或预计在一年</w:t>
                        </w:r>
                      </w:p>
                    </w:tc>
                    <w:tc>
                      <w:tcPr>
                        <w:tcW w:w="1219" w:type="dxa"/>
                        <w:vMerge/>
                        <w:tcBorders>
                          <w:left w:val="dotted" w:sz="4" w:space="0" w:color="000000"/>
                          <w:bottom w:val="single" w:sz="12" w:space="0" w:color="000000"/>
                          <w:right w:val="dotted" w:sz="4" w:space="0" w:color="000000"/>
                        </w:tcBorders>
                      </w:tcPr>
                      <w:p>
                        <w:pPr/>
                      </w:p>
                    </w:tc>
                    <w:tc>
                      <w:tcPr>
                        <w:tcW w:w="21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pacing w:val="9"/>
                            <w:sz w:val="16"/>
                            <w:szCs w:val="16"/>
                          </w:rPr>
                          <w:t>调增</w:t>
                        </w:r>
                        <w:r>
                          <w:rPr>
                            <w:rFonts w:ascii="Times New Roman" w:hAnsi="Times New Roman" w:cs="Times New Roman" w:eastAsia="Times New Roman" w:hint="default"/>
                            <w:spacing w:val="9"/>
                            <w:sz w:val="16"/>
                            <w:szCs w:val="16"/>
                          </w:rPr>
                          <w:t>“</w:t>
                        </w:r>
                        <w:r>
                          <w:rPr>
                            <w:rFonts w:ascii="Times New Roman" w:hAnsi="Times New Roman" w:cs="Times New Roman" w:eastAsia="Times New Roman" w:hint="default"/>
                            <w:spacing w:val="-15"/>
                            <w:sz w:val="16"/>
                            <w:szCs w:val="16"/>
                          </w:rPr>
                          <w:t> </w:t>
                        </w:r>
                        <w:r>
                          <w:rPr>
                            <w:rFonts w:ascii="宋体" w:hAnsi="宋体" w:cs="宋体" w:eastAsia="宋体" w:hint="default"/>
                            <w:spacing w:val="11"/>
                            <w:sz w:val="16"/>
                            <w:szCs w:val="16"/>
                          </w:rPr>
                          <w:t>递延收益</w:t>
                        </w:r>
                        <w:r>
                          <w:rPr>
                            <w:rFonts w:ascii="Times New Roman" w:hAnsi="Times New Roman" w:cs="Times New Roman" w:eastAsia="Times New Roman" w:hint="default"/>
                            <w:spacing w:val="11"/>
                            <w:sz w:val="16"/>
                            <w:szCs w:val="16"/>
                          </w:rPr>
                          <w:t>”</w:t>
                        </w:r>
                        <w:r>
                          <w:rPr>
                            <w:rFonts w:ascii="Times New Roman" w:hAnsi="Times New Roman" w:cs="Times New Roman" w:eastAsia="Times New Roman" w:hint="default"/>
                            <w:spacing w:val="-15"/>
                            <w:sz w:val="16"/>
                            <w:szCs w:val="16"/>
                          </w:rPr>
                          <w:t> </w:t>
                        </w:r>
                        <w:r>
                          <w:rPr>
                            <w:rFonts w:ascii="宋体" w:hAnsi="宋体" w:cs="宋体" w:eastAsia="宋体" w:hint="default"/>
                            <w:spacing w:val="10"/>
                            <w:sz w:val="16"/>
                            <w:szCs w:val="16"/>
                          </w:rPr>
                          <w:t>上期金额</w:t>
                        </w:r>
                      </w:p>
                      <w:p>
                        <w:pPr>
                          <w:pStyle w:val="TableParagraph"/>
                          <w:spacing w:line="240" w:lineRule="auto" w:before="18"/>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8,850,138.56</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元；调减</w:t>
                        </w: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209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pacing w:val="9"/>
                            <w:sz w:val="16"/>
                            <w:szCs w:val="16"/>
                          </w:rPr>
                          <w:t>调增</w:t>
                        </w:r>
                        <w:r>
                          <w:rPr>
                            <w:rFonts w:ascii="Times New Roman" w:hAnsi="Times New Roman" w:cs="Times New Roman" w:eastAsia="Times New Roman" w:hint="default"/>
                            <w:spacing w:val="9"/>
                            <w:sz w:val="16"/>
                            <w:szCs w:val="16"/>
                          </w:rPr>
                          <w:t>“</w:t>
                        </w:r>
                        <w:r>
                          <w:rPr>
                            <w:rFonts w:ascii="宋体" w:hAnsi="宋体" w:cs="宋体" w:eastAsia="宋体" w:hint="default"/>
                            <w:spacing w:val="9"/>
                            <w:sz w:val="16"/>
                            <w:szCs w:val="16"/>
                          </w:rPr>
                          <w:t>递延收益</w:t>
                        </w:r>
                        <w:r>
                          <w:rPr>
                            <w:rFonts w:ascii="Times New Roman" w:hAnsi="Times New Roman" w:cs="Times New Roman" w:eastAsia="Times New Roman" w:hint="default"/>
                            <w:spacing w:val="9"/>
                            <w:sz w:val="16"/>
                            <w:szCs w:val="16"/>
                          </w:rPr>
                          <w:t>”</w:t>
                        </w:r>
                        <w:r>
                          <w:rPr>
                            <w:rFonts w:ascii="宋体" w:hAnsi="宋体" w:cs="宋体" w:eastAsia="宋体" w:hint="default"/>
                            <w:spacing w:val="9"/>
                            <w:sz w:val="16"/>
                            <w:szCs w:val="16"/>
                          </w:rPr>
                          <w:t>上期金额</w:t>
                        </w:r>
                      </w:p>
                      <w:p>
                        <w:pPr>
                          <w:pStyle w:val="TableParagraph"/>
                          <w:spacing w:line="240" w:lineRule="auto" w:before="18"/>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8,850,138.56</w:t>
                        </w:r>
                        <w:r>
                          <w:rPr>
                            <w:rFonts w:ascii="Times New Roman" w:hAnsi="Times New Roman" w:cs="Times New Roman" w:eastAsia="Times New Roman" w:hint="default"/>
                            <w:spacing w:val="-2"/>
                            <w:sz w:val="16"/>
                            <w:szCs w:val="16"/>
                          </w:rPr>
                          <w:t> </w:t>
                        </w:r>
                        <w:r>
                          <w:rPr>
                            <w:rFonts w:ascii="宋体" w:hAnsi="宋体" w:cs="宋体" w:eastAsia="宋体" w:hint="default"/>
                            <w:spacing w:val="-6"/>
                            <w:sz w:val="16"/>
                            <w:szCs w:val="16"/>
                          </w:rPr>
                          <w:t>元；调减</w:t>
                        </w:r>
                        <w:r>
                          <w:rPr>
                            <w:rFonts w:ascii="Times New Roman" w:hAnsi="Times New Roman" w:cs="Times New Roman" w:eastAsia="Times New Roman" w:hint="default"/>
                            <w:spacing w:val="-6"/>
                            <w:sz w:val="16"/>
                            <w:szCs w:val="16"/>
                          </w:rPr>
                          <w:t>“</w:t>
                        </w:r>
                        <w:r>
                          <w:rPr>
                            <w:rFonts w:ascii="宋体" w:hAnsi="宋体" w:cs="宋体" w:eastAsia="宋体" w:hint="default"/>
                            <w:spacing w:val="-6"/>
                            <w:sz w:val="16"/>
                            <w:szCs w:val="16"/>
                          </w:rPr>
                          <w:t>其他</w:t>
                        </w:r>
                        <w:r>
                          <w:rPr>
                            <w:rFonts w:ascii="宋体" w:hAnsi="宋体" w:cs="宋体" w:eastAsia="宋体" w:hint="default"/>
                            <w:sz w:val="16"/>
                            <w:szCs w:val="16"/>
                          </w:rPr>
                        </w:r>
                      </w:p>
                    </w:tc>
                  </w:tr>
                </w:tbl>
                <w:p>
                  <w:pPr/>
                </w:p>
              </w:txbxContent>
            </v:textbox>
            <w10:wrap type="none"/>
          </v:shape>
        </w:pict>
      </w:r>
      <w:r>
        <w:rPr>
          <w:rFonts w:ascii="Times New Roman" w:hAnsi="Times New Roman" w:cs="Times New Roman" w:eastAsia="Times New Roman" w:hint="default"/>
        </w:rPr>
        <w:t>2019 </w:t>
      </w:r>
      <w:r>
        <w:rPr>
          <w:spacing w:val="-5"/>
        </w:rPr>
        <w:t>年度一般企业财务报表格式的通知》（财会（</w:t>
      </w:r>
      <w:r>
        <w:rPr>
          <w:rFonts w:ascii="Times New Roman" w:hAnsi="Times New Roman" w:cs="Times New Roman" w:eastAsia="Times New Roman" w:hint="default"/>
          <w:spacing w:val="-5"/>
        </w:rPr>
        <w:t>2019</w:t>
      </w:r>
      <w:r>
        <w:rPr>
          <w:spacing w:val="-5"/>
        </w:rPr>
        <w:t>）</w:t>
      </w:r>
      <w:r>
        <w:rPr>
          <w:rFonts w:ascii="Times New Roman" w:hAnsi="Times New Roman" w:cs="Times New Roman" w:eastAsia="Times New Roman" w:hint="default"/>
          <w:spacing w:val="-5"/>
        </w:rPr>
        <w:t>6 </w:t>
      </w:r>
      <w:r>
        <w:rPr>
          <w:spacing w:val="-6"/>
        </w:rPr>
        <w:t>号）和《关于修订</w:t>
      </w:r>
      <w:r>
        <w:rPr>
          <w:spacing w:val="-84"/>
        </w:rPr>
        <w:t> </w:t>
      </w:r>
      <w:r>
        <w:rPr>
          <w:spacing w:val="-84"/>
        </w:rPr>
      </w:r>
      <w:r>
        <w:rPr/>
        <w:t>印发合并财务报表格式（</w:t>
      </w:r>
      <w:r>
        <w:rPr>
          <w:rFonts w:ascii="Times New Roman" w:hAnsi="Times New Roman" w:cs="Times New Roman" w:eastAsia="Times New Roman" w:hint="default"/>
        </w:rPr>
        <w:t>2019 </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号），对一般</w:t>
      </w:r>
      <w:r>
        <w:rPr>
          <w:w w:val="100"/>
        </w:rPr>
        <w:t> </w:t>
      </w:r>
      <w:r>
        <w:rPr/>
        <w:t>企业财务报表格式进行了修订。本公司执行上述规定的主要影响如下：</w:t>
      </w:r>
    </w:p>
    <w:p>
      <w:pPr>
        <w:spacing w:after="0" w:line="314" w:lineRule="auto"/>
        <w:jc w:val="both"/>
        <w:sectPr>
          <w:pgSz w:w="11910" w:h="16840"/>
          <w:pgMar w:header="753" w:footer="997" w:top="1440" w:bottom="1180" w:left="1660" w:right="0"/>
        </w:sectPr>
      </w:pPr>
    </w:p>
    <w:p>
      <w:pPr>
        <w:spacing w:line="240" w:lineRule="auto" w:before="8"/>
        <w:rPr>
          <w:rFonts w:ascii="宋体" w:hAnsi="宋体" w:cs="宋体" w:eastAsia="宋体" w:hint="default"/>
          <w:sz w:val="22"/>
          <w:szCs w:val="22"/>
        </w:rPr>
      </w:pPr>
    </w:p>
    <w:tbl>
      <w:tblPr>
        <w:tblW w:w="0" w:type="auto"/>
        <w:jc w:val="left"/>
        <w:tblInd w:w="735" w:type="dxa"/>
        <w:tblLayout w:type="fixed"/>
        <w:tblCellMar>
          <w:top w:w="0" w:type="dxa"/>
          <w:left w:w="0" w:type="dxa"/>
          <w:bottom w:w="0" w:type="dxa"/>
          <w:right w:w="0" w:type="dxa"/>
        </w:tblCellMar>
        <w:tblLook w:val="01E0"/>
      </w:tblPr>
      <w:tblGrid>
        <w:gridCol w:w="2739"/>
        <w:gridCol w:w="1219"/>
        <w:gridCol w:w="2134"/>
        <w:gridCol w:w="2098"/>
      </w:tblGrid>
      <w:tr>
        <w:trPr>
          <w:trHeight w:val="396" w:hRule="exact"/>
        </w:trPr>
        <w:tc>
          <w:tcPr>
            <w:tcW w:w="2739"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08" w:right="0"/>
              <w:jc w:val="left"/>
              <w:rPr>
                <w:rFonts w:ascii="宋体" w:hAnsi="宋体" w:cs="宋体" w:eastAsia="宋体" w:hint="default"/>
                <w:sz w:val="16"/>
                <w:szCs w:val="16"/>
              </w:rPr>
            </w:pPr>
            <w:r>
              <w:rPr>
                <w:rFonts w:ascii="宋体" w:hAnsi="宋体" w:cs="宋体" w:eastAsia="宋体" w:hint="default"/>
                <w:sz w:val="16"/>
                <w:szCs w:val="16"/>
              </w:rPr>
              <w:t>会计政策变更的内容和原因</w:t>
            </w:r>
          </w:p>
        </w:tc>
        <w:tc>
          <w:tcPr>
            <w:tcW w:w="1219"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审批程序</w:t>
            </w:r>
          </w:p>
        </w:tc>
        <w:tc>
          <w:tcPr>
            <w:tcW w:w="423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75"/>
              <w:ind w:left="1068" w:right="0"/>
              <w:jc w:val="left"/>
              <w:rPr>
                <w:rFonts w:ascii="宋体" w:hAnsi="宋体" w:cs="宋体" w:eastAsia="宋体" w:hint="default"/>
                <w:sz w:val="16"/>
                <w:szCs w:val="16"/>
              </w:rPr>
            </w:pPr>
            <w:r>
              <w:rPr>
                <w:rFonts w:ascii="宋体" w:hAnsi="宋体" w:cs="宋体" w:eastAsia="宋体" w:hint="default"/>
                <w:sz w:val="16"/>
                <w:szCs w:val="16"/>
              </w:rPr>
              <w:t>受影响的报表项目名称和金额</w:t>
            </w:r>
          </w:p>
        </w:tc>
      </w:tr>
      <w:tr>
        <w:trPr>
          <w:trHeight w:val="386" w:hRule="exact"/>
        </w:trPr>
        <w:tc>
          <w:tcPr>
            <w:tcW w:w="2739" w:type="dxa"/>
            <w:vMerge/>
            <w:tcBorders>
              <w:left w:val="nil" w:sz="6" w:space="0" w:color="auto"/>
              <w:bottom w:val="dotted" w:sz="4" w:space="0" w:color="000000"/>
              <w:right w:val="dotted" w:sz="4" w:space="0" w:color="000000"/>
            </w:tcBorders>
          </w:tcPr>
          <w:p>
            <w:pPr/>
          </w:p>
        </w:tc>
        <w:tc>
          <w:tcPr>
            <w:tcW w:w="1219" w:type="dxa"/>
            <w:vMerge/>
            <w:tcBorders>
              <w:left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2"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20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806"/>
              <w:jc w:val="right"/>
              <w:rPr>
                <w:rFonts w:ascii="宋体" w:hAnsi="宋体" w:cs="宋体" w:eastAsia="宋体" w:hint="default"/>
                <w:sz w:val="16"/>
                <w:szCs w:val="16"/>
              </w:rPr>
            </w:pPr>
            <w:r>
              <w:rPr>
                <w:rFonts w:ascii="宋体" w:hAnsi="宋体" w:cs="宋体" w:eastAsia="宋体" w:hint="default"/>
                <w:sz w:val="16"/>
                <w:szCs w:val="16"/>
              </w:rPr>
              <w:t>母公司</w:t>
            </w:r>
          </w:p>
        </w:tc>
      </w:tr>
      <w:tr>
        <w:trPr>
          <w:trHeight w:val="1066"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71" w:lineRule="auto" w:before="36"/>
              <w:ind w:left="108" w:right="101"/>
              <w:jc w:val="both"/>
              <w:rPr>
                <w:rFonts w:ascii="宋体" w:hAnsi="宋体" w:cs="宋体" w:eastAsia="宋体" w:hint="default"/>
                <w:sz w:val="16"/>
                <w:szCs w:val="16"/>
              </w:rPr>
            </w:pPr>
            <w:r>
              <w:rPr>
                <w:rFonts w:ascii="宋体" w:hAnsi="宋体" w:cs="宋体" w:eastAsia="宋体" w:hint="default"/>
                <w:spacing w:val="-4"/>
                <w:sz w:val="16"/>
                <w:szCs w:val="16"/>
              </w:rPr>
              <w:t>内（含一年）进行摊销的部分，不得</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pacing w:val="6"/>
                <w:sz w:val="16"/>
                <w:szCs w:val="16"/>
              </w:rPr>
              <w:t>归类为流动负债，仍在该项目中填</w:t>
            </w:r>
            <w:r>
              <w:rPr>
                <w:rFonts w:ascii="宋体" w:hAnsi="宋体" w:cs="宋体" w:eastAsia="宋体" w:hint="default"/>
                <w:spacing w:val="-53"/>
                <w:sz w:val="16"/>
                <w:szCs w:val="16"/>
              </w:rPr>
              <w:t> </w:t>
            </w:r>
            <w:r>
              <w:rPr>
                <w:rFonts w:ascii="宋体" w:hAnsi="宋体" w:cs="宋体" w:eastAsia="宋体" w:hint="default"/>
                <w:spacing w:val="-53"/>
                <w:sz w:val="16"/>
                <w:szCs w:val="16"/>
              </w:rPr>
            </w:r>
            <w:r>
              <w:rPr>
                <w:rFonts w:ascii="宋体" w:hAnsi="宋体" w:cs="宋体" w:eastAsia="宋体" w:hint="default"/>
                <w:sz w:val="16"/>
                <w:szCs w:val="16"/>
              </w:rPr>
              <w:t>列，不转入</w:t>
            </w:r>
            <w:r>
              <w:rPr>
                <w:rFonts w:ascii="Times New Roman" w:hAnsi="Times New Roman" w:cs="Times New Roman" w:eastAsia="Times New Roman" w:hint="default"/>
                <w:sz w:val="16"/>
                <w:szCs w:val="16"/>
              </w:rPr>
              <w:t>“</w:t>
            </w:r>
            <w:r>
              <w:rPr>
                <w:rFonts w:ascii="宋体" w:hAnsi="宋体" w:cs="宋体" w:eastAsia="宋体" w:hint="default"/>
                <w:sz w:val="16"/>
                <w:szCs w:val="16"/>
              </w:rPr>
              <w:t>一年内到期的非流动负</w:t>
            </w:r>
            <w:r>
              <w:rPr>
                <w:rFonts w:ascii="宋体" w:hAnsi="宋体" w:cs="宋体" w:eastAsia="宋体" w:hint="default"/>
                <w:spacing w:val="-34"/>
                <w:sz w:val="16"/>
                <w:szCs w:val="16"/>
              </w:rPr>
              <w:t> </w:t>
            </w:r>
            <w:r>
              <w:rPr>
                <w:rFonts w:ascii="宋体" w:hAnsi="宋体" w:cs="宋体" w:eastAsia="宋体" w:hint="default"/>
                <w:spacing w:val="-34"/>
                <w:sz w:val="16"/>
                <w:szCs w:val="16"/>
              </w:rPr>
            </w:r>
            <w:r>
              <w:rPr>
                <w:rFonts w:ascii="宋体" w:hAnsi="宋体" w:cs="宋体" w:eastAsia="宋体" w:hint="default"/>
                <w:sz w:val="16"/>
                <w:szCs w:val="16"/>
              </w:rPr>
              <w:t>债</w:t>
            </w:r>
            <w:r>
              <w:rPr>
                <w:rFonts w:ascii="Times New Roman" w:hAnsi="Times New Roman" w:cs="Times New Roman" w:eastAsia="Times New Roman" w:hint="default"/>
                <w:sz w:val="16"/>
                <w:szCs w:val="16"/>
              </w:rPr>
              <w:t>”</w:t>
            </w:r>
            <w:r>
              <w:rPr>
                <w:rFonts w:ascii="宋体" w:hAnsi="宋体" w:cs="宋体" w:eastAsia="宋体" w:hint="default"/>
                <w:sz w:val="16"/>
                <w:szCs w:val="16"/>
              </w:rPr>
              <w:t>项目。比较数据相应调整。</w:t>
            </w:r>
          </w:p>
        </w:tc>
        <w:tc>
          <w:tcPr>
            <w:tcW w:w="1219" w:type="dxa"/>
            <w:vMerge/>
            <w:tcBorders>
              <w:left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流 动 负 债 </w:t>
            </w:r>
            <w:r>
              <w:rPr>
                <w:rFonts w:ascii="Times New Roman" w:hAnsi="Times New Roman" w:cs="Times New Roman" w:eastAsia="Times New Roman" w:hint="default"/>
                <w:sz w:val="16"/>
                <w:szCs w:val="16"/>
              </w:rPr>
              <w:t>” </w:t>
            </w:r>
            <w:r>
              <w:rPr>
                <w:rFonts w:ascii="宋体" w:hAnsi="宋体" w:cs="宋体" w:eastAsia="宋体" w:hint="default"/>
                <w:sz w:val="16"/>
                <w:szCs w:val="16"/>
              </w:rPr>
              <w:t>上 期 金</w:t>
            </w:r>
            <w:r>
              <w:rPr>
                <w:rFonts w:ascii="宋体" w:hAnsi="宋体" w:cs="宋体" w:eastAsia="宋体" w:hint="default"/>
                <w:spacing w:val="-36"/>
                <w:sz w:val="16"/>
                <w:szCs w:val="16"/>
              </w:rPr>
              <w:t> </w:t>
            </w:r>
            <w:r>
              <w:rPr>
                <w:rFonts w:ascii="宋体" w:hAnsi="宋体" w:cs="宋体" w:eastAsia="宋体" w:hint="default"/>
                <w:sz w:val="16"/>
                <w:szCs w:val="16"/>
              </w:rPr>
              <w:t>额</w:t>
            </w:r>
          </w:p>
          <w:p>
            <w:pPr>
              <w:pStyle w:val="TableParagraph"/>
              <w:spacing w:line="240" w:lineRule="auto" w:before="18"/>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8,850,138.56</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tc>
        <w:tc>
          <w:tcPr>
            <w:tcW w:w="20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流</w:t>
            </w:r>
            <w:r>
              <w:rPr>
                <w:rFonts w:ascii="宋体" w:hAnsi="宋体" w:cs="宋体" w:eastAsia="宋体" w:hint="default"/>
                <w:spacing w:val="-16"/>
                <w:sz w:val="16"/>
                <w:szCs w:val="16"/>
              </w:rPr>
              <w:t> </w:t>
            </w:r>
            <w:r>
              <w:rPr>
                <w:rFonts w:ascii="宋体" w:hAnsi="宋体" w:cs="宋体" w:eastAsia="宋体" w:hint="default"/>
                <w:sz w:val="16"/>
                <w:szCs w:val="16"/>
              </w:rPr>
              <w:t>动</w:t>
            </w:r>
            <w:r>
              <w:rPr>
                <w:rFonts w:ascii="宋体" w:hAnsi="宋体" w:cs="宋体" w:eastAsia="宋体" w:hint="default"/>
                <w:spacing w:val="-13"/>
                <w:sz w:val="16"/>
                <w:szCs w:val="16"/>
              </w:rPr>
              <w:t> </w:t>
            </w:r>
            <w:r>
              <w:rPr>
                <w:rFonts w:ascii="宋体" w:hAnsi="宋体" w:cs="宋体" w:eastAsia="宋体" w:hint="default"/>
                <w:sz w:val="16"/>
                <w:szCs w:val="16"/>
              </w:rPr>
              <w:t>负</w:t>
            </w:r>
            <w:r>
              <w:rPr>
                <w:rFonts w:ascii="宋体" w:hAnsi="宋体" w:cs="宋体" w:eastAsia="宋体" w:hint="default"/>
                <w:spacing w:val="-16"/>
                <w:sz w:val="16"/>
                <w:szCs w:val="16"/>
              </w:rPr>
              <w:t> </w:t>
            </w:r>
            <w:r>
              <w:rPr>
                <w:rFonts w:ascii="宋体" w:hAnsi="宋体" w:cs="宋体" w:eastAsia="宋体" w:hint="default"/>
                <w:sz w:val="16"/>
                <w:szCs w:val="16"/>
              </w:rPr>
              <w:t>债</w:t>
            </w:r>
            <w:r>
              <w:rPr>
                <w:rFonts w:ascii="宋体" w:hAnsi="宋体" w:cs="宋体" w:eastAsia="宋体" w:hint="default"/>
                <w:spacing w:val="-15"/>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25"/>
                <w:sz w:val="16"/>
                <w:szCs w:val="16"/>
              </w:rPr>
              <w:t> </w:t>
            </w:r>
            <w:r>
              <w:rPr>
                <w:rFonts w:ascii="宋体" w:hAnsi="宋体" w:cs="宋体" w:eastAsia="宋体" w:hint="default"/>
                <w:sz w:val="16"/>
                <w:szCs w:val="16"/>
              </w:rPr>
              <w:t>上</w:t>
            </w:r>
            <w:r>
              <w:rPr>
                <w:rFonts w:ascii="宋体" w:hAnsi="宋体" w:cs="宋体" w:eastAsia="宋体" w:hint="default"/>
                <w:spacing w:val="-16"/>
                <w:sz w:val="16"/>
                <w:szCs w:val="16"/>
              </w:rPr>
              <w:t> </w:t>
            </w:r>
            <w:r>
              <w:rPr>
                <w:rFonts w:ascii="宋体" w:hAnsi="宋体" w:cs="宋体" w:eastAsia="宋体" w:hint="default"/>
                <w:sz w:val="16"/>
                <w:szCs w:val="16"/>
              </w:rPr>
              <w:t>期</w:t>
            </w:r>
            <w:r>
              <w:rPr>
                <w:rFonts w:ascii="宋体" w:hAnsi="宋体" w:cs="宋体" w:eastAsia="宋体" w:hint="default"/>
                <w:spacing w:val="-13"/>
                <w:sz w:val="16"/>
                <w:szCs w:val="16"/>
              </w:rPr>
              <w:t> </w:t>
            </w:r>
            <w:r>
              <w:rPr>
                <w:rFonts w:ascii="宋体" w:hAnsi="宋体" w:cs="宋体" w:eastAsia="宋体" w:hint="default"/>
                <w:sz w:val="16"/>
                <w:szCs w:val="16"/>
              </w:rPr>
              <w:t>金</w:t>
            </w:r>
            <w:r>
              <w:rPr>
                <w:rFonts w:ascii="宋体" w:hAnsi="宋体" w:cs="宋体" w:eastAsia="宋体" w:hint="default"/>
                <w:spacing w:val="-16"/>
                <w:sz w:val="16"/>
                <w:szCs w:val="16"/>
              </w:rPr>
              <w:t> </w:t>
            </w:r>
            <w:r>
              <w:rPr>
                <w:rFonts w:ascii="宋体" w:hAnsi="宋体" w:cs="宋体" w:eastAsia="宋体" w:hint="default"/>
                <w:sz w:val="16"/>
                <w:szCs w:val="16"/>
              </w:rPr>
              <w:t>额</w:t>
            </w:r>
          </w:p>
          <w:p>
            <w:pPr>
              <w:pStyle w:val="TableParagraph"/>
              <w:spacing w:line="240" w:lineRule="auto" w:before="18"/>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8,850,138.56</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tc>
      </w:tr>
      <w:tr>
        <w:trPr>
          <w:trHeight w:val="1116" w:hRule="exact"/>
        </w:trPr>
        <w:tc>
          <w:tcPr>
            <w:tcW w:w="27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66" w:lineRule="auto"/>
              <w:ind w:left="108" w:right="103"/>
              <w:jc w:val="both"/>
              <w:rPr>
                <w:rFonts w:ascii="宋体" w:hAnsi="宋体" w:cs="宋体" w:eastAsia="宋体" w:hint="default"/>
                <w:sz w:val="16"/>
                <w:szCs w:val="16"/>
              </w:rPr>
            </w:pPr>
            <w:r>
              <w:rPr>
                <w:rFonts w:ascii="宋体" w:hAnsi="宋体" w:cs="宋体" w:eastAsia="宋体" w:hint="default"/>
                <w:spacing w:val="-2"/>
                <w:sz w:val="16"/>
                <w:szCs w:val="16"/>
              </w:rPr>
              <w:t>（</w:t>
            </w:r>
            <w:r>
              <w:rPr>
                <w:rFonts w:ascii="Times New Roman" w:hAnsi="Times New Roman" w:cs="Times New Roman" w:eastAsia="Times New Roman" w:hint="default"/>
                <w:spacing w:val="-2"/>
                <w:sz w:val="16"/>
                <w:szCs w:val="16"/>
              </w:rPr>
              <w:t>4</w:t>
            </w:r>
            <w:r>
              <w:rPr>
                <w:rFonts w:ascii="宋体" w:hAnsi="宋体" w:cs="宋体" w:eastAsia="宋体" w:hint="default"/>
                <w:spacing w:val="-2"/>
                <w:sz w:val="16"/>
                <w:szCs w:val="16"/>
              </w:rPr>
              <w:t>）</w:t>
            </w:r>
            <w:r>
              <w:rPr>
                <w:rFonts w:ascii="Times New Roman" w:hAnsi="Times New Roman" w:cs="Times New Roman" w:eastAsia="Times New Roman" w:hint="default"/>
                <w:spacing w:val="-2"/>
                <w:sz w:val="16"/>
                <w:szCs w:val="16"/>
              </w:rPr>
              <w:t>“</w:t>
            </w:r>
            <w:r>
              <w:rPr>
                <w:rFonts w:ascii="宋体" w:hAnsi="宋体" w:cs="宋体" w:eastAsia="宋体" w:hint="default"/>
                <w:spacing w:val="-2"/>
                <w:sz w:val="16"/>
                <w:szCs w:val="16"/>
              </w:rPr>
              <w:t>研发费用</w:t>
            </w:r>
            <w:r>
              <w:rPr>
                <w:rFonts w:ascii="Times New Roman" w:hAnsi="Times New Roman" w:cs="Times New Roman" w:eastAsia="Times New Roman" w:hint="default"/>
                <w:spacing w:val="-2"/>
                <w:sz w:val="16"/>
                <w:szCs w:val="16"/>
              </w:rPr>
              <w:t>”</w:t>
            </w:r>
            <w:r>
              <w:rPr>
                <w:rFonts w:ascii="宋体" w:hAnsi="宋体" w:cs="宋体" w:eastAsia="宋体" w:hint="default"/>
                <w:spacing w:val="-2"/>
                <w:sz w:val="16"/>
                <w:szCs w:val="16"/>
              </w:rPr>
              <w:t>项目增加反映</w:t>
            </w:r>
            <w:r>
              <w:rPr>
                <w:rFonts w:ascii="Times New Roman" w:hAnsi="Times New Roman" w:cs="Times New Roman" w:eastAsia="Times New Roman" w:hint="default"/>
                <w:spacing w:val="-2"/>
                <w:sz w:val="16"/>
                <w:szCs w:val="16"/>
              </w:rPr>
              <w:t>“</w:t>
            </w:r>
            <w:r>
              <w:rPr>
                <w:rFonts w:ascii="宋体" w:hAnsi="宋体" w:cs="宋体" w:eastAsia="宋体" w:hint="default"/>
                <w:spacing w:val="-2"/>
                <w:sz w:val="16"/>
                <w:szCs w:val="16"/>
              </w:rPr>
              <w:t>计入</w:t>
            </w:r>
            <w:r>
              <w:rPr>
                <w:rFonts w:ascii="宋体" w:hAnsi="宋体" w:cs="宋体" w:eastAsia="宋体" w:hint="default"/>
                <w:spacing w:val="-62"/>
                <w:sz w:val="16"/>
                <w:szCs w:val="16"/>
              </w:rPr>
              <w:t> </w:t>
            </w:r>
            <w:r>
              <w:rPr>
                <w:rFonts w:ascii="宋体" w:hAnsi="宋体" w:cs="宋体" w:eastAsia="宋体" w:hint="default"/>
                <w:spacing w:val="6"/>
                <w:sz w:val="16"/>
                <w:szCs w:val="16"/>
              </w:rPr>
              <w:t>管理费用的自行开发无形资产的摊</w:t>
            </w:r>
            <w:r>
              <w:rPr>
                <w:rFonts w:ascii="宋体" w:hAnsi="宋体" w:cs="宋体" w:eastAsia="宋体" w:hint="default"/>
                <w:spacing w:val="-53"/>
                <w:sz w:val="16"/>
                <w:szCs w:val="16"/>
              </w:rPr>
              <w:t> </w:t>
            </w:r>
            <w:r>
              <w:rPr>
                <w:rFonts w:ascii="宋体" w:hAnsi="宋体" w:cs="宋体" w:eastAsia="宋体" w:hint="default"/>
                <w:spacing w:val="-53"/>
                <w:sz w:val="16"/>
                <w:szCs w:val="16"/>
              </w:rPr>
            </w:r>
            <w:r>
              <w:rPr>
                <w:rFonts w:ascii="宋体" w:hAnsi="宋体" w:cs="宋体" w:eastAsia="宋体" w:hint="default"/>
                <w:sz w:val="16"/>
                <w:szCs w:val="16"/>
              </w:rPr>
              <w:t>销</w:t>
            </w:r>
            <w:r>
              <w:rPr>
                <w:rFonts w:ascii="Times New Roman" w:hAnsi="Times New Roman" w:cs="Times New Roman" w:eastAsia="Times New Roman" w:hint="default"/>
                <w:sz w:val="16"/>
                <w:szCs w:val="16"/>
              </w:rPr>
              <w:t>”</w:t>
            </w:r>
            <w:r>
              <w:rPr>
                <w:rFonts w:ascii="宋体" w:hAnsi="宋体" w:cs="宋体" w:eastAsia="宋体" w:hint="default"/>
                <w:sz w:val="16"/>
                <w:szCs w:val="16"/>
              </w:rPr>
              <w:t>。比较数据相应调整。</w:t>
            </w:r>
          </w:p>
        </w:tc>
        <w:tc>
          <w:tcPr>
            <w:tcW w:w="1219" w:type="dxa"/>
            <w:vMerge/>
            <w:tcBorders>
              <w:left w:val="dotted" w:sz="4" w:space="0" w:color="000000"/>
              <w:bottom w:val="single" w:sz="12" w:space="0" w:color="000000"/>
              <w:right w:val="dotted" w:sz="4" w:space="0" w:color="000000"/>
            </w:tcBorders>
          </w:tcPr>
          <w:p>
            <w:pPr/>
          </w:p>
        </w:tc>
        <w:tc>
          <w:tcPr>
            <w:tcW w:w="2134" w:type="dxa"/>
            <w:tcBorders>
              <w:top w:val="dotted" w:sz="4" w:space="0" w:color="000000"/>
              <w:left w:val="dotted" w:sz="4" w:space="0" w:color="000000"/>
              <w:bottom w:val="single" w:sz="12" w:space="0" w:color="000000"/>
              <w:right w:val="dotted" w:sz="4" w:space="0" w:color="000000"/>
            </w:tcBorders>
          </w:tcPr>
          <w:p>
            <w:pPr>
              <w:pStyle w:val="TableParagraph"/>
              <w:spacing w:line="259" w:lineRule="auto" w:before="74"/>
              <w:ind w:left="103" w:right="99"/>
              <w:jc w:val="both"/>
              <w:rPr>
                <w:rFonts w:ascii="宋体" w:hAnsi="宋体" w:cs="宋体" w:eastAsia="宋体" w:hint="default"/>
                <w:sz w:val="16"/>
                <w:szCs w:val="16"/>
              </w:rPr>
            </w:pPr>
            <w:r>
              <w:rPr>
                <w:rFonts w:ascii="宋体" w:hAnsi="宋体" w:cs="宋体" w:eastAsia="宋体" w:hint="default"/>
                <w:spacing w:val="9"/>
                <w:sz w:val="16"/>
                <w:szCs w:val="16"/>
              </w:rPr>
              <w:t>调增</w:t>
            </w:r>
            <w:r>
              <w:rPr>
                <w:rFonts w:ascii="Times New Roman" w:hAnsi="Times New Roman" w:cs="Times New Roman" w:eastAsia="Times New Roman" w:hint="default"/>
                <w:spacing w:val="9"/>
                <w:sz w:val="16"/>
                <w:szCs w:val="16"/>
              </w:rPr>
              <w:t>“</w:t>
            </w:r>
            <w:r>
              <w:rPr>
                <w:rFonts w:ascii="Times New Roman" w:hAnsi="Times New Roman" w:cs="Times New Roman" w:eastAsia="Times New Roman" w:hint="default"/>
                <w:spacing w:val="-18"/>
                <w:sz w:val="16"/>
                <w:szCs w:val="16"/>
              </w:rPr>
              <w:t> </w:t>
            </w:r>
            <w:r>
              <w:rPr>
                <w:rFonts w:ascii="宋体" w:hAnsi="宋体" w:cs="宋体" w:eastAsia="宋体" w:hint="default"/>
                <w:spacing w:val="11"/>
                <w:sz w:val="16"/>
                <w:szCs w:val="16"/>
              </w:rPr>
              <w:t>研发费用</w:t>
            </w:r>
            <w:r>
              <w:rPr>
                <w:rFonts w:ascii="Times New Roman" w:hAnsi="Times New Roman" w:cs="Times New Roman" w:eastAsia="Times New Roman" w:hint="default"/>
                <w:spacing w:val="11"/>
                <w:sz w:val="16"/>
                <w:szCs w:val="16"/>
              </w:rPr>
              <w:t>”</w:t>
            </w:r>
            <w:r>
              <w:rPr>
                <w:rFonts w:ascii="Times New Roman" w:hAnsi="Times New Roman" w:cs="Times New Roman" w:eastAsia="Times New Roman" w:hint="default"/>
                <w:spacing w:val="-18"/>
                <w:sz w:val="16"/>
                <w:szCs w:val="16"/>
              </w:rPr>
              <w:t> </w:t>
            </w:r>
            <w:r>
              <w:rPr>
                <w:rFonts w:ascii="宋体" w:hAnsi="宋体" w:cs="宋体" w:eastAsia="宋体" w:hint="default"/>
                <w:spacing w:val="10"/>
                <w:sz w:val="16"/>
                <w:szCs w:val="16"/>
              </w:rPr>
              <w:t>上期金额</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Times New Roman" w:hAnsi="Times New Roman" w:cs="Times New Roman" w:eastAsia="Times New Roman" w:hint="default"/>
                <w:spacing w:val="-2"/>
                <w:w w:val="100"/>
                <w:sz w:val="16"/>
                <w:szCs w:val="16"/>
              </w:rPr>
              <w:t>11,479,640.63</w:t>
            </w:r>
            <w:r>
              <w:rPr>
                <w:rFonts w:ascii="Times New Roman" w:hAnsi="Times New Roman" w:cs="Times New Roman" w:eastAsia="Times New Roman" w:hint="default"/>
                <w:w w:val="100"/>
                <w:sz w:val="16"/>
                <w:szCs w:val="16"/>
              </w:rPr>
              <w:t> </w:t>
            </w:r>
            <w:r>
              <w:rPr>
                <w:rFonts w:ascii="宋体" w:hAnsi="宋体" w:cs="宋体" w:eastAsia="宋体" w:hint="default"/>
                <w:spacing w:val="-11"/>
                <w:w w:val="100"/>
                <w:sz w:val="16"/>
                <w:szCs w:val="16"/>
              </w:rPr>
              <w:t>元；调减</w:t>
            </w:r>
            <w:r>
              <w:rPr>
                <w:rFonts w:ascii="Times New Roman" w:hAnsi="Times New Roman" w:cs="Times New Roman" w:eastAsia="Times New Roman" w:hint="default"/>
                <w:spacing w:val="-11"/>
                <w:w w:val="100"/>
                <w:sz w:val="16"/>
                <w:szCs w:val="16"/>
              </w:rPr>
              <w:t>“</w:t>
            </w:r>
            <w:r>
              <w:rPr>
                <w:rFonts w:ascii="宋体" w:hAnsi="宋体" w:cs="宋体" w:eastAsia="宋体" w:hint="default"/>
                <w:spacing w:val="-11"/>
                <w:w w:val="100"/>
                <w:sz w:val="16"/>
                <w:szCs w:val="16"/>
              </w:rPr>
              <w:t>管理</w:t>
            </w:r>
            <w:r>
              <w:rPr>
                <w:rFonts w:ascii="宋体" w:hAnsi="宋体" w:cs="宋体" w:eastAsia="宋体" w:hint="default"/>
                <w:spacing w:val="-73"/>
                <w:w w:val="100"/>
                <w:sz w:val="16"/>
                <w:szCs w:val="16"/>
              </w:rPr>
              <w:t> </w:t>
            </w:r>
            <w:r>
              <w:rPr>
                <w:rFonts w:ascii="宋体" w:hAnsi="宋体" w:cs="宋体" w:eastAsia="宋体" w:hint="default"/>
                <w:sz w:val="16"/>
                <w:szCs w:val="16"/>
              </w:rPr>
              <w:t>费 用 </w:t>
            </w:r>
            <w:r>
              <w:rPr>
                <w:rFonts w:ascii="Times New Roman" w:hAnsi="Times New Roman" w:cs="Times New Roman" w:eastAsia="Times New Roman" w:hint="default"/>
                <w:sz w:val="16"/>
                <w:szCs w:val="16"/>
              </w:rPr>
              <w:t>” </w:t>
            </w:r>
            <w:r>
              <w:rPr>
                <w:rFonts w:ascii="宋体" w:hAnsi="宋体" w:cs="宋体" w:eastAsia="宋体" w:hint="default"/>
                <w:sz w:val="16"/>
                <w:szCs w:val="16"/>
              </w:rPr>
              <w:t>上 期 金</w:t>
            </w:r>
            <w:r>
              <w:rPr>
                <w:rFonts w:ascii="宋体" w:hAnsi="宋体" w:cs="宋体" w:eastAsia="宋体" w:hint="default"/>
                <w:spacing w:val="6"/>
                <w:sz w:val="16"/>
                <w:szCs w:val="16"/>
              </w:rPr>
              <w:t> </w:t>
            </w:r>
            <w:r>
              <w:rPr>
                <w:rFonts w:ascii="宋体" w:hAnsi="宋体" w:cs="宋体" w:eastAsia="宋体" w:hint="default"/>
                <w:sz w:val="16"/>
                <w:szCs w:val="16"/>
              </w:rPr>
              <w:t>额</w:t>
            </w:r>
            <w:r>
              <w:rPr>
                <w:rFonts w:ascii="宋体" w:hAnsi="宋体" w:cs="宋体" w:eastAsia="宋体" w:hint="default"/>
                <w:w w:val="100"/>
                <w:sz w:val="16"/>
                <w:szCs w:val="16"/>
              </w:rPr>
              <w:t> </w:t>
            </w:r>
            <w:r>
              <w:rPr>
                <w:rFonts w:ascii="Times New Roman" w:hAnsi="Times New Roman" w:cs="Times New Roman" w:eastAsia="Times New Roman" w:hint="default"/>
                <w:sz w:val="16"/>
                <w:szCs w:val="16"/>
              </w:rPr>
              <w:t>11,479,640.63</w:t>
            </w:r>
            <w:r>
              <w:rPr>
                <w:rFonts w:ascii="Times New Roman" w:hAnsi="Times New Roman" w:cs="Times New Roman" w:eastAsia="Times New Roman" w:hint="default"/>
                <w:spacing w:val="-12"/>
                <w:sz w:val="16"/>
                <w:szCs w:val="16"/>
              </w:rPr>
              <w:t> </w:t>
            </w:r>
            <w:r>
              <w:rPr>
                <w:rFonts w:ascii="宋体" w:hAnsi="宋体" w:cs="宋体" w:eastAsia="宋体" w:hint="default"/>
                <w:sz w:val="16"/>
                <w:szCs w:val="16"/>
              </w:rPr>
              <w:t>元。</w:t>
            </w:r>
          </w:p>
        </w:tc>
        <w:tc>
          <w:tcPr>
            <w:tcW w:w="209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865"/>
              <w:jc w:val="right"/>
              <w:rPr>
                <w:rFonts w:ascii="宋体" w:hAnsi="宋体" w:cs="宋体" w:eastAsia="宋体" w:hint="default"/>
                <w:sz w:val="16"/>
                <w:szCs w:val="16"/>
              </w:rPr>
            </w:pPr>
            <w:r>
              <w:rPr>
                <w:rFonts w:ascii="宋体" w:hAnsi="宋体" w:cs="宋体" w:eastAsia="宋体" w:hint="default"/>
                <w:spacing w:val="-1"/>
                <w:sz w:val="16"/>
                <w:szCs w:val="16"/>
              </w:rPr>
              <w:t>母公司无影响。</w:t>
            </w:r>
          </w:p>
        </w:tc>
      </w:tr>
    </w:tbl>
    <w:p>
      <w:pPr>
        <w:pStyle w:val="BodyText"/>
        <w:spacing w:line="240" w:lineRule="auto" w:before="95"/>
        <w:ind w:right="1468"/>
        <w:jc w:val="left"/>
      </w:pPr>
      <w:r>
        <w:rPr>
          <w:w w:val="100"/>
        </w:rPr>
        <w:t>（</w:t>
      </w:r>
      <w:r>
        <w:rPr>
          <w:rFonts w:ascii="Times New Roman" w:hAnsi="Times New Roman" w:cs="Times New Roman" w:eastAsia="Times New Roman" w:hint="default"/>
          <w:spacing w:val="-3"/>
          <w:w w:val="100"/>
        </w:rPr>
        <w:t>2</w:t>
      </w:r>
      <w:r>
        <w:rPr>
          <w:spacing w:val="-34"/>
          <w:w w:val="100"/>
        </w:rPr>
        <w:t>）</w:t>
      </w:r>
      <w:r>
        <w:rPr>
          <w:spacing w:val="-3"/>
          <w:w w:val="100"/>
        </w:rPr>
        <w:t>执</w:t>
      </w:r>
      <w:r>
        <w:rPr>
          <w:spacing w:val="-34"/>
          <w:w w:val="100"/>
        </w:rPr>
        <w:t>行</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金</w:t>
      </w:r>
      <w:r>
        <w:rPr>
          <w:w w:val="100"/>
        </w:rPr>
        <w:t>融</w:t>
      </w:r>
      <w:r>
        <w:rPr>
          <w:spacing w:val="-3"/>
          <w:w w:val="100"/>
        </w:rPr>
        <w:t>工</w:t>
      </w:r>
      <w:r>
        <w:rPr>
          <w:w w:val="100"/>
        </w:rPr>
        <w:t>具</w:t>
      </w:r>
      <w:r>
        <w:rPr>
          <w:spacing w:val="-3"/>
          <w:w w:val="100"/>
        </w:rPr>
        <w:t>确认</w:t>
      </w:r>
      <w:r>
        <w:rPr>
          <w:w w:val="100"/>
        </w:rPr>
        <w:t>和计</w:t>
      </w:r>
      <w:r>
        <w:rPr>
          <w:spacing w:val="-3"/>
          <w:w w:val="100"/>
        </w:rPr>
        <w:t>量</w:t>
      </w:r>
      <w:r>
        <w:rPr>
          <w:spacing w:val="-106"/>
          <w:w w:val="100"/>
        </w:rPr>
        <w:t>》</w:t>
      </w:r>
      <w:r>
        <w:rPr>
          <w:spacing w:val="-142"/>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w:t>
      </w:r>
    </w:p>
    <w:p>
      <w:pPr>
        <w:pStyle w:val="BodyText"/>
        <w:spacing w:line="328" w:lineRule="auto" w:before="110"/>
        <w:ind w:right="1786"/>
        <w:jc w:val="left"/>
      </w:pPr>
      <w:r>
        <w:rPr>
          <w:w w:val="100"/>
        </w:rPr>
        <w:t>第</w:t>
      </w:r>
      <w:r>
        <w:rPr>
          <w:spacing w:val="-53"/>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金</w:t>
      </w:r>
      <w:r>
        <w:rPr>
          <w:w w:val="100"/>
        </w:rPr>
        <w:t>融</w:t>
      </w:r>
      <w:r>
        <w:rPr>
          <w:spacing w:val="-3"/>
          <w:w w:val="100"/>
        </w:rPr>
        <w:t>资</w:t>
      </w:r>
      <w:r>
        <w:rPr>
          <w:w w:val="100"/>
        </w:rPr>
        <w:t>产</w:t>
      </w:r>
      <w:r>
        <w:rPr>
          <w:spacing w:val="-3"/>
          <w:w w:val="100"/>
        </w:rPr>
        <w:t>转移</w:t>
      </w:r>
      <w:r>
        <w:rPr>
          <w:spacing w:val="-106"/>
          <w:w w:val="100"/>
        </w:rPr>
        <w:t>》</w:t>
      </w:r>
      <w:r>
        <w:rPr>
          <w:spacing w:val="-140"/>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rPr>
        <w:t> </w:t>
      </w:r>
      <w:r>
        <w:rPr>
          <w:spacing w:val="-3"/>
          <w:w w:val="100"/>
        </w:rPr>
        <w:t>号</w:t>
      </w:r>
      <w:r>
        <w:rPr>
          <w:rFonts w:ascii="Times New Roman" w:hAnsi="Times New Roman" w:cs="Times New Roman" w:eastAsia="Times New Roman" w:hint="default"/>
          <w:w w:val="100"/>
        </w:rPr>
        <w:t>——</w:t>
      </w:r>
      <w:r>
        <w:rPr>
          <w:spacing w:val="-3"/>
          <w:w w:val="100"/>
        </w:rPr>
        <w:t>套</w:t>
      </w:r>
      <w:r>
        <w:rPr>
          <w:w w:val="100"/>
        </w:rPr>
        <w:t>期</w:t>
      </w:r>
      <w:r>
        <w:rPr>
          <w:spacing w:val="-3"/>
          <w:w w:val="100"/>
        </w:rPr>
        <w:t>会计</w:t>
      </w:r>
      <w:r>
        <w:rPr>
          <w:spacing w:val="-34"/>
          <w:w w:val="100"/>
        </w:rPr>
        <w:t>》</w:t>
      </w:r>
      <w:r>
        <w:rPr>
          <w:spacing w:val="-36"/>
          <w:w w:val="100"/>
        </w:rPr>
        <w:t>和</w:t>
      </w:r>
      <w:r>
        <w:rPr>
          <w:spacing w:val="-3"/>
          <w:w w:val="100"/>
        </w:rPr>
        <w:t>《</w:t>
      </w:r>
      <w:r>
        <w:rPr>
          <w:w w:val="100"/>
        </w:rPr>
        <w:t>企业</w:t>
      </w:r>
      <w:r>
        <w:rPr>
          <w:w w:val="100"/>
        </w:rPr>
        <w:t> 会计</w:t>
      </w:r>
      <w:r>
        <w:rPr>
          <w:spacing w:val="-3"/>
          <w:w w:val="100"/>
        </w:rPr>
        <w:t>准则</w:t>
      </w:r>
      <w:r>
        <w:rPr>
          <w:w w:val="100"/>
        </w:rPr>
        <w:t>第</w:t>
      </w:r>
      <w:r>
        <w:rPr>
          <w:spacing w:val="-52"/>
        </w:rPr>
        <w:t> </w:t>
      </w:r>
      <w:r>
        <w:rPr>
          <w:rFonts w:ascii="Times New Roman" w:hAnsi="Times New Roman" w:cs="Times New Roman" w:eastAsia="Times New Roman" w:hint="default"/>
          <w:w w:val="100"/>
        </w:rPr>
        <w:t>37</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金融</w:t>
      </w:r>
      <w:r>
        <w:rPr>
          <w:w w:val="100"/>
        </w:rPr>
        <w:t>工具</w:t>
      </w:r>
      <w:r>
        <w:rPr>
          <w:spacing w:val="-3"/>
          <w:w w:val="100"/>
        </w:rPr>
        <w:t>列</w:t>
      </w:r>
      <w:r>
        <w:rPr>
          <w:w w:val="100"/>
        </w:rPr>
        <w:t>报</w:t>
      </w:r>
      <w:r>
        <w:rPr>
          <w:spacing w:val="-108"/>
          <w:w w:val="100"/>
        </w:rPr>
        <w:t>》</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年</w:t>
      </w:r>
      <w:r>
        <w:rPr>
          <w:w w:val="100"/>
        </w:rPr>
        <w:t>修</w:t>
      </w:r>
      <w:r>
        <w:rPr>
          <w:spacing w:val="-3"/>
          <w:w w:val="100"/>
        </w:rPr>
        <w:t>订</w:t>
      </w:r>
      <w:r>
        <w:rPr>
          <w:w w:val="100"/>
        </w:rPr>
        <w:t>）</w:t>
      </w:r>
    </w:p>
    <w:p>
      <w:pPr>
        <w:pStyle w:val="BodyText"/>
        <w:spacing w:line="240" w:lineRule="auto" w:before="24"/>
        <w:ind w:right="1468"/>
        <w:jc w:val="left"/>
      </w:pPr>
      <w:r>
        <w:rPr>
          <w:w w:val="100"/>
        </w:rPr>
        <w:t>财政</w:t>
      </w:r>
      <w:r>
        <w:rPr>
          <w:spacing w:val="-3"/>
          <w:w w:val="100"/>
        </w:rPr>
        <w:t>部</w:t>
      </w:r>
      <w:r>
        <w:rPr>
          <w:w w:val="100"/>
        </w:rPr>
        <w:t>于</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w:t>
      </w:r>
      <w:r>
        <w:rPr>
          <w:spacing w:val="-3"/>
          <w:w w:val="100"/>
        </w:rPr>
        <w:t>度</w:t>
      </w:r>
      <w:r>
        <w:rPr>
          <w:w w:val="100"/>
        </w:rPr>
        <w:t>修</w:t>
      </w:r>
      <w:r>
        <w:rPr>
          <w:spacing w:val="-3"/>
          <w:w w:val="100"/>
        </w:rPr>
        <w:t>订</w:t>
      </w:r>
      <w:r>
        <w:rPr>
          <w:spacing w:val="-106"/>
          <w:w w:val="100"/>
        </w:rPr>
        <w:t>了</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5"/>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计量</w:t>
      </w:r>
      <w:r>
        <w:rPr>
          <w:spacing w:val="-104"/>
          <w:w w:val="100"/>
        </w:rPr>
        <w:t>》</w:t>
      </w:r>
      <w:r>
        <w:rPr>
          <w:w w:val="100"/>
        </w:rPr>
        <w:t>、</w:t>
      </w:r>
    </w:p>
    <w:p>
      <w:pPr>
        <w:pStyle w:val="BodyText"/>
        <w:spacing w:line="240" w:lineRule="auto" w:before="110"/>
        <w:ind w:right="1468"/>
        <w:jc w:val="left"/>
      </w:pPr>
      <w:r>
        <w:rPr/>
        <w:t>《企业会计准则第</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spacing w:val="-7"/>
        </w:rPr>
        <w:t>号</w:t>
      </w:r>
      <w:r>
        <w:rPr>
          <w:rFonts w:ascii="Times New Roman" w:hAnsi="Times New Roman" w:cs="Times New Roman" w:eastAsia="Times New Roman" w:hint="default"/>
          <w:spacing w:val="-7"/>
        </w:rPr>
        <w:t>——</w:t>
      </w:r>
      <w:r>
        <w:rPr>
          <w:spacing w:val="-7"/>
        </w:rPr>
        <w:t>金融资产转移》、《企业会计准则第</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套</w:t>
      </w:r>
    </w:p>
    <w:p>
      <w:pPr>
        <w:pStyle w:val="BodyText"/>
        <w:spacing w:line="345" w:lineRule="auto" w:before="107"/>
        <w:ind w:right="1468"/>
        <w:jc w:val="left"/>
      </w:pPr>
      <w:r>
        <w:rPr>
          <w:spacing w:val="-6"/>
        </w:rPr>
        <w:t>期会计》和《企业会计准则第</w:t>
      </w:r>
      <w:r>
        <w:rPr>
          <w:spacing w:val="-32"/>
        </w:rPr>
        <w:t> </w:t>
      </w:r>
      <w:r>
        <w:rPr>
          <w:rFonts w:ascii="Times New Roman" w:hAnsi="Times New Roman" w:cs="Times New Roman" w:eastAsia="Times New Roman" w:hint="default"/>
        </w:rPr>
        <w:t>37</w:t>
      </w:r>
      <w:r>
        <w:rPr>
          <w:rFonts w:ascii="Times New Roman" w:hAnsi="Times New Roman" w:cs="Times New Roman" w:eastAsia="Times New Roman" w:hint="default"/>
          <w:spacing w:val="19"/>
        </w:rPr>
        <w:t> </w:t>
      </w:r>
      <w:r>
        <w:rPr>
          <w:spacing w:val="-4"/>
        </w:rPr>
        <w:t>号</w:t>
      </w:r>
      <w:r>
        <w:rPr>
          <w:rFonts w:ascii="Times New Roman" w:hAnsi="Times New Roman" w:cs="Times New Roman" w:eastAsia="Times New Roman" w:hint="default"/>
          <w:spacing w:val="-4"/>
        </w:rPr>
        <w:t>——</w:t>
      </w:r>
      <w:r>
        <w:rPr>
          <w:spacing w:val="-4"/>
        </w:rPr>
        <w:t>金融工具列报》。修订后的准则规定，</w:t>
      </w:r>
      <w:r>
        <w:rPr>
          <w:spacing w:val="-98"/>
        </w:rPr>
        <w:t> </w:t>
      </w:r>
      <w:r>
        <w:rPr>
          <w:spacing w:val="-98"/>
        </w:rPr>
      </w:r>
      <w:r>
        <w:rPr>
          <w:spacing w:val="-5"/>
          <w:w w:val="100"/>
        </w:rPr>
        <w:t>对于首次执行日尚未终止确认的金融工具，之前的确认和计量与修订后的准则</w:t>
      </w:r>
      <w:r>
        <w:rPr>
          <w:spacing w:val="-85"/>
          <w:w w:val="100"/>
        </w:rPr>
        <w:t> </w:t>
      </w:r>
      <w:r>
        <w:rPr>
          <w:spacing w:val="-85"/>
          <w:w w:val="100"/>
        </w:rPr>
      </w:r>
      <w:r>
        <w:rPr>
          <w:spacing w:val="-5"/>
        </w:rPr>
        <w:t>要求不一致的，应当追溯调整。涉及前期比较财务报表数据与修订后的准则要</w:t>
      </w:r>
      <w:r>
        <w:rPr>
          <w:spacing w:val="-46"/>
        </w:rPr>
        <w:t> </w:t>
      </w:r>
      <w:r>
        <w:rPr>
          <w:spacing w:val="-46"/>
        </w:rPr>
      </w:r>
      <w:r>
        <w:rPr>
          <w:spacing w:val="-5"/>
        </w:rPr>
        <w:t>求不一致的，无需调整。本公司将因追溯调整产生的累积影响数调整当年年初</w:t>
      </w:r>
      <w:r>
        <w:rPr>
          <w:spacing w:val="-43"/>
        </w:rPr>
        <w:t> </w:t>
      </w:r>
      <w:r>
        <w:rPr>
          <w:spacing w:val="-43"/>
        </w:rPr>
      </w:r>
      <w:r>
        <w:rPr/>
        <w:t>留存收益和其他综合收益。</w:t>
      </w:r>
    </w:p>
    <w:p>
      <w:pPr>
        <w:pStyle w:val="BodyText"/>
        <w:spacing w:line="328" w:lineRule="auto" w:before="33"/>
        <w:ind w:right="1468"/>
        <w:jc w:val="left"/>
      </w:pPr>
      <w:r>
        <w:rPr/>
        <w:pict>
          <v:shape style="position:absolute;margin-left:119.779999pt;margin-top:36.853661pt;width:411.7pt;height:289.150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45"/>
                    <w:gridCol w:w="1618"/>
                    <w:gridCol w:w="1937"/>
                    <w:gridCol w:w="1990"/>
                  </w:tblGrid>
                  <w:tr>
                    <w:trPr>
                      <w:trHeight w:val="396" w:hRule="exact"/>
                    </w:trPr>
                    <w:tc>
                      <w:tcPr>
                        <w:tcW w:w="2645"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16"/>
                            <w:szCs w:val="16"/>
                          </w:rPr>
                        </w:pPr>
                        <w:r>
                          <w:rPr>
                            <w:rFonts w:ascii="宋体" w:hAnsi="宋体" w:cs="宋体" w:eastAsia="宋体" w:hint="default"/>
                            <w:sz w:val="16"/>
                            <w:szCs w:val="16"/>
                          </w:rPr>
                          <w:t>会计政策变更的内容和原因</w:t>
                        </w:r>
                      </w:p>
                    </w:tc>
                    <w:tc>
                      <w:tcPr>
                        <w:tcW w:w="1618"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79" w:right="0"/>
                          <w:jc w:val="left"/>
                          <w:rPr>
                            <w:rFonts w:ascii="宋体" w:hAnsi="宋体" w:cs="宋体" w:eastAsia="宋体" w:hint="default"/>
                            <w:sz w:val="16"/>
                            <w:szCs w:val="16"/>
                          </w:rPr>
                        </w:pPr>
                        <w:r>
                          <w:rPr>
                            <w:rFonts w:ascii="宋体" w:hAnsi="宋体" w:cs="宋体" w:eastAsia="宋体" w:hint="default"/>
                            <w:sz w:val="16"/>
                            <w:szCs w:val="16"/>
                          </w:rPr>
                          <w:t>审批程序</w:t>
                        </w:r>
                      </w:p>
                    </w:tc>
                    <w:tc>
                      <w:tcPr>
                        <w:tcW w:w="392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74"/>
                          <w:ind w:left="916" w:right="0"/>
                          <w:jc w:val="left"/>
                          <w:rPr>
                            <w:rFonts w:ascii="宋体" w:hAnsi="宋体" w:cs="宋体" w:eastAsia="宋体" w:hint="default"/>
                            <w:sz w:val="16"/>
                            <w:szCs w:val="16"/>
                          </w:rPr>
                        </w:pPr>
                        <w:r>
                          <w:rPr>
                            <w:rFonts w:ascii="宋体" w:hAnsi="宋体" w:cs="宋体" w:eastAsia="宋体" w:hint="default"/>
                            <w:sz w:val="16"/>
                            <w:szCs w:val="16"/>
                          </w:rPr>
                          <w:t>受影响的报表项目名称和金额</w:t>
                        </w:r>
                      </w:p>
                    </w:tc>
                  </w:tr>
                  <w:tr>
                    <w:trPr>
                      <w:trHeight w:val="386" w:hRule="exact"/>
                    </w:trPr>
                    <w:tc>
                      <w:tcPr>
                        <w:tcW w:w="2645" w:type="dxa"/>
                        <w:vMerge/>
                        <w:tcBorders>
                          <w:left w:val="nil" w:sz="6" w:space="0" w:color="auto"/>
                          <w:bottom w:val="dotted" w:sz="4" w:space="0" w:color="000000"/>
                          <w:right w:val="dotted" w:sz="4" w:space="0" w:color="000000"/>
                        </w:tcBorders>
                      </w:tcPr>
                      <w:p>
                        <w:pPr/>
                      </w:p>
                    </w:tc>
                    <w:tc>
                      <w:tcPr>
                        <w:tcW w:w="1618" w:type="dxa"/>
                        <w:vMerge/>
                        <w:tcBorders>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2"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8"/>
                          <w:jc w:val="center"/>
                          <w:rPr>
                            <w:rFonts w:ascii="宋体" w:hAnsi="宋体" w:cs="宋体" w:eastAsia="宋体" w:hint="default"/>
                            <w:sz w:val="16"/>
                            <w:szCs w:val="16"/>
                          </w:rPr>
                        </w:pPr>
                        <w:r>
                          <w:rPr>
                            <w:rFonts w:ascii="宋体" w:hAnsi="宋体" w:cs="宋体" w:eastAsia="宋体" w:hint="default"/>
                            <w:sz w:val="16"/>
                            <w:szCs w:val="16"/>
                          </w:rPr>
                          <w:t>母公司</w:t>
                        </w:r>
                      </w:p>
                    </w:tc>
                  </w:tr>
                  <w:tr>
                    <w:trPr>
                      <w:trHeight w:val="1106"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64" w:lineRule="auto" w:before="77"/>
                          <w:ind w:left="108" w:right="98"/>
                          <w:jc w:val="both"/>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）因报表项目名称变更，将</w:t>
                        </w:r>
                        <w:r>
                          <w:rPr>
                            <w:rFonts w:ascii="Times New Roman" w:hAnsi="Times New Roman" w:cs="Times New Roman" w:eastAsia="Times New Roman" w:hint="default"/>
                            <w:sz w:val="16"/>
                            <w:szCs w:val="16"/>
                          </w:rPr>
                          <w:t>“</w:t>
                        </w:r>
                        <w:r>
                          <w:rPr>
                            <w:rFonts w:ascii="宋体" w:hAnsi="宋体" w:cs="宋体" w:eastAsia="宋体" w:hint="default"/>
                            <w:sz w:val="16"/>
                            <w:szCs w:val="16"/>
                          </w:rPr>
                          <w:t>以</w:t>
                        </w:r>
                        <w:r>
                          <w:rPr>
                            <w:rFonts w:ascii="宋体" w:hAnsi="宋体" w:cs="宋体" w:eastAsia="宋体" w:hint="default"/>
                            <w:spacing w:val="-43"/>
                            <w:sz w:val="16"/>
                            <w:szCs w:val="16"/>
                          </w:rPr>
                          <w:t> </w:t>
                        </w:r>
                        <w:r>
                          <w:rPr>
                            <w:rFonts w:ascii="宋体" w:hAnsi="宋体" w:cs="宋体" w:eastAsia="宋体" w:hint="default"/>
                            <w:sz w:val="16"/>
                            <w:szCs w:val="16"/>
                          </w:rPr>
                          <w:t>公允价值计量且其变动计入当期损</w:t>
                        </w:r>
                        <w:r>
                          <w:rPr>
                            <w:rFonts w:ascii="宋体" w:hAnsi="宋体" w:cs="宋体" w:eastAsia="宋体" w:hint="default"/>
                            <w:spacing w:val="-53"/>
                            <w:sz w:val="16"/>
                            <w:szCs w:val="16"/>
                          </w:rPr>
                          <w:t> </w:t>
                        </w:r>
                        <w:r>
                          <w:rPr>
                            <w:rFonts w:ascii="宋体" w:hAnsi="宋体" w:cs="宋体" w:eastAsia="宋体" w:hint="default"/>
                            <w:spacing w:val="-53"/>
                            <w:sz w:val="16"/>
                            <w:szCs w:val="16"/>
                          </w:rPr>
                        </w:r>
                        <w:r>
                          <w:rPr>
                            <w:rFonts w:ascii="宋体" w:hAnsi="宋体" w:cs="宋体" w:eastAsia="宋体" w:hint="default"/>
                            <w:spacing w:val="-8"/>
                            <w:sz w:val="16"/>
                            <w:szCs w:val="16"/>
                          </w:rPr>
                          <w:t>益的金融资产（负债）</w:t>
                        </w:r>
                        <w:r>
                          <w:rPr>
                            <w:rFonts w:ascii="Times New Roman" w:hAnsi="Times New Roman" w:cs="Times New Roman" w:eastAsia="Times New Roman" w:hint="default"/>
                            <w:spacing w:val="-8"/>
                            <w:sz w:val="16"/>
                            <w:szCs w:val="16"/>
                          </w:rPr>
                          <w:t>”</w:t>
                        </w:r>
                        <w:r>
                          <w:rPr>
                            <w:rFonts w:ascii="宋体" w:hAnsi="宋体" w:cs="宋体" w:eastAsia="宋体" w:hint="default"/>
                            <w:spacing w:val="-8"/>
                            <w:sz w:val="16"/>
                            <w:szCs w:val="16"/>
                          </w:rPr>
                          <w:t>重分类至</w:t>
                        </w:r>
                        <w:r>
                          <w:rPr>
                            <w:rFonts w:ascii="Times New Roman" w:hAnsi="Times New Roman" w:cs="Times New Roman" w:eastAsia="Times New Roman" w:hint="default"/>
                            <w:spacing w:val="-8"/>
                            <w:sz w:val="16"/>
                            <w:szCs w:val="16"/>
                          </w:rPr>
                          <w:t>“</w:t>
                        </w:r>
                        <w:r>
                          <w:rPr>
                            <w:rFonts w:ascii="宋体" w:hAnsi="宋体" w:cs="宋体" w:eastAsia="宋体" w:hint="default"/>
                            <w:spacing w:val="-8"/>
                            <w:sz w:val="16"/>
                            <w:szCs w:val="16"/>
                          </w:rPr>
                          <w:t>交</w:t>
                        </w:r>
                        <w:r>
                          <w:rPr>
                            <w:rFonts w:ascii="宋体" w:hAnsi="宋体" w:cs="宋体" w:eastAsia="宋体" w:hint="default"/>
                            <w:spacing w:val="-58"/>
                            <w:sz w:val="16"/>
                            <w:szCs w:val="16"/>
                          </w:rPr>
                          <w:t> </w:t>
                        </w:r>
                        <w:r>
                          <w:rPr>
                            <w:rFonts w:ascii="宋体" w:hAnsi="宋体" w:cs="宋体" w:eastAsia="宋体" w:hint="default"/>
                            <w:sz w:val="16"/>
                            <w:szCs w:val="16"/>
                          </w:rPr>
                          <w:t>易性金融资产（负债）</w:t>
                        </w:r>
                        <w:r>
                          <w:rPr>
                            <w:rFonts w:ascii="Times New Roman" w:hAnsi="Times New Roman" w:cs="Times New Roman" w:eastAsia="Times New Roman" w:hint="default"/>
                            <w:sz w:val="16"/>
                            <w:szCs w:val="16"/>
                          </w:rPr>
                          <w:t>”</w:t>
                        </w:r>
                      </w:p>
                    </w:tc>
                    <w:tc>
                      <w:tcPr>
                        <w:tcW w:w="161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71" w:lineRule="auto"/>
                          <w:ind w:left="100" w:right="63"/>
                          <w:jc w:val="both"/>
                          <w:rPr>
                            <w:rFonts w:ascii="宋体" w:hAnsi="宋体" w:cs="宋体" w:eastAsia="宋体" w:hint="default"/>
                            <w:sz w:val="16"/>
                            <w:szCs w:val="16"/>
                          </w:rPr>
                        </w:pPr>
                        <w:r>
                          <w:rPr>
                            <w:rFonts w:ascii="Times New Roman" w:hAnsi="Times New Roman" w:cs="Times New Roman" w:eastAsia="Times New Roman" w:hint="default"/>
                            <w:sz w:val="16"/>
                            <w:szCs w:val="16"/>
                          </w:rPr>
                          <w:t>2019 </w:t>
                        </w:r>
                        <w:r>
                          <w:rPr>
                            <w:rFonts w:ascii="宋体" w:hAnsi="宋体" w:cs="宋体" w:eastAsia="宋体" w:hint="default"/>
                            <w:sz w:val="16"/>
                            <w:szCs w:val="16"/>
                          </w:rPr>
                          <w:t>年 </w:t>
                        </w:r>
                        <w:r>
                          <w:rPr>
                            <w:rFonts w:ascii="Times New Roman" w:hAnsi="Times New Roman" w:cs="Times New Roman" w:eastAsia="Times New Roman" w:hint="default"/>
                            <w:sz w:val="16"/>
                            <w:szCs w:val="16"/>
                          </w:rPr>
                          <w:t>4 </w:t>
                        </w:r>
                        <w:r>
                          <w:rPr>
                            <w:rFonts w:ascii="宋体" w:hAnsi="宋体" w:cs="宋体" w:eastAsia="宋体" w:hint="default"/>
                            <w:sz w:val="16"/>
                            <w:szCs w:val="16"/>
                          </w:rPr>
                          <w:t>月 </w:t>
                        </w:r>
                        <w:r>
                          <w:rPr>
                            <w:rFonts w:ascii="Times New Roman" w:hAnsi="Times New Roman" w:cs="Times New Roman" w:eastAsia="Times New Roman" w:hint="default"/>
                            <w:sz w:val="16"/>
                            <w:szCs w:val="16"/>
                          </w:rPr>
                          <w:t>29</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r>
                          <w:rPr>
                            <w:rFonts w:ascii="宋体" w:hAnsi="宋体" w:cs="宋体" w:eastAsia="宋体" w:hint="default"/>
                            <w:w w:val="100"/>
                            <w:sz w:val="16"/>
                            <w:szCs w:val="16"/>
                          </w:rPr>
                          <w:t> </w:t>
                        </w:r>
                        <w:r>
                          <w:rPr>
                            <w:rFonts w:ascii="宋体" w:hAnsi="宋体" w:cs="宋体" w:eastAsia="宋体" w:hint="default"/>
                            <w:spacing w:val="13"/>
                            <w:sz w:val="16"/>
                            <w:szCs w:val="16"/>
                          </w:rPr>
                          <w:t>公司召开第七届董</w:t>
                        </w:r>
                        <w:r>
                          <w:rPr>
                            <w:rFonts w:ascii="宋体" w:hAnsi="宋体" w:cs="宋体" w:eastAsia="宋体" w:hint="default"/>
                            <w:spacing w:val="-66"/>
                            <w:sz w:val="16"/>
                            <w:szCs w:val="16"/>
                          </w:rPr>
                          <w:t> </w:t>
                        </w:r>
                        <w:r>
                          <w:rPr>
                            <w:rFonts w:ascii="宋体" w:hAnsi="宋体" w:cs="宋体" w:eastAsia="宋体" w:hint="default"/>
                            <w:sz w:val="16"/>
                            <w:szCs w:val="16"/>
                          </w:rPr>
                          <w:t>事会第十八次会议、</w:t>
                        </w:r>
                        <w:r>
                          <w:rPr>
                            <w:rFonts w:ascii="宋体" w:hAnsi="宋体" w:cs="宋体" w:eastAsia="宋体" w:hint="default"/>
                            <w:w w:val="100"/>
                            <w:sz w:val="16"/>
                            <w:szCs w:val="16"/>
                          </w:rPr>
                          <w:t> </w:t>
                        </w:r>
                        <w:r>
                          <w:rPr>
                            <w:rFonts w:ascii="宋体" w:hAnsi="宋体" w:cs="宋体" w:eastAsia="宋体" w:hint="default"/>
                            <w:spacing w:val="13"/>
                            <w:sz w:val="16"/>
                            <w:szCs w:val="16"/>
                          </w:rPr>
                          <w:t>第七届监事会第八</w:t>
                        </w:r>
                        <w:r>
                          <w:rPr>
                            <w:rFonts w:ascii="宋体" w:hAnsi="宋体" w:cs="宋体" w:eastAsia="宋体" w:hint="default"/>
                            <w:spacing w:val="-66"/>
                            <w:sz w:val="16"/>
                            <w:szCs w:val="16"/>
                          </w:rPr>
                          <w:t> </w:t>
                        </w:r>
                        <w:r>
                          <w:rPr>
                            <w:rFonts w:ascii="宋体" w:hAnsi="宋体" w:cs="宋体" w:eastAsia="宋体" w:hint="default"/>
                            <w:sz w:val="16"/>
                            <w:szCs w:val="16"/>
                          </w:rPr>
                          <w:t>次会议审议通过</w:t>
                        </w:r>
                      </w:p>
                    </w:tc>
                    <w:tc>
                      <w:tcPr>
                        <w:tcW w:w="3927"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对本公司财务报表无影响。</w:t>
                        </w:r>
                      </w:p>
                    </w:tc>
                  </w:tr>
                  <w:tr>
                    <w:trPr>
                      <w:trHeight w:val="3226"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59" w:lineRule="auto"/>
                          <w:ind w:left="108" w:right="97"/>
                          <w:jc w:val="both"/>
                          <w:rPr>
                            <w:rFonts w:ascii="宋体" w:hAnsi="宋体" w:cs="宋体" w:eastAsia="宋体" w:hint="default"/>
                            <w:sz w:val="16"/>
                            <w:szCs w:val="16"/>
                          </w:rPr>
                        </w:pPr>
                        <w:r>
                          <w:rPr>
                            <w:rFonts w:ascii="宋体" w:hAnsi="宋体" w:cs="宋体" w:eastAsia="宋体" w:hint="default"/>
                            <w:spacing w:val="-4"/>
                            <w:sz w:val="16"/>
                            <w:szCs w:val="16"/>
                          </w:rPr>
                          <w:t>（</w:t>
                        </w:r>
                        <w:r>
                          <w:rPr>
                            <w:rFonts w:ascii="Times New Roman" w:hAnsi="Times New Roman" w:cs="Times New Roman" w:eastAsia="Times New Roman" w:hint="default"/>
                            <w:spacing w:val="-4"/>
                            <w:sz w:val="16"/>
                            <w:szCs w:val="16"/>
                          </w:rPr>
                          <w:t>2</w:t>
                        </w:r>
                        <w:r>
                          <w:rPr>
                            <w:rFonts w:ascii="宋体" w:hAnsi="宋体" w:cs="宋体" w:eastAsia="宋体" w:hint="default"/>
                            <w:spacing w:val="-4"/>
                            <w:sz w:val="16"/>
                            <w:szCs w:val="16"/>
                          </w:rPr>
                          <w:t>）可供出售权益工具投资重分类</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pacing w:val="6"/>
                            <w:sz w:val="16"/>
                            <w:szCs w:val="16"/>
                          </w:rPr>
                          <w:t>为</w:t>
                        </w:r>
                        <w:r>
                          <w:rPr>
                            <w:rFonts w:ascii="Times New Roman" w:hAnsi="Times New Roman" w:cs="Times New Roman" w:eastAsia="Times New Roman" w:hint="default"/>
                            <w:spacing w:val="6"/>
                            <w:sz w:val="16"/>
                            <w:szCs w:val="16"/>
                          </w:rPr>
                          <w:t>“</w:t>
                        </w:r>
                        <w:r>
                          <w:rPr>
                            <w:rFonts w:ascii="宋体" w:hAnsi="宋体" w:cs="宋体" w:eastAsia="宋体" w:hint="default"/>
                            <w:spacing w:val="6"/>
                            <w:sz w:val="16"/>
                            <w:szCs w:val="16"/>
                          </w:rPr>
                          <w:t>以公允价值计量且其变动计入</w:t>
                        </w:r>
                        <w:r>
                          <w:rPr>
                            <w:rFonts w:ascii="宋体" w:hAnsi="宋体" w:cs="宋体" w:eastAsia="宋体" w:hint="default"/>
                            <w:spacing w:val="-52"/>
                            <w:sz w:val="16"/>
                            <w:szCs w:val="16"/>
                          </w:rPr>
                          <w:t> </w:t>
                        </w:r>
                        <w:r>
                          <w:rPr>
                            <w:rFonts w:ascii="宋体" w:hAnsi="宋体" w:cs="宋体" w:eastAsia="宋体" w:hint="default"/>
                            <w:spacing w:val="-52"/>
                            <w:sz w:val="16"/>
                            <w:szCs w:val="16"/>
                          </w:rPr>
                        </w:r>
                        <w:r>
                          <w:rPr>
                            <w:rFonts w:ascii="宋体" w:hAnsi="宋体" w:cs="宋体" w:eastAsia="宋体" w:hint="default"/>
                            <w:sz w:val="16"/>
                            <w:szCs w:val="16"/>
                          </w:rPr>
                          <w:t>当期损益的金融资产</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618" w:type="dxa"/>
                        <w:vMerge/>
                        <w:tcBorders>
                          <w:left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pacing w:val="9"/>
                            <w:sz w:val="16"/>
                            <w:szCs w:val="16"/>
                          </w:rPr>
                          <w:t>交易性金融资产：增加</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218,512,285.41</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元；</w:t>
                        </w:r>
                      </w:p>
                      <w:p>
                        <w:pPr>
                          <w:pStyle w:val="TableParagraph"/>
                          <w:spacing w:line="240" w:lineRule="auto" w:before="57"/>
                          <w:ind w:left="103" w:right="0"/>
                          <w:jc w:val="left"/>
                          <w:rPr>
                            <w:rFonts w:ascii="宋体" w:hAnsi="宋体" w:cs="宋体" w:eastAsia="宋体" w:hint="default"/>
                            <w:sz w:val="16"/>
                            <w:szCs w:val="16"/>
                          </w:rPr>
                        </w:pPr>
                        <w:r>
                          <w:rPr>
                            <w:rFonts w:ascii="宋体" w:hAnsi="宋体" w:cs="宋体" w:eastAsia="宋体" w:hint="default"/>
                            <w:sz w:val="16"/>
                            <w:szCs w:val="16"/>
                          </w:rPr>
                          <w:t>衍</w:t>
                        </w:r>
                        <w:r>
                          <w:rPr>
                            <w:rFonts w:ascii="宋体" w:hAnsi="宋体" w:cs="宋体" w:eastAsia="宋体" w:hint="default"/>
                            <w:spacing w:val="-45"/>
                            <w:sz w:val="16"/>
                            <w:szCs w:val="16"/>
                          </w:rPr>
                          <w:t> </w:t>
                        </w:r>
                        <w:r>
                          <w:rPr>
                            <w:rFonts w:ascii="宋体" w:hAnsi="宋体" w:cs="宋体" w:eastAsia="宋体" w:hint="default"/>
                            <w:sz w:val="16"/>
                            <w:szCs w:val="16"/>
                          </w:rPr>
                          <w:t>生</w:t>
                        </w:r>
                        <w:r>
                          <w:rPr>
                            <w:rFonts w:ascii="宋体" w:hAnsi="宋体" w:cs="宋体" w:eastAsia="宋体" w:hint="default"/>
                            <w:spacing w:val="-47"/>
                            <w:sz w:val="16"/>
                            <w:szCs w:val="16"/>
                          </w:rPr>
                          <w:t> </w:t>
                        </w:r>
                        <w:r>
                          <w:rPr>
                            <w:rFonts w:ascii="宋体" w:hAnsi="宋体" w:cs="宋体" w:eastAsia="宋体" w:hint="default"/>
                            <w:sz w:val="16"/>
                            <w:szCs w:val="16"/>
                          </w:rPr>
                          <w:t>金</w:t>
                        </w:r>
                        <w:r>
                          <w:rPr>
                            <w:rFonts w:ascii="宋体" w:hAnsi="宋体" w:cs="宋体" w:eastAsia="宋体" w:hint="default"/>
                            <w:spacing w:val="-47"/>
                            <w:sz w:val="16"/>
                            <w:szCs w:val="16"/>
                          </w:rPr>
                          <w:t> </w:t>
                        </w:r>
                        <w:r>
                          <w:rPr>
                            <w:rFonts w:ascii="宋体" w:hAnsi="宋体" w:cs="宋体" w:eastAsia="宋体" w:hint="default"/>
                            <w:sz w:val="16"/>
                            <w:szCs w:val="16"/>
                          </w:rPr>
                          <w:t>融</w:t>
                        </w:r>
                        <w:r>
                          <w:rPr>
                            <w:rFonts w:ascii="宋体" w:hAnsi="宋体" w:cs="宋体" w:eastAsia="宋体" w:hint="default"/>
                            <w:spacing w:val="-47"/>
                            <w:sz w:val="16"/>
                            <w:szCs w:val="16"/>
                          </w:rPr>
                          <w:t> </w:t>
                        </w:r>
                        <w:r>
                          <w:rPr>
                            <w:rFonts w:ascii="宋体" w:hAnsi="宋体" w:cs="宋体" w:eastAsia="宋体" w:hint="default"/>
                            <w:sz w:val="16"/>
                            <w:szCs w:val="16"/>
                          </w:rPr>
                          <w:t>资</w:t>
                        </w:r>
                        <w:r>
                          <w:rPr>
                            <w:rFonts w:ascii="宋体" w:hAnsi="宋体" w:cs="宋体" w:eastAsia="宋体" w:hint="default"/>
                            <w:spacing w:val="-45"/>
                            <w:sz w:val="16"/>
                            <w:szCs w:val="16"/>
                          </w:rPr>
                          <w:t> </w:t>
                        </w:r>
                        <w:r>
                          <w:rPr>
                            <w:rFonts w:ascii="宋体" w:hAnsi="宋体" w:cs="宋体" w:eastAsia="宋体" w:hint="default"/>
                            <w:sz w:val="16"/>
                            <w:szCs w:val="16"/>
                          </w:rPr>
                          <w:t>产</w:t>
                        </w:r>
                        <w:r>
                          <w:rPr>
                            <w:rFonts w:ascii="宋体" w:hAnsi="宋体" w:cs="宋体" w:eastAsia="宋体" w:hint="default"/>
                            <w:spacing w:val="-47"/>
                            <w:sz w:val="16"/>
                            <w:szCs w:val="16"/>
                          </w:rPr>
                          <w:t> </w:t>
                        </w:r>
                        <w:r>
                          <w:rPr>
                            <w:rFonts w:ascii="宋体" w:hAnsi="宋体" w:cs="宋体" w:eastAsia="宋体" w:hint="default"/>
                            <w:sz w:val="16"/>
                            <w:szCs w:val="16"/>
                          </w:rPr>
                          <w:t>，</w:t>
                        </w:r>
                        <w:r>
                          <w:rPr>
                            <w:rFonts w:ascii="宋体" w:hAnsi="宋体" w:cs="宋体" w:eastAsia="宋体" w:hint="default"/>
                            <w:spacing w:val="-47"/>
                            <w:sz w:val="16"/>
                            <w:szCs w:val="16"/>
                          </w:rPr>
                          <w:t> </w:t>
                        </w:r>
                        <w:r>
                          <w:rPr>
                            <w:rFonts w:ascii="宋体" w:hAnsi="宋体" w:cs="宋体" w:eastAsia="宋体" w:hint="default"/>
                            <w:sz w:val="16"/>
                            <w:szCs w:val="16"/>
                          </w:rPr>
                          <w:t>减</w:t>
                        </w:r>
                        <w:r>
                          <w:rPr>
                            <w:rFonts w:ascii="宋体" w:hAnsi="宋体" w:cs="宋体" w:eastAsia="宋体" w:hint="default"/>
                            <w:spacing w:val="-45"/>
                            <w:sz w:val="16"/>
                            <w:szCs w:val="16"/>
                          </w:rPr>
                          <w:t> </w:t>
                        </w:r>
                        <w:r>
                          <w:rPr>
                            <w:rFonts w:ascii="宋体" w:hAnsi="宋体" w:cs="宋体" w:eastAsia="宋体" w:hint="default"/>
                            <w:sz w:val="16"/>
                            <w:szCs w:val="16"/>
                          </w:rPr>
                          <w:t>少</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2,731,217.74</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p>
                        <w:pPr>
                          <w:pStyle w:val="TableParagraph"/>
                          <w:spacing w:line="240" w:lineRule="auto" w:before="59"/>
                          <w:ind w:left="103" w:right="0"/>
                          <w:jc w:val="left"/>
                          <w:rPr>
                            <w:rFonts w:ascii="宋体" w:hAnsi="宋体" w:cs="宋体" w:eastAsia="宋体" w:hint="default"/>
                            <w:sz w:val="16"/>
                            <w:szCs w:val="16"/>
                          </w:rPr>
                        </w:pPr>
                        <w:r>
                          <w:rPr>
                            <w:rFonts w:ascii="宋体" w:hAnsi="宋体" w:cs="宋体" w:eastAsia="宋体" w:hint="default"/>
                            <w:spacing w:val="-5"/>
                            <w:sz w:val="16"/>
                            <w:szCs w:val="16"/>
                          </w:rPr>
                          <w:t>可供出售金融资产：减少</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200,988,285.41</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元；</w:t>
                        </w:r>
                      </w:p>
                      <w:p>
                        <w:pPr>
                          <w:pStyle w:val="TableParagraph"/>
                          <w:spacing w:line="240" w:lineRule="auto" w:before="60"/>
                          <w:ind w:left="103" w:right="0"/>
                          <w:jc w:val="left"/>
                          <w:rPr>
                            <w:rFonts w:ascii="宋体" w:hAnsi="宋体" w:cs="宋体" w:eastAsia="宋体" w:hint="default"/>
                            <w:sz w:val="16"/>
                            <w:szCs w:val="16"/>
                          </w:rPr>
                        </w:pPr>
                        <w:r>
                          <w:rPr>
                            <w:rFonts w:ascii="宋体" w:hAnsi="宋体" w:cs="宋体" w:eastAsia="宋体" w:hint="default"/>
                            <w:spacing w:val="9"/>
                            <w:sz w:val="16"/>
                            <w:szCs w:val="16"/>
                          </w:rPr>
                          <w:t>其他非流动资产，减少</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14,792,782.26</w:t>
                        </w:r>
                        <w:r>
                          <w:rPr>
                            <w:rFonts w:ascii="Times New Roman" w:hAnsi="Times New Roman" w:cs="Times New Roman" w:eastAsia="Times New Roman" w:hint="default"/>
                            <w:spacing w:val="-6"/>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pStyle w:val="TableParagraph"/>
                          <w:spacing w:line="240" w:lineRule="auto" w:before="57"/>
                          <w:ind w:left="103" w:right="0"/>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spacing w:val="-45"/>
                            <w:sz w:val="16"/>
                            <w:szCs w:val="16"/>
                          </w:rPr>
                          <w:t> </w:t>
                        </w:r>
                        <w:r>
                          <w:rPr>
                            <w:rFonts w:ascii="宋体" w:hAnsi="宋体" w:cs="宋体" w:eastAsia="宋体" w:hint="default"/>
                            <w:sz w:val="16"/>
                            <w:szCs w:val="16"/>
                          </w:rPr>
                          <w:t>他</w:t>
                        </w:r>
                        <w:r>
                          <w:rPr>
                            <w:rFonts w:ascii="宋体" w:hAnsi="宋体" w:cs="宋体" w:eastAsia="宋体" w:hint="default"/>
                            <w:spacing w:val="-47"/>
                            <w:sz w:val="16"/>
                            <w:szCs w:val="16"/>
                          </w:rPr>
                          <w:t> </w:t>
                        </w:r>
                        <w:r>
                          <w:rPr>
                            <w:rFonts w:ascii="宋体" w:hAnsi="宋体" w:cs="宋体" w:eastAsia="宋体" w:hint="default"/>
                            <w:sz w:val="16"/>
                            <w:szCs w:val="16"/>
                          </w:rPr>
                          <w:t>综</w:t>
                        </w:r>
                        <w:r>
                          <w:rPr>
                            <w:rFonts w:ascii="宋体" w:hAnsi="宋体" w:cs="宋体" w:eastAsia="宋体" w:hint="default"/>
                            <w:spacing w:val="-47"/>
                            <w:sz w:val="16"/>
                            <w:szCs w:val="16"/>
                          </w:rPr>
                          <w:t> </w:t>
                        </w:r>
                        <w:r>
                          <w:rPr>
                            <w:rFonts w:ascii="宋体" w:hAnsi="宋体" w:cs="宋体" w:eastAsia="宋体" w:hint="default"/>
                            <w:sz w:val="16"/>
                            <w:szCs w:val="16"/>
                          </w:rPr>
                          <w:t>合</w:t>
                        </w:r>
                        <w:r>
                          <w:rPr>
                            <w:rFonts w:ascii="宋体" w:hAnsi="宋体" w:cs="宋体" w:eastAsia="宋体" w:hint="default"/>
                            <w:spacing w:val="-47"/>
                            <w:sz w:val="16"/>
                            <w:szCs w:val="16"/>
                          </w:rPr>
                          <w:t> </w:t>
                        </w:r>
                        <w:r>
                          <w:rPr>
                            <w:rFonts w:ascii="宋体" w:hAnsi="宋体" w:cs="宋体" w:eastAsia="宋体" w:hint="default"/>
                            <w:sz w:val="16"/>
                            <w:szCs w:val="16"/>
                          </w:rPr>
                          <w:t>收</w:t>
                        </w:r>
                        <w:r>
                          <w:rPr>
                            <w:rFonts w:ascii="宋体" w:hAnsi="宋体" w:cs="宋体" w:eastAsia="宋体" w:hint="default"/>
                            <w:spacing w:val="-45"/>
                            <w:sz w:val="16"/>
                            <w:szCs w:val="16"/>
                          </w:rPr>
                          <w:t> </w:t>
                        </w:r>
                        <w:r>
                          <w:rPr>
                            <w:rFonts w:ascii="宋体" w:hAnsi="宋体" w:cs="宋体" w:eastAsia="宋体" w:hint="default"/>
                            <w:sz w:val="16"/>
                            <w:szCs w:val="16"/>
                          </w:rPr>
                          <w:t>益</w:t>
                        </w:r>
                        <w:r>
                          <w:rPr>
                            <w:rFonts w:ascii="宋体" w:hAnsi="宋体" w:cs="宋体" w:eastAsia="宋体" w:hint="default"/>
                            <w:spacing w:val="-47"/>
                            <w:sz w:val="16"/>
                            <w:szCs w:val="16"/>
                          </w:rPr>
                          <w:t> </w:t>
                        </w:r>
                        <w:r>
                          <w:rPr>
                            <w:rFonts w:ascii="宋体" w:hAnsi="宋体" w:cs="宋体" w:eastAsia="宋体" w:hint="default"/>
                            <w:sz w:val="16"/>
                            <w:szCs w:val="16"/>
                          </w:rPr>
                          <w:t>：</w:t>
                        </w:r>
                        <w:r>
                          <w:rPr>
                            <w:rFonts w:ascii="宋体" w:hAnsi="宋体" w:cs="宋体" w:eastAsia="宋体" w:hint="default"/>
                            <w:spacing w:val="-47"/>
                            <w:sz w:val="16"/>
                            <w:szCs w:val="16"/>
                          </w:rPr>
                          <w:t> </w:t>
                        </w:r>
                        <w:r>
                          <w:rPr>
                            <w:rFonts w:ascii="宋体" w:hAnsi="宋体" w:cs="宋体" w:eastAsia="宋体" w:hint="default"/>
                            <w:sz w:val="16"/>
                            <w:szCs w:val="16"/>
                          </w:rPr>
                          <w:t>减</w:t>
                        </w:r>
                        <w:r>
                          <w:rPr>
                            <w:rFonts w:ascii="宋体" w:hAnsi="宋体" w:cs="宋体" w:eastAsia="宋体" w:hint="default"/>
                            <w:spacing w:val="-45"/>
                            <w:sz w:val="16"/>
                            <w:szCs w:val="16"/>
                          </w:rPr>
                          <w:t> </w:t>
                        </w:r>
                        <w:r>
                          <w:rPr>
                            <w:rFonts w:ascii="宋体" w:hAnsi="宋体" w:cs="宋体" w:eastAsia="宋体" w:hint="default"/>
                            <w:sz w:val="16"/>
                            <w:szCs w:val="16"/>
                          </w:rPr>
                          <w:t>少</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114,942,182.18</w:t>
                        </w:r>
                        <w:r>
                          <w:rPr>
                            <w:rFonts w:ascii="Times New Roman" w:hAnsi="Times New Roman" w:cs="Times New Roman" w:eastAsia="Times New Roman" w:hint="default"/>
                            <w:spacing w:val="-12"/>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pStyle w:val="TableParagraph"/>
                          <w:spacing w:line="240" w:lineRule="auto" w:before="59"/>
                          <w:ind w:left="103" w:right="0"/>
                          <w:jc w:val="left"/>
                          <w:rPr>
                            <w:rFonts w:ascii="宋体" w:hAnsi="宋体" w:cs="宋体" w:eastAsia="宋体" w:hint="default"/>
                            <w:sz w:val="16"/>
                            <w:szCs w:val="16"/>
                          </w:rPr>
                        </w:pPr>
                        <w:r>
                          <w:rPr>
                            <w:rFonts w:ascii="宋体" w:hAnsi="宋体" w:cs="宋体" w:eastAsia="宋体" w:hint="default"/>
                            <w:sz w:val="16"/>
                            <w:szCs w:val="16"/>
                          </w:rPr>
                          <w:t>留 存 收 益 ： 增 </w:t>
                        </w:r>
                        <w:r>
                          <w:rPr>
                            <w:rFonts w:ascii="宋体" w:hAnsi="宋体" w:cs="宋体" w:eastAsia="宋体" w:hint="default"/>
                            <w:spacing w:val="39"/>
                            <w:sz w:val="16"/>
                            <w:szCs w:val="16"/>
                          </w:rPr>
                          <w:t> </w:t>
                        </w:r>
                        <w:r>
                          <w:rPr>
                            <w:rFonts w:ascii="宋体" w:hAnsi="宋体" w:cs="宋体" w:eastAsia="宋体" w:hint="default"/>
                            <w:sz w:val="16"/>
                            <w:szCs w:val="16"/>
                          </w:rPr>
                          <w:t>加</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114,942,182.18</w:t>
                        </w:r>
                        <w:r>
                          <w:rPr>
                            <w:rFonts w:ascii="Times New Roman" w:hAnsi="Times New Roman" w:cs="Times New Roman" w:eastAsia="Times New Roman" w:hint="default"/>
                            <w:spacing w:val="-12"/>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pacing w:val="14"/>
                            <w:sz w:val="16"/>
                            <w:szCs w:val="16"/>
                          </w:rPr>
                          <w:t>交易性金融资产：</w:t>
                        </w:r>
                        <w:r>
                          <w:rPr>
                            <w:rFonts w:ascii="宋体" w:hAnsi="宋体" w:cs="宋体" w:eastAsia="宋体" w:hint="default"/>
                            <w:spacing w:val="-41"/>
                            <w:sz w:val="16"/>
                            <w:szCs w:val="16"/>
                          </w:rPr>
                          <w:t> </w:t>
                        </w:r>
                        <w:r>
                          <w:rPr>
                            <w:rFonts w:ascii="宋体" w:hAnsi="宋体" w:cs="宋体" w:eastAsia="宋体" w:hint="default"/>
                            <w:spacing w:val="7"/>
                            <w:sz w:val="16"/>
                            <w:szCs w:val="16"/>
                          </w:rPr>
                          <w:t>增加</w:t>
                        </w:r>
                      </w:p>
                      <w:p>
                        <w:pPr>
                          <w:pStyle w:val="TableParagraph"/>
                          <w:spacing w:line="240" w:lineRule="auto" w:before="30"/>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196,849,659.16</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p>
                        <w:pPr>
                          <w:pStyle w:val="TableParagraph"/>
                          <w:spacing w:line="240" w:lineRule="auto" w:before="59"/>
                          <w:ind w:left="100" w:right="0"/>
                          <w:jc w:val="left"/>
                          <w:rPr>
                            <w:rFonts w:ascii="宋体" w:hAnsi="宋体" w:cs="宋体" w:eastAsia="宋体" w:hint="default"/>
                            <w:sz w:val="16"/>
                            <w:szCs w:val="16"/>
                          </w:rPr>
                        </w:pPr>
                        <w:r>
                          <w:rPr>
                            <w:rFonts w:ascii="宋体" w:hAnsi="宋体" w:cs="宋体" w:eastAsia="宋体" w:hint="default"/>
                            <w:sz w:val="16"/>
                            <w:szCs w:val="16"/>
                          </w:rPr>
                          <w:t>可供出售金融资产：减少</w:t>
                        </w:r>
                      </w:p>
                      <w:p>
                        <w:pPr>
                          <w:pStyle w:val="TableParagraph"/>
                          <w:spacing w:line="240" w:lineRule="auto" w:before="30"/>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196,849,659.16</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p>
                        <w:pPr>
                          <w:pStyle w:val="TableParagraph"/>
                          <w:spacing w:line="240" w:lineRule="auto" w:before="60"/>
                          <w:ind w:left="100" w:right="0"/>
                          <w:jc w:val="left"/>
                          <w:rPr>
                            <w:rFonts w:ascii="宋体" w:hAnsi="宋体" w:cs="宋体" w:eastAsia="宋体" w:hint="default"/>
                            <w:sz w:val="16"/>
                            <w:szCs w:val="16"/>
                          </w:rPr>
                        </w:pPr>
                        <w:r>
                          <w:rPr>
                            <w:rFonts w:ascii="宋体" w:hAnsi="宋体" w:cs="宋体" w:eastAsia="宋体" w:hint="default"/>
                            <w:spacing w:val="34"/>
                            <w:sz w:val="16"/>
                            <w:szCs w:val="16"/>
                          </w:rPr>
                          <w:t>其他综合收益：减少</w:t>
                        </w:r>
                        <w:r>
                          <w:rPr>
                            <w:rFonts w:ascii="宋体" w:hAnsi="宋体" w:cs="宋体" w:eastAsia="宋体" w:hint="default"/>
                            <w:spacing w:val="-40"/>
                            <w:sz w:val="16"/>
                            <w:szCs w:val="16"/>
                          </w:rPr>
                          <w:t> </w:t>
                        </w:r>
                        <w:r>
                          <w:rPr>
                            <w:rFonts w:ascii="宋体" w:hAnsi="宋体" w:cs="宋体" w:eastAsia="宋体" w:hint="default"/>
                            <w:sz w:val="16"/>
                            <w:szCs w:val="16"/>
                          </w:rPr>
                        </w:r>
                      </w:p>
                      <w:p>
                        <w:pPr>
                          <w:pStyle w:val="TableParagraph"/>
                          <w:spacing w:line="240" w:lineRule="auto" w:before="30"/>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113,440,953.45</w:t>
                        </w:r>
                        <w:r>
                          <w:rPr>
                            <w:rFonts w:ascii="Times New Roman" w:hAnsi="Times New Roman" w:cs="Times New Roman" w:eastAsia="Times New Roman" w:hint="default"/>
                            <w:spacing w:val="-11"/>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pStyle w:val="TableParagraph"/>
                          <w:spacing w:line="240" w:lineRule="auto" w:before="57"/>
                          <w:ind w:left="100" w:right="0"/>
                          <w:jc w:val="left"/>
                          <w:rPr>
                            <w:rFonts w:ascii="宋体" w:hAnsi="宋体" w:cs="宋体" w:eastAsia="宋体" w:hint="default"/>
                            <w:sz w:val="16"/>
                            <w:szCs w:val="16"/>
                          </w:rPr>
                        </w:pPr>
                        <w:r>
                          <w:rPr>
                            <w:rFonts w:ascii="宋体" w:hAnsi="宋体" w:cs="宋体" w:eastAsia="宋体" w:hint="default"/>
                            <w:sz w:val="16"/>
                            <w:szCs w:val="16"/>
                          </w:rPr>
                          <w:t>留 存 收 益 ： 增  </w:t>
                        </w:r>
                        <w:r>
                          <w:rPr>
                            <w:rFonts w:ascii="宋体" w:hAnsi="宋体" w:cs="宋体" w:eastAsia="宋体" w:hint="default"/>
                            <w:spacing w:val="13"/>
                            <w:sz w:val="16"/>
                            <w:szCs w:val="16"/>
                          </w:rPr>
                          <w:t> </w:t>
                        </w:r>
                        <w:r>
                          <w:rPr>
                            <w:rFonts w:ascii="宋体" w:hAnsi="宋体" w:cs="宋体" w:eastAsia="宋体" w:hint="default"/>
                            <w:sz w:val="16"/>
                            <w:szCs w:val="16"/>
                          </w:rPr>
                          <w:t>加</w:t>
                        </w:r>
                      </w:p>
                      <w:p>
                        <w:pPr>
                          <w:pStyle w:val="TableParagraph"/>
                          <w:spacing w:line="240" w:lineRule="auto" w:before="30"/>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113,440,953.45</w:t>
                        </w:r>
                        <w:r>
                          <w:rPr>
                            <w:rFonts w:ascii="Times New Roman" w:hAnsi="Times New Roman" w:cs="Times New Roman" w:eastAsia="Times New Roman" w:hint="default"/>
                            <w:spacing w:val="-11"/>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tc>
                  </w:tr>
                  <w:tr>
                    <w:trPr>
                      <w:trHeight w:val="638" w:hRule="exact"/>
                    </w:trPr>
                    <w:tc>
                      <w:tcPr>
                        <w:tcW w:w="2645" w:type="dxa"/>
                        <w:tcBorders>
                          <w:top w:val="dotted" w:sz="4" w:space="0" w:color="000000"/>
                          <w:left w:val="nil" w:sz="6" w:space="0" w:color="auto"/>
                          <w:bottom w:val="single" w:sz="12" w:space="0" w:color="000000"/>
                          <w:right w:val="dotted" w:sz="4" w:space="0" w:color="000000"/>
                        </w:tcBorders>
                      </w:tcPr>
                      <w:p>
                        <w:pPr>
                          <w:pStyle w:val="TableParagraph"/>
                          <w:spacing w:line="259" w:lineRule="auto" w:before="96"/>
                          <w:ind w:left="108" w:right="99"/>
                          <w:jc w:val="left"/>
                          <w:rPr>
                            <w:rFonts w:ascii="宋体" w:hAnsi="宋体" w:cs="宋体" w:eastAsia="宋体" w:hint="default"/>
                            <w:sz w:val="16"/>
                            <w:szCs w:val="16"/>
                          </w:rPr>
                        </w:pPr>
                        <w:r>
                          <w:rPr>
                            <w:rFonts w:ascii="宋体" w:hAnsi="宋体" w:cs="宋体" w:eastAsia="宋体" w:hint="default"/>
                            <w:spacing w:val="-4"/>
                            <w:sz w:val="16"/>
                            <w:szCs w:val="16"/>
                          </w:rPr>
                          <w:t>（</w:t>
                        </w:r>
                        <w:r>
                          <w:rPr>
                            <w:rFonts w:ascii="Times New Roman" w:hAnsi="Times New Roman" w:cs="Times New Roman" w:eastAsia="Times New Roman" w:hint="default"/>
                            <w:spacing w:val="-4"/>
                            <w:sz w:val="16"/>
                            <w:szCs w:val="16"/>
                          </w:rPr>
                          <w:t>3</w:t>
                        </w:r>
                        <w:r>
                          <w:rPr>
                            <w:rFonts w:ascii="宋体" w:hAnsi="宋体" w:cs="宋体" w:eastAsia="宋体" w:hint="default"/>
                            <w:spacing w:val="-4"/>
                            <w:sz w:val="16"/>
                            <w:szCs w:val="16"/>
                          </w:rPr>
                          <w:t>）非交易性的可供出售权益工具</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pacing w:val="5"/>
                            <w:sz w:val="16"/>
                            <w:szCs w:val="16"/>
                          </w:rPr>
                          <w:t>投资指定为</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以公允价值计量且其</w:t>
                        </w:r>
                      </w:p>
                    </w:tc>
                    <w:tc>
                      <w:tcPr>
                        <w:tcW w:w="1618" w:type="dxa"/>
                        <w:vMerge/>
                        <w:tcBorders>
                          <w:left w:val="dotted" w:sz="4" w:space="0" w:color="000000"/>
                          <w:bottom w:val="single" w:sz="12" w:space="0" w:color="000000"/>
                          <w:right w:val="dotted" w:sz="4" w:space="0" w:color="000000"/>
                        </w:tcBorders>
                      </w:tcPr>
                      <w:p>
                        <w:pPr/>
                      </w:p>
                    </w:tc>
                    <w:tc>
                      <w:tcPr>
                        <w:tcW w:w="19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pacing w:val="-5"/>
                            <w:sz w:val="16"/>
                            <w:szCs w:val="16"/>
                          </w:rPr>
                          <w:t>可供出售金融资产：减少</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142,433,506.00</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元；</w:t>
                        </w:r>
                      </w:p>
                    </w:tc>
                    <w:tc>
                      <w:tcPr>
                        <w:tcW w:w="199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7"/>
                          <w:ind w:left="100" w:right="0"/>
                          <w:jc w:val="left"/>
                          <w:rPr>
                            <w:rFonts w:ascii="宋体" w:hAnsi="宋体" w:cs="宋体" w:eastAsia="宋体" w:hint="default"/>
                            <w:sz w:val="16"/>
                            <w:szCs w:val="16"/>
                          </w:rPr>
                        </w:pPr>
                        <w:r>
                          <w:rPr>
                            <w:rFonts w:ascii="宋体" w:hAnsi="宋体" w:cs="宋体" w:eastAsia="宋体" w:hint="default"/>
                            <w:sz w:val="16"/>
                            <w:szCs w:val="16"/>
                          </w:rPr>
                          <w:t>可供出售金融资产：减少</w:t>
                        </w:r>
                      </w:p>
                      <w:p>
                        <w:pPr>
                          <w:pStyle w:val="TableParagraph"/>
                          <w:spacing w:line="240" w:lineRule="auto" w:before="30"/>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14,937,800.00</w:t>
                        </w:r>
                        <w:r>
                          <w:rPr>
                            <w:rFonts w:ascii="Times New Roman" w:hAnsi="Times New Roman" w:cs="Times New Roman" w:eastAsia="Times New Roman" w:hint="default"/>
                            <w:spacing w:val="-5"/>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tc>
                  </w:tr>
                </w:tbl>
                <w:p>
                  <w:pPr/>
                </w:p>
              </w:txbxContent>
            </v:textbox>
            <w10:wrap type="none"/>
          </v:shape>
        </w:pict>
      </w:r>
      <w:r>
        <w:rPr>
          <w:spacing w:val="-6"/>
        </w:rPr>
        <w:t>以按照财会〔</w:t>
      </w:r>
      <w:r>
        <w:rPr>
          <w:rFonts w:ascii="Times New Roman" w:hAnsi="Times New Roman" w:cs="Times New Roman" w:eastAsia="Times New Roman" w:hint="default"/>
          <w:spacing w:val="-6"/>
        </w:rPr>
        <w:t>2019</w:t>
      </w:r>
      <w:r>
        <w:rPr>
          <w:spacing w:val="-6"/>
        </w:rPr>
        <w:t>〕</w:t>
      </w:r>
      <w:r>
        <w:rPr>
          <w:rFonts w:ascii="Times New Roman" w:hAnsi="Times New Roman" w:cs="Times New Roman" w:eastAsia="Times New Roman" w:hint="default"/>
          <w:spacing w:val="-6"/>
        </w:rPr>
        <w:t>6</w:t>
      </w:r>
      <w:r>
        <w:rPr>
          <w:rFonts w:ascii="Times New Roman" w:hAnsi="Times New Roman" w:cs="Times New Roman" w:eastAsia="Times New Roman" w:hint="default"/>
          <w:spacing w:val="13"/>
        </w:rPr>
        <w:t> </w:t>
      </w:r>
      <w:r>
        <w:rPr>
          <w:spacing w:val="-6"/>
        </w:rPr>
        <w:t>号和财会〔</w:t>
      </w:r>
      <w:r>
        <w:rPr>
          <w:rFonts w:ascii="Times New Roman" w:hAnsi="Times New Roman" w:cs="Times New Roman" w:eastAsia="Times New Roman" w:hint="default"/>
          <w:spacing w:val="-6"/>
        </w:rPr>
        <w:t>2019</w:t>
      </w:r>
      <w:r>
        <w:rPr>
          <w:spacing w:val="-6"/>
        </w:rPr>
        <w:t>〕</w:t>
      </w:r>
      <w:r>
        <w:rPr>
          <w:rFonts w:ascii="Times New Roman" w:hAnsi="Times New Roman" w:cs="Times New Roman" w:eastAsia="Times New Roman" w:hint="default"/>
          <w:spacing w:val="-6"/>
        </w:rPr>
        <w:t>16</w:t>
      </w:r>
      <w:r>
        <w:rPr>
          <w:rFonts w:ascii="Times New Roman" w:hAnsi="Times New Roman" w:cs="Times New Roman" w:eastAsia="Times New Roman" w:hint="default"/>
          <w:spacing w:val="13"/>
        </w:rPr>
        <w:t> </w:t>
      </w:r>
      <w:r>
        <w:rPr/>
        <w:t>号的规定调整后的上年年末余额为</w:t>
      </w:r>
      <w:r>
        <w:rPr>
          <w:spacing w:val="-99"/>
        </w:rPr>
        <w:t> </w:t>
      </w:r>
      <w:r>
        <w:rPr>
          <w:spacing w:val="-99"/>
        </w:rPr>
      </w:r>
      <w:r>
        <w:rPr/>
        <w:t>基础，执行上述新金融工具准则的主要影响如下：</w:t>
      </w:r>
    </w:p>
    <w:p>
      <w:pPr>
        <w:spacing w:after="0" w:line="328" w:lineRule="auto"/>
        <w:jc w:val="left"/>
        <w:sectPr>
          <w:pgSz w:w="11910" w:h="16840"/>
          <w:pgMar w:header="753" w:footer="997" w:top="1440" w:bottom="1180" w:left="1660" w:right="0"/>
        </w:sectPr>
      </w:pPr>
    </w:p>
    <w:p>
      <w:pPr>
        <w:spacing w:line="240" w:lineRule="auto" w:before="9"/>
        <w:rPr>
          <w:rFonts w:ascii="Times New Roman" w:hAnsi="Times New Roman" w:cs="Times New Roman" w:eastAsia="Times New Roman" w:hint="default"/>
          <w:sz w:val="25"/>
          <w:szCs w:val="25"/>
        </w:rPr>
      </w:pPr>
    </w:p>
    <w:tbl>
      <w:tblPr>
        <w:tblW w:w="0" w:type="auto"/>
        <w:jc w:val="left"/>
        <w:tblInd w:w="735" w:type="dxa"/>
        <w:tblLayout w:type="fixed"/>
        <w:tblCellMar>
          <w:top w:w="0" w:type="dxa"/>
          <w:left w:w="0" w:type="dxa"/>
          <w:bottom w:w="0" w:type="dxa"/>
          <w:right w:w="0" w:type="dxa"/>
        </w:tblCellMar>
        <w:tblLook w:val="01E0"/>
      </w:tblPr>
      <w:tblGrid>
        <w:gridCol w:w="2645"/>
        <w:gridCol w:w="1618"/>
        <w:gridCol w:w="1937"/>
        <w:gridCol w:w="1990"/>
      </w:tblGrid>
      <w:tr>
        <w:trPr>
          <w:trHeight w:val="396" w:hRule="exact"/>
        </w:trPr>
        <w:tc>
          <w:tcPr>
            <w:tcW w:w="2645"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362" w:right="0"/>
              <w:jc w:val="left"/>
              <w:rPr>
                <w:rFonts w:ascii="宋体" w:hAnsi="宋体" w:cs="宋体" w:eastAsia="宋体" w:hint="default"/>
                <w:sz w:val="16"/>
                <w:szCs w:val="16"/>
              </w:rPr>
            </w:pPr>
            <w:r>
              <w:rPr>
                <w:rFonts w:ascii="宋体" w:hAnsi="宋体" w:cs="宋体" w:eastAsia="宋体" w:hint="default"/>
                <w:sz w:val="16"/>
                <w:szCs w:val="16"/>
              </w:rPr>
              <w:t>会计政策变更的内容和原因</w:t>
            </w:r>
          </w:p>
        </w:tc>
        <w:tc>
          <w:tcPr>
            <w:tcW w:w="1618" w:type="dxa"/>
            <w:vMerge w:val="restart"/>
            <w:tcBorders>
              <w:top w:val="single" w:sz="12" w:space="0" w:color="000000"/>
              <w:left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479" w:right="0"/>
              <w:jc w:val="left"/>
              <w:rPr>
                <w:rFonts w:ascii="宋体" w:hAnsi="宋体" w:cs="宋体" w:eastAsia="宋体" w:hint="default"/>
                <w:sz w:val="16"/>
                <w:szCs w:val="16"/>
              </w:rPr>
            </w:pPr>
            <w:r>
              <w:rPr>
                <w:rFonts w:ascii="宋体" w:hAnsi="宋体" w:cs="宋体" w:eastAsia="宋体" w:hint="default"/>
                <w:sz w:val="16"/>
                <w:szCs w:val="16"/>
              </w:rPr>
              <w:t>审批程序</w:t>
            </w:r>
          </w:p>
        </w:tc>
        <w:tc>
          <w:tcPr>
            <w:tcW w:w="392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75"/>
              <w:ind w:left="916" w:right="0"/>
              <w:jc w:val="left"/>
              <w:rPr>
                <w:rFonts w:ascii="宋体" w:hAnsi="宋体" w:cs="宋体" w:eastAsia="宋体" w:hint="default"/>
                <w:sz w:val="16"/>
                <w:szCs w:val="16"/>
              </w:rPr>
            </w:pPr>
            <w:r>
              <w:rPr>
                <w:rFonts w:ascii="宋体" w:hAnsi="宋体" w:cs="宋体" w:eastAsia="宋体" w:hint="default"/>
                <w:sz w:val="16"/>
                <w:szCs w:val="16"/>
              </w:rPr>
              <w:t>受影响的报表项目名称和金额</w:t>
            </w:r>
          </w:p>
        </w:tc>
      </w:tr>
      <w:tr>
        <w:trPr>
          <w:trHeight w:val="386" w:hRule="exact"/>
        </w:trPr>
        <w:tc>
          <w:tcPr>
            <w:tcW w:w="2645" w:type="dxa"/>
            <w:vMerge/>
            <w:tcBorders>
              <w:left w:val="nil" w:sz="6" w:space="0" w:color="auto"/>
              <w:bottom w:val="dotted" w:sz="4" w:space="0" w:color="000000"/>
              <w:right w:val="dotted" w:sz="4" w:space="0" w:color="000000"/>
            </w:tcBorders>
          </w:tcPr>
          <w:p>
            <w:pPr/>
          </w:p>
        </w:tc>
        <w:tc>
          <w:tcPr>
            <w:tcW w:w="1618" w:type="dxa"/>
            <w:vMerge/>
            <w:tcBorders>
              <w:left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2"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8"/>
              <w:jc w:val="center"/>
              <w:rPr>
                <w:rFonts w:ascii="宋体" w:hAnsi="宋体" w:cs="宋体" w:eastAsia="宋体" w:hint="default"/>
                <w:sz w:val="16"/>
                <w:szCs w:val="16"/>
              </w:rPr>
            </w:pPr>
            <w:r>
              <w:rPr>
                <w:rFonts w:ascii="宋体" w:hAnsi="宋体" w:cs="宋体" w:eastAsia="宋体" w:hint="default"/>
                <w:sz w:val="16"/>
                <w:szCs w:val="16"/>
              </w:rPr>
              <w:t>母公司</w:t>
            </w:r>
          </w:p>
        </w:tc>
      </w:tr>
      <w:tr>
        <w:trPr>
          <w:trHeight w:val="2666"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76" w:lineRule="auto" w:before="36"/>
              <w:ind w:left="108" w:right="100"/>
              <w:jc w:val="left"/>
              <w:rPr>
                <w:rFonts w:ascii="宋体" w:hAnsi="宋体" w:cs="宋体" w:eastAsia="宋体" w:hint="default"/>
                <w:sz w:val="16"/>
                <w:szCs w:val="16"/>
              </w:rPr>
            </w:pPr>
            <w:r>
              <w:rPr>
                <w:rFonts w:ascii="宋体" w:hAnsi="宋体" w:cs="宋体" w:eastAsia="宋体" w:hint="default"/>
                <w:spacing w:val="11"/>
                <w:sz w:val="16"/>
                <w:szCs w:val="16"/>
              </w:rPr>
              <w:t>变动计入其他综合收益的金融资</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产</w:t>
            </w:r>
            <w:r>
              <w:rPr>
                <w:rFonts w:ascii="Times New Roman" w:hAnsi="Times New Roman" w:cs="Times New Roman" w:eastAsia="Times New Roman" w:hint="default"/>
                <w:sz w:val="16"/>
                <w:szCs w:val="16"/>
              </w:rPr>
              <w:t>”</w:t>
            </w:r>
            <w:r>
              <w:rPr>
                <w:rFonts w:ascii="宋体" w:hAnsi="宋体" w:cs="宋体" w:eastAsia="宋体" w:hint="default"/>
                <w:sz w:val="16"/>
                <w:szCs w:val="16"/>
              </w:rPr>
              <w:t>并重新计量。</w:t>
            </w:r>
          </w:p>
        </w:tc>
        <w:tc>
          <w:tcPr>
            <w:tcW w:w="1618" w:type="dxa"/>
            <w:vMerge/>
            <w:tcBorders>
              <w:left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pacing w:val="-5"/>
                <w:sz w:val="16"/>
                <w:szCs w:val="16"/>
              </w:rPr>
              <w:t>其他权益工具投资：增加</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202,321,052.00</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元；</w:t>
            </w:r>
          </w:p>
          <w:p>
            <w:pPr>
              <w:pStyle w:val="TableParagraph"/>
              <w:spacing w:line="240" w:lineRule="auto" w:before="57"/>
              <w:ind w:left="103" w:right="0"/>
              <w:jc w:val="left"/>
              <w:rPr>
                <w:rFonts w:ascii="宋体" w:hAnsi="宋体" w:cs="宋体" w:eastAsia="宋体" w:hint="default"/>
                <w:sz w:val="16"/>
                <w:szCs w:val="16"/>
              </w:rPr>
            </w:pPr>
            <w:r>
              <w:rPr>
                <w:rFonts w:ascii="宋体" w:hAnsi="宋体" w:cs="宋体" w:eastAsia="宋体" w:hint="default"/>
                <w:spacing w:val="9"/>
                <w:sz w:val="16"/>
                <w:szCs w:val="16"/>
              </w:rPr>
              <w:t>递延所得税资产：增加</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9,646,665.00</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p>
            <w:pPr>
              <w:pStyle w:val="TableParagraph"/>
              <w:spacing w:line="240" w:lineRule="auto" w:before="59"/>
              <w:ind w:left="103" w:right="0"/>
              <w:jc w:val="left"/>
              <w:rPr>
                <w:rFonts w:ascii="宋体" w:hAnsi="宋体" w:cs="宋体" w:eastAsia="宋体" w:hint="default"/>
                <w:sz w:val="16"/>
                <w:szCs w:val="16"/>
              </w:rPr>
            </w:pPr>
            <w:r>
              <w:rPr>
                <w:rFonts w:ascii="宋体" w:hAnsi="宋体" w:cs="宋体" w:eastAsia="宋体" w:hint="default"/>
                <w:spacing w:val="9"/>
                <w:sz w:val="16"/>
                <w:szCs w:val="16"/>
              </w:rPr>
              <w:t>递延所得税负债：增加</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16,971,111.50</w:t>
            </w:r>
            <w:r>
              <w:rPr>
                <w:rFonts w:ascii="Times New Roman" w:hAnsi="Times New Roman" w:cs="Times New Roman" w:eastAsia="Times New Roman" w:hint="default"/>
                <w:spacing w:val="-16"/>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pStyle w:val="TableParagraph"/>
              <w:spacing w:line="240" w:lineRule="auto" w:before="59"/>
              <w:ind w:left="103" w:right="0"/>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spacing w:val="-45"/>
                <w:sz w:val="16"/>
                <w:szCs w:val="16"/>
              </w:rPr>
              <w:t> </w:t>
            </w:r>
            <w:r>
              <w:rPr>
                <w:rFonts w:ascii="宋体" w:hAnsi="宋体" w:cs="宋体" w:eastAsia="宋体" w:hint="default"/>
                <w:sz w:val="16"/>
                <w:szCs w:val="16"/>
              </w:rPr>
              <w:t>他</w:t>
            </w:r>
            <w:r>
              <w:rPr>
                <w:rFonts w:ascii="宋体" w:hAnsi="宋体" w:cs="宋体" w:eastAsia="宋体" w:hint="default"/>
                <w:spacing w:val="-47"/>
                <w:sz w:val="16"/>
                <w:szCs w:val="16"/>
              </w:rPr>
              <w:t> </w:t>
            </w:r>
            <w:r>
              <w:rPr>
                <w:rFonts w:ascii="宋体" w:hAnsi="宋体" w:cs="宋体" w:eastAsia="宋体" w:hint="default"/>
                <w:sz w:val="16"/>
                <w:szCs w:val="16"/>
              </w:rPr>
              <w:t>综</w:t>
            </w:r>
            <w:r>
              <w:rPr>
                <w:rFonts w:ascii="宋体" w:hAnsi="宋体" w:cs="宋体" w:eastAsia="宋体" w:hint="default"/>
                <w:spacing w:val="-47"/>
                <w:sz w:val="16"/>
                <w:szCs w:val="16"/>
              </w:rPr>
              <w:t> </w:t>
            </w:r>
            <w:r>
              <w:rPr>
                <w:rFonts w:ascii="宋体" w:hAnsi="宋体" w:cs="宋体" w:eastAsia="宋体" w:hint="default"/>
                <w:sz w:val="16"/>
                <w:szCs w:val="16"/>
              </w:rPr>
              <w:t>合</w:t>
            </w:r>
            <w:r>
              <w:rPr>
                <w:rFonts w:ascii="宋体" w:hAnsi="宋体" w:cs="宋体" w:eastAsia="宋体" w:hint="default"/>
                <w:spacing w:val="-47"/>
                <w:sz w:val="16"/>
                <w:szCs w:val="16"/>
              </w:rPr>
              <w:t> </w:t>
            </w:r>
            <w:r>
              <w:rPr>
                <w:rFonts w:ascii="宋体" w:hAnsi="宋体" w:cs="宋体" w:eastAsia="宋体" w:hint="default"/>
                <w:sz w:val="16"/>
                <w:szCs w:val="16"/>
              </w:rPr>
              <w:t>收</w:t>
            </w:r>
            <w:r>
              <w:rPr>
                <w:rFonts w:ascii="宋体" w:hAnsi="宋体" w:cs="宋体" w:eastAsia="宋体" w:hint="default"/>
                <w:spacing w:val="-45"/>
                <w:sz w:val="16"/>
                <w:szCs w:val="16"/>
              </w:rPr>
              <w:t> </w:t>
            </w:r>
            <w:r>
              <w:rPr>
                <w:rFonts w:ascii="宋体" w:hAnsi="宋体" w:cs="宋体" w:eastAsia="宋体" w:hint="default"/>
                <w:sz w:val="16"/>
                <w:szCs w:val="16"/>
              </w:rPr>
              <w:t>益</w:t>
            </w:r>
            <w:r>
              <w:rPr>
                <w:rFonts w:ascii="宋体" w:hAnsi="宋体" w:cs="宋体" w:eastAsia="宋体" w:hint="default"/>
                <w:spacing w:val="-47"/>
                <w:sz w:val="16"/>
                <w:szCs w:val="16"/>
              </w:rPr>
              <w:t> </w:t>
            </w:r>
            <w:r>
              <w:rPr>
                <w:rFonts w:ascii="宋体" w:hAnsi="宋体" w:cs="宋体" w:eastAsia="宋体" w:hint="default"/>
                <w:sz w:val="16"/>
                <w:szCs w:val="16"/>
              </w:rPr>
              <w:t>：</w:t>
            </w:r>
            <w:r>
              <w:rPr>
                <w:rFonts w:ascii="宋体" w:hAnsi="宋体" w:cs="宋体" w:eastAsia="宋体" w:hint="default"/>
                <w:spacing w:val="-47"/>
                <w:sz w:val="16"/>
                <w:szCs w:val="16"/>
              </w:rPr>
              <w:t> </w:t>
            </w:r>
            <w:r>
              <w:rPr>
                <w:rFonts w:ascii="宋体" w:hAnsi="宋体" w:cs="宋体" w:eastAsia="宋体" w:hint="default"/>
                <w:sz w:val="16"/>
                <w:szCs w:val="16"/>
              </w:rPr>
              <w:t>减</w:t>
            </w:r>
            <w:r>
              <w:rPr>
                <w:rFonts w:ascii="宋体" w:hAnsi="宋体" w:cs="宋体" w:eastAsia="宋体" w:hint="default"/>
                <w:spacing w:val="-45"/>
                <w:sz w:val="16"/>
                <w:szCs w:val="16"/>
              </w:rPr>
              <w:t> </w:t>
            </w:r>
            <w:r>
              <w:rPr>
                <w:rFonts w:ascii="宋体" w:hAnsi="宋体" w:cs="宋体" w:eastAsia="宋体" w:hint="default"/>
                <w:sz w:val="16"/>
                <w:szCs w:val="16"/>
              </w:rPr>
              <w:t>少</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3,751,100.50</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p>
            <w:pPr>
              <w:pStyle w:val="TableParagraph"/>
              <w:spacing w:line="240" w:lineRule="auto" w:before="57"/>
              <w:ind w:left="103" w:right="0"/>
              <w:jc w:val="left"/>
              <w:rPr>
                <w:rFonts w:ascii="宋体" w:hAnsi="宋体" w:cs="宋体" w:eastAsia="宋体" w:hint="default"/>
                <w:sz w:val="16"/>
                <w:szCs w:val="16"/>
              </w:rPr>
            </w:pPr>
            <w:r>
              <w:rPr>
                <w:rFonts w:ascii="宋体" w:hAnsi="宋体" w:cs="宋体" w:eastAsia="宋体" w:hint="default"/>
                <w:sz w:val="16"/>
                <w:szCs w:val="16"/>
              </w:rPr>
              <w:t>留 存 收 益 ： 增 </w:t>
            </w:r>
            <w:r>
              <w:rPr>
                <w:rFonts w:ascii="宋体" w:hAnsi="宋体" w:cs="宋体" w:eastAsia="宋体" w:hint="default"/>
                <w:spacing w:val="39"/>
                <w:sz w:val="16"/>
                <w:szCs w:val="16"/>
              </w:rPr>
              <w:t> </w:t>
            </w:r>
            <w:r>
              <w:rPr>
                <w:rFonts w:ascii="宋体" w:hAnsi="宋体" w:cs="宋体" w:eastAsia="宋体" w:hint="default"/>
                <w:sz w:val="16"/>
                <w:szCs w:val="16"/>
              </w:rPr>
              <w:t>加</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56,314,200.00</w:t>
            </w:r>
            <w:r>
              <w:rPr>
                <w:rFonts w:ascii="Times New Roman" w:hAnsi="Times New Roman" w:cs="Times New Roman" w:eastAsia="Times New Roman" w:hint="default"/>
                <w:spacing w:val="-6"/>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6"/>
              <w:ind w:left="100" w:right="0"/>
              <w:jc w:val="left"/>
              <w:rPr>
                <w:rFonts w:ascii="宋体" w:hAnsi="宋体" w:cs="宋体" w:eastAsia="宋体" w:hint="default"/>
                <w:sz w:val="16"/>
                <w:szCs w:val="16"/>
              </w:rPr>
            </w:pPr>
            <w:r>
              <w:rPr>
                <w:rFonts w:ascii="宋体" w:hAnsi="宋体" w:cs="宋体" w:eastAsia="宋体" w:hint="default"/>
                <w:sz w:val="16"/>
                <w:szCs w:val="16"/>
              </w:rPr>
              <w:t>其他权益工具投资：增加</w:t>
            </w:r>
          </w:p>
          <w:p>
            <w:pPr>
              <w:pStyle w:val="TableParagraph"/>
              <w:spacing w:line="240" w:lineRule="auto" w:before="30"/>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6,940,900.00</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p>
            <w:pPr>
              <w:pStyle w:val="TableParagraph"/>
              <w:spacing w:line="240" w:lineRule="auto" w:before="57"/>
              <w:ind w:left="100" w:right="0"/>
              <w:jc w:val="left"/>
              <w:rPr>
                <w:rFonts w:ascii="宋体" w:hAnsi="宋体" w:cs="宋体" w:eastAsia="宋体" w:hint="default"/>
                <w:sz w:val="16"/>
                <w:szCs w:val="16"/>
              </w:rPr>
            </w:pPr>
            <w:r>
              <w:rPr>
                <w:rFonts w:ascii="宋体" w:hAnsi="宋体" w:cs="宋体" w:eastAsia="宋体" w:hint="default"/>
                <w:spacing w:val="14"/>
                <w:sz w:val="16"/>
                <w:szCs w:val="16"/>
              </w:rPr>
              <w:t>递延所得税资产：</w:t>
            </w:r>
            <w:r>
              <w:rPr>
                <w:rFonts w:ascii="宋体" w:hAnsi="宋体" w:cs="宋体" w:eastAsia="宋体" w:hint="default"/>
                <w:spacing w:val="-41"/>
                <w:sz w:val="16"/>
                <w:szCs w:val="16"/>
              </w:rPr>
              <w:t> </w:t>
            </w:r>
            <w:r>
              <w:rPr>
                <w:rFonts w:ascii="宋体" w:hAnsi="宋体" w:cs="宋体" w:eastAsia="宋体" w:hint="default"/>
                <w:spacing w:val="7"/>
                <w:sz w:val="16"/>
                <w:szCs w:val="16"/>
              </w:rPr>
              <w:t>增加</w:t>
            </w:r>
          </w:p>
          <w:p>
            <w:pPr>
              <w:pStyle w:val="TableParagraph"/>
              <w:spacing w:line="240" w:lineRule="auto" w:before="30"/>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9,646,665.00</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元；</w:t>
            </w:r>
          </w:p>
          <w:p>
            <w:pPr>
              <w:pStyle w:val="TableParagraph"/>
              <w:spacing w:line="240" w:lineRule="auto" w:before="59"/>
              <w:ind w:left="100" w:right="0"/>
              <w:jc w:val="left"/>
              <w:rPr>
                <w:rFonts w:ascii="宋体" w:hAnsi="宋体" w:cs="宋体" w:eastAsia="宋体" w:hint="default"/>
                <w:sz w:val="16"/>
                <w:szCs w:val="16"/>
              </w:rPr>
            </w:pPr>
            <w:r>
              <w:rPr>
                <w:rFonts w:ascii="宋体" w:hAnsi="宋体" w:cs="宋体" w:eastAsia="宋体" w:hint="default"/>
                <w:spacing w:val="34"/>
                <w:sz w:val="16"/>
                <w:szCs w:val="16"/>
              </w:rPr>
              <w:t>其他综合收益：减少</w:t>
            </w:r>
            <w:r>
              <w:rPr>
                <w:rFonts w:ascii="宋体" w:hAnsi="宋体" w:cs="宋体" w:eastAsia="宋体" w:hint="default"/>
                <w:spacing w:val="-40"/>
                <w:sz w:val="16"/>
                <w:szCs w:val="16"/>
              </w:rPr>
              <w:t> </w:t>
            </w:r>
            <w:r>
              <w:rPr>
                <w:rFonts w:ascii="宋体" w:hAnsi="宋体" w:cs="宋体" w:eastAsia="宋体" w:hint="default"/>
                <w:sz w:val="16"/>
                <w:szCs w:val="16"/>
              </w:rPr>
            </w:r>
          </w:p>
          <w:p>
            <w:pPr>
              <w:pStyle w:val="TableParagraph"/>
              <w:spacing w:line="240" w:lineRule="auto" w:before="30"/>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54,664,435.00</w:t>
            </w:r>
            <w:r>
              <w:rPr>
                <w:rFonts w:ascii="Times New Roman" w:hAnsi="Times New Roman" w:cs="Times New Roman" w:eastAsia="Times New Roman" w:hint="default"/>
                <w:spacing w:val="-5"/>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pStyle w:val="TableParagraph"/>
              <w:spacing w:line="240" w:lineRule="auto" w:before="59"/>
              <w:ind w:left="100" w:right="0"/>
              <w:jc w:val="left"/>
              <w:rPr>
                <w:rFonts w:ascii="宋体" w:hAnsi="宋体" w:cs="宋体" w:eastAsia="宋体" w:hint="default"/>
                <w:sz w:val="16"/>
                <w:szCs w:val="16"/>
              </w:rPr>
            </w:pPr>
            <w:r>
              <w:rPr>
                <w:rFonts w:ascii="宋体" w:hAnsi="宋体" w:cs="宋体" w:eastAsia="宋体" w:hint="default"/>
                <w:sz w:val="16"/>
                <w:szCs w:val="16"/>
              </w:rPr>
              <w:t>留 存 收 益 ： 增  </w:t>
            </w:r>
            <w:r>
              <w:rPr>
                <w:rFonts w:ascii="宋体" w:hAnsi="宋体" w:cs="宋体" w:eastAsia="宋体" w:hint="default"/>
                <w:spacing w:val="13"/>
                <w:sz w:val="16"/>
                <w:szCs w:val="16"/>
              </w:rPr>
              <w:t> </w:t>
            </w:r>
            <w:r>
              <w:rPr>
                <w:rFonts w:ascii="宋体" w:hAnsi="宋体" w:cs="宋体" w:eastAsia="宋体" w:hint="default"/>
                <w:sz w:val="16"/>
                <w:szCs w:val="16"/>
              </w:rPr>
              <w:t>加</w:t>
            </w:r>
          </w:p>
          <w:p>
            <w:pPr>
              <w:pStyle w:val="TableParagraph"/>
              <w:spacing w:line="240" w:lineRule="auto" w:before="30"/>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56,314,200.00</w:t>
            </w:r>
            <w:r>
              <w:rPr>
                <w:rFonts w:ascii="Times New Roman" w:hAnsi="Times New Roman" w:cs="Times New Roman" w:eastAsia="Times New Roman" w:hint="default"/>
                <w:spacing w:val="-5"/>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tc>
      </w:tr>
      <w:tr>
        <w:trPr>
          <w:trHeight w:val="1145"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59" w:lineRule="auto"/>
              <w:ind w:left="108" w:right="97"/>
              <w:jc w:val="both"/>
              <w:rPr>
                <w:rFonts w:ascii="宋体" w:hAnsi="宋体" w:cs="宋体" w:eastAsia="宋体" w:hint="default"/>
                <w:sz w:val="16"/>
                <w:szCs w:val="16"/>
              </w:rPr>
            </w:pPr>
            <w:r>
              <w:rPr>
                <w:rFonts w:ascii="宋体" w:hAnsi="宋体" w:cs="宋体" w:eastAsia="宋体" w:hint="default"/>
                <w:spacing w:val="-4"/>
                <w:sz w:val="16"/>
                <w:szCs w:val="16"/>
              </w:rPr>
              <w:t>（</w:t>
            </w:r>
            <w:r>
              <w:rPr>
                <w:rFonts w:ascii="Times New Roman" w:hAnsi="Times New Roman" w:cs="Times New Roman" w:eastAsia="Times New Roman" w:hint="default"/>
                <w:spacing w:val="-4"/>
                <w:sz w:val="16"/>
                <w:szCs w:val="16"/>
              </w:rPr>
              <w:t>4</w:t>
            </w:r>
            <w:r>
              <w:rPr>
                <w:rFonts w:ascii="宋体" w:hAnsi="宋体" w:cs="宋体" w:eastAsia="宋体" w:hint="default"/>
                <w:spacing w:val="-4"/>
                <w:sz w:val="16"/>
                <w:szCs w:val="16"/>
              </w:rPr>
              <w:t>）可供出售债务工具投资重分类</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pacing w:val="6"/>
                <w:sz w:val="16"/>
                <w:szCs w:val="16"/>
              </w:rPr>
              <w:t>为</w:t>
            </w:r>
            <w:r>
              <w:rPr>
                <w:rFonts w:ascii="Times New Roman" w:hAnsi="Times New Roman" w:cs="Times New Roman" w:eastAsia="Times New Roman" w:hint="default"/>
                <w:spacing w:val="6"/>
                <w:sz w:val="16"/>
                <w:szCs w:val="16"/>
              </w:rPr>
              <w:t>“</w:t>
            </w:r>
            <w:r>
              <w:rPr>
                <w:rFonts w:ascii="宋体" w:hAnsi="宋体" w:cs="宋体" w:eastAsia="宋体" w:hint="default"/>
                <w:spacing w:val="6"/>
                <w:sz w:val="16"/>
                <w:szCs w:val="16"/>
              </w:rPr>
              <w:t>以公允价值计量且其变动计入</w:t>
            </w:r>
            <w:r>
              <w:rPr>
                <w:rFonts w:ascii="宋体" w:hAnsi="宋体" w:cs="宋体" w:eastAsia="宋体" w:hint="default"/>
                <w:spacing w:val="-52"/>
                <w:sz w:val="16"/>
                <w:szCs w:val="16"/>
              </w:rPr>
              <w:t> </w:t>
            </w:r>
            <w:r>
              <w:rPr>
                <w:rFonts w:ascii="宋体" w:hAnsi="宋体" w:cs="宋体" w:eastAsia="宋体" w:hint="default"/>
                <w:spacing w:val="-52"/>
                <w:sz w:val="16"/>
                <w:szCs w:val="16"/>
              </w:rPr>
            </w:r>
            <w:r>
              <w:rPr>
                <w:rFonts w:ascii="宋体" w:hAnsi="宋体" w:cs="宋体" w:eastAsia="宋体" w:hint="default"/>
                <w:sz w:val="16"/>
                <w:szCs w:val="16"/>
              </w:rPr>
              <w:t>其他综合收益的金融资产</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618" w:type="dxa"/>
            <w:vMerge/>
            <w:tcBorders>
              <w:left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103" w:right="0"/>
              <w:jc w:val="left"/>
              <w:rPr>
                <w:rFonts w:ascii="宋体" w:hAnsi="宋体" w:cs="宋体" w:eastAsia="宋体" w:hint="default"/>
                <w:sz w:val="16"/>
                <w:szCs w:val="16"/>
              </w:rPr>
            </w:pPr>
            <w:r>
              <w:rPr>
                <w:rFonts w:ascii="宋体" w:hAnsi="宋体" w:cs="宋体" w:eastAsia="宋体" w:hint="default"/>
                <w:spacing w:val="-5"/>
                <w:sz w:val="16"/>
                <w:szCs w:val="16"/>
              </w:rPr>
              <w:t>可供出售金融资产：减少</w:t>
            </w:r>
          </w:p>
          <w:p>
            <w:pPr>
              <w:pStyle w:val="TableParagraph"/>
              <w:spacing w:line="240" w:lineRule="auto" w:before="31"/>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28,081,425.01</w:t>
            </w:r>
            <w:r>
              <w:rPr>
                <w:rFonts w:ascii="Times New Roman" w:hAnsi="Times New Roman" w:cs="Times New Roman" w:eastAsia="Times New Roman" w:hint="default"/>
                <w:spacing w:val="-6"/>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pStyle w:val="TableParagraph"/>
              <w:spacing w:line="240" w:lineRule="auto" w:before="59"/>
              <w:ind w:left="103" w:right="0"/>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spacing w:val="-45"/>
                <w:sz w:val="16"/>
                <w:szCs w:val="16"/>
              </w:rPr>
              <w:t> </w:t>
            </w:r>
            <w:r>
              <w:rPr>
                <w:rFonts w:ascii="宋体" w:hAnsi="宋体" w:cs="宋体" w:eastAsia="宋体" w:hint="default"/>
                <w:sz w:val="16"/>
                <w:szCs w:val="16"/>
              </w:rPr>
              <w:t>他</w:t>
            </w:r>
            <w:r>
              <w:rPr>
                <w:rFonts w:ascii="宋体" w:hAnsi="宋体" w:cs="宋体" w:eastAsia="宋体" w:hint="default"/>
                <w:spacing w:val="-47"/>
                <w:sz w:val="16"/>
                <w:szCs w:val="16"/>
              </w:rPr>
              <w:t> </w:t>
            </w:r>
            <w:r>
              <w:rPr>
                <w:rFonts w:ascii="宋体" w:hAnsi="宋体" w:cs="宋体" w:eastAsia="宋体" w:hint="default"/>
                <w:sz w:val="16"/>
                <w:szCs w:val="16"/>
              </w:rPr>
              <w:t>债</w:t>
            </w:r>
            <w:r>
              <w:rPr>
                <w:rFonts w:ascii="宋体" w:hAnsi="宋体" w:cs="宋体" w:eastAsia="宋体" w:hint="default"/>
                <w:spacing w:val="-47"/>
                <w:sz w:val="16"/>
                <w:szCs w:val="16"/>
              </w:rPr>
              <w:t> </w:t>
            </w:r>
            <w:r>
              <w:rPr>
                <w:rFonts w:ascii="宋体" w:hAnsi="宋体" w:cs="宋体" w:eastAsia="宋体" w:hint="default"/>
                <w:sz w:val="16"/>
                <w:szCs w:val="16"/>
              </w:rPr>
              <w:t>权</w:t>
            </w:r>
            <w:r>
              <w:rPr>
                <w:rFonts w:ascii="宋体" w:hAnsi="宋体" w:cs="宋体" w:eastAsia="宋体" w:hint="default"/>
                <w:spacing w:val="-47"/>
                <w:sz w:val="16"/>
                <w:szCs w:val="16"/>
              </w:rPr>
              <w:t> </w:t>
            </w:r>
            <w:r>
              <w:rPr>
                <w:rFonts w:ascii="宋体" w:hAnsi="宋体" w:cs="宋体" w:eastAsia="宋体" w:hint="default"/>
                <w:sz w:val="16"/>
                <w:szCs w:val="16"/>
              </w:rPr>
              <w:t>投</w:t>
            </w:r>
            <w:r>
              <w:rPr>
                <w:rFonts w:ascii="宋体" w:hAnsi="宋体" w:cs="宋体" w:eastAsia="宋体" w:hint="default"/>
                <w:spacing w:val="-45"/>
                <w:sz w:val="16"/>
                <w:szCs w:val="16"/>
              </w:rPr>
              <w:t> </w:t>
            </w:r>
            <w:r>
              <w:rPr>
                <w:rFonts w:ascii="宋体" w:hAnsi="宋体" w:cs="宋体" w:eastAsia="宋体" w:hint="default"/>
                <w:sz w:val="16"/>
                <w:szCs w:val="16"/>
              </w:rPr>
              <w:t>资</w:t>
            </w:r>
            <w:r>
              <w:rPr>
                <w:rFonts w:ascii="宋体" w:hAnsi="宋体" w:cs="宋体" w:eastAsia="宋体" w:hint="default"/>
                <w:spacing w:val="-47"/>
                <w:sz w:val="16"/>
                <w:szCs w:val="16"/>
              </w:rPr>
              <w:t> </w:t>
            </w:r>
            <w:r>
              <w:rPr>
                <w:rFonts w:ascii="宋体" w:hAnsi="宋体" w:cs="宋体" w:eastAsia="宋体" w:hint="default"/>
                <w:sz w:val="16"/>
                <w:szCs w:val="16"/>
              </w:rPr>
              <w:t>：</w:t>
            </w:r>
            <w:r>
              <w:rPr>
                <w:rFonts w:ascii="宋体" w:hAnsi="宋体" w:cs="宋体" w:eastAsia="宋体" w:hint="default"/>
                <w:spacing w:val="-47"/>
                <w:sz w:val="16"/>
                <w:szCs w:val="16"/>
              </w:rPr>
              <w:t> </w:t>
            </w:r>
            <w:r>
              <w:rPr>
                <w:rFonts w:ascii="宋体" w:hAnsi="宋体" w:cs="宋体" w:eastAsia="宋体" w:hint="default"/>
                <w:sz w:val="16"/>
                <w:szCs w:val="16"/>
              </w:rPr>
              <w:t>增</w:t>
            </w:r>
            <w:r>
              <w:rPr>
                <w:rFonts w:ascii="宋体" w:hAnsi="宋体" w:cs="宋体" w:eastAsia="宋体" w:hint="default"/>
                <w:spacing w:val="-45"/>
                <w:sz w:val="16"/>
                <w:szCs w:val="16"/>
              </w:rPr>
              <w:t> </w:t>
            </w:r>
            <w:r>
              <w:rPr>
                <w:rFonts w:ascii="宋体" w:hAnsi="宋体" w:cs="宋体" w:eastAsia="宋体" w:hint="default"/>
                <w:sz w:val="16"/>
                <w:szCs w:val="16"/>
              </w:rPr>
              <w:t>加</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28,081,425.01</w:t>
            </w:r>
            <w:r>
              <w:rPr>
                <w:rFonts w:ascii="Times New Roman" w:hAnsi="Times New Roman" w:cs="Times New Roman" w:eastAsia="Times New Roman" w:hint="default"/>
                <w:spacing w:val="-5"/>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76" w:lineRule="auto"/>
              <w:ind w:left="100" w:right="108"/>
              <w:jc w:val="left"/>
              <w:rPr>
                <w:rFonts w:ascii="宋体" w:hAnsi="宋体" w:cs="宋体" w:eastAsia="宋体" w:hint="default"/>
                <w:sz w:val="16"/>
                <w:szCs w:val="16"/>
              </w:rPr>
            </w:pPr>
            <w:r>
              <w:rPr>
                <w:rFonts w:ascii="宋体" w:hAnsi="宋体" w:cs="宋体" w:eastAsia="宋体" w:hint="default"/>
                <w:spacing w:val="14"/>
                <w:sz w:val="16"/>
                <w:szCs w:val="16"/>
              </w:rPr>
              <w:t>对母公司财务报表无影</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响。</w:t>
            </w:r>
          </w:p>
        </w:tc>
      </w:tr>
      <w:tr>
        <w:trPr>
          <w:trHeight w:val="626"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59" w:lineRule="auto" w:before="77"/>
              <w:ind w:left="108" w:right="99"/>
              <w:jc w:val="left"/>
              <w:rPr>
                <w:rFonts w:ascii="宋体" w:hAnsi="宋体" w:cs="宋体" w:eastAsia="宋体" w:hint="default"/>
                <w:sz w:val="16"/>
                <w:szCs w:val="16"/>
              </w:rPr>
            </w:pPr>
            <w:r>
              <w:rPr>
                <w:rFonts w:ascii="宋体" w:hAnsi="宋体" w:cs="宋体" w:eastAsia="宋体" w:hint="default"/>
                <w:spacing w:val="-4"/>
                <w:sz w:val="16"/>
                <w:szCs w:val="16"/>
              </w:rPr>
              <w:t>（</w:t>
            </w:r>
            <w:r>
              <w:rPr>
                <w:rFonts w:ascii="Times New Roman" w:hAnsi="Times New Roman" w:cs="Times New Roman" w:eastAsia="Times New Roman" w:hint="default"/>
                <w:spacing w:val="-4"/>
                <w:sz w:val="16"/>
                <w:szCs w:val="16"/>
              </w:rPr>
              <w:t>5</w:t>
            </w:r>
            <w:r>
              <w:rPr>
                <w:rFonts w:ascii="宋体" w:hAnsi="宋体" w:cs="宋体" w:eastAsia="宋体" w:hint="default"/>
                <w:spacing w:val="-4"/>
                <w:sz w:val="16"/>
                <w:szCs w:val="16"/>
              </w:rPr>
              <w:t>）可供出售债务工具投资重分类</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为</w:t>
            </w:r>
            <w:r>
              <w:rPr>
                <w:rFonts w:ascii="Times New Roman" w:hAnsi="Times New Roman" w:cs="Times New Roman" w:eastAsia="Times New Roman" w:hint="default"/>
                <w:sz w:val="16"/>
                <w:szCs w:val="16"/>
              </w:rPr>
              <w:t>“</w:t>
            </w:r>
            <w:r>
              <w:rPr>
                <w:rFonts w:ascii="宋体" w:hAnsi="宋体" w:cs="宋体" w:eastAsia="宋体" w:hint="default"/>
                <w:sz w:val="16"/>
                <w:szCs w:val="16"/>
              </w:rPr>
              <w:t>以摊余成本计量的金融资产</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618" w:type="dxa"/>
            <w:vMerge/>
            <w:tcBorders>
              <w:left w:val="dotted" w:sz="4" w:space="0" w:color="000000"/>
              <w:right w:val="dotted" w:sz="4" w:space="0" w:color="000000"/>
            </w:tcBorders>
          </w:tcPr>
          <w:p>
            <w:pPr/>
          </w:p>
        </w:tc>
        <w:tc>
          <w:tcPr>
            <w:tcW w:w="3927"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对本公司财务报表无影响。</w:t>
            </w:r>
          </w:p>
        </w:tc>
      </w:tr>
      <w:tr>
        <w:trPr>
          <w:trHeight w:val="626"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59" w:lineRule="auto" w:before="74"/>
              <w:ind w:left="108" w:right="98"/>
              <w:jc w:val="lef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w:t>
            </w:r>
            <w:r>
              <w:rPr>
                <w:rFonts w:ascii="宋体" w:hAnsi="宋体" w:cs="宋体" w:eastAsia="宋体" w:hint="default"/>
                <w:sz w:val="16"/>
                <w:szCs w:val="16"/>
              </w:rPr>
              <w:t>）持有至到期投资重分类为</w:t>
            </w:r>
            <w:r>
              <w:rPr>
                <w:rFonts w:ascii="Times New Roman" w:hAnsi="Times New Roman" w:cs="Times New Roman" w:eastAsia="Times New Roman" w:hint="default"/>
                <w:sz w:val="16"/>
                <w:szCs w:val="16"/>
              </w:rPr>
              <w:t>“</w:t>
            </w:r>
            <w:r>
              <w:rPr>
                <w:rFonts w:ascii="宋体" w:hAnsi="宋体" w:cs="宋体" w:eastAsia="宋体" w:hint="default"/>
                <w:sz w:val="16"/>
                <w:szCs w:val="16"/>
              </w:rPr>
              <w:t>以</w:t>
            </w:r>
            <w:r>
              <w:rPr>
                <w:rFonts w:ascii="宋体" w:hAnsi="宋体" w:cs="宋体" w:eastAsia="宋体" w:hint="default"/>
                <w:spacing w:val="-43"/>
                <w:sz w:val="16"/>
                <w:szCs w:val="16"/>
              </w:rPr>
              <w:t> </w:t>
            </w:r>
            <w:r>
              <w:rPr>
                <w:rFonts w:ascii="宋体" w:hAnsi="宋体" w:cs="宋体" w:eastAsia="宋体" w:hint="default"/>
                <w:sz w:val="16"/>
                <w:szCs w:val="16"/>
              </w:rPr>
              <w:t>摊余成本计量的金融资产</w:t>
            </w:r>
            <w:r>
              <w:rPr>
                <w:rFonts w:ascii="Times New Roman" w:hAnsi="Times New Roman" w:cs="Times New Roman" w:eastAsia="Times New Roman" w:hint="default"/>
                <w:sz w:val="16"/>
                <w:szCs w:val="16"/>
              </w:rPr>
              <w:t>”</w:t>
            </w:r>
          </w:p>
        </w:tc>
        <w:tc>
          <w:tcPr>
            <w:tcW w:w="1618" w:type="dxa"/>
            <w:vMerge/>
            <w:tcBorders>
              <w:left w:val="dotted" w:sz="4" w:space="0" w:color="000000"/>
              <w:right w:val="dotted" w:sz="4" w:space="0" w:color="000000"/>
            </w:tcBorders>
          </w:tcPr>
          <w:p>
            <w:pPr/>
          </w:p>
        </w:tc>
        <w:tc>
          <w:tcPr>
            <w:tcW w:w="3927"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对本公司财务报表无影响。</w:t>
            </w:r>
          </w:p>
        </w:tc>
      </w:tr>
      <w:tr>
        <w:trPr>
          <w:trHeight w:val="1145"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64" w:lineRule="auto" w:before="96"/>
              <w:ind w:left="108" w:right="96"/>
              <w:jc w:val="both"/>
              <w:rPr>
                <w:rFonts w:ascii="Times New Roman" w:hAnsi="Times New Roman" w:cs="Times New Roman" w:eastAsia="Times New Roman" w:hint="default"/>
                <w:sz w:val="16"/>
                <w:szCs w:val="16"/>
              </w:rPr>
            </w:pPr>
            <w:r>
              <w:rPr>
                <w:rFonts w:ascii="宋体" w:hAnsi="宋体" w:cs="宋体" w:eastAsia="宋体" w:hint="default"/>
                <w:spacing w:val="6"/>
                <w:sz w:val="16"/>
                <w:szCs w:val="16"/>
              </w:rPr>
              <w:t>（</w:t>
            </w:r>
            <w:r>
              <w:rPr>
                <w:rFonts w:ascii="Times New Roman" w:hAnsi="Times New Roman" w:cs="Times New Roman" w:eastAsia="Times New Roman" w:hint="default"/>
                <w:spacing w:val="6"/>
                <w:sz w:val="16"/>
                <w:szCs w:val="16"/>
              </w:rPr>
              <w:t>7</w:t>
            </w:r>
            <w:r>
              <w:rPr>
                <w:rFonts w:ascii="宋体" w:hAnsi="宋体" w:cs="宋体" w:eastAsia="宋体" w:hint="default"/>
                <w:spacing w:val="6"/>
                <w:sz w:val="16"/>
                <w:szCs w:val="16"/>
              </w:rPr>
              <w:t>）将部分</w:t>
            </w:r>
            <w:r>
              <w:rPr>
                <w:rFonts w:ascii="Times New Roman" w:hAnsi="Times New Roman" w:cs="Times New Roman" w:eastAsia="Times New Roman" w:hint="default"/>
                <w:spacing w:val="6"/>
                <w:sz w:val="16"/>
                <w:szCs w:val="16"/>
              </w:rPr>
              <w:t>“</w:t>
            </w:r>
            <w:r>
              <w:rPr>
                <w:rFonts w:ascii="宋体" w:hAnsi="宋体" w:cs="宋体" w:eastAsia="宋体" w:hint="default"/>
                <w:spacing w:val="6"/>
                <w:sz w:val="16"/>
                <w:szCs w:val="16"/>
              </w:rPr>
              <w:t>应收款项</w:t>
            </w:r>
            <w:r>
              <w:rPr>
                <w:rFonts w:ascii="Times New Roman" w:hAnsi="Times New Roman" w:cs="Times New Roman" w:eastAsia="Times New Roman" w:hint="default"/>
                <w:spacing w:val="6"/>
                <w:sz w:val="16"/>
                <w:szCs w:val="16"/>
              </w:rPr>
              <w:t>”</w:t>
            </w:r>
            <w:r>
              <w:rPr>
                <w:rFonts w:ascii="宋体" w:hAnsi="宋体" w:cs="宋体" w:eastAsia="宋体" w:hint="default"/>
                <w:spacing w:val="6"/>
                <w:sz w:val="16"/>
                <w:szCs w:val="16"/>
              </w:rPr>
              <w:t>重分类至</w:t>
            </w:r>
            <w:r>
              <w:rPr>
                <w:rFonts w:ascii="宋体" w:hAnsi="宋体" w:cs="宋体" w:eastAsia="宋体" w:hint="default"/>
                <w:spacing w:val="-49"/>
                <w:sz w:val="16"/>
                <w:szCs w:val="16"/>
              </w:rPr>
              <w:t> </w:t>
            </w:r>
            <w:r>
              <w:rPr>
                <w:rFonts w:ascii="Times New Roman" w:hAnsi="Times New Roman" w:cs="Times New Roman" w:eastAsia="Times New Roman" w:hint="default"/>
                <w:spacing w:val="6"/>
                <w:sz w:val="16"/>
                <w:szCs w:val="16"/>
              </w:rPr>
              <w:t>“</w:t>
            </w:r>
            <w:r>
              <w:rPr>
                <w:rFonts w:ascii="宋体" w:hAnsi="宋体" w:cs="宋体" w:eastAsia="宋体" w:hint="default"/>
                <w:spacing w:val="6"/>
                <w:sz w:val="16"/>
                <w:szCs w:val="16"/>
              </w:rPr>
              <w:t>以公允价值计量且其变动计入其</w:t>
            </w:r>
            <w:r>
              <w:rPr>
                <w:rFonts w:ascii="宋体" w:hAnsi="宋体" w:cs="宋体" w:eastAsia="宋体" w:hint="default"/>
                <w:spacing w:val="-52"/>
                <w:sz w:val="16"/>
                <w:szCs w:val="16"/>
              </w:rPr>
              <w:t> </w:t>
            </w:r>
            <w:r>
              <w:rPr>
                <w:rFonts w:ascii="宋体" w:hAnsi="宋体" w:cs="宋体" w:eastAsia="宋体" w:hint="default"/>
                <w:spacing w:val="-52"/>
                <w:sz w:val="16"/>
                <w:szCs w:val="16"/>
              </w:rPr>
            </w:r>
            <w:r>
              <w:rPr>
                <w:rFonts w:ascii="宋体" w:hAnsi="宋体" w:cs="宋体" w:eastAsia="宋体" w:hint="default"/>
                <w:spacing w:val="11"/>
                <w:sz w:val="16"/>
                <w:szCs w:val="16"/>
              </w:rPr>
              <w:t>他综合收益的金融资产（债务工</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具）</w:t>
            </w:r>
            <w:r>
              <w:rPr>
                <w:rFonts w:ascii="Times New Roman" w:hAnsi="Times New Roman" w:cs="Times New Roman" w:eastAsia="Times New Roman" w:hint="default"/>
                <w:sz w:val="16"/>
                <w:szCs w:val="16"/>
              </w:rPr>
              <w:t>”</w:t>
            </w:r>
          </w:p>
        </w:tc>
        <w:tc>
          <w:tcPr>
            <w:tcW w:w="1618" w:type="dxa"/>
            <w:vMerge/>
            <w:tcBorders>
              <w:left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103" w:right="0"/>
              <w:jc w:val="left"/>
              <w:rPr>
                <w:rFonts w:ascii="宋体" w:hAnsi="宋体" w:cs="宋体" w:eastAsia="宋体" w:hint="default"/>
                <w:sz w:val="16"/>
                <w:szCs w:val="16"/>
              </w:rPr>
            </w:pPr>
            <w:r>
              <w:rPr>
                <w:rFonts w:ascii="宋体" w:hAnsi="宋体" w:cs="宋体" w:eastAsia="宋体" w:hint="default"/>
                <w:sz w:val="16"/>
                <w:szCs w:val="16"/>
              </w:rPr>
              <w:t>应 收 账 款 ： 减 </w:t>
            </w:r>
            <w:r>
              <w:rPr>
                <w:rFonts w:ascii="宋体" w:hAnsi="宋体" w:cs="宋体" w:eastAsia="宋体" w:hint="default"/>
                <w:spacing w:val="39"/>
                <w:sz w:val="16"/>
                <w:szCs w:val="16"/>
              </w:rPr>
              <w:t> </w:t>
            </w:r>
            <w:r>
              <w:rPr>
                <w:rFonts w:ascii="宋体" w:hAnsi="宋体" w:cs="宋体" w:eastAsia="宋体" w:hint="default"/>
                <w:sz w:val="16"/>
                <w:szCs w:val="16"/>
              </w:rPr>
              <w:t>少</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5,152,116.83</w:t>
            </w:r>
            <w:r>
              <w:rPr>
                <w:rFonts w:ascii="Times New Roman" w:hAnsi="Times New Roman" w:cs="Times New Roman" w:eastAsia="Times New Roman" w:hint="default"/>
                <w:spacing w:val="-11"/>
                <w:sz w:val="16"/>
                <w:szCs w:val="16"/>
              </w:rPr>
              <w:t> </w:t>
            </w:r>
            <w:r>
              <w:rPr>
                <w:rFonts w:ascii="宋体" w:hAnsi="宋体" w:cs="宋体" w:eastAsia="宋体" w:hint="default"/>
                <w:sz w:val="16"/>
                <w:szCs w:val="16"/>
              </w:rPr>
              <w:t>元；</w:t>
            </w:r>
          </w:p>
          <w:p>
            <w:pPr>
              <w:pStyle w:val="TableParagraph"/>
              <w:spacing w:line="240" w:lineRule="auto" w:before="59"/>
              <w:ind w:left="103" w:right="0"/>
              <w:jc w:val="left"/>
              <w:rPr>
                <w:rFonts w:ascii="宋体" w:hAnsi="宋体" w:cs="宋体" w:eastAsia="宋体" w:hint="default"/>
                <w:sz w:val="16"/>
                <w:szCs w:val="16"/>
              </w:rPr>
            </w:pPr>
            <w:r>
              <w:rPr>
                <w:rFonts w:ascii="宋体" w:hAnsi="宋体" w:cs="宋体" w:eastAsia="宋体" w:hint="default"/>
                <w:sz w:val="16"/>
                <w:szCs w:val="16"/>
              </w:rPr>
              <w:t>应</w:t>
            </w:r>
            <w:r>
              <w:rPr>
                <w:rFonts w:ascii="宋体" w:hAnsi="宋体" w:cs="宋体" w:eastAsia="宋体" w:hint="default"/>
                <w:spacing w:val="-45"/>
                <w:sz w:val="16"/>
                <w:szCs w:val="16"/>
              </w:rPr>
              <w:t> </w:t>
            </w:r>
            <w:r>
              <w:rPr>
                <w:rFonts w:ascii="宋体" w:hAnsi="宋体" w:cs="宋体" w:eastAsia="宋体" w:hint="default"/>
                <w:sz w:val="16"/>
                <w:szCs w:val="16"/>
              </w:rPr>
              <w:t>收</w:t>
            </w:r>
            <w:r>
              <w:rPr>
                <w:rFonts w:ascii="宋体" w:hAnsi="宋体" w:cs="宋体" w:eastAsia="宋体" w:hint="default"/>
                <w:spacing w:val="-47"/>
                <w:sz w:val="16"/>
                <w:szCs w:val="16"/>
              </w:rPr>
              <w:t> </w:t>
            </w:r>
            <w:r>
              <w:rPr>
                <w:rFonts w:ascii="宋体" w:hAnsi="宋体" w:cs="宋体" w:eastAsia="宋体" w:hint="default"/>
                <w:sz w:val="16"/>
                <w:szCs w:val="16"/>
              </w:rPr>
              <w:t>款</w:t>
            </w:r>
            <w:r>
              <w:rPr>
                <w:rFonts w:ascii="宋体" w:hAnsi="宋体" w:cs="宋体" w:eastAsia="宋体" w:hint="default"/>
                <w:spacing w:val="-47"/>
                <w:sz w:val="16"/>
                <w:szCs w:val="16"/>
              </w:rPr>
              <w:t> </w:t>
            </w:r>
            <w:r>
              <w:rPr>
                <w:rFonts w:ascii="宋体" w:hAnsi="宋体" w:cs="宋体" w:eastAsia="宋体" w:hint="default"/>
                <w:sz w:val="16"/>
                <w:szCs w:val="16"/>
              </w:rPr>
              <w:t>项</w:t>
            </w:r>
            <w:r>
              <w:rPr>
                <w:rFonts w:ascii="宋体" w:hAnsi="宋体" w:cs="宋体" w:eastAsia="宋体" w:hint="default"/>
                <w:spacing w:val="-47"/>
                <w:sz w:val="16"/>
                <w:szCs w:val="16"/>
              </w:rPr>
              <w:t> </w:t>
            </w:r>
            <w:r>
              <w:rPr>
                <w:rFonts w:ascii="宋体" w:hAnsi="宋体" w:cs="宋体" w:eastAsia="宋体" w:hint="default"/>
                <w:sz w:val="16"/>
                <w:szCs w:val="16"/>
              </w:rPr>
              <w:t>融</w:t>
            </w:r>
            <w:r>
              <w:rPr>
                <w:rFonts w:ascii="宋体" w:hAnsi="宋体" w:cs="宋体" w:eastAsia="宋体" w:hint="default"/>
                <w:spacing w:val="-45"/>
                <w:sz w:val="16"/>
                <w:szCs w:val="16"/>
              </w:rPr>
              <w:t> </w:t>
            </w:r>
            <w:r>
              <w:rPr>
                <w:rFonts w:ascii="宋体" w:hAnsi="宋体" w:cs="宋体" w:eastAsia="宋体" w:hint="default"/>
                <w:sz w:val="16"/>
                <w:szCs w:val="16"/>
              </w:rPr>
              <w:t>资</w:t>
            </w:r>
            <w:r>
              <w:rPr>
                <w:rFonts w:ascii="宋体" w:hAnsi="宋体" w:cs="宋体" w:eastAsia="宋体" w:hint="default"/>
                <w:spacing w:val="-47"/>
                <w:sz w:val="16"/>
                <w:szCs w:val="16"/>
              </w:rPr>
              <w:t> </w:t>
            </w:r>
            <w:r>
              <w:rPr>
                <w:rFonts w:ascii="宋体" w:hAnsi="宋体" w:cs="宋体" w:eastAsia="宋体" w:hint="default"/>
                <w:sz w:val="16"/>
                <w:szCs w:val="16"/>
              </w:rPr>
              <w:t>：</w:t>
            </w:r>
            <w:r>
              <w:rPr>
                <w:rFonts w:ascii="宋体" w:hAnsi="宋体" w:cs="宋体" w:eastAsia="宋体" w:hint="default"/>
                <w:spacing w:val="-47"/>
                <w:sz w:val="16"/>
                <w:szCs w:val="16"/>
              </w:rPr>
              <w:t> </w:t>
            </w:r>
            <w:r>
              <w:rPr>
                <w:rFonts w:ascii="宋体" w:hAnsi="宋体" w:cs="宋体" w:eastAsia="宋体" w:hint="default"/>
                <w:sz w:val="16"/>
                <w:szCs w:val="16"/>
              </w:rPr>
              <w:t>增</w:t>
            </w:r>
            <w:r>
              <w:rPr>
                <w:rFonts w:ascii="宋体" w:hAnsi="宋体" w:cs="宋体" w:eastAsia="宋体" w:hint="default"/>
                <w:spacing w:val="-45"/>
                <w:sz w:val="16"/>
                <w:szCs w:val="16"/>
              </w:rPr>
              <w:t> </w:t>
            </w:r>
            <w:r>
              <w:rPr>
                <w:rFonts w:ascii="宋体" w:hAnsi="宋体" w:cs="宋体" w:eastAsia="宋体" w:hint="default"/>
                <w:sz w:val="16"/>
                <w:szCs w:val="16"/>
              </w:rPr>
              <w:t>加</w:t>
            </w:r>
          </w:p>
          <w:p>
            <w:pPr>
              <w:pStyle w:val="TableParagraph"/>
              <w:spacing w:line="240" w:lineRule="auto" w:before="30"/>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5,152,116.83</w:t>
            </w:r>
            <w:r>
              <w:rPr>
                <w:rFonts w:ascii="Times New Roman" w:hAnsi="Times New Roman" w:cs="Times New Roman" w:eastAsia="Times New Roman" w:hint="default"/>
                <w:spacing w:val="-11"/>
                <w:sz w:val="16"/>
                <w:szCs w:val="16"/>
              </w:rPr>
              <w:t> </w:t>
            </w:r>
            <w:r>
              <w:rPr>
                <w:rFonts w:ascii="宋体" w:hAnsi="宋体" w:cs="宋体" w:eastAsia="宋体" w:hint="default"/>
                <w:sz w:val="16"/>
                <w:szCs w:val="16"/>
              </w:rPr>
              <w:t>元。</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76" w:lineRule="auto"/>
              <w:ind w:left="100" w:right="108"/>
              <w:jc w:val="left"/>
              <w:rPr>
                <w:rFonts w:ascii="宋体" w:hAnsi="宋体" w:cs="宋体" w:eastAsia="宋体" w:hint="default"/>
                <w:sz w:val="16"/>
                <w:szCs w:val="16"/>
              </w:rPr>
            </w:pPr>
            <w:r>
              <w:rPr>
                <w:rFonts w:ascii="宋体" w:hAnsi="宋体" w:cs="宋体" w:eastAsia="宋体" w:hint="default"/>
                <w:spacing w:val="14"/>
                <w:sz w:val="16"/>
                <w:szCs w:val="16"/>
              </w:rPr>
              <w:t>对母公司财务报表无影</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响。</w:t>
            </w:r>
          </w:p>
        </w:tc>
      </w:tr>
      <w:tr>
        <w:trPr>
          <w:trHeight w:val="1119" w:hRule="exact"/>
        </w:trPr>
        <w:tc>
          <w:tcPr>
            <w:tcW w:w="2645" w:type="dxa"/>
            <w:tcBorders>
              <w:top w:val="dotted" w:sz="4" w:space="0" w:color="000000"/>
              <w:left w:val="nil" w:sz="6" w:space="0" w:color="auto"/>
              <w:bottom w:val="single" w:sz="12" w:space="0" w:color="000000"/>
              <w:right w:val="dotted" w:sz="4" w:space="0" w:color="000000"/>
            </w:tcBorders>
          </w:tcPr>
          <w:p>
            <w:pPr>
              <w:pStyle w:val="TableParagraph"/>
              <w:spacing w:line="266" w:lineRule="auto" w:before="77"/>
              <w:ind w:left="108" w:right="98"/>
              <w:jc w:val="both"/>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w:t>
            </w:r>
            <w:r>
              <w:rPr>
                <w:rFonts w:ascii="宋体" w:hAnsi="宋体" w:cs="宋体" w:eastAsia="宋体" w:hint="default"/>
                <w:sz w:val="16"/>
                <w:szCs w:val="16"/>
              </w:rPr>
              <w:t>）对</w:t>
            </w:r>
            <w:r>
              <w:rPr>
                <w:rFonts w:ascii="Times New Roman" w:hAnsi="Times New Roman" w:cs="Times New Roman" w:eastAsia="Times New Roman" w:hint="default"/>
                <w:sz w:val="16"/>
                <w:szCs w:val="16"/>
              </w:rPr>
              <w:t>“</w:t>
            </w:r>
            <w:r>
              <w:rPr>
                <w:rFonts w:ascii="宋体" w:hAnsi="宋体" w:cs="宋体" w:eastAsia="宋体" w:hint="default"/>
                <w:sz w:val="16"/>
                <w:szCs w:val="16"/>
              </w:rPr>
              <w:t>以摊余成本计量的金融资</w:t>
            </w:r>
            <w:r>
              <w:rPr>
                <w:rFonts w:ascii="宋体" w:hAnsi="宋体" w:cs="宋体" w:eastAsia="宋体" w:hint="default"/>
                <w:spacing w:val="-45"/>
                <w:sz w:val="16"/>
                <w:szCs w:val="16"/>
              </w:rPr>
              <w:t> </w:t>
            </w:r>
            <w:r>
              <w:rPr>
                <w:rFonts w:ascii="宋体" w:hAnsi="宋体" w:cs="宋体" w:eastAsia="宋体" w:hint="default"/>
                <w:spacing w:val="-45"/>
                <w:sz w:val="16"/>
                <w:szCs w:val="16"/>
              </w:rPr>
            </w:r>
            <w:r>
              <w:rPr>
                <w:rFonts w:ascii="宋体" w:hAnsi="宋体" w:cs="宋体" w:eastAsia="宋体" w:hint="default"/>
                <w:sz w:val="16"/>
                <w:szCs w:val="16"/>
              </w:rPr>
              <w:t>产</w:t>
            </w:r>
            <w:r>
              <w:rPr>
                <w:rFonts w:ascii="Times New Roman" w:hAnsi="Times New Roman" w:cs="Times New Roman" w:eastAsia="Times New Roman" w:hint="default"/>
                <w:sz w:val="16"/>
                <w:szCs w:val="16"/>
              </w:rPr>
              <w:t>”</w:t>
            </w:r>
            <w:r>
              <w:rPr>
                <w:rFonts w:ascii="宋体" w:hAnsi="宋体" w:cs="宋体" w:eastAsia="宋体" w:hint="default"/>
                <w:sz w:val="16"/>
                <w:szCs w:val="16"/>
              </w:rPr>
              <w:t>和</w:t>
            </w:r>
            <w:r>
              <w:rPr>
                <w:rFonts w:ascii="Times New Roman" w:hAnsi="Times New Roman" w:cs="Times New Roman" w:eastAsia="Times New Roman" w:hint="default"/>
                <w:sz w:val="16"/>
                <w:szCs w:val="16"/>
              </w:rPr>
              <w:t>“</w:t>
            </w:r>
            <w:r>
              <w:rPr>
                <w:rFonts w:ascii="宋体" w:hAnsi="宋体" w:cs="宋体" w:eastAsia="宋体" w:hint="default"/>
                <w:sz w:val="16"/>
                <w:szCs w:val="16"/>
              </w:rPr>
              <w:t>以公允价值计量且其变动计</w:t>
            </w:r>
            <w:r>
              <w:rPr>
                <w:rFonts w:ascii="宋体" w:hAnsi="宋体" w:cs="宋体" w:eastAsia="宋体" w:hint="default"/>
                <w:spacing w:val="-36"/>
                <w:sz w:val="16"/>
                <w:szCs w:val="16"/>
              </w:rPr>
              <w:t> </w:t>
            </w:r>
            <w:r>
              <w:rPr>
                <w:rFonts w:ascii="宋体" w:hAnsi="宋体" w:cs="宋体" w:eastAsia="宋体" w:hint="default"/>
                <w:spacing w:val="-36"/>
                <w:sz w:val="16"/>
                <w:szCs w:val="16"/>
              </w:rPr>
            </w:r>
            <w:r>
              <w:rPr>
                <w:rFonts w:ascii="宋体" w:hAnsi="宋体" w:cs="宋体" w:eastAsia="宋体" w:hint="default"/>
                <w:sz w:val="16"/>
                <w:szCs w:val="16"/>
              </w:rPr>
              <w:t>入其他综合收益的金融资产（债务</w:t>
            </w:r>
            <w:r>
              <w:rPr>
                <w:rFonts w:ascii="宋体" w:hAnsi="宋体" w:cs="宋体" w:eastAsia="宋体" w:hint="default"/>
                <w:spacing w:val="-53"/>
                <w:sz w:val="16"/>
                <w:szCs w:val="16"/>
              </w:rPr>
              <w:t> </w:t>
            </w:r>
            <w:r>
              <w:rPr>
                <w:rFonts w:ascii="宋体" w:hAnsi="宋体" w:cs="宋体" w:eastAsia="宋体" w:hint="default"/>
                <w:spacing w:val="-53"/>
                <w:sz w:val="16"/>
                <w:szCs w:val="16"/>
              </w:rPr>
            </w:r>
            <w:r>
              <w:rPr>
                <w:rFonts w:ascii="宋体" w:hAnsi="宋体" w:cs="宋体" w:eastAsia="宋体" w:hint="default"/>
                <w:sz w:val="16"/>
                <w:szCs w:val="16"/>
              </w:rPr>
              <w:t>工具）</w:t>
            </w:r>
            <w:r>
              <w:rPr>
                <w:rFonts w:ascii="Times New Roman" w:hAnsi="Times New Roman" w:cs="Times New Roman" w:eastAsia="Times New Roman" w:hint="default"/>
                <w:sz w:val="16"/>
                <w:szCs w:val="16"/>
              </w:rPr>
              <w:t>”</w:t>
            </w:r>
            <w:r>
              <w:rPr>
                <w:rFonts w:ascii="宋体" w:hAnsi="宋体" w:cs="宋体" w:eastAsia="宋体" w:hint="default"/>
                <w:sz w:val="16"/>
                <w:szCs w:val="16"/>
              </w:rPr>
              <w:t>计提预期信用损失准备。</w:t>
            </w:r>
          </w:p>
        </w:tc>
        <w:tc>
          <w:tcPr>
            <w:tcW w:w="1618" w:type="dxa"/>
            <w:vMerge/>
            <w:tcBorders>
              <w:left w:val="dotted" w:sz="4" w:space="0" w:color="000000"/>
              <w:bottom w:val="single" w:sz="12" w:space="0" w:color="000000"/>
              <w:right w:val="dotted" w:sz="4" w:space="0" w:color="000000"/>
            </w:tcBorders>
          </w:tcPr>
          <w:p>
            <w:pPr/>
          </w:p>
        </w:tc>
        <w:tc>
          <w:tcPr>
            <w:tcW w:w="3927" w:type="dxa"/>
            <w:gridSpan w:val="2"/>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对本公司财务报表无影响。</w:t>
            </w:r>
          </w:p>
        </w:tc>
      </w:tr>
    </w:tbl>
    <w:p>
      <w:pPr>
        <w:spacing w:after="0" w:line="240" w:lineRule="auto"/>
        <w:jc w:val="left"/>
        <w:rPr>
          <w:rFonts w:ascii="宋体" w:hAnsi="宋体" w:cs="宋体" w:eastAsia="宋体" w:hint="default"/>
          <w:sz w:val="16"/>
          <w:szCs w:val="16"/>
        </w:rPr>
        <w:sectPr>
          <w:pgSz w:w="11910" w:h="16840"/>
          <w:pgMar w:header="753" w:footer="997" w:top="1440" w:bottom="1180" w:left="1660" w:right="0"/>
        </w:sectPr>
      </w:pPr>
    </w:p>
    <w:p>
      <w:pPr>
        <w:spacing w:line="240" w:lineRule="auto" w:before="5"/>
        <w:rPr>
          <w:rFonts w:ascii="Times New Roman" w:hAnsi="Times New Roman" w:cs="Times New Roman" w:eastAsia="Times New Roman" w:hint="default"/>
          <w:sz w:val="21"/>
          <w:szCs w:val="21"/>
        </w:rPr>
      </w:pPr>
    </w:p>
    <w:p>
      <w:pPr>
        <w:pStyle w:val="BodyText"/>
        <w:spacing w:line="247" w:lineRule="auto"/>
        <w:ind w:left="1417" w:right="0"/>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 </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t>号的规定调整后的上年年末余额为基础，各项金融资产和金融负债按照修订前后金融工具确认</w:t>
      </w:r>
      <w:r>
        <w:rPr>
          <w:w w:val="100"/>
        </w:rPr>
        <w:t> </w:t>
      </w:r>
      <w:r>
        <w:rPr/>
        <w:t>计量准则的规定进行分类和计量结果对比如下：</w:t>
      </w:r>
    </w:p>
    <w:p>
      <w:pPr>
        <w:pStyle w:val="Heading5"/>
        <w:spacing w:line="240" w:lineRule="auto" w:before="19"/>
        <w:ind w:left="1220" w:right="0"/>
        <w:jc w:val="left"/>
        <w:rPr>
          <w:b w:val="0"/>
          <w:bCs w:val="0"/>
        </w:rPr>
      </w:pPr>
      <w:r>
        <w:rPr/>
        <w:t>合并</w:t>
      </w:r>
      <w:r>
        <w:rPr>
          <w:b w:val="0"/>
          <w:bCs w:val="0"/>
        </w:rPr>
      </w:r>
    </w:p>
    <w:p>
      <w:pPr>
        <w:spacing w:line="240" w:lineRule="auto" w:before="4"/>
        <w:rPr>
          <w:rFonts w:ascii="宋体" w:hAnsi="宋体" w:cs="宋体" w:eastAsia="宋体" w:hint="default"/>
          <w:b/>
          <w:bCs/>
          <w:sz w:val="2"/>
          <w:szCs w:val="2"/>
        </w:rPr>
      </w:pPr>
    </w:p>
    <w:tbl>
      <w:tblPr>
        <w:tblW w:w="0" w:type="auto"/>
        <w:jc w:val="left"/>
        <w:tblInd w:w="723" w:type="dxa"/>
        <w:tblLayout w:type="fixed"/>
        <w:tblCellMar>
          <w:top w:w="0" w:type="dxa"/>
          <w:left w:w="0" w:type="dxa"/>
          <w:bottom w:w="0" w:type="dxa"/>
          <w:right w:w="0" w:type="dxa"/>
        </w:tblCellMar>
        <w:tblLook w:val="01E0"/>
      </w:tblPr>
      <w:tblGrid>
        <w:gridCol w:w="2126"/>
        <w:gridCol w:w="2945"/>
        <w:gridCol w:w="1500"/>
        <w:gridCol w:w="1863"/>
        <w:gridCol w:w="3442"/>
        <w:gridCol w:w="1747"/>
      </w:tblGrid>
      <w:tr>
        <w:trPr>
          <w:trHeight w:val="283" w:hRule="exact"/>
        </w:trPr>
        <w:tc>
          <w:tcPr>
            <w:tcW w:w="6572" w:type="dxa"/>
            <w:gridSpan w:val="3"/>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原金融工具准则</w:t>
            </w:r>
          </w:p>
        </w:tc>
        <w:tc>
          <w:tcPr>
            <w:tcW w:w="705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64" w:right="0"/>
              <w:jc w:val="center"/>
              <w:rPr>
                <w:rFonts w:ascii="宋体" w:hAnsi="宋体" w:cs="宋体" w:eastAsia="宋体" w:hint="default"/>
                <w:sz w:val="16"/>
                <w:szCs w:val="16"/>
              </w:rPr>
            </w:pPr>
            <w:r>
              <w:rPr>
                <w:rFonts w:ascii="宋体" w:hAnsi="宋体" w:cs="宋体" w:eastAsia="宋体" w:hint="default"/>
                <w:sz w:val="16"/>
                <w:szCs w:val="16"/>
              </w:rPr>
              <w:t>新金融工具准则</w:t>
            </w:r>
          </w:p>
        </w:tc>
      </w:tr>
      <w:tr>
        <w:trPr>
          <w:trHeight w:val="274"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列报项目</w:t>
            </w:r>
          </w:p>
        </w:tc>
        <w:tc>
          <w:tcPr>
            <w:tcW w:w="29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 w:right="0"/>
              <w:jc w:val="center"/>
              <w:rPr>
                <w:rFonts w:ascii="宋体" w:hAnsi="宋体" w:cs="宋体" w:eastAsia="宋体" w:hint="default"/>
                <w:sz w:val="16"/>
                <w:szCs w:val="16"/>
              </w:rPr>
            </w:pPr>
            <w:r>
              <w:rPr>
                <w:rFonts w:ascii="宋体" w:hAnsi="宋体" w:cs="宋体" w:eastAsia="宋体" w:hint="default"/>
                <w:sz w:val="16"/>
                <w:szCs w:val="16"/>
              </w:rPr>
              <w:t>计量类别</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424"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607" w:right="0"/>
              <w:jc w:val="left"/>
              <w:rPr>
                <w:rFonts w:ascii="宋体" w:hAnsi="宋体" w:cs="宋体" w:eastAsia="宋体" w:hint="default"/>
                <w:sz w:val="16"/>
                <w:szCs w:val="16"/>
              </w:rPr>
            </w:pPr>
            <w:r>
              <w:rPr>
                <w:rFonts w:ascii="宋体" w:hAnsi="宋体" w:cs="宋体" w:eastAsia="宋体" w:hint="default"/>
                <w:sz w:val="16"/>
                <w:szCs w:val="16"/>
              </w:rPr>
              <w:t>列报项目</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计量类别</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547"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74"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29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3,395,465,223.99</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84"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3,395,465,223.99</w:t>
            </w:r>
          </w:p>
        </w:tc>
      </w:tr>
      <w:tr>
        <w:trPr>
          <w:trHeight w:val="481"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23"/>
              <w:ind w:left="122" w:right="99"/>
              <w:jc w:val="left"/>
              <w:rPr>
                <w:rFonts w:ascii="宋体" w:hAnsi="宋体" w:cs="宋体" w:eastAsia="宋体" w:hint="default"/>
                <w:sz w:val="16"/>
                <w:szCs w:val="16"/>
              </w:rPr>
            </w:pPr>
            <w:r>
              <w:rPr>
                <w:rFonts w:ascii="宋体" w:hAnsi="宋体" w:cs="宋体" w:eastAsia="宋体" w:hint="default"/>
                <w:spacing w:val="10"/>
                <w:sz w:val="16"/>
                <w:szCs w:val="16"/>
              </w:rPr>
              <w:t>以公允价值计量且其变动</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z w:val="16"/>
                <w:szCs w:val="16"/>
              </w:rPr>
              <w:t>计入当期损益的金融资产</w:t>
            </w:r>
          </w:p>
        </w:tc>
        <w:tc>
          <w:tcPr>
            <w:tcW w:w="29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500" w:type="dxa"/>
            <w:tcBorders>
              <w:top w:val="dotted" w:sz="4" w:space="0" w:color="000000"/>
              <w:left w:val="dotted" w:sz="4" w:space="0" w:color="000000"/>
              <w:bottom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7" w:type="dxa"/>
            <w:tcBorders>
              <w:top w:val="dotted" w:sz="4" w:space="0" w:color="000000"/>
              <w:left w:val="dotted" w:sz="4" w:space="0" w:color="000000"/>
              <w:bottom w:val="dotted" w:sz="4" w:space="0" w:color="000000"/>
              <w:right w:val="nil" w:sz="6" w:space="0" w:color="auto"/>
            </w:tcBorders>
          </w:tcPr>
          <w:p>
            <w:pPr/>
          </w:p>
        </w:tc>
      </w:tr>
      <w:tr>
        <w:trPr>
          <w:trHeight w:val="482"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09" w:lineRule="exact" w:before="2"/>
              <w:ind w:left="122" w:right="0"/>
              <w:jc w:val="left"/>
              <w:rPr>
                <w:rFonts w:ascii="宋体" w:hAnsi="宋体" w:cs="宋体" w:eastAsia="宋体" w:hint="default"/>
                <w:sz w:val="16"/>
                <w:szCs w:val="16"/>
              </w:rPr>
            </w:pPr>
            <w:r>
              <w:rPr>
                <w:rFonts w:ascii="宋体" w:hAnsi="宋体" w:cs="宋体" w:eastAsia="宋体" w:hint="default"/>
                <w:sz w:val="16"/>
                <w:szCs w:val="16"/>
              </w:rPr>
              <w:t>衍生金融资产</w:t>
            </w:r>
          </w:p>
          <w:p>
            <w:pPr>
              <w:pStyle w:val="TableParagraph"/>
              <w:spacing w:line="221" w:lineRule="exact"/>
              <w:ind w:left="12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含其他非流动资产</w:t>
            </w:r>
            <w:r>
              <w:rPr>
                <w:rFonts w:ascii="Times New Roman" w:hAnsi="Times New Roman" w:cs="Times New Roman" w:eastAsia="Times New Roman" w:hint="default"/>
                <w:sz w:val="16"/>
                <w:szCs w:val="16"/>
              </w:rPr>
              <w:t>)</w:t>
            </w:r>
          </w:p>
        </w:tc>
        <w:tc>
          <w:tcPr>
            <w:tcW w:w="29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17,524,000.00</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17,524,000.00</w:t>
            </w:r>
          </w:p>
        </w:tc>
      </w:tr>
      <w:tr>
        <w:trPr>
          <w:trHeight w:val="274" w:hRule="exact"/>
        </w:trPr>
        <w:tc>
          <w:tcPr>
            <w:tcW w:w="2126" w:type="dxa"/>
            <w:vMerge w:val="restart"/>
            <w:tcBorders>
              <w:top w:val="dotted" w:sz="4" w:space="0" w:color="000000"/>
              <w:left w:val="nil" w:sz="6" w:space="0" w:color="auto"/>
              <w:right w:val="dotted" w:sz="4" w:space="0" w:color="000000"/>
            </w:tcBorders>
          </w:tcPr>
          <w:p>
            <w:pPr>
              <w:pStyle w:val="TableParagraph"/>
              <w:spacing w:line="240" w:lineRule="auto" w:before="139"/>
              <w:ind w:left="122"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2945" w:type="dxa"/>
            <w:vMerge w:val="restart"/>
            <w:tcBorders>
              <w:top w:val="dotted" w:sz="4" w:space="0" w:color="000000"/>
              <w:left w:val="dotted" w:sz="4" w:space="0" w:color="000000"/>
              <w:right w:val="dotted" w:sz="4" w:space="0" w:color="000000"/>
            </w:tcBorders>
          </w:tcPr>
          <w:p>
            <w:pPr>
              <w:pStyle w:val="TableParagraph"/>
              <w:spacing w:line="240" w:lineRule="auto" w:before="139"/>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500" w:type="dxa"/>
            <w:vMerge w:val="restart"/>
            <w:tcBorders>
              <w:top w:val="dotted" w:sz="4" w:space="0" w:color="000000"/>
              <w:left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86" w:right="0"/>
              <w:jc w:val="left"/>
              <w:rPr>
                <w:rFonts w:ascii="Times New Roman" w:hAnsi="Times New Roman" w:cs="Times New Roman" w:eastAsia="Times New Roman" w:hint="default"/>
                <w:sz w:val="16"/>
                <w:szCs w:val="16"/>
              </w:rPr>
            </w:pPr>
            <w:r>
              <w:rPr>
                <w:rFonts w:ascii="Times New Roman"/>
                <w:sz w:val="16"/>
              </w:rPr>
              <w:t>754,922,504.48</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754,922,504.48</w:t>
            </w:r>
          </w:p>
        </w:tc>
      </w:tr>
      <w:tr>
        <w:trPr>
          <w:trHeight w:val="274" w:hRule="exact"/>
        </w:trPr>
        <w:tc>
          <w:tcPr>
            <w:tcW w:w="2126" w:type="dxa"/>
            <w:vMerge/>
            <w:tcBorders>
              <w:left w:val="nil" w:sz="6" w:space="0" w:color="auto"/>
              <w:bottom w:val="dotted" w:sz="4" w:space="0" w:color="000000"/>
              <w:right w:val="dotted" w:sz="4" w:space="0" w:color="000000"/>
            </w:tcBorders>
          </w:tcPr>
          <w:p>
            <w:pPr/>
          </w:p>
        </w:tc>
        <w:tc>
          <w:tcPr>
            <w:tcW w:w="2945" w:type="dxa"/>
            <w:vMerge/>
            <w:tcBorders>
              <w:left w:val="dotted" w:sz="4" w:space="0" w:color="000000"/>
              <w:bottom w:val="dotted" w:sz="4" w:space="0" w:color="000000"/>
              <w:right w:val="dotted" w:sz="4" w:space="0" w:color="000000"/>
            </w:tcBorders>
          </w:tcPr>
          <w:p>
            <w:pPr/>
          </w:p>
        </w:tc>
        <w:tc>
          <w:tcPr>
            <w:tcW w:w="1500" w:type="dxa"/>
            <w:vMerge/>
            <w:tcBorders>
              <w:left w:val="dotted" w:sz="4" w:space="0" w:color="000000"/>
              <w:bottom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应收款项融资</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以公允价值计量且其变动计入其他综合收益</w:t>
            </w:r>
          </w:p>
        </w:tc>
        <w:tc>
          <w:tcPr>
            <w:tcW w:w="174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vMerge w:val="restart"/>
            <w:tcBorders>
              <w:top w:val="dotted" w:sz="4" w:space="0" w:color="000000"/>
              <w:left w:val="nil" w:sz="6" w:space="0" w:color="auto"/>
              <w:right w:val="dotted" w:sz="4" w:space="0" w:color="000000"/>
            </w:tcBorders>
          </w:tcPr>
          <w:p>
            <w:pPr>
              <w:pStyle w:val="TableParagraph"/>
              <w:spacing w:line="240" w:lineRule="auto" w:before="139"/>
              <w:ind w:left="12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945" w:type="dxa"/>
            <w:vMerge w:val="restart"/>
            <w:tcBorders>
              <w:top w:val="dotted" w:sz="4" w:space="0" w:color="000000"/>
              <w:left w:val="dotted" w:sz="4" w:space="0" w:color="000000"/>
              <w:right w:val="dotted" w:sz="4" w:space="0" w:color="000000"/>
            </w:tcBorders>
          </w:tcPr>
          <w:p>
            <w:pPr>
              <w:pStyle w:val="TableParagraph"/>
              <w:spacing w:line="240" w:lineRule="auto" w:before="139"/>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500" w:type="dxa"/>
            <w:vMerge w:val="restart"/>
            <w:tcBorders>
              <w:top w:val="dotted" w:sz="4" w:space="0" w:color="000000"/>
              <w:left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66" w:right="0"/>
              <w:jc w:val="left"/>
              <w:rPr>
                <w:rFonts w:ascii="Times New Roman" w:hAnsi="Times New Roman" w:cs="Times New Roman" w:eastAsia="Times New Roman" w:hint="default"/>
                <w:sz w:val="16"/>
                <w:szCs w:val="16"/>
              </w:rPr>
            </w:pPr>
            <w:r>
              <w:rPr>
                <w:rFonts w:ascii="Times New Roman"/>
                <w:sz w:val="16"/>
              </w:rPr>
              <w:t>2,967,217,578.89</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2,962,065,462.06</w:t>
            </w:r>
          </w:p>
        </w:tc>
      </w:tr>
      <w:tr>
        <w:trPr>
          <w:trHeight w:val="274" w:hRule="exact"/>
        </w:trPr>
        <w:tc>
          <w:tcPr>
            <w:tcW w:w="2126" w:type="dxa"/>
            <w:vMerge/>
            <w:tcBorders>
              <w:left w:val="nil" w:sz="6" w:space="0" w:color="auto"/>
              <w:bottom w:val="dotted" w:sz="4" w:space="0" w:color="000000"/>
              <w:right w:val="dotted" w:sz="4" w:space="0" w:color="000000"/>
            </w:tcBorders>
          </w:tcPr>
          <w:p>
            <w:pPr/>
          </w:p>
        </w:tc>
        <w:tc>
          <w:tcPr>
            <w:tcW w:w="2945" w:type="dxa"/>
            <w:vMerge/>
            <w:tcBorders>
              <w:left w:val="dotted" w:sz="4" w:space="0" w:color="000000"/>
              <w:bottom w:val="dotted" w:sz="4" w:space="0" w:color="000000"/>
              <w:right w:val="dotted" w:sz="4" w:space="0" w:color="000000"/>
            </w:tcBorders>
          </w:tcPr>
          <w:p>
            <w:pPr/>
          </w:p>
        </w:tc>
        <w:tc>
          <w:tcPr>
            <w:tcW w:w="1500" w:type="dxa"/>
            <w:vMerge/>
            <w:tcBorders>
              <w:left w:val="dotted" w:sz="4" w:space="0" w:color="000000"/>
              <w:bottom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应收款项融资</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以公允价值计量且其变动计入其他综合收益</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5,152,116.83</w:t>
            </w:r>
          </w:p>
        </w:tc>
      </w:tr>
      <w:tr>
        <w:trPr>
          <w:trHeight w:val="274"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29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64,216,862.12</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64,216,862.12</w:t>
            </w:r>
          </w:p>
        </w:tc>
      </w:tr>
      <w:tr>
        <w:trPr>
          <w:trHeight w:val="480"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09" w:lineRule="exact"/>
              <w:ind w:left="122" w:right="0"/>
              <w:jc w:val="left"/>
              <w:rPr>
                <w:rFonts w:ascii="宋体" w:hAnsi="宋体" w:cs="宋体" w:eastAsia="宋体" w:hint="default"/>
                <w:sz w:val="16"/>
                <w:szCs w:val="16"/>
              </w:rPr>
            </w:pPr>
            <w:r>
              <w:rPr>
                <w:rFonts w:ascii="宋体" w:hAnsi="宋体" w:cs="宋体" w:eastAsia="宋体" w:hint="default"/>
                <w:sz w:val="16"/>
                <w:szCs w:val="16"/>
              </w:rPr>
              <w:t>持有至到期投资</w:t>
            </w:r>
          </w:p>
          <w:p>
            <w:pPr>
              <w:pStyle w:val="TableParagraph"/>
              <w:spacing w:line="221" w:lineRule="exact"/>
              <w:ind w:left="12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含其他流动资产</w:t>
            </w:r>
            <w:r>
              <w:rPr>
                <w:rFonts w:ascii="Times New Roman" w:hAnsi="Times New Roman" w:cs="Times New Roman" w:eastAsia="Times New Roman" w:hint="default"/>
                <w:sz w:val="16"/>
                <w:szCs w:val="16"/>
              </w:rPr>
              <w:t>)</w:t>
            </w:r>
          </w:p>
        </w:tc>
        <w:tc>
          <w:tcPr>
            <w:tcW w:w="29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500" w:type="dxa"/>
            <w:tcBorders>
              <w:top w:val="dotted" w:sz="4" w:space="0" w:color="000000"/>
              <w:left w:val="dotted" w:sz="4" w:space="0" w:color="000000"/>
              <w:bottom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债权投资</w:t>
            </w:r>
          </w:p>
          <w:p>
            <w:pPr>
              <w:pStyle w:val="TableParagraph"/>
              <w:spacing w:line="221" w:lineRule="exact"/>
              <w:ind w:left="10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含其他流动资产</w:t>
            </w:r>
            <w:r>
              <w:rPr>
                <w:rFonts w:ascii="Times New Roman" w:hAnsi="Times New Roman" w:cs="Times New Roman" w:eastAsia="Times New Roman" w:hint="default"/>
                <w:sz w:val="16"/>
                <w:szCs w:val="16"/>
              </w:rPr>
              <w:t>)</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7"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2126"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p>
            <w:pPr>
              <w:pStyle w:val="TableParagraph"/>
              <w:spacing w:line="220" w:lineRule="exact"/>
              <w:ind w:left="12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含其他流动资产</w:t>
            </w:r>
            <w:r>
              <w:rPr>
                <w:rFonts w:ascii="Times New Roman" w:hAnsi="Times New Roman" w:cs="Times New Roman" w:eastAsia="Times New Roman" w:hint="default"/>
                <w:sz w:val="16"/>
                <w:szCs w:val="16"/>
              </w:rPr>
              <w:t>)</w:t>
            </w:r>
          </w:p>
        </w:tc>
        <w:tc>
          <w:tcPr>
            <w:tcW w:w="2945" w:type="dxa"/>
            <w:vMerge w:val="restart"/>
            <w:tcBorders>
              <w:top w:val="dotted" w:sz="4" w:space="0" w:color="000000"/>
              <w:left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06" w:lineRule="exact"/>
              <w:ind w:left="103" w:right="99"/>
              <w:jc w:val="left"/>
              <w:rPr>
                <w:rFonts w:ascii="Times New Roman" w:hAnsi="Times New Roman" w:cs="Times New Roman" w:eastAsia="Times New Roman" w:hint="default"/>
                <w:sz w:val="16"/>
                <w:szCs w:val="16"/>
              </w:rPr>
            </w:pPr>
            <w:r>
              <w:rPr>
                <w:rFonts w:ascii="宋体" w:hAnsi="宋体" w:cs="宋体" w:eastAsia="宋体" w:hint="default"/>
                <w:sz w:val="16"/>
                <w:szCs w:val="16"/>
              </w:rPr>
              <w:t>以公允价值计量且其变动计入其他综合</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收益</w:t>
            </w:r>
            <w:r>
              <w:rPr>
                <w:rFonts w:ascii="Times New Roman" w:hAnsi="Times New Roman" w:cs="Times New Roman" w:eastAsia="Times New Roman" w:hint="default"/>
                <w:sz w:val="16"/>
                <w:szCs w:val="16"/>
              </w:rPr>
              <w:t>(</w:t>
            </w:r>
            <w:r>
              <w:rPr>
                <w:rFonts w:ascii="宋体" w:hAnsi="宋体" w:cs="宋体" w:eastAsia="宋体" w:hint="default"/>
                <w:sz w:val="16"/>
                <w:szCs w:val="16"/>
              </w:rPr>
              <w:t>债务工具</w:t>
            </w:r>
            <w:r>
              <w:rPr>
                <w:rFonts w:ascii="Times New Roman" w:hAnsi="Times New Roman" w:cs="Times New Roman" w:eastAsia="Times New Roman" w:hint="default"/>
                <w:sz w:val="16"/>
                <w:szCs w:val="16"/>
              </w:rPr>
              <w:t>)</w:t>
            </w:r>
          </w:p>
        </w:tc>
        <w:tc>
          <w:tcPr>
            <w:tcW w:w="150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67" w:right="0"/>
              <w:jc w:val="left"/>
              <w:rPr>
                <w:rFonts w:ascii="Times New Roman" w:hAnsi="Times New Roman" w:cs="Times New Roman" w:eastAsia="Times New Roman" w:hint="default"/>
                <w:sz w:val="16"/>
                <w:szCs w:val="16"/>
              </w:rPr>
            </w:pPr>
            <w:r>
              <w:rPr>
                <w:rFonts w:ascii="Times New Roman"/>
                <w:sz w:val="16"/>
              </w:rPr>
              <w:t>28,081,425.01</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08" w:lineRule="exact" w:before="3"/>
              <w:ind w:left="103" w:right="0"/>
              <w:jc w:val="left"/>
              <w:rPr>
                <w:rFonts w:ascii="宋体" w:hAnsi="宋体" w:cs="宋体" w:eastAsia="宋体" w:hint="default"/>
                <w:sz w:val="16"/>
                <w:szCs w:val="16"/>
              </w:rPr>
            </w:pPr>
            <w:r>
              <w:rPr>
                <w:rFonts w:ascii="宋体" w:hAnsi="宋体" w:cs="宋体" w:eastAsia="宋体" w:hint="default"/>
                <w:sz w:val="16"/>
                <w:szCs w:val="16"/>
              </w:rPr>
              <w:t>债权投资</w:t>
            </w:r>
          </w:p>
          <w:p>
            <w:pPr>
              <w:pStyle w:val="TableParagraph"/>
              <w:spacing w:line="220" w:lineRule="exact"/>
              <w:ind w:left="10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含其他流动资产</w:t>
            </w:r>
            <w:r>
              <w:rPr>
                <w:rFonts w:ascii="Times New Roman" w:hAnsi="Times New Roman" w:cs="Times New Roman" w:eastAsia="Times New Roman" w:hint="default"/>
                <w:sz w:val="16"/>
                <w:szCs w:val="16"/>
              </w:rPr>
              <w:t>)</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7" w:type="dxa"/>
            <w:tcBorders>
              <w:top w:val="dotted" w:sz="4" w:space="0" w:color="000000"/>
              <w:left w:val="dotted" w:sz="4" w:space="0" w:color="000000"/>
              <w:bottom w:val="dotted" w:sz="4" w:space="0" w:color="000000"/>
              <w:right w:val="nil" w:sz="6" w:space="0" w:color="auto"/>
            </w:tcBorders>
          </w:tcPr>
          <w:p>
            <w:pPr/>
          </w:p>
        </w:tc>
      </w:tr>
      <w:tr>
        <w:trPr>
          <w:trHeight w:val="482" w:hRule="exact"/>
        </w:trPr>
        <w:tc>
          <w:tcPr>
            <w:tcW w:w="2126" w:type="dxa"/>
            <w:vMerge/>
            <w:tcBorders>
              <w:left w:val="nil" w:sz="6" w:space="0" w:color="auto"/>
              <w:right w:val="dotted" w:sz="4" w:space="0" w:color="000000"/>
            </w:tcBorders>
          </w:tcPr>
          <w:p>
            <w:pPr/>
          </w:p>
        </w:tc>
        <w:tc>
          <w:tcPr>
            <w:tcW w:w="2945" w:type="dxa"/>
            <w:vMerge/>
            <w:tcBorders>
              <w:left w:val="dotted" w:sz="4" w:space="0" w:color="000000"/>
              <w:bottom w:val="dotted" w:sz="4" w:space="0" w:color="000000"/>
              <w:right w:val="dotted" w:sz="4" w:space="0" w:color="000000"/>
            </w:tcBorders>
          </w:tcPr>
          <w:p>
            <w:pPr/>
          </w:p>
        </w:tc>
        <w:tc>
          <w:tcPr>
            <w:tcW w:w="1500" w:type="dxa"/>
            <w:vMerge/>
            <w:tcBorders>
              <w:left w:val="dotted" w:sz="4" w:space="0" w:color="000000"/>
              <w:bottom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09" w:lineRule="exact" w:before="2"/>
              <w:ind w:left="103" w:right="0"/>
              <w:jc w:val="left"/>
              <w:rPr>
                <w:rFonts w:ascii="宋体" w:hAnsi="宋体" w:cs="宋体" w:eastAsia="宋体" w:hint="default"/>
                <w:sz w:val="16"/>
                <w:szCs w:val="16"/>
              </w:rPr>
            </w:pPr>
            <w:r>
              <w:rPr>
                <w:rFonts w:ascii="宋体" w:hAnsi="宋体" w:cs="宋体" w:eastAsia="宋体" w:hint="default"/>
                <w:sz w:val="16"/>
                <w:szCs w:val="16"/>
              </w:rPr>
              <w:t>其他债权投资</w:t>
            </w:r>
          </w:p>
          <w:p>
            <w:pPr>
              <w:pStyle w:val="TableParagraph"/>
              <w:spacing w:line="221" w:lineRule="exact"/>
              <w:ind w:left="10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含其他流动资产</w:t>
            </w:r>
            <w:r>
              <w:rPr>
                <w:rFonts w:ascii="Times New Roman" w:hAnsi="Times New Roman" w:cs="Times New Roman" w:eastAsia="Times New Roman" w:hint="default"/>
                <w:sz w:val="16"/>
                <w:szCs w:val="16"/>
              </w:rPr>
              <w:t>)</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以公允价值计量且其变动计入其他综合收益</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28,081,425.01</w:t>
            </w:r>
          </w:p>
        </w:tc>
      </w:tr>
      <w:tr>
        <w:trPr>
          <w:trHeight w:val="274" w:hRule="exact"/>
        </w:trPr>
        <w:tc>
          <w:tcPr>
            <w:tcW w:w="2126" w:type="dxa"/>
            <w:vMerge/>
            <w:tcBorders>
              <w:left w:val="nil" w:sz="6" w:space="0" w:color="auto"/>
              <w:right w:val="dotted" w:sz="4" w:space="0" w:color="000000"/>
            </w:tcBorders>
          </w:tcPr>
          <w:p>
            <w:pPr/>
          </w:p>
        </w:tc>
        <w:tc>
          <w:tcPr>
            <w:tcW w:w="2945" w:type="dxa"/>
            <w:vMerge w:val="restart"/>
            <w:tcBorders>
              <w:top w:val="dotted" w:sz="4" w:space="0" w:color="000000"/>
              <w:left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03" w:right="99"/>
              <w:jc w:val="left"/>
              <w:rPr>
                <w:rFonts w:ascii="Times New Roman" w:hAnsi="Times New Roman" w:cs="Times New Roman" w:eastAsia="Times New Roman" w:hint="default"/>
                <w:sz w:val="16"/>
                <w:szCs w:val="16"/>
              </w:rPr>
            </w:pPr>
            <w:r>
              <w:rPr>
                <w:rFonts w:ascii="宋体" w:hAnsi="宋体" w:cs="宋体" w:eastAsia="宋体" w:hint="default"/>
                <w:sz w:val="16"/>
                <w:szCs w:val="16"/>
              </w:rPr>
              <w:t>以公允价值计量且其变动计入其他综合</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收益</w:t>
            </w:r>
            <w:r>
              <w:rPr>
                <w:rFonts w:ascii="宋体" w:hAnsi="宋体" w:cs="宋体" w:eastAsia="宋体" w:hint="default"/>
                <w:spacing w:val="2"/>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权益工具</w:t>
            </w:r>
            <w:r>
              <w:rPr>
                <w:rFonts w:ascii="Times New Roman" w:hAnsi="Times New Roman" w:cs="Times New Roman" w:eastAsia="Times New Roman" w:hint="default"/>
                <w:sz w:val="16"/>
                <w:szCs w:val="16"/>
              </w:rPr>
              <w:t>)</w:t>
            </w:r>
          </w:p>
        </w:tc>
        <w:tc>
          <w:tcPr>
            <w:tcW w:w="150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left="386" w:right="0"/>
              <w:jc w:val="left"/>
              <w:rPr>
                <w:rFonts w:ascii="Times New Roman" w:hAnsi="Times New Roman" w:cs="Times New Roman" w:eastAsia="Times New Roman" w:hint="default"/>
                <w:sz w:val="16"/>
                <w:szCs w:val="16"/>
              </w:rPr>
            </w:pPr>
            <w:r>
              <w:rPr>
                <w:rFonts w:ascii="Times New Roman"/>
                <w:sz w:val="16"/>
              </w:rPr>
              <w:t>200,988,285.41</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3442" w:type="dxa"/>
            <w:vMerge w:val="restart"/>
            <w:tcBorders>
              <w:top w:val="dotted" w:sz="4" w:space="0" w:color="000000"/>
              <w:left w:val="dotted" w:sz="4" w:space="0" w:color="000000"/>
              <w:right w:val="dotted" w:sz="4" w:space="0" w:color="000000"/>
            </w:tcBorders>
          </w:tcPr>
          <w:p>
            <w:pPr>
              <w:pStyle w:val="TableParagraph"/>
              <w:spacing w:line="240" w:lineRule="auto" w:before="139"/>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200,988,285.41</w:t>
            </w:r>
          </w:p>
        </w:tc>
      </w:tr>
      <w:tr>
        <w:trPr>
          <w:trHeight w:val="274" w:hRule="exact"/>
        </w:trPr>
        <w:tc>
          <w:tcPr>
            <w:tcW w:w="2126" w:type="dxa"/>
            <w:vMerge/>
            <w:tcBorders>
              <w:left w:val="nil" w:sz="6" w:space="0" w:color="auto"/>
              <w:right w:val="dotted" w:sz="4" w:space="0" w:color="000000"/>
            </w:tcBorders>
          </w:tcPr>
          <w:p>
            <w:pPr/>
          </w:p>
        </w:tc>
        <w:tc>
          <w:tcPr>
            <w:tcW w:w="2945" w:type="dxa"/>
            <w:vMerge/>
            <w:tcBorders>
              <w:left w:val="dotted" w:sz="4" w:space="0" w:color="000000"/>
              <w:right w:val="dotted" w:sz="4" w:space="0" w:color="000000"/>
            </w:tcBorders>
          </w:tcPr>
          <w:p>
            <w:pPr/>
          </w:p>
        </w:tc>
        <w:tc>
          <w:tcPr>
            <w:tcW w:w="1500" w:type="dxa"/>
            <w:vMerge/>
            <w:tcBorders>
              <w:left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其他非流动金融资产</w:t>
            </w:r>
          </w:p>
        </w:tc>
        <w:tc>
          <w:tcPr>
            <w:tcW w:w="3442" w:type="dxa"/>
            <w:vMerge/>
            <w:tcBorders>
              <w:left w:val="dotted" w:sz="4" w:space="0" w:color="000000"/>
              <w:bottom w:val="dotted" w:sz="4" w:space="0" w:color="000000"/>
              <w:right w:val="dotted" w:sz="4" w:space="0" w:color="000000"/>
            </w:tcBorders>
          </w:tcPr>
          <w:p>
            <w:pPr/>
          </w:p>
        </w:tc>
        <w:tc>
          <w:tcPr>
            <w:tcW w:w="174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vMerge/>
            <w:tcBorders>
              <w:left w:val="nil" w:sz="6" w:space="0" w:color="auto"/>
              <w:right w:val="dotted" w:sz="4" w:space="0" w:color="000000"/>
            </w:tcBorders>
          </w:tcPr>
          <w:p>
            <w:pPr/>
          </w:p>
        </w:tc>
        <w:tc>
          <w:tcPr>
            <w:tcW w:w="2945" w:type="dxa"/>
            <w:vMerge/>
            <w:tcBorders>
              <w:left w:val="dotted" w:sz="4" w:space="0" w:color="000000"/>
              <w:bottom w:val="dotted" w:sz="4" w:space="0" w:color="000000"/>
              <w:right w:val="dotted" w:sz="4" w:space="0" w:color="000000"/>
            </w:tcBorders>
          </w:tcPr>
          <w:p>
            <w:pPr/>
          </w:p>
        </w:tc>
        <w:tc>
          <w:tcPr>
            <w:tcW w:w="1500" w:type="dxa"/>
            <w:vMerge/>
            <w:tcBorders>
              <w:left w:val="dotted" w:sz="4" w:space="0" w:color="000000"/>
              <w:bottom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以公允价值计量且其变动计入其他综合收益</w:t>
            </w:r>
          </w:p>
        </w:tc>
        <w:tc>
          <w:tcPr>
            <w:tcW w:w="174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vMerge/>
            <w:tcBorders>
              <w:left w:val="nil" w:sz="6" w:space="0" w:color="auto"/>
              <w:right w:val="dotted" w:sz="4" w:space="0" w:color="000000"/>
            </w:tcBorders>
          </w:tcPr>
          <w:p>
            <w:pPr/>
          </w:p>
        </w:tc>
        <w:tc>
          <w:tcPr>
            <w:tcW w:w="2945" w:type="dxa"/>
            <w:vMerge w:val="restart"/>
            <w:tcBorders>
              <w:top w:val="dotted" w:sz="4" w:space="0" w:color="000000"/>
              <w:left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以成本计量</w:t>
            </w:r>
            <w:r>
              <w:rPr>
                <w:rFonts w:ascii="Times New Roman" w:hAnsi="Times New Roman" w:cs="Times New Roman" w:eastAsia="Times New Roman" w:hint="default"/>
                <w:sz w:val="16"/>
                <w:szCs w:val="16"/>
              </w:rPr>
              <w:t>(</w:t>
            </w:r>
            <w:r>
              <w:rPr>
                <w:rFonts w:ascii="宋体" w:hAnsi="宋体" w:cs="宋体" w:eastAsia="宋体" w:hint="default"/>
                <w:sz w:val="16"/>
                <w:szCs w:val="16"/>
              </w:rPr>
              <w:t>权益工具</w:t>
            </w:r>
            <w:r>
              <w:rPr>
                <w:rFonts w:ascii="Times New Roman" w:hAnsi="Times New Roman" w:cs="Times New Roman" w:eastAsia="Times New Roman" w:hint="default"/>
                <w:sz w:val="16"/>
                <w:szCs w:val="16"/>
              </w:rPr>
              <w:t>)</w:t>
            </w:r>
          </w:p>
        </w:tc>
        <w:tc>
          <w:tcPr>
            <w:tcW w:w="150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left="386" w:right="0"/>
              <w:jc w:val="left"/>
              <w:rPr>
                <w:rFonts w:ascii="Times New Roman" w:hAnsi="Times New Roman" w:cs="Times New Roman" w:eastAsia="Times New Roman" w:hint="default"/>
                <w:sz w:val="16"/>
                <w:szCs w:val="16"/>
              </w:rPr>
            </w:pPr>
            <w:r>
              <w:rPr>
                <w:rFonts w:ascii="Times New Roman"/>
                <w:sz w:val="16"/>
              </w:rPr>
              <w:t>142,433,506.00</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3442" w:type="dxa"/>
            <w:vMerge w:val="restart"/>
            <w:tcBorders>
              <w:top w:val="dotted" w:sz="4" w:space="0" w:color="000000"/>
              <w:left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vMerge/>
            <w:tcBorders>
              <w:left w:val="nil" w:sz="6" w:space="0" w:color="auto"/>
              <w:right w:val="dotted" w:sz="4" w:space="0" w:color="000000"/>
            </w:tcBorders>
          </w:tcPr>
          <w:p>
            <w:pPr/>
          </w:p>
        </w:tc>
        <w:tc>
          <w:tcPr>
            <w:tcW w:w="2945" w:type="dxa"/>
            <w:vMerge/>
            <w:tcBorders>
              <w:left w:val="dotted" w:sz="4" w:space="0" w:color="000000"/>
              <w:right w:val="dotted" w:sz="4" w:space="0" w:color="000000"/>
            </w:tcBorders>
          </w:tcPr>
          <w:p>
            <w:pPr/>
          </w:p>
        </w:tc>
        <w:tc>
          <w:tcPr>
            <w:tcW w:w="1500" w:type="dxa"/>
            <w:vMerge/>
            <w:tcBorders>
              <w:left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其他非流动金融资产</w:t>
            </w:r>
          </w:p>
        </w:tc>
        <w:tc>
          <w:tcPr>
            <w:tcW w:w="3442" w:type="dxa"/>
            <w:vMerge/>
            <w:tcBorders>
              <w:left w:val="dotted" w:sz="4" w:space="0" w:color="000000"/>
              <w:bottom w:val="dotted" w:sz="4" w:space="0" w:color="000000"/>
              <w:right w:val="dotted" w:sz="4" w:space="0" w:color="000000"/>
            </w:tcBorders>
          </w:tcPr>
          <w:p>
            <w:pPr/>
          </w:p>
        </w:tc>
        <w:tc>
          <w:tcPr>
            <w:tcW w:w="174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vMerge/>
            <w:tcBorders>
              <w:left w:val="nil" w:sz="6" w:space="0" w:color="auto"/>
              <w:bottom w:val="dotted" w:sz="4" w:space="0" w:color="000000"/>
              <w:right w:val="dotted" w:sz="4" w:space="0" w:color="000000"/>
            </w:tcBorders>
          </w:tcPr>
          <w:p>
            <w:pPr/>
          </w:p>
        </w:tc>
        <w:tc>
          <w:tcPr>
            <w:tcW w:w="2945" w:type="dxa"/>
            <w:vMerge/>
            <w:tcBorders>
              <w:left w:val="dotted" w:sz="4" w:space="0" w:color="000000"/>
              <w:bottom w:val="dotted" w:sz="4" w:space="0" w:color="000000"/>
              <w:right w:val="dotted" w:sz="4" w:space="0" w:color="000000"/>
            </w:tcBorders>
          </w:tcPr>
          <w:p>
            <w:pPr/>
          </w:p>
        </w:tc>
        <w:tc>
          <w:tcPr>
            <w:tcW w:w="1500" w:type="dxa"/>
            <w:vMerge/>
            <w:tcBorders>
              <w:left w:val="dotted" w:sz="4" w:space="0" w:color="000000"/>
              <w:bottom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以公允价值计量且其变动计入其他综合收益</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202,321,052.00</w:t>
            </w:r>
          </w:p>
        </w:tc>
      </w:tr>
      <w:tr>
        <w:trPr>
          <w:trHeight w:val="274"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left="122"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29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500" w:type="dxa"/>
            <w:tcBorders>
              <w:top w:val="dotted" w:sz="4" w:space="0" w:color="000000"/>
              <w:left w:val="dotted" w:sz="4" w:space="0" w:color="000000"/>
              <w:bottom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left="103"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7"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99"/>
              <w:jc w:val="left"/>
              <w:rPr>
                <w:rFonts w:ascii="宋体" w:hAnsi="宋体" w:cs="宋体" w:eastAsia="宋体" w:hint="default"/>
                <w:sz w:val="16"/>
                <w:szCs w:val="16"/>
              </w:rPr>
            </w:pPr>
            <w:r>
              <w:rPr>
                <w:rFonts w:ascii="宋体" w:hAnsi="宋体" w:cs="宋体" w:eastAsia="宋体" w:hint="default"/>
                <w:spacing w:val="10"/>
                <w:sz w:val="16"/>
                <w:szCs w:val="16"/>
              </w:rPr>
              <w:t>以公允价值计量且其变动</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z w:val="16"/>
                <w:szCs w:val="16"/>
              </w:rPr>
              <w:t>计入当期损益的金融负债</w:t>
            </w:r>
          </w:p>
        </w:tc>
        <w:tc>
          <w:tcPr>
            <w:tcW w:w="29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500" w:type="dxa"/>
            <w:tcBorders>
              <w:top w:val="dotted" w:sz="4" w:space="0" w:color="000000"/>
              <w:left w:val="dotted" w:sz="4" w:space="0" w:color="000000"/>
              <w:bottom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交易性金融负债</w:t>
            </w:r>
          </w:p>
        </w:tc>
        <w:tc>
          <w:tcPr>
            <w:tcW w:w="3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7" w:type="dxa"/>
            <w:tcBorders>
              <w:top w:val="dotted" w:sz="4" w:space="0" w:color="000000"/>
              <w:left w:val="dotted" w:sz="4" w:space="0" w:color="000000"/>
              <w:bottom w:val="dotted" w:sz="4" w:space="0" w:color="000000"/>
              <w:right w:val="nil" w:sz="6" w:space="0" w:color="auto"/>
            </w:tcBorders>
          </w:tcPr>
          <w:p>
            <w:pPr/>
          </w:p>
        </w:tc>
      </w:tr>
      <w:tr>
        <w:trPr>
          <w:trHeight w:val="283" w:hRule="exact"/>
        </w:trPr>
        <w:tc>
          <w:tcPr>
            <w:tcW w:w="21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衍生金融负债</w:t>
            </w:r>
          </w:p>
        </w:tc>
        <w:tc>
          <w:tcPr>
            <w:tcW w:w="29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500" w:type="dxa"/>
            <w:tcBorders>
              <w:top w:val="dotted" w:sz="4" w:space="0" w:color="000000"/>
              <w:left w:val="dotted" w:sz="4" w:space="0" w:color="000000"/>
              <w:bottom w:val="single" w:sz="12" w:space="0" w:color="000000"/>
              <w:right w:val="dotted" w:sz="4" w:space="0" w:color="000000"/>
            </w:tcBorders>
          </w:tcPr>
          <w:p>
            <w:pPr/>
          </w:p>
        </w:tc>
        <w:tc>
          <w:tcPr>
            <w:tcW w:w="18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衍生金融负债</w:t>
            </w:r>
          </w:p>
        </w:tc>
        <w:tc>
          <w:tcPr>
            <w:tcW w:w="34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7"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30"/>
          <w:footerReference w:type="default" r:id="rId31"/>
          <w:pgSz w:w="16840" w:h="11910" w:orient="landscape"/>
          <w:pgMar w:header="753" w:footer="997" w:top="1500" w:bottom="1180" w:left="1300" w:right="1040"/>
          <w:pgNumType w:start="30"/>
        </w:sectPr>
      </w:pPr>
    </w:p>
    <w:p>
      <w:pPr>
        <w:spacing w:line="240" w:lineRule="auto" w:before="11"/>
        <w:rPr>
          <w:rFonts w:ascii="宋体" w:hAnsi="宋体" w:cs="宋体" w:eastAsia="宋体" w:hint="default"/>
          <w:b/>
          <w:bCs/>
          <w:sz w:val="18"/>
          <w:szCs w:val="18"/>
        </w:rPr>
      </w:pPr>
    </w:p>
    <w:p>
      <w:pPr>
        <w:pStyle w:val="Heading5"/>
        <w:spacing w:line="240" w:lineRule="auto"/>
        <w:ind w:left="1220" w:right="0"/>
        <w:jc w:val="left"/>
        <w:rPr>
          <w:b w:val="0"/>
          <w:bCs w:val="0"/>
        </w:rPr>
      </w:pPr>
      <w:r>
        <w:rPr/>
        <w:t>母公司</w:t>
      </w:r>
      <w:r>
        <w:rPr>
          <w:b w:val="0"/>
          <w:bCs w:val="0"/>
        </w:rPr>
      </w:r>
    </w:p>
    <w:p>
      <w:pPr>
        <w:spacing w:line="240" w:lineRule="auto" w:before="4"/>
        <w:rPr>
          <w:rFonts w:ascii="宋体" w:hAnsi="宋体" w:cs="宋体" w:eastAsia="宋体" w:hint="default"/>
          <w:b/>
          <w:bCs/>
          <w:sz w:val="2"/>
          <w:szCs w:val="2"/>
        </w:rPr>
      </w:pPr>
    </w:p>
    <w:tbl>
      <w:tblPr>
        <w:tblW w:w="0" w:type="auto"/>
        <w:jc w:val="left"/>
        <w:tblInd w:w="723" w:type="dxa"/>
        <w:tblLayout w:type="fixed"/>
        <w:tblCellMar>
          <w:top w:w="0" w:type="dxa"/>
          <w:left w:w="0" w:type="dxa"/>
          <w:bottom w:w="0" w:type="dxa"/>
          <w:right w:w="0" w:type="dxa"/>
        </w:tblCellMar>
        <w:tblLook w:val="01E0"/>
      </w:tblPr>
      <w:tblGrid>
        <w:gridCol w:w="2126"/>
        <w:gridCol w:w="2948"/>
        <w:gridCol w:w="1498"/>
        <w:gridCol w:w="2187"/>
        <w:gridCol w:w="3121"/>
        <w:gridCol w:w="1745"/>
      </w:tblGrid>
      <w:tr>
        <w:trPr>
          <w:trHeight w:val="283" w:hRule="exact"/>
        </w:trPr>
        <w:tc>
          <w:tcPr>
            <w:tcW w:w="6572" w:type="dxa"/>
            <w:gridSpan w:val="3"/>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原金融工具准则</w:t>
            </w:r>
          </w:p>
        </w:tc>
        <w:tc>
          <w:tcPr>
            <w:tcW w:w="705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64" w:right="0"/>
              <w:jc w:val="center"/>
              <w:rPr>
                <w:rFonts w:ascii="宋体" w:hAnsi="宋体" w:cs="宋体" w:eastAsia="宋体" w:hint="default"/>
                <w:sz w:val="16"/>
                <w:szCs w:val="16"/>
              </w:rPr>
            </w:pPr>
            <w:r>
              <w:rPr>
                <w:rFonts w:ascii="宋体" w:hAnsi="宋体" w:cs="宋体" w:eastAsia="宋体" w:hint="default"/>
                <w:sz w:val="16"/>
                <w:szCs w:val="16"/>
              </w:rPr>
              <w:t>新金融工具准则</w:t>
            </w:r>
          </w:p>
        </w:tc>
      </w:tr>
      <w:tr>
        <w:trPr>
          <w:trHeight w:val="274"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列报项目</w:t>
            </w:r>
          </w:p>
        </w:tc>
        <w:tc>
          <w:tcPr>
            <w:tcW w:w="2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计量类别</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422"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列报项目</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计量类别</w:t>
            </w:r>
          </w:p>
        </w:tc>
        <w:tc>
          <w:tcPr>
            <w:tcW w:w="17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547"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74"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2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1,004,581,514.25</w:t>
            </w: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84"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1,004,581,514.25</w:t>
            </w:r>
          </w:p>
        </w:tc>
      </w:tr>
      <w:tr>
        <w:trPr>
          <w:trHeight w:val="480"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99"/>
              <w:jc w:val="left"/>
              <w:rPr>
                <w:rFonts w:ascii="宋体" w:hAnsi="宋体" w:cs="宋体" w:eastAsia="宋体" w:hint="default"/>
                <w:sz w:val="16"/>
                <w:szCs w:val="16"/>
              </w:rPr>
            </w:pPr>
            <w:r>
              <w:rPr>
                <w:rFonts w:ascii="宋体" w:hAnsi="宋体" w:cs="宋体" w:eastAsia="宋体" w:hint="default"/>
                <w:spacing w:val="10"/>
                <w:sz w:val="16"/>
                <w:szCs w:val="16"/>
              </w:rPr>
              <w:t>以公允价值计量且其变动</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z w:val="16"/>
                <w:szCs w:val="16"/>
              </w:rPr>
              <w:t>计入当期损益的金融资产</w:t>
            </w:r>
          </w:p>
        </w:tc>
        <w:tc>
          <w:tcPr>
            <w:tcW w:w="2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498" w:type="dxa"/>
            <w:tcBorders>
              <w:top w:val="dotted" w:sz="4" w:space="0" w:color="000000"/>
              <w:left w:val="dotted" w:sz="4" w:space="0" w:color="000000"/>
              <w:bottom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衍生金融资产</w:t>
            </w:r>
          </w:p>
        </w:tc>
        <w:tc>
          <w:tcPr>
            <w:tcW w:w="2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498" w:type="dxa"/>
            <w:tcBorders>
              <w:top w:val="dotted" w:sz="4" w:space="0" w:color="000000"/>
              <w:left w:val="dotted" w:sz="4" w:space="0" w:color="000000"/>
              <w:bottom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vMerge w:val="restart"/>
            <w:tcBorders>
              <w:top w:val="dotted" w:sz="4" w:space="0" w:color="000000"/>
              <w:left w:val="nil" w:sz="6" w:space="0" w:color="auto"/>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2948"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498" w:type="dxa"/>
            <w:vMerge w:val="restart"/>
            <w:tcBorders>
              <w:top w:val="dotted" w:sz="4" w:space="0" w:color="000000"/>
              <w:left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383" w:right="0"/>
              <w:jc w:val="left"/>
              <w:rPr>
                <w:rFonts w:ascii="Times New Roman" w:hAnsi="Times New Roman" w:cs="Times New Roman" w:eastAsia="Times New Roman" w:hint="default"/>
                <w:sz w:val="16"/>
                <w:szCs w:val="16"/>
              </w:rPr>
            </w:pPr>
            <w:r>
              <w:rPr>
                <w:rFonts w:ascii="Times New Roman"/>
                <w:sz w:val="16"/>
              </w:rPr>
              <w:t>207,803,710.72</w:t>
            </w: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left="103"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207,803,710.72</w:t>
            </w:r>
          </w:p>
        </w:tc>
      </w:tr>
      <w:tr>
        <w:trPr>
          <w:trHeight w:val="482" w:hRule="exact"/>
        </w:trPr>
        <w:tc>
          <w:tcPr>
            <w:tcW w:w="2126" w:type="dxa"/>
            <w:vMerge/>
            <w:tcBorders>
              <w:left w:val="nil" w:sz="6" w:space="0" w:color="auto"/>
              <w:bottom w:val="dotted" w:sz="4" w:space="0" w:color="000000"/>
              <w:right w:val="dotted" w:sz="4" w:space="0" w:color="000000"/>
            </w:tcBorders>
          </w:tcPr>
          <w:p>
            <w:pPr/>
          </w:p>
        </w:tc>
        <w:tc>
          <w:tcPr>
            <w:tcW w:w="2948" w:type="dxa"/>
            <w:vMerge/>
            <w:tcBorders>
              <w:left w:val="dotted" w:sz="4" w:space="0" w:color="000000"/>
              <w:bottom w:val="dotted" w:sz="4" w:space="0" w:color="000000"/>
              <w:right w:val="dotted" w:sz="4" w:space="0" w:color="000000"/>
            </w:tcBorders>
          </w:tcPr>
          <w:p>
            <w:pPr/>
          </w:p>
        </w:tc>
        <w:tc>
          <w:tcPr>
            <w:tcW w:w="1498" w:type="dxa"/>
            <w:vMerge/>
            <w:tcBorders>
              <w:left w:val="dotted" w:sz="4" w:space="0" w:color="000000"/>
              <w:bottom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应收款项融资</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100"/>
              <w:jc w:val="left"/>
              <w:rPr>
                <w:rFonts w:ascii="宋体" w:hAnsi="宋体" w:cs="宋体" w:eastAsia="宋体" w:hint="default"/>
                <w:sz w:val="16"/>
                <w:szCs w:val="16"/>
              </w:rPr>
            </w:pPr>
            <w:r>
              <w:rPr>
                <w:rFonts w:ascii="宋体" w:hAnsi="宋体" w:cs="宋体" w:eastAsia="宋体" w:hint="default"/>
                <w:sz w:val="16"/>
                <w:szCs w:val="16"/>
              </w:rPr>
              <w:t>以公允价值计量且其变动计入其他综合收</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z w:val="16"/>
                <w:szCs w:val="16"/>
              </w:rPr>
              <w:t>益</w:t>
            </w: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vMerge w:val="restart"/>
            <w:tcBorders>
              <w:top w:val="dotted" w:sz="4"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948" w:type="dxa"/>
            <w:vMerge w:val="restart"/>
            <w:tcBorders>
              <w:top w:val="dotted" w:sz="4"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498" w:type="dxa"/>
            <w:vMerge w:val="restart"/>
            <w:tcBorders>
              <w:top w:val="dotted" w:sz="4" w:space="0" w:color="000000"/>
              <w:left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left="383" w:right="0"/>
              <w:jc w:val="left"/>
              <w:rPr>
                <w:rFonts w:ascii="Times New Roman" w:hAnsi="Times New Roman" w:cs="Times New Roman" w:eastAsia="Times New Roman" w:hint="default"/>
                <w:sz w:val="16"/>
                <w:szCs w:val="16"/>
              </w:rPr>
            </w:pPr>
            <w:r>
              <w:rPr>
                <w:rFonts w:ascii="Times New Roman"/>
                <w:sz w:val="16"/>
              </w:rPr>
              <w:t>291,459,712.34</w:t>
            </w: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291,459,712.34</w:t>
            </w:r>
          </w:p>
        </w:tc>
      </w:tr>
      <w:tr>
        <w:trPr>
          <w:trHeight w:val="480" w:hRule="exact"/>
        </w:trPr>
        <w:tc>
          <w:tcPr>
            <w:tcW w:w="2126" w:type="dxa"/>
            <w:vMerge/>
            <w:tcBorders>
              <w:left w:val="nil" w:sz="6" w:space="0" w:color="auto"/>
              <w:bottom w:val="dotted" w:sz="4" w:space="0" w:color="000000"/>
              <w:right w:val="dotted" w:sz="4" w:space="0" w:color="000000"/>
            </w:tcBorders>
          </w:tcPr>
          <w:p>
            <w:pPr/>
          </w:p>
        </w:tc>
        <w:tc>
          <w:tcPr>
            <w:tcW w:w="2948" w:type="dxa"/>
            <w:vMerge/>
            <w:tcBorders>
              <w:left w:val="dotted" w:sz="4" w:space="0" w:color="000000"/>
              <w:bottom w:val="dotted" w:sz="4" w:space="0" w:color="000000"/>
              <w:right w:val="dotted" w:sz="4" w:space="0" w:color="000000"/>
            </w:tcBorders>
          </w:tcPr>
          <w:p>
            <w:pPr/>
          </w:p>
        </w:tc>
        <w:tc>
          <w:tcPr>
            <w:tcW w:w="1498" w:type="dxa"/>
            <w:vMerge/>
            <w:tcBorders>
              <w:left w:val="dotted" w:sz="4" w:space="0" w:color="000000"/>
              <w:bottom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应收款项融资</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100"/>
              <w:jc w:val="left"/>
              <w:rPr>
                <w:rFonts w:ascii="宋体" w:hAnsi="宋体" w:cs="宋体" w:eastAsia="宋体" w:hint="default"/>
                <w:sz w:val="16"/>
                <w:szCs w:val="16"/>
              </w:rPr>
            </w:pPr>
            <w:r>
              <w:rPr>
                <w:rFonts w:ascii="宋体" w:hAnsi="宋体" w:cs="宋体" w:eastAsia="宋体" w:hint="default"/>
                <w:sz w:val="16"/>
                <w:szCs w:val="16"/>
              </w:rPr>
              <w:t>以公允价值计量且其变动计入其他综合收</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z w:val="16"/>
                <w:szCs w:val="16"/>
              </w:rPr>
              <w:t>益</w:t>
            </w: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2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437,181,743.46</w:t>
            </w: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437,181,743.46</w:t>
            </w:r>
          </w:p>
        </w:tc>
      </w:tr>
      <w:tr>
        <w:trPr>
          <w:trHeight w:val="480"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2"/>
              <w:ind w:left="122" w:right="0"/>
              <w:jc w:val="left"/>
              <w:rPr>
                <w:rFonts w:ascii="宋体" w:hAnsi="宋体" w:cs="宋体" w:eastAsia="宋体" w:hint="default"/>
                <w:sz w:val="16"/>
                <w:szCs w:val="16"/>
              </w:rPr>
            </w:pPr>
            <w:r>
              <w:rPr>
                <w:rFonts w:ascii="宋体" w:hAnsi="宋体" w:cs="宋体" w:eastAsia="宋体" w:hint="default"/>
                <w:sz w:val="16"/>
                <w:szCs w:val="16"/>
              </w:rPr>
              <w:t>持有至到期投资</w:t>
            </w:r>
          </w:p>
          <w:p>
            <w:pPr>
              <w:pStyle w:val="TableParagraph"/>
              <w:spacing w:line="220" w:lineRule="exact"/>
              <w:ind w:left="12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含其他流动资产</w:t>
            </w:r>
            <w:r>
              <w:rPr>
                <w:rFonts w:ascii="Times New Roman" w:hAnsi="Times New Roman" w:cs="Times New Roman" w:eastAsia="Times New Roman" w:hint="default"/>
                <w:sz w:val="16"/>
                <w:szCs w:val="16"/>
              </w:rPr>
              <w:t>)</w:t>
            </w:r>
          </w:p>
        </w:tc>
        <w:tc>
          <w:tcPr>
            <w:tcW w:w="2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498" w:type="dxa"/>
            <w:tcBorders>
              <w:top w:val="dotted" w:sz="4" w:space="0" w:color="000000"/>
              <w:left w:val="dotted" w:sz="4" w:space="0" w:color="000000"/>
              <w:bottom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08" w:lineRule="exact" w:before="2"/>
              <w:ind w:left="103" w:right="0"/>
              <w:jc w:val="left"/>
              <w:rPr>
                <w:rFonts w:ascii="宋体" w:hAnsi="宋体" w:cs="宋体" w:eastAsia="宋体" w:hint="default"/>
                <w:sz w:val="16"/>
                <w:szCs w:val="16"/>
              </w:rPr>
            </w:pPr>
            <w:r>
              <w:rPr>
                <w:rFonts w:ascii="宋体" w:hAnsi="宋体" w:cs="宋体" w:eastAsia="宋体" w:hint="default"/>
                <w:sz w:val="16"/>
                <w:szCs w:val="16"/>
              </w:rPr>
              <w:t>债权投资</w:t>
            </w:r>
          </w:p>
          <w:p>
            <w:pPr>
              <w:pStyle w:val="TableParagraph"/>
              <w:spacing w:line="220" w:lineRule="exact"/>
              <w:ind w:left="10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含其他流动资产</w:t>
            </w:r>
            <w:r>
              <w:rPr>
                <w:rFonts w:ascii="Times New Roman" w:hAnsi="Times New Roman" w:cs="Times New Roman" w:eastAsia="Times New Roman" w:hint="default"/>
                <w:sz w:val="16"/>
                <w:szCs w:val="16"/>
              </w:rPr>
              <w:t>)</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482" w:hRule="exact"/>
        </w:trPr>
        <w:tc>
          <w:tcPr>
            <w:tcW w:w="2126"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p>
            <w:pPr>
              <w:pStyle w:val="TableParagraph"/>
              <w:spacing w:line="220" w:lineRule="exact"/>
              <w:ind w:left="12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含其他流动资产</w:t>
            </w:r>
            <w:r>
              <w:rPr>
                <w:rFonts w:ascii="Times New Roman" w:hAnsi="Times New Roman" w:cs="Times New Roman" w:eastAsia="Times New Roman" w:hint="default"/>
                <w:sz w:val="16"/>
                <w:szCs w:val="16"/>
              </w:rPr>
              <w:t>)</w:t>
            </w:r>
          </w:p>
        </w:tc>
        <w:tc>
          <w:tcPr>
            <w:tcW w:w="2948" w:type="dxa"/>
            <w:vMerge w:val="restart"/>
            <w:tcBorders>
              <w:top w:val="dotted" w:sz="4"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101"/>
              <w:jc w:val="left"/>
              <w:rPr>
                <w:rFonts w:ascii="Times New Roman" w:hAnsi="Times New Roman" w:cs="Times New Roman" w:eastAsia="Times New Roman" w:hint="default"/>
                <w:sz w:val="16"/>
                <w:szCs w:val="16"/>
              </w:rPr>
            </w:pPr>
            <w:r>
              <w:rPr>
                <w:rFonts w:ascii="宋体" w:hAnsi="宋体" w:cs="宋体" w:eastAsia="宋体" w:hint="default"/>
                <w:sz w:val="16"/>
                <w:szCs w:val="16"/>
              </w:rPr>
              <w:t>以公允价值计量且其变动计入其他综合</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收益</w:t>
            </w:r>
            <w:r>
              <w:rPr>
                <w:rFonts w:ascii="Times New Roman" w:hAnsi="Times New Roman" w:cs="Times New Roman" w:eastAsia="Times New Roman" w:hint="default"/>
                <w:sz w:val="16"/>
                <w:szCs w:val="16"/>
              </w:rPr>
              <w:t>(</w:t>
            </w:r>
            <w:r>
              <w:rPr>
                <w:rFonts w:ascii="宋体" w:hAnsi="宋体" w:cs="宋体" w:eastAsia="宋体" w:hint="default"/>
                <w:sz w:val="16"/>
                <w:szCs w:val="16"/>
              </w:rPr>
              <w:t>债务工具</w:t>
            </w:r>
            <w:r>
              <w:rPr>
                <w:rFonts w:ascii="Times New Roman" w:hAnsi="Times New Roman" w:cs="Times New Roman" w:eastAsia="Times New Roman" w:hint="default"/>
                <w:sz w:val="16"/>
                <w:szCs w:val="16"/>
              </w:rPr>
              <w:t>)</w:t>
            </w:r>
          </w:p>
        </w:tc>
        <w:tc>
          <w:tcPr>
            <w:tcW w:w="1498" w:type="dxa"/>
            <w:vMerge w:val="restart"/>
            <w:tcBorders>
              <w:top w:val="dotted" w:sz="4" w:space="0" w:color="000000"/>
              <w:left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09" w:lineRule="exact" w:before="2"/>
              <w:ind w:left="103" w:right="0"/>
              <w:jc w:val="left"/>
              <w:rPr>
                <w:rFonts w:ascii="宋体" w:hAnsi="宋体" w:cs="宋体" w:eastAsia="宋体" w:hint="default"/>
                <w:sz w:val="16"/>
                <w:szCs w:val="16"/>
              </w:rPr>
            </w:pPr>
            <w:r>
              <w:rPr>
                <w:rFonts w:ascii="宋体" w:hAnsi="宋体" w:cs="宋体" w:eastAsia="宋体" w:hint="default"/>
                <w:sz w:val="16"/>
                <w:szCs w:val="16"/>
              </w:rPr>
              <w:t>债权投资</w:t>
            </w:r>
          </w:p>
          <w:p>
            <w:pPr>
              <w:pStyle w:val="TableParagraph"/>
              <w:spacing w:line="221" w:lineRule="exact"/>
              <w:ind w:left="10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含其他流动资产</w:t>
            </w:r>
            <w:r>
              <w:rPr>
                <w:rFonts w:ascii="Times New Roman" w:hAnsi="Times New Roman" w:cs="Times New Roman" w:eastAsia="Times New Roman" w:hint="default"/>
                <w:sz w:val="16"/>
                <w:szCs w:val="16"/>
              </w:rPr>
              <w:t>)</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2126" w:type="dxa"/>
            <w:vMerge/>
            <w:tcBorders>
              <w:left w:val="nil" w:sz="6" w:space="0" w:color="auto"/>
              <w:right w:val="dotted" w:sz="4" w:space="0" w:color="000000"/>
            </w:tcBorders>
          </w:tcPr>
          <w:p>
            <w:pPr/>
          </w:p>
        </w:tc>
        <w:tc>
          <w:tcPr>
            <w:tcW w:w="2948" w:type="dxa"/>
            <w:vMerge/>
            <w:tcBorders>
              <w:left w:val="dotted" w:sz="4" w:space="0" w:color="000000"/>
              <w:bottom w:val="dotted" w:sz="4" w:space="0" w:color="000000"/>
              <w:right w:val="dotted" w:sz="4" w:space="0" w:color="000000"/>
            </w:tcBorders>
          </w:tcPr>
          <w:p>
            <w:pPr/>
          </w:p>
        </w:tc>
        <w:tc>
          <w:tcPr>
            <w:tcW w:w="1498" w:type="dxa"/>
            <w:vMerge/>
            <w:tcBorders>
              <w:left w:val="dotted" w:sz="4" w:space="0" w:color="000000"/>
              <w:bottom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08" w:lineRule="exact" w:before="3"/>
              <w:ind w:left="103" w:right="0"/>
              <w:jc w:val="left"/>
              <w:rPr>
                <w:rFonts w:ascii="宋体" w:hAnsi="宋体" w:cs="宋体" w:eastAsia="宋体" w:hint="default"/>
                <w:sz w:val="16"/>
                <w:szCs w:val="16"/>
              </w:rPr>
            </w:pPr>
            <w:r>
              <w:rPr>
                <w:rFonts w:ascii="宋体" w:hAnsi="宋体" w:cs="宋体" w:eastAsia="宋体" w:hint="default"/>
                <w:sz w:val="16"/>
                <w:szCs w:val="16"/>
              </w:rPr>
              <w:t>其他债权投资</w:t>
            </w:r>
          </w:p>
          <w:p>
            <w:pPr>
              <w:pStyle w:val="TableParagraph"/>
              <w:spacing w:line="220" w:lineRule="exact"/>
              <w:ind w:left="10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含其他流动资产</w:t>
            </w:r>
            <w:r>
              <w:rPr>
                <w:rFonts w:ascii="Times New Roman" w:hAnsi="Times New Roman" w:cs="Times New Roman" w:eastAsia="Times New Roman" w:hint="default"/>
                <w:sz w:val="16"/>
                <w:szCs w:val="16"/>
              </w:rPr>
              <w:t>)</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103" w:right="100"/>
              <w:jc w:val="left"/>
              <w:rPr>
                <w:rFonts w:ascii="宋体" w:hAnsi="宋体" w:cs="宋体" w:eastAsia="宋体" w:hint="default"/>
                <w:sz w:val="16"/>
                <w:szCs w:val="16"/>
              </w:rPr>
            </w:pPr>
            <w:r>
              <w:rPr>
                <w:rFonts w:ascii="宋体" w:hAnsi="宋体" w:cs="宋体" w:eastAsia="宋体" w:hint="default"/>
                <w:sz w:val="16"/>
                <w:szCs w:val="16"/>
              </w:rPr>
              <w:t>以公允价值计量且其变动计入其他综合收</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z w:val="16"/>
                <w:szCs w:val="16"/>
              </w:rPr>
              <w:t>益</w:t>
            </w: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vMerge/>
            <w:tcBorders>
              <w:left w:val="nil" w:sz="6" w:space="0" w:color="auto"/>
              <w:right w:val="dotted" w:sz="4" w:space="0" w:color="000000"/>
            </w:tcBorders>
          </w:tcPr>
          <w:p>
            <w:pPr/>
          </w:p>
        </w:tc>
        <w:tc>
          <w:tcPr>
            <w:tcW w:w="2948" w:type="dxa"/>
            <w:vMerge w:val="restart"/>
            <w:tcBorders>
              <w:top w:val="dotted" w:sz="4" w:space="0" w:color="000000"/>
              <w:left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03" w:right="101"/>
              <w:jc w:val="left"/>
              <w:rPr>
                <w:rFonts w:ascii="Times New Roman" w:hAnsi="Times New Roman" w:cs="Times New Roman" w:eastAsia="Times New Roman" w:hint="default"/>
                <w:sz w:val="16"/>
                <w:szCs w:val="16"/>
              </w:rPr>
            </w:pPr>
            <w:r>
              <w:rPr>
                <w:rFonts w:ascii="宋体" w:hAnsi="宋体" w:cs="宋体" w:eastAsia="宋体" w:hint="default"/>
                <w:sz w:val="16"/>
                <w:szCs w:val="16"/>
              </w:rPr>
              <w:t>以公允价值计量且其变动计入其他综合</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收益</w:t>
            </w:r>
            <w:r>
              <w:rPr>
                <w:rFonts w:ascii="宋体" w:hAnsi="宋体" w:cs="宋体" w:eastAsia="宋体" w:hint="default"/>
                <w:spacing w:val="2"/>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权益工具</w:t>
            </w:r>
            <w:r>
              <w:rPr>
                <w:rFonts w:ascii="Times New Roman" w:hAnsi="Times New Roman" w:cs="Times New Roman" w:eastAsia="Times New Roman" w:hint="default"/>
                <w:sz w:val="16"/>
                <w:szCs w:val="16"/>
              </w:rPr>
              <w:t>)</w:t>
            </w:r>
          </w:p>
        </w:tc>
        <w:tc>
          <w:tcPr>
            <w:tcW w:w="149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383" w:right="0"/>
              <w:jc w:val="left"/>
              <w:rPr>
                <w:rFonts w:ascii="Times New Roman" w:hAnsi="Times New Roman" w:cs="Times New Roman" w:eastAsia="Times New Roman" w:hint="default"/>
                <w:sz w:val="16"/>
                <w:szCs w:val="16"/>
              </w:rPr>
            </w:pPr>
            <w:r>
              <w:rPr>
                <w:rFonts w:ascii="Times New Roman"/>
                <w:sz w:val="16"/>
              </w:rPr>
              <w:t>196,849,659.16</w:t>
            </w: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3121" w:type="dxa"/>
            <w:vMerge w:val="restart"/>
            <w:tcBorders>
              <w:top w:val="dotted" w:sz="4" w:space="0" w:color="000000"/>
              <w:left w:val="dotted" w:sz="4" w:space="0" w:color="000000"/>
              <w:right w:val="dotted" w:sz="4" w:space="0" w:color="000000"/>
            </w:tcBorders>
          </w:tcPr>
          <w:p>
            <w:pPr>
              <w:pStyle w:val="TableParagraph"/>
              <w:spacing w:line="240" w:lineRule="auto" w:before="139"/>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196,849,659.16</w:t>
            </w:r>
          </w:p>
        </w:tc>
      </w:tr>
      <w:tr>
        <w:trPr>
          <w:trHeight w:val="274" w:hRule="exact"/>
        </w:trPr>
        <w:tc>
          <w:tcPr>
            <w:tcW w:w="2126" w:type="dxa"/>
            <w:vMerge/>
            <w:tcBorders>
              <w:left w:val="nil" w:sz="6" w:space="0" w:color="auto"/>
              <w:right w:val="dotted" w:sz="4" w:space="0" w:color="000000"/>
            </w:tcBorders>
          </w:tcPr>
          <w:p>
            <w:pPr/>
          </w:p>
        </w:tc>
        <w:tc>
          <w:tcPr>
            <w:tcW w:w="2948" w:type="dxa"/>
            <w:vMerge/>
            <w:tcBorders>
              <w:left w:val="dotted" w:sz="4" w:space="0" w:color="000000"/>
              <w:right w:val="dotted" w:sz="4" w:space="0" w:color="000000"/>
            </w:tcBorders>
          </w:tcPr>
          <w:p>
            <w:pPr/>
          </w:p>
        </w:tc>
        <w:tc>
          <w:tcPr>
            <w:tcW w:w="1498" w:type="dxa"/>
            <w:vMerge/>
            <w:tcBorders>
              <w:left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其他非流动金融资产</w:t>
            </w:r>
          </w:p>
        </w:tc>
        <w:tc>
          <w:tcPr>
            <w:tcW w:w="3121" w:type="dxa"/>
            <w:vMerge/>
            <w:tcBorders>
              <w:left w:val="dotted" w:sz="4" w:space="0" w:color="000000"/>
              <w:bottom w:val="dotted" w:sz="4" w:space="0" w:color="000000"/>
              <w:right w:val="dotted" w:sz="4" w:space="0" w:color="000000"/>
            </w:tcBorders>
          </w:tcPr>
          <w:p>
            <w:pP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482" w:hRule="exact"/>
        </w:trPr>
        <w:tc>
          <w:tcPr>
            <w:tcW w:w="2126" w:type="dxa"/>
            <w:vMerge/>
            <w:tcBorders>
              <w:left w:val="nil" w:sz="6" w:space="0" w:color="auto"/>
              <w:right w:val="dotted" w:sz="4" w:space="0" w:color="000000"/>
            </w:tcBorders>
          </w:tcPr>
          <w:p>
            <w:pPr/>
          </w:p>
        </w:tc>
        <w:tc>
          <w:tcPr>
            <w:tcW w:w="2948" w:type="dxa"/>
            <w:vMerge/>
            <w:tcBorders>
              <w:left w:val="dotted" w:sz="4" w:space="0" w:color="000000"/>
              <w:bottom w:val="dotted" w:sz="4" w:space="0" w:color="000000"/>
              <w:right w:val="dotted" w:sz="4" w:space="0" w:color="000000"/>
            </w:tcBorders>
          </w:tcPr>
          <w:p>
            <w:pPr/>
          </w:p>
        </w:tc>
        <w:tc>
          <w:tcPr>
            <w:tcW w:w="1498" w:type="dxa"/>
            <w:vMerge/>
            <w:tcBorders>
              <w:left w:val="dotted" w:sz="4" w:space="0" w:color="000000"/>
              <w:bottom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103" w:right="100"/>
              <w:jc w:val="left"/>
              <w:rPr>
                <w:rFonts w:ascii="宋体" w:hAnsi="宋体" w:cs="宋体" w:eastAsia="宋体" w:hint="default"/>
                <w:sz w:val="16"/>
                <w:szCs w:val="16"/>
              </w:rPr>
            </w:pPr>
            <w:r>
              <w:rPr>
                <w:rFonts w:ascii="宋体" w:hAnsi="宋体" w:cs="宋体" w:eastAsia="宋体" w:hint="default"/>
                <w:sz w:val="16"/>
                <w:szCs w:val="16"/>
              </w:rPr>
              <w:t>以公允价值计量且其变动计入其他综合收</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z w:val="16"/>
                <w:szCs w:val="16"/>
              </w:rPr>
              <w:t>益</w:t>
            </w: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vMerge/>
            <w:tcBorders>
              <w:left w:val="nil" w:sz="6" w:space="0" w:color="auto"/>
              <w:right w:val="dotted" w:sz="4" w:space="0" w:color="000000"/>
            </w:tcBorders>
          </w:tcPr>
          <w:p>
            <w:pPr/>
          </w:p>
        </w:tc>
        <w:tc>
          <w:tcPr>
            <w:tcW w:w="294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以成本计量</w:t>
            </w:r>
            <w:r>
              <w:rPr>
                <w:rFonts w:ascii="Times New Roman" w:hAnsi="Times New Roman" w:cs="Times New Roman" w:eastAsia="Times New Roman" w:hint="default"/>
                <w:sz w:val="16"/>
                <w:szCs w:val="16"/>
              </w:rPr>
              <w:t>(</w:t>
            </w:r>
            <w:r>
              <w:rPr>
                <w:rFonts w:ascii="宋体" w:hAnsi="宋体" w:cs="宋体" w:eastAsia="宋体" w:hint="default"/>
                <w:sz w:val="16"/>
                <w:szCs w:val="16"/>
              </w:rPr>
              <w:t>权益工具</w:t>
            </w:r>
            <w:r>
              <w:rPr>
                <w:rFonts w:ascii="Times New Roman" w:hAnsi="Times New Roman" w:cs="Times New Roman" w:eastAsia="Times New Roman" w:hint="default"/>
                <w:sz w:val="16"/>
                <w:szCs w:val="16"/>
              </w:rPr>
              <w:t>)</w:t>
            </w:r>
          </w:p>
        </w:tc>
        <w:tc>
          <w:tcPr>
            <w:tcW w:w="149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465" w:right="0"/>
              <w:jc w:val="left"/>
              <w:rPr>
                <w:rFonts w:ascii="Times New Roman" w:hAnsi="Times New Roman" w:cs="Times New Roman" w:eastAsia="Times New Roman" w:hint="default"/>
                <w:sz w:val="16"/>
                <w:szCs w:val="16"/>
              </w:rPr>
            </w:pPr>
            <w:r>
              <w:rPr>
                <w:rFonts w:ascii="Times New Roman"/>
                <w:sz w:val="16"/>
              </w:rPr>
              <w:t>14,937,800.00</w:t>
            </w: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3121" w:type="dxa"/>
            <w:vMerge w:val="restart"/>
            <w:tcBorders>
              <w:top w:val="dotted" w:sz="4" w:space="0" w:color="000000"/>
              <w:left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126" w:type="dxa"/>
            <w:vMerge/>
            <w:tcBorders>
              <w:left w:val="nil" w:sz="6" w:space="0" w:color="auto"/>
              <w:right w:val="dotted" w:sz="4" w:space="0" w:color="000000"/>
            </w:tcBorders>
          </w:tcPr>
          <w:p>
            <w:pPr/>
          </w:p>
        </w:tc>
        <w:tc>
          <w:tcPr>
            <w:tcW w:w="2948" w:type="dxa"/>
            <w:vMerge/>
            <w:tcBorders>
              <w:left w:val="dotted" w:sz="4" w:space="0" w:color="000000"/>
              <w:right w:val="dotted" w:sz="4" w:space="0" w:color="000000"/>
            </w:tcBorders>
          </w:tcPr>
          <w:p>
            <w:pPr/>
          </w:p>
        </w:tc>
        <w:tc>
          <w:tcPr>
            <w:tcW w:w="1498" w:type="dxa"/>
            <w:vMerge/>
            <w:tcBorders>
              <w:left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其他非流动金融资产</w:t>
            </w:r>
          </w:p>
        </w:tc>
        <w:tc>
          <w:tcPr>
            <w:tcW w:w="3121" w:type="dxa"/>
            <w:vMerge/>
            <w:tcBorders>
              <w:left w:val="dotted" w:sz="4" w:space="0" w:color="000000"/>
              <w:bottom w:val="dotted" w:sz="4" w:space="0" w:color="000000"/>
              <w:right w:val="dotted" w:sz="4" w:space="0" w:color="000000"/>
            </w:tcBorders>
          </w:tcPr>
          <w:p>
            <w:pP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2126" w:type="dxa"/>
            <w:vMerge/>
            <w:tcBorders>
              <w:left w:val="nil" w:sz="6" w:space="0" w:color="auto"/>
              <w:bottom w:val="dotted" w:sz="4" w:space="0" w:color="000000"/>
              <w:right w:val="dotted" w:sz="4" w:space="0" w:color="000000"/>
            </w:tcBorders>
          </w:tcPr>
          <w:p>
            <w:pPr/>
          </w:p>
        </w:tc>
        <w:tc>
          <w:tcPr>
            <w:tcW w:w="2948" w:type="dxa"/>
            <w:vMerge/>
            <w:tcBorders>
              <w:left w:val="dotted" w:sz="4" w:space="0" w:color="000000"/>
              <w:bottom w:val="dotted" w:sz="4" w:space="0" w:color="000000"/>
              <w:right w:val="dotted" w:sz="4" w:space="0" w:color="000000"/>
            </w:tcBorders>
          </w:tcPr>
          <w:p>
            <w:pPr/>
          </w:p>
        </w:tc>
        <w:tc>
          <w:tcPr>
            <w:tcW w:w="1498" w:type="dxa"/>
            <w:vMerge/>
            <w:tcBorders>
              <w:left w:val="dotted" w:sz="4" w:space="0" w:color="000000"/>
              <w:bottom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100"/>
              <w:jc w:val="left"/>
              <w:rPr>
                <w:rFonts w:ascii="宋体" w:hAnsi="宋体" w:cs="宋体" w:eastAsia="宋体" w:hint="default"/>
                <w:sz w:val="16"/>
                <w:szCs w:val="16"/>
              </w:rPr>
            </w:pPr>
            <w:r>
              <w:rPr>
                <w:rFonts w:ascii="宋体" w:hAnsi="宋体" w:cs="宋体" w:eastAsia="宋体" w:hint="default"/>
                <w:sz w:val="16"/>
                <w:szCs w:val="16"/>
              </w:rPr>
              <w:t>以公允价值计量且其变动计入其他综合收</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z w:val="16"/>
                <w:szCs w:val="16"/>
              </w:rPr>
              <w:t>益</w:t>
            </w:r>
          </w:p>
        </w:tc>
        <w:tc>
          <w:tcPr>
            <w:tcW w:w="17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6,940,900.00</w:t>
            </w:r>
          </w:p>
        </w:tc>
      </w:tr>
      <w:tr>
        <w:trPr>
          <w:trHeight w:val="274"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2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498" w:type="dxa"/>
            <w:tcBorders>
              <w:top w:val="dotted" w:sz="4" w:space="0" w:color="000000"/>
              <w:left w:val="dotted" w:sz="4" w:space="0" w:color="000000"/>
              <w:bottom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left="103"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left="103"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2126"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99"/>
              <w:jc w:val="left"/>
              <w:rPr>
                <w:rFonts w:ascii="宋体" w:hAnsi="宋体" w:cs="宋体" w:eastAsia="宋体" w:hint="default"/>
                <w:sz w:val="16"/>
                <w:szCs w:val="16"/>
              </w:rPr>
            </w:pPr>
            <w:r>
              <w:rPr>
                <w:rFonts w:ascii="宋体" w:hAnsi="宋体" w:cs="宋体" w:eastAsia="宋体" w:hint="default"/>
                <w:spacing w:val="10"/>
                <w:sz w:val="16"/>
                <w:szCs w:val="16"/>
              </w:rPr>
              <w:t>以公允价值计量且其变动</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z w:val="16"/>
                <w:szCs w:val="16"/>
              </w:rPr>
              <w:t>计入当期损益的金融负债</w:t>
            </w:r>
          </w:p>
        </w:tc>
        <w:tc>
          <w:tcPr>
            <w:tcW w:w="2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498" w:type="dxa"/>
            <w:tcBorders>
              <w:top w:val="dotted" w:sz="4" w:space="0" w:color="000000"/>
              <w:left w:val="dotted" w:sz="4" w:space="0" w:color="000000"/>
              <w:bottom w:val="dotted" w:sz="4" w:space="0" w:color="000000"/>
              <w:right w:val="dotted" w:sz="4" w:space="0" w:color="000000"/>
            </w:tcBorders>
          </w:tcPr>
          <w:p>
            <w:pP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交易性金融负债</w:t>
            </w:r>
          </w:p>
        </w:tc>
        <w:tc>
          <w:tcPr>
            <w:tcW w:w="3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5"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21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衍生金融负债</w:t>
            </w:r>
          </w:p>
        </w:tc>
        <w:tc>
          <w:tcPr>
            <w:tcW w:w="29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498" w:type="dxa"/>
            <w:tcBorders>
              <w:top w:val="dotted" w:sz="4" w:space="0" w:color="000000"/>
              <w:left w:val="dotted" w:sz="4" w:space="0" w:color="000000"/>
              <w:bottom w:val="single" w:sz="12" w:space="0" w:color="000000"/>
              <w:right w:val="dotted" w:sz="4" w:space="0" w:color="000000"/>
            </w:tcBorders>
          </w:tcPr>
          <w:p>
            <w:pPr/>
          </w:p>
        </w:tc>
        <w:tc>
          <w:tcPr>
            <w:tcW w:w="21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衍生金融负债</w:t>
            </w:r>
          </w:p>
        </w:tc>
        <w:tc>
          <w:tcPr>
            <w:tcW w:w="31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w:t>
            </w:r>
          </w:p>
        </w:tc>
        <w:tc>
          <w:tcPr>
            <w:tcW w:w="1745"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53" w:footer="997" w:top="1500" w:bottom="1180" w:left="1300" w:right="1040"/>
        </w:sectPr>
      </w:pPr>
    </w:p>
    <w:p>
      <w:pPr>
        <w:spacing w:line="240" w:lineRule="auto" w:before="12"/>
        <w:rPr>
          <w:rFonts w:ascii="宋体" w:hAnsi="宋体" w:cs="宋体" w:eastAsia="宋体" w:hint="default"/>
          <w:b/>
          <w:bCs/>
          <w:sz w:val="22"/>
          <w:szCs w:val="22"/>
        </w:rPr>
      </w:pPr>
    </w:p>
    <w:p>
      <w:pPr>
        <w:pStyle w:val="BodyText"/>
        <w:spacing w:line="331" w:lineRule="auto"/>
        <w:ind w:right="1789"/>
        <w:jc w:val="left"/>
      </w:pPr>
      <w:r>
        <w:rPr>
          <w:spacing w:val="-2"/>
          <w:w w:val="100"/>
        </w:rPr>
        <w:t>（</w:t>
      </w:r>
      <w:r>
        <w:rPr>
          <w:rFonts w:ascii="Times New Roman" w:hAnsi="Times New Roman" w:cs="Times New Roman" w:eastAsia="Times New Roman" w:hint="default"/>
          <w:spacing w:val="-2"/>
          <w:w w:val="100"/>
        </w:rPr>
        <w:t>3</w:t>
      </w:r>
      <w:r>
        <w:rPr>
          <w:spacing w:val="-2"/>
          <w:w w:val="100"/>
        </w:rPr>
        <w:t>）执行《企业会计准则第</w:t>
      </w:r>
      <w:r>
        <w:rPr>
          <w:spacing w:val="-53"/>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
          <w:w w:val="100"/>
        </w:rPr>
        <w:t> </w:t>
      </w:r>
      <w:r>
        <w:rPr>
          <w:spacing w:val="-8"/>
          <w:w w:val="100"/>
        </w:rPr>
        <w:t>号</w:t>
      </w:r>
      <w:r>
        <w:rPr>
          <w:rFonts w:ascii="Times New Roman" w:hAnsi="Times New Roman" w:cs="Times New Roman" w:eastAsia="Times New Roman" w:hint="default"/>
          <w:spacing w:val="-8"/>
          <w:w w:val="100"/>
        </w:rPr>
        <w:t>——</w:t>
      </w:r>
      <w:r>
        <w:rPr>
          <w:spacing w:val="-8"/>
          <w:w w:val="100"/>
        </w:rPr>
        <w:t>非货币性资产交换》（</w:t>
      </w:r>
      <w:r>
        <w:rPr>
          <w:rFonts w:ascii="Times New Roman" w:hAnsi="Times New Roman" w:cs="Times New Roman" w:eastAsia="Times New Roman" w:hint="default"/>
          <w:spacing w:val="-8"/>
          <w:w w:val="100"/>
        </w:rPr>
        <w:t>2019</w:t>
      </w:r>
      <w:r>
        <w:rPr>
          <w:rFonts w:ascii="Times New Roman" w:hAnsi="Times New Roman" w:cs="Times New Roman" w:eastAsia="Times New Roman" w:hint="default"/>
          <w:spacing w:val="1"/>
          <w:w w:val="100"/>
        </w:rPr>
        <w:t> </w:t>
      </w:r>
      <w:r>
        <w:rPr>
          <w:spacing w:val="-1"/>
          <w:w w:val="100"/>
        </w:rPr>
        <w:t>修订）</w:t>
      </w:r>
      <w:r>
        <w:rPr>
          <w:spacing w:val="-92"/>
          <w:w w:val="100"/>
        </w:rPr>
        <w:t> </w:t>
      </w:r>
      <w:r>
        <w:rPr>
          <w:spacing w:val="-92"/>
          <w:w w:val="100"/>
        </w:rPr>
      </w:r>
      <w:r>
        <w:rPr/>
        <w:t>财政部于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日发布了《企业会计准则第</w:t>
      </w:r>
      <w:r>
        <w:rPr>
          <w:spacing w:val="-55"/>
        </w:rPr>
        <w:t> </w:t>
      </w:r>
      <w:r>
        <w:rPr>
          <w:rFonts w:ascii="Times New Roman" w:hAnsi="Times New Roman" w:cs="Times New Roman" w:eastAsia="Times New Roman" w:hint="default"/>
        </w:rPr>
        <w:t>7 </w:t>
      </w:r>
      <w:r>
        <w:rPr/>
        <w:t>号</w:t>
      </w:r>
      <w:r>
        <w:rPr>
          <w:rFonts w:ascii="Times New Roman" w:hAnsi="Times New Roman" w:cs="Times New Roman" w:eastAsia="Times New Roman" w:hint="default"/>
        </w:rPr>
        <w:t>——</w:t>
      </w:r>
      <w:r>
        <w:rPr/>
        <w:t>非货币性资产交</w:t>
      </w:r>
    </w:p>
    <w:p>
      <w:pPr>
        <w:pStyle w:val="BodyText"/>
        <w:spacing w:line="240" w:lineRule="auto" w:before="21"/>
        <w:ind w:right="0"/>
        <w:jc w:val="both"/>
        <w:rPr>
          <w:rFonts w:ascii="Times New Roman" w:hAnsi="Times New Roman" w:cs="Times New Roman" w:eastAsia="Times New Roman" w:hint="default"/>
        </w:rPr>
      </w:pPr>
      <w:r>
        <w:rPr/>
        <w:t>换》（</w:t>
      </w:r>
      <w:r>
        <w:rPr>
          <w:rFonts w:ascii="Times New Roman" w:hAnsi="Times New Roman" w:cs="Times New Roman" w:eastAsia="Times New Roman" w:hint="default"/>
        </w:rPr>
        <w:t>2019 </w:t>
      </w:r>
      <w:r>
        <w:rPr/>
        <w:t>修订）（财会〔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号），修订后的准则自</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10</w:t>
      </w:r>
    </w:p>
    <w:p>
      <w:pPr>
        <w:pStyle w:val="BodyText"/>
        <w:spacing w:line="240" w:lineRule="auto" w:before="107"/>
        <w:ind w:right="0"/>
        <w:jc w:val="both"/>
      </w:pPr>
      <w:r>
        <w:rPr>
          <w:w w:val="100"/>
        </w:rPr>
        <w:t>日起</w:t>
      </w:r>
      <w:r>
        <w:rPr>
          <w:spacing w:val="-3"/>
          <w:w w:val="100"/>
        </w:rPr>
        <w:t>施</w:t>
      </w:r>
      <w:r>
        <w:rPr>
          <w:w w:val="100"/>
        </w:rPr>
        <w:t>行</w:t>
      </w:r>
      <w:r>
        <w:rPr>
          <w:spacing w:val="-106"/>
          <w:w w:val="100"/>
        </w:rPr>
        <w:t>，</w:t>
      </w:r>
      <w:r>
        <w:rPr>
          <w:w w:val="100"/>
        </w:rPr>
        <w:t>对</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3"/>
          <w:w w:val="100"/>
        </w:rPr>
        <w:t>至</w:t>
      </w:r>
      <w:r>
        <w:rPr>
          <w:w w:val="100"/>
        </w:rPr>
        <w:t>本</w:t>
      </w:r>
      <w:r>
        <w:rPr>
          <w:spacing w:val="-3"/>
          <w:w w:val="100"/>
        </w:rPr>
        <w:t>准</w:t>
      </w:r>
      <w:r>
        <w:rPr>
          <w:w w:val="100"/>
        </w:rPr>
        <w:t>则</w:t>
      </w:r>
      <w:r>
        <w:rPr>
          <w:spacing w:val="-3"/>
          <w:w w:val="100"/>
        </w:rPr>
        <w:t>施</w:t>
      </w:r>
      <w:r>
        <w:rPr>
          <w:w w:val="100"/>
        </w:rPr>
        <w:t>行</w:t>
      </w:r>
      <w:r>
        <w:rPr>
          <w:spacing w:val="-3"/>
          <w:w w:val="100"/>
        </w:rPr>
        <w:t>日</w:t>
      </w:r>
      <w:r>
        <w:rPr>
          <w:w w:val="100"/>
        </w:rPr>
        <w:t>之</w:t>
      </w:r>
      <w:r>
        <w:rPr>
          <w:spacing w:val="-3"/>
          <w:w w:val="100"/>
        </w:rPr>
        <w:t>间</w:t>
      </w:r>
      <w:r>
        <w:rPr>
          <w:w w:val="100"/>
        </w:rPr>
        <w:t>发生</w:t>
      </w:r>
      <w:r>
        <w:rPr>
          <w:spacing w:val="-3"/>
          <w:w w:val="100"/>
        </w:rPr>
        <w:t>的</w:t>
      </w:r>
      <w:r>
        <w:rPr>
          <w:w w:val="100"/>
        </w:rPr>
        <w:t>非</w:t>
      </w:r>
      <w:r>
        <w:rPr>
          <w:spacing w:val="-3"/>
          <w:w w:val="100"/>
        </w:rPr>
        <w:t>货</w:t>
      </w:r>
      <w:r>
        <w:rPr>
          <w:w w:val="100"/>
        </w:rPr>
        <w:t>币</w:t>
      </w:r>
      <w:r>
        <w:rPr>
          <w:spacing w:val="-3"/>
          <w:w w:val="100"/>
        </w:rPr>
        <w:t>性</w:t>
      </w:r>
      <w:r>
        <w:rPr>
          <w:w w:val="100"/>
        </w:rPr>
        <w:t>资</w:t>
      </w:r>
      <w:r>
        <w:rPr>
          <w:spacing w:val="-3"/>
          <w:w w:val="100"/>
        </w:rPr>
        <w:t>产</w:t>
      </w:r>
      <w:r>
        <w:rPr>
          <w:w w:val="100"/>
        </w:rPr>
        <w:t>交</w:t>
      </w:r>
      <w:r>
        <w:rPr>
          <w:spacing w:val="-3"/>
          <w:w w:val="100"/>
        </w:rPr>
        <w:t>换</w:t>
      </w:r>
      <w:r>
        <w:rPr>
          <w:w w:val="100"/>
        </w:rPr>
        <w:t>，</w:t>
      </w:r>
    </w:p>
    <w:p>
      <w:pPr>
        <w:pStyle w:val="BodyText"/>
        <w:spacing w:line="338" w:lineRule="auto" w:before="110"/>
        <w:ind w:right="1786"/>
        <w:jc w:val="both"/>
      </w:pPr>
      <w:r>
        <w:rPr/>
        <w:t>应根据本准则进行调整。对</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日之前发生的非货币性资产交换，</w:t>
      </w:r>
      <w:r>
        <w:rPr>
          <w:w w:val="100"/>
        </w:rPr>
        <w:t> </w:t>
      </w:r>
      <w:r>
        <w:rPr>
          <w:spacing w:val="-5"/>
          <w:w w:val="100"/>
        </w:rPr>
        <w:t>不需要按照本准则的规定进行追溯调整。本公司执行上述准则在本报告期内无</w:t>
      </w:r>
      <w:r>
        <w:rPr>
          <w:spacing w:val="-83"/>
          <w:w w:val="100"/>
        </w:rPr>
        <w:t> </w:t>
      </w:r>
      <w:r>
        <w:rPr>
          <w:spacing w:val="-83"/>
          <w:w w:val="100"/>
        </w:rPr>
      </w:r>
      <w:r>
        <w:rPr/>
        <w:t>重大影响。</w:t>
      </w:r>
    </w:p>
    <w:p>
      <w:pPr>
        <w:pStyle w:val="BodyText"/>
        <w:spacing w:line="240" w:lineRule="auto" w:before="40"/>
        <w:ind w:right="0"/>
        <w:jc w:val="both"/>
      </w:pPr>
      <w:r>
        <w:rPr>
          <w:w w:val="100"/>
        </w:rPr>
        <w:t>（</w:t>
      </w:r>
      <w:r>
        <w:rPr>
          <w:rFonts w:ascii="Times New Roman" w:hAnsi="Times New Roman" w:cs="Times New Roman" w:eastAsia="Times New Roman" w:hint="default"/>
          <w:w w:val="100"/>
        </w:rPr>
        <w:t>4</w:t>
      </w:r>
      <w:r>
        <w:rPr>
          <w:spacing w:val="-3"/>
          <w:w w:val="100"/>
        </w:rPr>
        <w:t>）</w:t>
      </w:r>
      <w:r>
        <w:rPr>
          <w:w w:val="100"/>
        </w:rPr>
        <w:t>执</w:t>
      </w:r>
      <w:r>
        <w:rPr>
          <w:spacing w:val="-3"/>
          <w:w w:val="100"/>
        </w:rPr>
        <w:t>行</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债</w:t>
      </w:r>
      <w:r>
        <w:rPr>
          <w:w w:val="100"/>
        </w:rPr>
        <w:t>务</w:t>
      </w:r>
      <w:r>
        <w:rPr>
          <w:spacing w:val="-3"/>
          <w:w w:val="100"/>
        </w:rPr>
        <w:t>重</w:t>
      </w:r>
      <w:r>
        <w:rPr>
          <w:w w:val="100"/>
        </w:rPr>
        <w:t>组</w:t>
      </w:r>
      <w:r>
        <w:rPr>
          <w:spacing w:val="-106"/>
          <w:w w:val="100"/>
        </w:rPr>
        <w:t>》</w:t>
      </w:r>
      <w:r>
        <w:rPr>
          <w:spacing w:val="-3"/>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rPr>
        <w:t> </w:t>
      </w:r>
      <w:r>
        <w:rPr>
          <w:spacing w:val="-3"/>
          <w:w w:val="100"/>
        </w:rPr>
        <w:t>修</w:t>
      </w:r>
      <w:r>
        <w:rPr>
          <w:w w:val="100"/>
        </w:rPr>
        <w:t>订）</w:t>
      </w:r>
    </w:p>
    <w:p>
      <w:pPr>
        <w:pStyle w:val="BodyText"/>
        <w:spacing w:line="240" w:lineRule="auto" w:before="110"/>
        <w:ind w:right="0"/>
        <w:jc w:val="both"/>
        <w:rPr>
          <w:rFonts w:ascii="Times New Roman" w:hAnsi="Times New Roman" w:cs="Times New Roman" w:eastAsia="Times New Roman" w:hint="default"/>
        </w:rPr>
      </w:pPr>
      <w:r>
        <w:rPr>
          <w:w w:val="100"/>
        </w:rPr>
        <w:t>财政</w:t>
      </w:r>
      <w:r>
        <w:rPr>
          <w:spacing w:val="-3"/>
          <w:w w:val="100"/>
        </w:rPr>
        <w:t>部</w:t>
      </w:r>
      <w:r>
        <w:rPr>
          <w:w w:val="100"/>
        </w:rPr>
        <w:t>于</w:t>
      </w:r>
      <w:r>
        <w:rPr>
          <w:spacing w:val="-67"/>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15"/>
        </w:rPr>
        <w:t> </w:t>
      </w:r>
      <w:r>
        <w:rPr>
          <w:w w:val="100"/>
        </w:rPr>
        <w:t>年</w:t>
      </w:r>
      <w:r>
        <w:rPr>
          <w:spacing w:val="-67"/>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5"/>
        </w:rPr>
        <w:t> </w:t>
      </w:r>
      <w:r>
        <w:rPr>
          <w:w w:val="100"/>
        </w:rPr>
        <w:t>月</w:t>
      </w:r>
      <w:r>
        <w:rPr>
          <w:spacing w:val="-65"/>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2"/>
        </w:rPr>
        <w:t> </w:t>
      </w:r>
      <w:r>
        <w:rPr>
          <w:spacing w:val="-3"/>
          <w:w w:val="100"/>
        </w:rPr>
        <w:t>日</w:t>
      </w:r>
      <w:r>
        <w:rPr>
          <w:w w:val="100"/>
        </w:rPr>
        <w:t>发布</w:t>
      </w:r>
      <w:r>
        <w:rPr>
          <w:spacing w:val="-108"/>
          <w:w w:val="100"/>
        </w:rPr>
        <w:t>了</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65"/>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12"/>
        </w:rPr>
        <w:t> </w:t>
      </w:r>
      <w:r>
        <w:rPr>
          <w:spacing w:val="-3"/>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债</w:t>
      </w:r>
      <w:r>
        <w:rPr>
          <w:spacing w:val="-3"/>
          <w:w w:val="100"/>
        </w:rPr>
        <w:t>务</w:t>
      </w:r>
      <w:r>
        <w:rPr>
          <w:w w:val="100"/>
        </w:rPr>
        <w:t>重</w:t>
      </w:r>
      <w:r>
        <w:rPr>
          <w:spacing w:val="-3"/>
          <w:w w:val="100"/>
        </w:rPr>
        <w:t>组</w:t>
      </w:r>
      <w:r>
        <w:rPr>
          <w:spacing w:val="-209"/>
          <w:w w:val="100"/>
        </w:rPr>
        <w:t>（</w:t>
      </w:r>
      <w:r>
        <w:rPr>
          <w:spacing w:val="-2"/>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p>
    <w:p>
      <w:pPr>
        <w:pStyle w:val="BodyText"/>
        <w:spacing w:line="240" w:lineRule="auto" w:before="108"/>
        <w:ind w:right="0"/>
        <w:jc w:val="both"/>
      </w:pPr>
      <w:r>
        <w:rPr>
          <w:spacing w:val="-4"/>
        </w:rPr>
        <w:t>修订）（财会〔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9</w:t>
      </w:r>
      <w:r>
        <w:rPr>
          <w:rFonts w:ascii="Times New Roman" w:hAnsi="Times New Roman" w:cs="Times New Roman" w:eastAsia="Times New Roman" w:hint="default"/>
          <w:spacing w:val="5"/>
        </w:rPr>
        <w:t> </w:t>
      </w:r>
      <w:r>
        <w:rPr>
          <w:spacing w:val="-4"/>
        </w:rPr>
        <w:t>号），修订后的准则自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spacing w:val="-3"/>
        </w:rPr>
        <w:t>日起施行，对</w:t>
      </w:r>
    </w:p>
    <w:p>
      <w:pPr>
        <w:pStyle w:val="BodyText"/>
        <w:spacing w:line="240" w:lineRule="auto" w:before="110"/>
        <w:ind w:right="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日至本准则施行日之间发生的债务重组，应根据本准则进行调</w:t>
      </w:r>
    </w:p>
    <w:p>
      <w:pPr>
        <w:pStyle w:val="BodyText"/>
        <w:spacing w:line="328" w:lineRule="auto" w:before="110"/>
        <w:ind w:right="1468"/>
        <w:jc w:val="left"/>
      </w:pPr>
      <w:r>
        <w:rPr/>
        <w:t>整。对</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日之前发生的债务重组，不需要按照本准则的规定进行</w:t>
      </w:r>
      <w:r>
        <w:rPr>
          <w:w w:val="100"/>
        </w:rPr>
        <w:t> </w:t>
      </w:r>
      <w:r>
        <w:rPr/>
        <w:t>追溯调整。本公司执行上述准则在本报告期内无重大影响。</w:t>
      </w:r>
    </w:p>
    <w:p>
      <w:pPr>
        <w:pStyle w:val="BodyText"/>
        <w:spacing w:line="343" w:lineRule="auto" w:before="48"/>
        <w:ind w:right="1784"/>
        <w:jc w:val="left"/>
      </w:pPr>
      <w:r>
        <w:rPr/>
        <w:t>（</w:t>
      </w:r>
      <w:r>
        <w:rPr>
          <w:rFonts w:ascii="Times New Roman" w:hAnsi="Times New Roman" w:cs="Times New Roman" w:eastAsia="Times New Roman" w:hint="default"/>
        </w:rPr>
        <w:t>5</w:t>
      </w:r>
      <w:r>
        <w:rPr/>
        <w:t>）投资性房地产后续计量模式会计政策变更</w:t>
      </w:r>
      <w:r>
        <w:rPr>
          <w:w w:val="100"/>
        </w:rPr>
        <w:t> </w:t>
      </w:r>
      <w:r>
        <w:rPr>
          <w:spacing w:val="-5"/>
          <w:w w:val="100"/>
        </w:rPr>
        <w:t>为了更加客观的反映公司持有的投资性房地产真实价值，增强公司财务信息的</w:t>
      </w:r>
      <w:r>
        <w:rPr>
          <w:spacing w:val="-84"/>
          <w:w w:val="100"/>
        </w:rPr>
        <w:t> </w:t>
      </w:r>
      <w:r>
        <w:rPr>
          <w:spacing w:val="-84"/>
          <w:w w:val="100"/>
        </w:rPr>
      </w:r>
      <w:r>
        <w:rPr>
          <w:spacing w:val="-5"/>
        </w:rPr>
        <w:t>准确性，并与母公司中国电子信息产业集团有限公司的会计政策保持一致，根</w:t>
      </w:r>
      <w:r>
        <w:rPr>
          <w:spacing w:val="-45"/>
        </w:rPr>
        <w:t> </w:t>
      </w:r>
      <w:r>
        <w:rPr>
          <w:spacing w:val="-45"/>
        </w:rPr>
      </w:r>
      <w:r>
        <w:rPr>
          <w:spacing w:val="-2"/>
          <w:w w:val="100"/>
        </w:rPr>
        <w:t>据《企业会计准则第</w:t>
      </w:r>
      <w:r>
        <w:rPr>
          <w:spacing w:val="-46"/>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6"/>
          <w:w w:val="100"/>
        </w:rPr>
        <w:t> </w:t>
      </w:r>
      <w:r>
        <w:rPr>
          <w:spacing w:val="-14"/>
          <w:w w:val="100"/>
        </w:rPr>
        <w:t>号</w:t>
      </w:r>
      <w:r>
        <w:rPr>
          <w:rFonts w:ascii="Times New Roman" w:hAnsi="Times New Roman" w:cs="Times New Roman" w:eastAsia="Times New Roman" w:hint="default"/>
          <w:spacing w:val="-14"/>
          <w:w w:val="100"/>
        </w:rPr>
        <w:t>—</w:t>
      </w:r>
      <w:r>
        <w:rPr>
          <w:spacing w:val="-14"/>
          <w:w w:val="100"/>
        </w:rPr>
        <w:t>投资性房地产》、《企业会计准则第</w:t>
      </w:r>
      <w:r>
        <w:rPr>
          <w:spacing w:val="-48"/>
          <w:w w:val="100"/>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4"/>
          <w:w w:val="100"/>
        </w:rPr>
        <w:t> </w:t>
      </w:r>
      <w:r>
        <w:rPr>
          <w:spacing w:val="-2"/>
          <w:w w:val="100"/>
        </w:rPr>
        <w:t>号</w:t>
      </w:r>
      <w:r>
        <w:rPr>
          <w:rFonts w:ascii="Times New Roman" w:hAnsi="Times New Roman" w:cs="Times New Roman" w:eastAsia="Times New Roman" w:hint="default"/>
          <w:spacing w:val="-2"/>
          <w:w w:val="100"/>
        </w:rPr>
        <w:t>—</w:t>
      </w:r>
      <w:r>
        <w:rPr>
          <w:spacing w:val="-2"/>
          <w:w w:val="100"/>
        </w:rPr>
        <w:t>会计政</w:t>
      </w:r>
    </w:p>
    <w:p>
      <w:pPr>
        <w:pStyle w:val="BodyText"/>
        <w:spacing w:line="340" w:lineRule="auto" w:before="10"/>
        <w:ind w:right="1786"/>
        <w:jc w:val="both"/>
      </w:pPr>
      <w:r>
        <w:rPr/>
        <w:t>策、会计估计变更和差错更正》的相关规定，公司自</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日起对投</w:t>
      </w:r>
      <w:r>
        <w:rPr>
          <w:w w:val="100"/>
        </w:rPr>
        <w:t> </w:t>
      </w:r>
      <w:r>
        <w:rPr>
          <w:spacing w:val="-5"/>
          <w:w w:val="100"/>
        </w:rPr>
        <w:t>资性房地产的后续计量模式进行会计政策变更，由成本计量模式变更为公允价</w:t>
      </w:r>
      <w:r>
        <w:rPr>
          <w:spacing w:val="-85"/>
          <w:w w:val="100"/>
        </w:rPr>
        <w:t> </w:t>
      </w:r>
      <w:r>
        <w:rPr>
          <w:spacing w:val="-85"/>
          <w:w w:val="100"/>
        </w:rPr>
      </w:r>
      <w:r>
        <w:rPr/>
        <w:t>值计</w:t>
      </w:r>
      <w:r>
        <w:rPr>
          <w:spacing w:val="2"/>
        </w:rPr>
        <w:t> </w:t>
      </w:r>
      <w:r>
        <w:rPr/>
        <w:t>量模式。</w:t>
      </w:r>
    </w:p>
    <w:p>
      <w:pPr>
        <w:pStyle w:val="BodyText"/>
        <w:spacing w:line="240" w:lineRule="auto" w:before="37"/>
        <w:ind w:right="0"/>
        <w:jc w:val="both"/>
      </w:pPr>
      <w:r>
        <w:rPr/>
        <w:t>本次会计政策变更追溯调整对公司 </w:t>
      </w:r>
      <w:r>
        <w:rPr>
          <w:rFonts w:ascii="Times New Roman" w:hAnsi="Times New Roman" w:cs="Times New Roman" w:eastAsia="Times New Roman" w:hint="default"/>
        </w:rPr>
        <w:t>2018</w:t>
      </w:r>
      <w:r>
        <w:rPr>
          <w:rFonts w:ascii="Times New Roman" w:hAnsi="Times New Roman" w:cs="Times New Roman" w:eastAsia="Times New Roman" w:hint="default"/>
          <w:spacing w:val="50"/>
        </w:rPr>
        <w:t> </w:t>
      </w:r>
      <w:r>
        <w:rPr/>
        <w:t>年度合并财务报表影响如下：</w:t>
      </w:r>
    </w:p>
    <w:tbl>
      <w:tblPr>
        <w:tblW w:w="0" w:type="auto"/>
        <w:jc w:val="left"/>
        <w:tblInd w:w="721" w:type="dxa"/>
        <w:tblLayout w:type="fixed"/>
        <w:tblCellMar>
          <w:top w:w="0" w:type="dxa"/>
          <w:left w:w="0" w:type="dxa"/>
          <w:bottom w:w="0" w:type="dxa"/>
          <w:right w:w="0" w:type="dxa"/>
        </w:tblCellMar>
        <w:tblLook w:val="01E0"/>
      </w:tblPr>
      <w:tblGrid>
        <w:gridCol w:w="600"/>
        <w:gridCol w:w="2110"/>
        <w:gridCol w:w="1721"/>
        <w:gridCol w:w="1783"/>
        <w:gridCol w:w="1990"/>
      </w:tblGrid>
      <w:tr>
        <w:trPr>
          <w:trHeight w:val="362" w:hRule="exact"/>
        </w:trPr>
        <w:tc>
          <w:tcPr>
            <w:tcW w:w="60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left="146" w:right="0"/>
              <w:jc w:val="left"/>
              <w:rPr>
                <w:rFonts w:ascii="宋体" w:hAnsi="宋体" w:cs="宋体" w:eastAsia="宋体" w:hint="default"/>
                <w:sz w:val="16"/>
                <w:szCs w:val="16"/>
              </w:rPr>
            </w:pPr>
            <w:r>
              <w:rPr>
                <w:rFonts w:ascii="宋体" w:hAnsi="宋体" w:cs="宋体" w:eastAsia="宋体" w:hint="default"/>
                <w:sz w:val="16"/>
                <w:szCs w:val="16"/>
              </w:rPr>
              <w:t>序号</w:t>
            </w:r>
          </w:p>
        </w:tc>
        <w:tc>
          <w:tcPr>
            <w:tcW w:w="211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right="2"/>
              <w:jc w:val="center"/>
              <w:rPr>
                <w:rFonts w:ascii="宋体" w:hAnsi="宋体" w:cs="宋体" w:eastAsia="宋体" w:hint="default"/>
                <w:sz w:val="16"/>
                <w:szCs w:val="16"/>
              </w:rPr>
            </w:pPr>
            <w:r>
              <w:rPr>
                <w:rFonts w:ascii="宋体" w:hAnsi="宋体" w:cs="宋体" w:eastAsia="宋体" w:hint="default"/>
                <w:sz w:val="16"/>
                <w:szCs w:val="16"/>
              </w:rPr>
              <w:t>报表项目</w:t>
            </w:r>
          </w:p>
        </w:tc>
        <w:tc>
          <w:tcPr>
            <w:tcW w:w="549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5"/>
              <w:jc w:val="center"/>
              <w:rPr>
                <w:rFonts w:ascii="宋体" w:hAnsi="宋体" w:cs="宋体" w:eastAsia="宋体" w:hint="default"/>
                <w:sz w:val="16"/>
                <w:szCs w:val="16"/>
              </w:rPr>
            </w:pPr>
            <w:r>
              <w:rPr>
                <w:rFonts w:ascii="宋体" w:hAnsi="宋体" w:cs="宋体" w:eastAsia="宋体" w:hint="default"/>
                <w:sz w:val="16"/>
                <w:szCs w:val="16"/>
              </w:rPr>
              <w:t>合并资产负债表</w:t>
            </w:r>
            <w:r>
              <w:rPr>
                <w:rFonts w:ascii="Times New Roman" w:hAnsi="Times New Roman" w:cs="Times New Roman" w:eastAsia="Times New Roman" w:hint="default"/>
                <w:sz w:val="16"/>
                <w:szCs w:val="16"/>
              </w:rPr>
              <w:t>/</w:t>
            </w:r>
            <w:r>
              <w:rPr>
                <w:rFonts w:ascii="宋体" w:hAnsi="宋体" w:cs="宋体" w:eastAsia="宋体" w:hint="default"/>
                <w:sz w:val="16"/>
                <w:szCs w:val="16"/>
              </w:rPr>
              <w:t>利润表</w:t>
            </w:r>
          </w:p>
        </w:tc>
      </w:tr>
      <w:tr>
        <w:trPr>
          <w:trHeight w:val="602" w:hRule="exact"/>
        </w:trPr>
        <w:tc>
          <w:tcPr>
            <w:tcW w:w="600" w:type="dxa"/>
            <w:vMerge/>
            <w:tcBorders>
              <w:left w:val="nil" w:sz="6" w:space="0" w:color="auto"/>
              <w:bottom w:val="dotted" w:sz="4" w:space="0" w:color="000000"/>
              <w:right w:val="dotted" w:sz="4" w:space="0" w:color="000000"/>
            </w:tcBorders>
          </w:tcPr>
          <w:p>
            <w:pPr/>
          </w:p>
        </w:tc>
        <w:tc>
          <w:tcPr>
            <w:tcW w:w="2110" w:type="dxa"/>
            <w:vMerge/>
            <w:tcBorders>
              <w:left w:val="dotted" w:sz="4" w:space="0" w:color="000000"/>
              <w:bottom w:val="dotted" w:sz="4" w:space="0" w:color="000000"/>
              <w:right w:val="dotted" w:sz="4" w:space="0" w:color="000000"/>
            </w:tcBorders>
          </w:tcPr>
          <w:p>
            <w:pP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87"/>
              <w:ind w:left="374" w:right="99" w:hanging="274"/>
              <w:jc w:val="lef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21"/>
                <w:sz w:val="16"/>
                <w:szCs w:val="16"/>
              </w:rPr>
              <w:t> </w:t>
            </w:r>
            <w:r>
              <w:rPr>
                <w:rFonts w:ascii="宋体" w:hAnsi="宋体" w:cs="宋体" w:eastAsia="宋体" w:hint="default"/>
                <w:sz w:val="16"/>
                <w:szCs w:val="16"/>
              </w:rPr>
              <w:t>年期初</w:t>
            </w:r>
            <w:r>
              <w:rPr>
                <w:rFonts w:ascii="Times New Roman" w:hAnsi="Times New Roman" w:cs="Times New Roman" w:eastAsia="Times New Roman" w:hint="default"/>
                <w:sz w:val="16"/>
                <w:szCs w:val="16"/>
              </w:rPr>
              <w:t>/</w:t>
            </w:r>
            <w:r>
              <w:rPr>
                <w:rFonts w:ascii="宋体" w:hAnsi="宋体" w:cs="宋体" w:eastAsia="宋体" w:hint="default"/>
                <w:sz w:val="16"/>
                <w:szCs w:val="16"/>
              </w:rPr>
              <w:t>上期重新</w:t>
            </w:r>
            <w:r>
              <w:rPr>
                <w:rFonts w:ascii="宋体" w:hAnsi="宋体" w:cs="宋体" w:eastAsia="宋体" w:hint="default"/>
                <w:w w:val="100"/>
                <w:sz w:val="16"/>
                <w:szCs w:val="16"/>
              </w:rPr>
              <w:t> </w:t>
            </w:r>
            <w:r>
              <w:rPr>
                <w:rFonts w:ascii="宋体" w:hAnsi="宋体" w:cs="宋体" w:eastAsia="宋体" w:hint="default"/>
                <w:sz w:val="16"/>
                <w:szCs w:val="16"/>
              </w:rPr>
              <w:t>计量影响金额</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68" w:lineRule="auto" w:before="43"/>
              <w:ind w:left="566" w:right="302" w:hanging="260"/>
              <w:jc w:val="lef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年重新计量</w:t>
            </w:r>
            <w:r>
              <w:rPr>
                <w:rFonts w:ascii="宋体" w:hAnsi="宋体" w:cs="宋体" w:eastAsia="宋体" w:hint="default"/>
                <w:w w:val="100"/>
                <w:sz w:val="16"/>
                <w:szCs w:val="16"/>
              </w:rPr>
              <w:t> </w:t>
            </w:r>
            <w:r>
              <w:rPr>
                <w:rFonts w:ascii="宋体" w:hAnsi="宋体" w:cs="宋体" w:eastAsia="宋体" w:hint="default"/>
                <w:sz w:val="16"/>
                <w:szCs w:val="16"/>
              </w:rPr>
              <w:t>影响金额</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14" w:lineRule="exact" w:before="65"/>
              <w:ind w:right="4"/>
              <w:jc w:val="center"/>
              <w:rPr>
                <w:rFonts w:ascii="Times New Roman" w:hAnsi="Times New Roman" w:cs="Times New Roman" w:eastAsia="Times New Roman" w:hint="default"/>
                <w:sz w:val="16"/>
                <w:szCs w:val="16"/>
              </w:rPr>
            </w:pPr>
            <w:r>
              <w:rPr>
                <w:rFonts w:ascii="宋体" w:hAnsi="宋体" w:cs="宋体" w:eastAsia="宋体" w:hint="default"/>
                <w:sz w:val="16"/>
                <w:szCs w:val="16"/>
              </w:rPr>
              <w:t>至</w:t>
            </w:r>
            <w:r>
              <w:rPr>
                <w:rFonts w:ascii="宋体" w:hAnsi="宋体" w:cs="宋体" w:eastAsia="宋体" w:hint="default"/>
                <w:spacing w:val="-61"/>
                <w:sz w:val="16"/>
                <w:szCs w:val="16"/>
              </w:rPr>
              <w:t>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21"/>
                <w:sz w:val="16"/>
                <w:szCs w:val="16"/>
              </w:rPr>
              <w:t> </w:t>
            </w:r>
            <w:r>
              <w:rPr>
                <w:rFonts w:ascii="宋体" w:hAnsi="宋体" w:cs="宋体" w:eastAsia="宋体" w:hint="default"/>
                <w:sz w:val="16"/>
                <w:szCs w:val="16"/>
              </w:rPr>
              <w:t>年</w:t>
            </w:r>
            <w:r>
              <w:rPr>
                <w:rFonts w:ascii="宋体" w:hAnsi="宋体" w:cs="宋体" w:eastAsia="宋体" w:hint="default"/>
                <w:spacing w:val="-61"/>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22"/>
                <w:sz w:val="16"/>
                <w:szCs w:val="16"/>
              </w:rPr>
              <w:t> </w:t>
            </w:r>
            <w:r>
              <w:rPr>
                <w:rFonts w:ascii="宋体" w:hAnsi="宋体" w:cs="宋体" w:eastAsia="宋体" w:hint="default"/>
                <w:sz w:val="16"/>
                <w:szCs w:val="16"/>
              </w:rPr>
              <w:t>月</w:t>
            </w:r>
            <w:r>
              <w:rPr>
                <w:rFonts w:ascii="宋体" w:hAnsi="宋体" w:cs="宋体" w:eastAsia="宋体" w:hint="default"/>
                <w:spacing w:val="-61"/>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20"/>
                <w:sz w:val="16"/>
                <w:szCs w:val="16"/>
              </w:rPr>
              <w:t> </w:t>
            </w:r>
            <w:r>
              <w:rPr>
                <w:rFonts w:ascii="宋体" w:hAnsi="宋体" w:cs="宋体" w:eastAsia="宋体" w:hint="default"/>
                <w:sz w:val="16"/>
                <w:szCs w:val="16"/>
              </w:rPr>
              <w:t>日</w:t>
            </w:r>
            <w:r>
              <w:rPr>
                <w:rFonts w:ascii="Times New Roman" w:hAnsi="Times New Roman" w:cs="Times New Roman" w:eastAsia="Times New Roman" w:hint="default"/>
                <w:sz w:val="16"/>
                <w:szCs w:val="16"/>
              </w:rPr>
              <w:t>/2018</w:t>
            </w:r>
          </w:p>
          <w:p>
            <w:pPr>
              <w:pStyle w:val="TableParagraph"/>
              <w:spacing w:line="202" w:lineRule="exact"/>
              <w:ind w:right="5"/>
              <w:jc w:val="center"/>
              <w:rPr>
                <w:rFonts w:ascii="宋体" w:hAnsi="宋体" w:cs="宋体" w:eastAsia="宋体" w:hint="default"/>
                <w:sz w:val="16"/>
                <w:szCs w:val="16"/>
              </w:rPr>
            </w:pPr>
            <w:r>
              <w:rPr>
                <w:rFonts w:ascii="宋体" w:hAnsi="宋体" w:cs="宋体" w:eastAsia="宋体" w:hint="default"/>
                <w:sz w:val="16"/>
                <w:szCs w:val="16"/>
              </w:rPr>
              <w:t>年度累计影响金额</w:t>
            </w:r>
          </w:p>
        </w:tc>
      </w:tr>
      <w:tr>
        <w:trPr>
          <w:trHeight w:val="353" w:hRule="exact"/>
        </w:trPr>
        <w:tc>
          <w:tcPr>
            <w:tcW w:w="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8" w:right="0"/>
              <w:jc w:val="center"/>
              <w:rPr>
                <w:rFonts w:ascii="Times New Roman" w:hAnsi="Times New Roman" w:cs="Times New Roman" w:eastAsia="Times New Roman" w:hint="default"/>
                <w:sz w:val="16"/>
                <w:szCs w:val="16"/>
              </w:rPr>
            </w:pPr>
            <w:r>
              <w:rPr>
                <w:rFonts w:ascii="Times New Roman"/>
                <w:w w:val="100"/>
                <w:sz w:val="16"/>
              </w:rPr>
              <w:t>1</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659,317,443.53</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176,643,823.70</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835,961,267.23</w:t>
            </w:r>
          </w:p>
        </w:tc>
      </w:tr>
      <w:tr>
        <w:trPr>
          <w:trHeight w:val="353" w:hRule="exact"/>
        </w:trPr>
        <w:tc>
          <w:tcPr>
            <w:tcW w:w="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0"/>
              <w:ind w:left="18" w:right="0"/>
              <w:jc w:val="center"/>
              <w:rPr>
                <w:rFonts w:ascii="Times New Roman" w:hAnsi="Times New Roman" w:cs="Times New Roman" w:eastAsia="Times New Roman" w:hint="default"/>
                <w:sz w:val="16"/>
                <w:szCs w:val="16"/>
              </w:rPr>
            </w:pPr>
            <w:r>
              <w:rPr>
                <w:rFonts w:ascii="Times New Roman"/>
                <w:w w:val="100"/>
                <w:sz w:val="16"/>
              </w:rPr>
              <w:t>2</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1721" w:type="dxa"/>
            <w:tcBorders>
              <w:top w:val="dotted" w:sz="4" w:space="0" w:color="000000"/>
              <w:left w:val="dotted" w:sz="4" w:space="0" w:color="000000"/>
              <w:bottom w:val="dotted" w:sz="4" w:space="0" w:color="000000"/>
              <w:right w:val="dotted" w:sz="4" w:space="0" w:color="000000"/>
            </w:tcBorders>
          </w:tcPr>
          <w:p>
            <w:pP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1,419,271.18</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1,419,271.18</w:t>
            </w:r>
          </w:p>
        </w:tc>
      </w:tr>
      <w:tr>
        <w:trPr>
          <w:trHeight w:val="355" w:hRule="exact"/>
        </w:trPr>
        <w:tc>
          <w:tcPr>
            <w:tcW w:w="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0"/>
              <w:ind w:left="18" w:right="0"/>
              <w:jc w:val="center"/>
              <w:rPr>
                <w:rFonts w:ascii="Times New Roman" w:hAnsi="Times New Roman" w:cs="Times New Roman" w:eastAsia="Times New Roman" w:hint="default"/>
                <w:sz w:val="16"/>
                <w:szCs w:val="16"/>
              </w:rPr>
            </w:pPr>
            <w:r>
              <w:rPr>
                <w:rFonts w:ascii="Times New Roman"/>
                <w:w w:val="100"/>
                <w:sz w:val="16"/>
              </w:rPr>
              <w:t>3</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2"/>
                <w:sz w:val="16"/>
              </w:rPr>
              <w:t>69,552,255.29</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30,667,920.69</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1"/>
                <w:sz w:val="16"/>
              </w:rPr>
              <w:t>100,220,175.98</w:t>
            </w:r>
          </w:p>
        </w:tc>
      </w:tr>
      <w:tr>
        <w:trPr>
          <w:trHeight w:val="353" w:hRule="exact"/>
        </w:trPr>
        <w:tc>
          <w:tcPr>
            <w:tcW w:w="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8" w:right="0"/>
              <w:jc w:val="center"/>
              <w:rPr>
                <w:rFonts w:ascii="Times New Roman" w:hAnsi="Times New Roman" w:cs="Times New Roman" w:eastAsia="Times New Roman" w:hint="default"/>
                <w:sz w:val="16"/>
                <w:szCs w:val="16"/>
              </w:rPr>
            </w:pPr>
            <w:r>
              <w:rPr>
                <w:rFonts w:ascii="Times New Roman"/>
                <w:w w:val="100"/>
                <w:sz w:val="16"/>
              </w:rPr>
              <w:t>4</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14,517,096.51</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4,706,923.17</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19,224,019.68</w:t>
            </w:r>
          </w:p>
        </w:tc>
      </w:tr>
      <w:tr>
        <w:trPr>
          <w:trHeight w:val="353" w:hRule="exact"/>
        </w:trPr>
        <w:tc>
          <w:tcPr>
            <w:tcW w:w="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8" w:right="0"/>
              <w:jc w:val="center"/>
              <w:rPr>
                <w:rFonts w:ascii="Times New Roman" w:hAnsi="Times New Roman" w:cs="Times New Roman" w:eastAsia="Times New Roman" w:hint="default"/>
                <w:sz w:val="16"/>
                <w:szCs w:val="16"/>
              </w:rPr>
            </w:pPr>
            <w:r>
              <w:rPr>
                <w:rFonts w:ascii="Times New Roman"/>
                <w:w w:val="100"/>
                <w:sz w:val="16"/>
              </w:rPr>
              <w:t>5</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50,958,080.59</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8,880,241.57</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59,838,322.16</w:t>
            </w:r>
          </w:p>
        </w:tc>
      </w:tr>
      <w:tr>
        <w:trPr>
          <w:trHeight w:val="356" w:hRule="exact"/>
        </w:trPr>
        <w:tc>
          <w:tcPr>
            <w:tcW w:w="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0"/>
              <w:ind w:left="18" w:right="0"/>
              <w:jc w:val="center"/>
              <w:rPr>
                <w:rFonts w:ascii="Times New Roman" w:hAnsi="Times New Roman" w:cs="Times New Roman" w:eastAsia="Times New Roman" w:hint="default"/>
                <w:sz w:val="16"/>
                <w:szCs w:val="16"/>
              </w:rPr>
            </w:pPr>
            <w:r>
              <w:rPr>
                <w:rFonts w:ascii="Times New Roman"/>
                <w:w w:val="100"/>
                <w:sz w:val="16"/>
              </w:rPr>
              <w:t>6</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513,990,776.15</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118,895,888.10</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1"/>
                <w:sz w:val="16"/>
              </w:rPr>
              <w:t>632,886,664.25</w:t>
            </w:r>
          </w:p>
        </w:tc>
      </w:tr>
      <w:tr>
        <w:trPr>
          <w:trHeight w:val="353" w:hRule="exact"/>
        </w:trPr>
        <w:tc>
          <w:tcPr>
            <w:tcW w:w="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8" w:right="0"/>
              <w:jc w:val="center"/>
              <w:rPr>
                <w:rFonts w:ascii="Times New Roman" w:hAnsi="Times New Roman" w:cs="Times New Roman" w:eastAsia="Times New Roman" w:hint="default"/>
                <w:sz w:val="16"/>
                <w:szCs w:val="16"/>
              </w:rPr>
            </w:pPr>
            <w:r>
              <w:rPr>
                <w:rFonts w:ascii="Times New Roman"/>
                <w:w w:val="100"/>
                <w:sz w:val="16"/>
              </w:rPr>
              <w:t>7</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10,299,234.99</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14,912,121.35</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25,211,356.34</w:t>
            </w:r>
          </w:p>
        </w:tc>
      </w:tr>
      <w:tr>
        <w:trPr>
          <w:trHeight w:val="353" w:hRule="exact"/>
        </w:trPr>
        <w:tc>
          <w:tcPr>
            <w:tcW w:w="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8" w:right="0"/>
              <w:jc w:val="center"/>
              <w:rPr>
                <w:rFonts w:ascii="Times New Roman" w:hAnsi="Times New Roman" w:cs="Times New Roman" w:eastAsia="Times New Roman" w:hint="default"/>
                <w:sz w:val="16"/>
                <w:szCs w:val="16"/>
              </w:rPr>
            </w:pPr>
            <w:r>
              <w:rPr>
                <w:rFonts w:ascii="Times New Roman"/>
                <w:w w:val="100"/>
                <w:sz w:val="16"/>
              </w:rPr>
              <w:t>8</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营业成本</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-23,716,705.89</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-23,125,239.36</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-46,841,945.25</w:t>
            </w:r>
          </w:p>
        </w:tc>
      </w:tr>
      <w:tr>
        <w:trPr>
          <w:trHeight w:val="353" w:hRule="exact"/>
        </w:trPr>
        <w:tc>
          <w:tcPr>
            <w:tcW w:w="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0"/>
              <w:ind w:left="18" w:right="0"/>
              <w:jc w:val="center"/>
              <w:rPr>
                <w:rFonts w:ascii="Times New Roman" w:hAnsi="Times New Roman" w:cs="Times New Roman" w:eastAsia="Times New Roman" w:hint="default"/>
                <w:sz w:val="16"/>
                <w:szCs w:val="16"/>
              </w:rPr>
            </w:pPr>
            <w:r>
              <w:rPr>
                <w:rFonts w:ascii="Times New Roman"/>
                <w:w w:val="100"/>
                <w:sz w:val="16"/>
              </w:rPr>
              <w:t>9</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公允价值变动收益</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2"/>
                <w:sz w:val="16"/>
              </w:rPr>
              <w:t>74,031,641.52</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148,661,957.96</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1"/>
                <w:sz w:val="16"/>
              </w:rPr>
              <w:t>222,693,599.48</w:t>
            </w:r>
          </w:p>
        </w:tc>
      </w:tr>
      <w:tr>
        <w:trPr>
          <w:trHeight w:val="355" w:hRule="exact"/>
        </w:trPr>
        <w:tc>
          <w:tcPr>
            <w:tcW w:w="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0"/>
              <w:ind w:left="19" w:right="0"/>
              <w:jc w:val="center"/>
              <w:rPr>
                <w:rFonts w:ascii="Times New Roman" w:hAnsi="Times New Roman" w:cs="Times New Roman" w:eastAsia="Times New Roman" w:hint="default"/>
                <w:sz w:val="16"/>
                <w:szCs w:val="16"/>
              </w:rPr>
            </w:pPr>
            <w:r>
              <w:rPr>
                <w:rFonts w:ascii="Times New Roman"/>
                <w:sz w:val="16"/>
              </w:rPr>
              <w:t>10</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所得税费用</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2"/>
                <w:sz w:val="16"/>
              </w:rPr>
              <w:t>14,707,040.07</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29,098,946.30</w:t>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43,805,986.37</w:t>
            </w:r>
          </w:p>
        </w:tc>
      </w:tr>
      <w:tr>
        <w:trPr>
          <w:trHeight w:val="365" w:hRule="exact"/>
        </w:trPr>
        <w:tc>
          <w:tcPr>
            <w:tcW w:w="6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8"/>
              <w:ind w:left="14" w:right="0"/>
              <w:jc w:val="center"/>
              <w:rPr>
                <w:rFonts w:ascii="Times New Roman" w:hAnsi="Times New Roman" w:cs="Times New Roman" w:eastAsia="Times New Roman" w:hint="default"/>
                <w:sz w:val="16"/>
                <w:szCs w:val="16"/>
              </w:rPr>
            </w:pPr>
            <w:r>
              <w:rPr>
                <w:rFonts w:ascii="Times New Roman"/>
                <w:spacing w:val="-6"/>
                <w:sz w:val="16"/>
              </w:rPr>
              <w:t>11</w:t>
            </w:r>
            <w:r>
              <w:rPr>
                <w:rFonts w:ascii="Times New Roman"/>
                <w:sz w:val="16"/>
              </w:rPr>
            </w:r>
          </w:p>
        </w:tc>
        <w:tc>
          <w:tcPr>
            <w:tcW w:w="21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少数股东损益</w:t>
            </w:r>
          </w:p>
        </w:tc>
        <w:tc>
          <w:tcPr>
            <w:tcW w:w="17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6,817,520.79</w:t>
            </w:r>
          </w:p>
        </w:tc>
        <w:tc>
          <w:tcPr>
            <w:tcW w:w="17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14,912,121.35</w:t>
            </w:r>
          </w:p>
        </w:tc>
        <w:tc>
          <w:tcPr>
            <w:tcW w:w="199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21,729,642.14</w:t>
            </w:r>
          </w:p>
        </w:tc>
      </w:tr>
    </w:tbl>
    <w:p>
      <w:pPr>
        <w:spacing w:after="0" w:line="240" w:lineRule="auto"/>
        <w:jc w:val="right"/>
        <w:rPr>
          <w:rFonts w:ascii="Times New Roman" w:hAnsi="Times New Roman" w:cs="Times New Roman" w:eastAsia="Times New Roman" w:hint="default"/>
          <w:sz w:val="16"/>
          <w:szCs w:val="16"/>
        </w:rPr>
        <w:sectPr>
          <w:headerReference w:type="default" r:id="rId32"/>
          <w:footerReference w:type="default" r:id="rId33"/>
          <w:pgSz w:w="11910" w:h="16840"/>
          <w:pgMar w:header="753" w:footer="997" w:top="1500" w:bottom="1180" w:left="1660" w:right="0"/>
          <w:pgNumType w:start="32"/>
        </w:sectPr>
      </w:pPr>
    </w:p>
    <w:p>
      <w:pPr>
        <w:spacing w:line="240" w:lineRule="auto" w:before="12"/>
        <w:rPr>
          <w:rFonts w:ascii="宋体" w:hAnsi="宋体" w:cs="宋体" w:eastAsia="宋体" w:hint="default"/>
          <w:sz w:val="22"/>
          <w:szCs w:val="22"/>
        </w:rPr>
      </w:pPr>
    </w:p>
    <w:p>
      <w:pPr>
        <w:tabs>
          <w:tab w:pos="1397" w:val="left" w:leader="none"/>
        </w:tabs>
        <w:spacing w:line="331" w:lineRule="auto" w:before="36"/>
        <w:ind w:left="1414" w:right="5464"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重要会计估计变更</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本报告期公司无重要会计估计变更。</w:t>
      </w:r>
    </w:p>
    <w:p>
      <w:pPr>
        <w:pStyle w:val="Heading5"/>
        <w:tabs>
          <w:tab w:pos="1397" w:val="left" w:leader="none"/>
        </w:tabs>
        <w:spacing w:line="240" w:lineRule="auto" w:before="46"/>
        <w:ind w:left="846" w:right="1468"/>
        <w:jc w:val="left"/>
        <w:rPr>
          <w:b w:val="0"/>
          <w:bCs w:val="0"/>
        </w:rPr>
      </w:pPr>
      <w:r>
        <w:rPr>
          <w:rFonts w:ascii="Times New Roman" w:hAnsi="Times New Roman" w:cs="Times New Roman" w:eastAsia="Times New Roman" w:hint="default"/>
        </w:rPr>
        <w:t>3</w:t>
      </w:r>
      <w:r>
        <w:rPr/>
        <w:t>、</w:t>
        <w:tab/>
      </w:r>
      <w:r>
        <w:rPr>
          <w:spacing w:val="-1"/>
        </w:rPr>
        <w:t>首次执行新金融工具准则调整首次执行当年年初财务报表相关项目情况</w:t>
      </w:r>
      <w:r>
        <w:rPr>
          <w:b w:val="0"/>
          <w:bCs w:val="0"/>
          <w:spacing w:val="-1"/>
        </w:rPr>
      </w:r>
    </w:p>
    <w:p>
      <w:pPr>
        <w:pStyle w:val="Heading5"/>
        <w:spacing w:line="240" w:lineRule="auto" w:before="107"/>
        <w:ind w:left="0" w:right="938"/>
        <w:jc w:val="center"/>
        <w:rPr>
          <w:b w:val="0"/>
          <w:bCs w:val="0"/>
        </w:rPr>
      </w:pPr>
      <w:r>
        <w:rPr/>
        <w:t>合并资产负债表</w:t>
      </w:r>
      <w:r>
        <w:rPr>
          <w:b w:val="0"/>
          <w:bCs w:val="0"/>
        </w:rPr>
      </w:r>
    </w:p>
    <w:p>
      <w:pPr>
        <w:spacing w:line="240" w:lineRule="auto" w:before="4"/>
        <w:rPr>
          <w:rFonts w:ascii="宋体" w:hAnsi="宋体" w:cs="宋体" w:eastAsia="宋体" w:hint="default"/>
          <w:b/>
          <w:bCs/>
          <w:sz w:val="2"/>
          <w:szCs w:val="2"/>
        </w:rPr>
      </w:pPr>
    </w:p>
    <w:tbl>
      <w:tblPr>
        <w:tblW w:w="0" w:type="auto"/>
        <w:jc w:val="left"/>
        <w:tblInd w:w="721" w:type="dxa"/>
        <w:tblLayout w:type="fixed"/>
        <w:tblCellMar>
          <w:top w:w="0" w:type="dxa"/>
          <w:left w:w="0" w:type="dxa"/>
          <w:bottom w:w="0" w:type="dxa"/>
          <w:right w:w="0" w:type="dxa"/>
        </w:tblCellMar>
        <w:tblLook w:val="01E0"/>
      </w:tblPr>
      <w:tblGrid>
        <w:gridCol w:w="1954"/>
        <w:gridCol w:w="1418"/>
        <w:gridCol w:w="1419"/>
        <w:gridCol w:w="1274"/>
        <w:gridCol w:w="1215"/>
        <w:gridCol w:w="1337"/>
      </w:tblGrid>
      <w:tr>
        <w:trPr>
          <w:trHeight w:val="360" w:hRule="exact"/>
        </w:trPr>
        <w:tc>
          <w:tcPr>
            <w:tcW w:w="1954"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418"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20" w:right="0"/>
              <w:jc w:val="left"/>
              <w:rPr>
                <w:rFonts w:ascii="宋体" w:hAnsi="宋体" w:cs="宋体" w:eastAsia="宋体" w:hint="default"/>
                <w:sz w:val="16"/>
                <w:szCs w:val="16"/>
              </w:rPr>
            </w:pPr>
            <w:r>
              <w:rPr>
                <w:rFonts w:ascii="宋体" w:hAnsi="宋体" w:cs="宋体" w:eastAsia="宋体" w:hint="default"/>
                <w:b/>
                <w:bCs/>
                <w:sz w:val="16"/>
                <w:szCs w:val="16"/>
              </w:rPr>
              <w:t>上年年末余额</w:t>
            </w:r>
            <w:r>
              <w:rPr>
                <w:rFonts w:ascii="宋体" w:hAnsi="宋体" w:cs="宋体" w:eastAsia="宋体" w:hint="default"/>
                <w:sz w:val="16"/>
                <w:szCs w:val="16"/>
              </w:rPr>
            </w:r>
          </w:p>
        </w:tc>
        <w:tc>
          <w:tcPr>
            <w:tcW w:w="1419"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379"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3826"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b/>
                <w:bCs/>
                <w:sz w:val="16"/>
                <w:szCs w:val="16"/>
              </w:rPr>
              <w:t>调整数</w:t>
            </w:r>
            <w:r>
              <w:rPr>
                <w:rFonts w:ascii="宋体" w:hAnsi="宋体" w:cs="宋体" w:eastAsia="宋体" w:hint="default"/>
                <w:sz w:val="16"/>
                <w:szCs w:val="16"/>
              </w:rPr>
            </w:r>
          </w:p>
        </w:tc>
      </w:tr>
      <w:tr>
        <w:trPr>
          <w:trHeight w:val="350" w:hRule="exact"/>
        </w:trPr>
        <w:tc>
          <w:tcPr>
            <w:tcW w:w="1954" w:type="dxa"/>
            <w:vMerge/>
            <w:tcBorders>
              <w:left w:val="nil" w:sz="6" w:space="0" w:color="auto"/>
              <w:bottom w:val="dotted" w:sz="4" w:space="0" w:color="000000"/>
              <w:right w:val="dotted" w:sz="4" w:space="0" w:color="000000"/>
            </w:tcBorders>
          </w:tcPr>
          <w:p>
            <w:pPr/>
          </w:p>
        </w:tc>
        <w:tc>
          <w:tcPr>
            <w:tcW w:w="1418" w:type="dxa"/>
            <w:vMerge/>
            <w:tcBorders>
              <w:left w:val="dotted" w:sz="4" w:space="0" w:color="000000"/>
              <w:bottom w:val="dotted" w:sz="4" w:space="0" w:color="000000"/>
              <w:right w:val="dotted" w:sz="4" w:space="0" w:color="000000"/>
            </w:tcBorders>
          </w:tcPr>
          <w:p>
            <w:pPr/>
          </w:p>
        </w:tc>
        <w:tc>
          <w:tcPr>
            <w:tcW w:w="1419" w:type="dxa"/>
            <w:vMerge/>
            <w:tcBorders>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388" w:right="0"/>
              <w:jc w:val="left"/>
              <w:rPr>
                <w:rFonts w:ascii="宋体" w:hAnsi="宋体" w:cs="宋体" w:eastAsia="宋体" w:hint="default"/>
                <w:sz w:val="16"/>
                <w:szCs w:val="16"/>
              </w:rPr>
            </w:pPr>
            <w:r>
              <w:rPr>
                <w:rFonts w:ascii="宋体" w:hAnsi="宋体" w:cs="宋体" w:eastAsia="宋体" w:hint="default"/>
                <w:b/>
                <w:bCs/>
                <w:sz w:val="16"/>
                <w:szCs w:val="16"/>
              </w:rPr>
              <w:t>重分类</w:t>
            </w:r>
            <w:r>
              <w:rPr>
                <w:rFonts w:ascii="宋体" w:hAnsi="宋体" w:cs="宋体" w:eastAsia="宋体" w:hint="default"/>
                <w:sz w:val="16"/>
                <w:szCs w:val="16"/>
              </w:rPr>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3"/>
              <w:jc w:val="center"/>
              <w:rPr>
                <w:rFonts w:ascii="宋体" w:hAnsi="宋体" w:cs="宋体" w:eastAsia="宋体" w:hint="default"/>
                <w:sz w:val="16"/>
                <w:szCs w:val="16"/>
              </w:rPr>
            </w:pPr>
            <w:r>
              <w:rPr>
                <w:rFonts w:ascii="宋体" w:hAnsi="宋体" w:cs="宋体" w:eastAsia="宋体" w:hint="default"/>
                <w:b/>
                <w:bCs/>
                <w:sz w:val="16"/>
                <w:szCs w:val="16"/>
              </w:rPr>
              <w:t>重新计量</w:t>
            </w:r>
            <w:r>
              <w:rPr>
                <w:rFonts w:ascii="宋体" w:hAnsi="宋体" w:cs="宋体" w:eastAsia="宋体" w:hint="default"/>
                <w:sz w:val="16"/>
                <w:szCs w:val="16"/>
              </w:rPr>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3,395,465,223.99</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3,395,465,223.99</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结算备付金</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拆出资金</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218,512,285.41</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218,512,285.41</w:t>
            </w: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218,512,285.41</w:t>
            </w:r>
          </w:p>
        </w:tc>
      </w:tr>
      <w:tr>
        <w:trPr>
          <w:trHeight w:val="689"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221" w:firstLine="160"/>
              <w:jc w:val="both"/>
              <w:rPr>
                <w:rFonts w:ascii="宋体" w:hAnsi="宋体" w:cs="宋体" w:eastAsia="宋体" w:hint="default"/>
                <w:sz w:val="16"/>
                <w:szCs w:val="16"/>
              </w:rPr>
            </w:pPr>
            <w:r>
              <w:rPr>
                <w:rFonts w:ascii="宋体" w:hAnsi="宋体" w:cs="宋体" w:eastAsia="宋体" w:hint="default"/>
                <w:sz w:val="16"/>
                <w:szCs w:val="16"/>
              </w:rPr>
              <w:t>以公允价值计量且其</w:t>
            </w:r>
            <w:r>
              <w:rPr>
                <w:rFonts w:ascii="宋体" w:hAnsi="宋体" w:cs="宋体" w:eastAsia="宋体" w:hint="default"/>
                <w:w w:val="100"/>
                <w:sz w:val="16"/>
                <w:szCs w:val="16"/>
              </w:rPr>
              <w:t> </w:t>
            </w:r>
            <w:r>
              <w:rPr>
                <w:rFonts w:ascii="宋体" w:hAnsi="宋体" w:cs="宋体" w:eastAsia="宋体" w:hint="default"/>
                <w:sz w:val="16"/>
                <w:szCs w:val="16"/>
              </w:rPr>
              <w:t>变动计入当期损益的金</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融资产</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衍生金融资产</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2,731,217.74</w:t>
            </w: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-2,731,217.74</w:t>
            </w: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-2,731,217.74</w:t>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754,922,504.48</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754,922,504.48</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2,967,217,578.89</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2,962,065,462.06</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-5,152,116.83</w:t>
            </w: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-5,152,116.83</w:t>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应收款项融资</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5,152,116.83</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5,152,116.83</w:t>
            </w: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2"/>
                <w:sz w:val="16"/>
              </w:rPr>
              <w:t>5,152,116.83</w:t>
            </w: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219,350,720.55</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219,350,720.55</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应收保费</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应收分保账款</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right="221"/>
              <w:jc w:val="right"/>
              <w:rPr>
                <w:rFonts w:ascii="宋体" w:hAnsi="宋体" w:cs="宋体" w:eastAsia="宋体" w:hint="default"/>
                <w:sz w:val="16"/>
                <w:szCs w:val="16"/>
              </w:rPr>
            </w:pPr>
            <w:r>
              <w:rPr>
                <w:rFonts w:ascii="宋体" w:hAnsi="宋体" w:cs="宋体" w:eastAsia="宋体" w:hint="default"/>
                <w:spacing w:val="-1"/>
                <w:sz w:val="16"/>
                <w:szCs w:val="16"/>
              </w:rPr>
              <w:t>应收分保合同准备金</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83"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64,216,862.12</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64,216,862.12</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买入返售金融资产</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1,984,172,857.87</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1,984,172,857.87</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持有待售资产</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221" w:firstLine="160"/>
              <w:jc w:val="left"/>
              <w:rPr>
                <w:rFonts w:ascii="宋体" w:hAnsi="宋体" w:cs="宋体" w:eastAsia="宋体" w:hint="default"/>
                <w:sz w:val="16"/>
                <w:szCs w:val="16"/>
              </w:rPr>
            </w:pPr>
            <w:r>
              <w:rPr>
                <w:rFonts w:ascii="宋体" w:hAnsi="宋体" w:cs="宋体" w:eastAsia="宋体" w:hint="default"/>
                <w:sz w:val="16"/>
                <w:szCs w:val="16"/>
              </w:rPr>
              <w:t>一年内到期的非流动</w:t>
            </w:r>
            <w:r>
              <w:rPr>
                <w:rFonts w:ascii="宋体" w:hAnsi="宋体" w:cs="宋体" w:eastAsia="宋体" w:hint="default"/>
                <w:w w:val="100"/>
                <w:sz w:val="16"/>
                <w:szCs w:val="16"/>
              </w:rPr>
              <w:t> </w:t>
            </w:r>
            <w:r>
              <w:rPr>
                <w:rFonts w:ascii="宋体" w:hAnsi="宋体" w:cs="宋体" w:eastAsia="宋体" w:hint="default"/>
                <w:sz w:val="16"/>
                <w:szCs w:val="16"/>
              </w:rPr>
              <w:t>资产</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其他流动资产</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95,325,375.40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95,325,375.40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b/>
                <w:bCs/>
                <w:sz w:val="16"/>
                <w:szCs w:val="16"/>
              </w:rPr>
              <w:t>流动资产合计</w:t>
            </w:r>
            <w:r>
              <w:rPr>
                <w:rFonts w:ascii="宋体" w:hAnsi="宋体" w:cs="宋体" w:eastAsia="宋体" w:hint="default"/>
                <w:sz w:val="16"/>
                <w:szCs w:val="16"/>
              </w:rPr>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9,483,402,341.04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9,699,183,408.71</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215,781,067.67</w:t>
            </w: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215,781,067.67</w:t>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发放贷款和垫款</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债权投资</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371,503,216.42</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-371,503,216.42</w:t>
            </w: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-371,503,216.42</w:t>
            </w: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其他债权投资</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28,081,425.01</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28,081,425.01</w:t>
            </w: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28,081,425.01</w:t>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持有至到期投资</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313,773,928.61</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313,773,928.61</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103"/>
              <w:jc w:val="right"/>
              <w:rPr>
                <w:rFonts w:ascii="Times New Roman" w:hAnsi="Times New Roman" w:cs="Times New Roman" w:eastAsia="Times New Roman" w:hint="default"/>
                <w:sz w:val="16"/>
                <w:szCs w:val="16"/>
              </w:rPr>
            </w:pPr>
            <w:r>
              <w:rPr>
                <w:rFonts w:ascii="Times New Roman"/>
                <w:spacing w:val="-1"/>
                <w:sz w:val="16"/>
              </w:rPr>
              <w:t>202,321,052.00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100"/>
              <w:jc w:val="right"/>
              <w:rPr>
                <w:rFonts w:ascii="Times New Roman" w:hAnsi="Times New Roman" w:cs="Times New Roman" w:eastAsia="Times New Roman" w:hint="default"/>
                <w:sz w:val="16"/>
                <w:szCs w:val="16"/>
              </w:rPr>
            </w:pPr>
            <w:r>
              <w:rPr>
                <w:rFonts w:ascii="Times New Roman"/>
                <w:spacing w:val="-1"/>
                <w:sz w:val="16"/>
              </w:rPr>
              <w:t>142,433,506.00</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74" w:right="0"/>
              <w:jc w:val="center"/>
              <w:rPr>
                <w:rFonts w:ascii="Times New Roman" w:hAnsi="Times New Roman" w:cs="Times New Roman" w:eastAsia="Times New Roman" w:hint="default"/>
                <w:sz w:val="16"/>
                <w:szCs w:val="16"/>
              </w:rPr>
            </w:pPr>
            <w:r>
              <w:rPr>
                <w:rFonts w:ascii="Times New Roman"/>
                <w:sz w:val="16"/>
              </w:rPr>
              <w:t>59,887,546.00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5"/>
              <w:ind w:right="105"/>
              <w:jc w:val="right"/>
              <w:rPr>
                <w:rFonts w:ascii="Times New Roman" w:hAnsi="Times New Roman" w:cs="Times New Roman" w:eastAsia="Times New Roman" w:hint="default"/>
                <w:sz w:val="16"/>
                <w:szCs w:val="16"/>
              </w:rPr>
            </w:pPr>
            <w:r>
              <w:rPr>
                <w:rFonts w:ascii="Times New Roman"/>
                <w:spacing w:val="-1"/>
                <w:sz w:val="16"/>
              </w:rPr>
              <w:t>202,321,052.00</w:t>
            </w:r>
          </w:p>
        </w:tc>
      </w:tr>
      <w:tr>
        <w:trPr>
          <w:trHeight w:val="360" w:hRule="exact"/>
        </w:trPr>
        <w:tc>
          <w:tcPr>
            <w:tcW w:w="19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right="221"/>
              <w:jc w:val="right"/>
              <w:rPr>
                <w:rFonts w:ascii="宋体" w:hAnsi="宋体" w:cs="宋体" w:eastAsia="宋体" w:hint="default"/>
                <w:sz w:val="16"/>
                <w:szCs w:val="16"/>
              </w:rPr>
            </w:pPr>
            <w:r>
              <w:rPr>
                <w:rFonts w:ascii="宋体" w:hAnsi="宋体" w:cs="宋体" w:eastAsia="宋体" w:hint="default"/>
                <w:spacing w:val="-1"/>
                <w:sz w:val="16"/>
                <w:szCs w:val="16"/>
              </w:rPr>
              <w:t>其他非流动金融资产</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1"/>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19" w:type="dxa"/>
            <w:tcBorders>
              <w:top w:val="dotted" w:sz="4" w:space="0" w:color="000000"/>
              <w:left w:val="dotted" w:sz="4" w:space="0" w:color="000000"/>
              <w:bottom w:val="single" w:sz="12" w:space="0" w:color="000000"/>
              <w:right w:val="dotted" w:sz="4" w:space="0" w:color="000000"/>
            </w:tcBorders>
          </w:tcPr>
          <w:p>
            <w:pPr/>
          </w:p>
        </w:tc>
        <w:tc>
          <w:tcPr>
            <w:tcW w:w="1274" w:type="dxa"/>
            <w:tcBorders>
              <w:top w:val="dotted" w:sz="4" w:space="0" w:color="000000"/>
              <w:left w:val="dotted" w:sz="4" w:space="0" w:color="000000"/>
              <w:bottom w:val="single" w:sz="12" w:space="0" w:color="000000"/>
              <w:right w:val="dotted" w:sz="4" w:space="0" w:color="000000"/>
            </w:tcBorders>
          </w:tcPr>
          <w:p>
            <w:pPr/>
          </w:p>
        </w:tc>
        <w:tc>
          <w:tcPr>
            <w:tcW w:w="1215" w:type="dxa"/>
            <w:tcBorders>
              <w:top w:val="dotted" w:sz="4" w:space="0" w:color="000000"/>
              <w:left w:val="dotted" w:sz="4" w:space="0" w:color="000000"/>
              <w:bottom w:val="single" w:sz="12" w:space="0" w:color="000000"/>
              <w:right w:val="dotted" w:sz="4" w:space="0" w:color="000000"/>
            </w:tcBorders>
          </w:tcPr>
          <w:p>
            <w:pPr/>
          </w:p>
        </w:tc>
        <w:tc>
          <w:tcPr>
            <w:tcW w:w="1337"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1954"/>
        <w:gridCol w:w="1418"/>
        <w:gridCol w:w="1419"/>
        <w:gridCol w:w="1274"/>
        <w:gridCol w:w="1215"/>
        <w:gridCol w:w="1337"/>
      </w:tblGrid>
      <w:tr>
        <w:trPr>
          <w:trHeight w:val="360" w:hRule="exact"/>
        </w:trPr>
        <w:tc>
          <w:tcPr>
            <w:tcW w:w="1954"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418"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0" w:right="0"/>
              <w:jc w:val="left"/>
              <w:rPr>
                <w:rFonts w:ascii="宋体" w:hAnsi="宋体" w:cs="宋体" w:eastAsia="宋体" w:hint="default"/>
                <w:sz w:val="16"/>
                <w:szCs w:val="16"/>
              </w:rPr>
            </w:pPr>
            <w:r>
              <w:rPr>
                <w:rFonts w:ascii="宋体" w:hAnsi="宋体" w:cs="宋体" w:eastAsia="宋体" w:hint="default"/>
                <w:b/>
                <w:bCs/>
                <w:sz w:val="16"/>
                <w:szCs w:val="16"/>
              </w:rPr>
              <w:t>上年年末余额</w:t>
            </w:r>
            <w:r>
              <w:rPr>
                <w:rFonts w:ascii="宋体" w:hAnsi="宋体" w:cs="宋体" w:eastAsia="宋体" w:hint="default"/>
                <w:sz w:val="16"/>
                <w:szCs w:val="16"/>
              </w:rPr>
            </w:r>
          </w:p>
        </w:tc>
        <w:tc>
          <w:tcPr>
            <w:tcW w:w="1419"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79"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3826"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b/>
                <w:bCs/>
                <w:sz w:val="16"/>
                <w:szCs w:val="16"/>
              </w:rPr>
              <w:t>调整数</w:t>
            </w:r>
            <w:r>
              <w:rPr>
                <w:rFonts w:ascii="宋体" w:hAnsi="宋体" w:cs="宋体" w:eastAsia="宋体" w:hint="default"/>
                <w:sz w:val="16"/>
                <w:szCs w:val="16"/>
              </w:rPr>
            </w:r>
          </w:p>
        </w:tc>
      </w:tr>
      <w:tr>
        <w:trPr>
          <w:trHeight w:val="348" w:hRule="exact"/>
        </w:trPr>
        <w:tc>
          <w:tcPr>
            <w:tcW w:w="1954" w:type="dxa"/>
            <w:vMerge/>
            <w:tcBorders>
              <w:left w:val="nil" w:sz="6" w:space="0" w:color="auto"/>
              <w:bottom w:val="dotted" w:sz="4" w:space="0" w:color="000000"/>
              <w:right w:val="dotted" w:sz="4" w:space="0" w:color="000000"/>
            </w:tcBorders>
          </w:tcPr>
          <w:p>
            <w:pPr/>
          </w:p>
        </w:tc>
        <w:tc>
          <w:tcPr>
            <w:tcW w:w="1418" w:type="dxa"/>
            <w:vMerge/>
            <w:tcBorders>
              <w:left w:val="dotted" w:sz="4" w:space="0" w:color="000000"/>
              <w:bottom w:val="dotted" w:sz="4" w:space="0" w:color="000000"/>
              <w:right w:val="dotted" w:sz="4" w:space="0" w:color="000000"/>
            </w:tcBorders>
          </w:tcPr>
          <w:p>
            <w:pPr/>
          </w:p>
        </w:tc>
        <w:tc>
          <w:tcPr>
            <w:tcW w:w="1419" w:type="dxa"/>
            <w:vMerge/>
            <w:tcBorders>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388" w:right="0"/>
              <w:jc w:val="left"/>
              <w:rPr>
                <w:rFonts w:ascii="宋体" w:hAnsi="宋体" w:cs="宋体" w:eastAsia="宋体" w:hint="default"/>
                <w:sz w:val="16"/>
                <w:szCs w:val="16"/>
              </w:rPr>
            </w:pPr>
            <w:r>
              <w:rPr>
                <w:rFonts w:ascii="宋体" w:hAnsi="宋体" w:cs="宋体" w:eastAsia="宋体" w:hint="default"/>
                <w:b/>
                <w:bCs/>
                <w:sz w:val="16"/>
                <w:szCs w:val="16"/>
              </w:rPr>
              <w:t>重分类</w:t>
            </w:r>
            <w:r>
              <w:rPr>
                <w:rFonts w:ascii="宋体" w:hAnsi="宋体" w:cs="宋体" w:eastAsia="宋体" w:hint="default"/>
                <w:sz w:val="16"/>
                <w:szCs w:val="16"/>
              </w:rPr>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278" w:right="0"/>
              <w:jc w:val="left"/>
              <w:rPr>
                <w:rFonts w:ascii="宋体" w:hAnsi="宋体" w:cs="宋体" w:eastAsia="宋体" w:hint="default"/>
                <w:sz w:val="16"/>
                <w:szCs w:val="16"/>
              </w:rPr>
            </w:pPr>
            <w:r>
              <w:rPr>
                <w:rFonts w:ascii="宋体" w:hAnsi="宋体" w:cs="宋体" w:eastAsia="宋体" w:hint="default"/>
                <w:b/>
                <w:bCs/>
                <w:sz w:val="16"/>
                <w:szCs w:val="16"/>
              </w:rPr>
              <w:t>重新计量</w:t>
            </w:r>
            <w:r>
              <w:rPr>
                <w:rFonts w:ascii="宋体" w:hAnsi="宋体" w:cs="宋体" w:eastAsia="宋体" w:hint="default"/>
                <w:sz w:val="16"/>
                <w:szCs w:val="16"/>
              </w:rPr>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right="5"/>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1,758,671,860.90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1,758,671,860.90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1,927,309,832.29</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1,927,309,832.29</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2,208,899,418.95</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2,208,899,418.95</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生产性生物资产</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油气资产</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473,557,598.51</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473,557,598.51</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65,681,230.31</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65,681,230.31</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商誉</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24,144,802.73</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24,144,802.73</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27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left="283"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21,309,205.26</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21,309,205.26</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83" w:right="0"/>
              <w:jc w:val="left"/>
              <w:rPr>
                <w:rFonts w:ascii="宋体" w:hAnsi="宋体" w:cs="宋体" w:eastAsia="宋体" w:hint="default"/>
                <w:sz w:val="16"/>
                <w:szCs w:val="16"/>
              </w:rPr>
            </w:pPr>
            <w:r>
              <w:rPr>
                <w:rFonts w:ascii="宋体" w:hAnsi="宋体" w:cs="宋体" w:eastAsia="宋体" w:hint="default"/>
                <w:sz w:val="16"/>
                <w:szCs w:val="16"/>
              </w:rPr>
              <w:t>递延所得税资产</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95,675,220.94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105,321,885.94</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9,646,665.00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9,646,665.00</w:t>
            </w: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其他非流动资产</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134,809,668.52</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120,016,886.26</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-14,792,782.26</w:t>
            </w: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-14,792,782.26</w:t>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b/>
                <w:bCs/>
                <w:sz w:val="16"/>
                <w:szCs w:val="16"/>
              </w:rPr>
              <w:t>非流动资产合计</w:t>
            </w:r>
            <w:r>
              <w:rPr>
                <w:rFonts w:ascii="宋体" w:hAnsi="宋体" w:cs="宋体" w:eastAsia="宋体" w:hint="default"/>
                <w:sz w:val="16"/>
                <w:szCs w:val="16"/>
              </w:rPr>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7,395,335,983.44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7,249,089,126.77</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-215,781,067.67</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69,534,211.00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-146,246,856.67</w:t>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b/>
                <w:bCs/>
                <w:sz w:val="16"/>
                <w:szCs w:val="16"/>
              </w:rPr>
              <w:t>资产总计</w:t>
            </w:r>
            <w:r>
              <w:rPr>
                <w:rFonts w:ascii="宋体" w:hAnsi="宋体" w:cs="宋体" w:eastAsia="宋体" w:hint="default"/>
                <w:sz w:val="16"/>
                <w:szCs w:val="16"/>
              </w:rPr>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16,878,738,324.48</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16,948,272,535.48</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69,534,211.00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6"/>
                <w:szCs w:val="16"/>
              </w:rPr>
            </w:pPr>
            <w:r>
              <w:rPr>
                <w:rFonts w:ascii="Times New Roman"/>
                <w:spacing w:val="-2"/>
                <w:sz w:val="16"/>
              </w:rPr>
              <w:t>69,534,211.00</w:t>
            </w: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2,023,011,798.95</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2,023,011,798.95</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向中央银行借款</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拆入资金</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交易性金融负债</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689"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4"/>
              <w:ind w:left="122" w:right="221" w:firstLine="160"/>
              <w:jc w:val="both"/>
              <w:rPr>
                <w:rFonts w:ascii="宋体" w:hAnsi="宋体" w:cs="宋体" w:eastAsia="宋体" w:hint="default"/>
                <w:sz w:val="16"/>
                <w:szCs w:val="16"/>
              </w:rPr>
            </w:pPr>
            <w:r>
              <w:rPr>
                <w:rFonts w:ascii="宋体" w:hAnsi="宋体" w:cs="宋体" w:eastAsia="宋体" w:hint="default"/>
                <w:sz w:val="16"/>
                <w:szCs w:val="16"/>
              </w:rPr>
              <w:t>以公允价值计量且其</w:t>
            </w:r>
            <w:r>
              <w:rPr>
                <w:rFonts w:ascii="宋体" w:hAnsi="宋体" w:cs="宋体" w:eastAsia="宋体" w:hint="default"/>
                <w:w w:val="100"/>
                <w:sz w:val="16"/>
                <w:szCs w:val="16"/>
              </w:rPr>
              <w:t> </w:t>
            </w:r>
            <w:r>
              <w:rPr>
                <w:rFonts w:ascii="宋体" w:hAnsi="宋体" w:cs="宋体" w:eastAsia="宋体" w:hint="default"/>
                <w:sz w:val="16"/>
                <w:szCs w:val="16"/>
              </w:rPr>
              <w:t>变动计入当期损益的金</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融负债</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衍生金融负债</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566,228,681.78</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566,228,681.78</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2,147,640,016.23</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2,147,640,016.23</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146,425,887.90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146,425,887.90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right="221"/>
              <w:jc w:val="right"/>
              <w:rPr>
                <w:rFonts w:ascii="宋体" w:hAnsi="宋体" w:cs="宋体" w:eastAsia="宋体" w:hint="default"/>
                <w:sz w:val="16"/>
                <w:szCs w:val="16"/>
              </w:rPr>
            </w:pPr>
            <w:r>
              <w:rPr>
                <w:rFonts w:ascii="宋体" w:hAnsi="宋体" w:cs="宋体" w:eastAsia="宋体" w:hint="default"/>
                <w:spacing w:val="-1"/>
                <w:sz w:val="16"/>
                <w:szCs w:val="16"/>
              </w:rPr>
              <w:t>卖出回购金融资产款</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right="221"/>
              <w:jc w:val="right"/>
              <w:rPr>
                <w:rFonts w:ascii="宋体" w:hAnsi="宋体" w:cs="宋体" w:eastAsia="宋体" w:hint="default"/>
                <w:sz w:val="16"/>
                <w:szCs w:val="16"/>
              </w:rPr>
            </w:pPr>
            <w:r>
              <w:rPr>
                <w:rFonts w:ascii="宋体" w:hAnsi="宋体" w:cs="宋体" w:eastAsia="宋体" w:hint="default"/>
                <w:spacing w:val="-1"/>
                <w:sz w:val="16"/>
                <w:szCs w:val="16"/>
              </w:rPr>
              <w:t>吸收存款及同业存放</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代理买卖证券款</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代理承销证券款</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应付职工薪酬</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320,101,474.44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320,101,474.44</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应交税费</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304,108,228.42</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304,108,228.42</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767,881,000.94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767,881,000.94</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应付手续费及佣金</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应付分保账款</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持有待售负债</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221" w:firstLine="160"/>
              <w:jc w:val="left"/>
              <w:rPr>
                <w:rFonts w:ascii="宋体" w:hAnsi="宋体" w:cs="宋体" w:eastAsia="宋体" w:hint="default"/>
                <w:sz w:val="16"/>
                <w:szCs w:val="16"/>
              </w:rPr>
            </w:pPr>
            <w:r>
              <w:rPr>
                <w:rFonts w:ascii="宋体" w:hAnsi="宋体" w:cs="宋体" w:eastAsia="宋体" w:hint="default"/>
                <w:sz w:val="16"/>
                <w:szCs w:val="16"/>
              </w:rPr>
              <w:t>一年内到期的非流动</w:t>
            </w:r>
            <w:r>
              <w:rPr>
                <w:rFonts w:ascii="宋体" w:hAnsi="宋体" w:cs="宋体" w:eastAsia="宋体" w:hint="default"/>
                <w:w w:val="100"/>
                <w:sz w:val="16"/>
                <w:szCs w:val="16"/>
              </w:rPr>
              <w:t> </w:t>
            </w:r>
            <w:r>
              <w:rPr>
                <w:rFonts w:ascii="宋体" w:hAnsi="宋体" w:cs="宋体" w:eastAsia="宋体" w:hint="default"/>
                <w:sz w:val="16"/>
                <w:szCs w:val="16"/>
              </w:rPr>
              <w:t>负债</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784,000,000.00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784,000,000.00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19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其他流动负债</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2"/>
                <w:sz w:val="16"/>
              </w:rPr>
              <w:t>110,747,682.77</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110,747,682.77</w:t>
            </w:r>
          </w:p>
        </w:tc>
        <w:tc>
          <w:tcPr>
            <w:tcW w:w="1274" w:type="dxa"/>
            <w:tcBorders>
              <w:top w:val="dotted" w:sz="4" w:space="0" w:color="000000"/>
              <w:left w:val="dotted" w:sz="4" w:space="0" w:color="000000"/>
              <w:bottom w:val="single" w:sz="12" w:space="0" w:color="000000"/>
              <w:right w:val="dotted" w:sz="4" w:space="0" w:color="000000"/>
            </w:tcBorders>
          </w:tcPr>
          <w:p>
            <w:pPr/>
          </w:p>
        </w:tc>
        <w:tc>
          <w:tcPr>
            <w:tcW w:w="1215" w:type="dxa"/>
            <w:tcBorders>
              <w:top w:val="dotted" w:sz="4" w:space="0" w:color="000000"/>
              <w:left w:val="dotted" w:sz="4" w:space="0" w:color="000000"/>
              <w:bottom w:val="single" w:sz="12" w:space="0" w:color="000000"/>
              <w:right w:val="dotted" w:sz="4" w:space="0" w:color="000000"/>
            </w:tcBorders>
          </w:tcPr>
          <w:p>
            <w:pPr/>
          </w:p>
        </w:tc>
        <w:tc>
          <w:tcPr>
            <w:tcW w:w="1337"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1954"/>
        <w:gridCol w:w="1418"/>
        <w:gridCol w:w="1419"/>
        <w:gridCol w:w="1274"/>
        <w:gridCol w:w="1215"/>
        <w:gridCol w:w="1337"/>
      </w:tblGrid>
      <w:tr>
        <w:trPr>
          <w:trHeight w:val="360" w:hRule="exact"/>
        </w:trPr>
        <w:tc>
          <w:tcPr>
            <w:tcW w:w="1954"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418"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0" w:right="0"/>
              <w:jc w:val="left"/>
              <w:rPr>
                <w:rFonts w:ascii="宋体" w:hAnsi="宋体" w:cs="宋体" w:eastAsia="宋体" w:hint="default"/>
                <w:sz w:val="16"/>
                <w:szCs w:val="16"/>
              </w:rPr>
            </w:pPr>
            <w:r>
              <w:rPr>
                <w:rFonts w:ascii="宋体" w:hAnsi="宋体" w:cs="宋体" w:eastAsia="宋体" w:hint="default"/>
                <w:b/>
                <w:bCs/>
                <w:sz w:val="16"/>
                <w:szCs w:val="16"/>
              </w:rPr>
              <w:t>上年年末余额</w:t>
            </w:r>
            <w:r>
              <w:rPr>
                <w:rFonts w:ascii="宋体" w:hAnsi="宋体" w:cs="宋体" w:eastAsia="宋体" w:hint="default"/>
                <w:sz w:val="16"/>
                <w:szCs w:val="16"/>
              </w:rPr>
            </w:r>
          </w:p>
        </w:tc>
        <w:tc>
          <w:tcPr>
            <w:tcW w:w="1419"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79"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3826"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b/>
                <w:bCs/>
                <w:sz w:val="16"/>
                <w:szCs w:val="16"/>
              </w:rPr>
              <w:t>调整数</w:t>
            </w:r>
            <w:r>
              <w:rPr>
                <w:rFonts w:ascii="宋体" w:hAnsi="宋体" w:cs="宋体" w:eastAsia="宋体" w:hint="default"/>
                <w:sz w:val="16"/>
                <w:szCs w:val="16"/>
              </w:rPr>
            </w:r>
          </w:p>
        </w:tc>
      </w:tr>
      <w:tr>
        <w:trPr>
          <w:trHeight w:val="348" w:hRule="exact"/>
        </w:trPr>
        <w:tc>
          <w:tcPr>
            <w:tcW w:w="1954" w:type="dxa"/>
            <w:vMerge/>
            <w:tcBorders>
              <w:left w:val="nil" w:sz="6" w:space="0" w:color="auto"/>
              <w:bottom w:val="dotted" w:sz="4" w:space="0" w:color="000000"/>
              <w:right w:val="dotted" w:sz="4" w:space="0" w:color="000000"/>
            </w:tcBorders>
          </w:tcPr>
          <w:p>
            <w:pPr/>
          </w:p>
        </w:tc>
        <w:tc>
          <w:tcPr>
            <w:tcW w:w="1418" w:type="dxa"/>
            <w:vMerge/>
            <w:tcBorders>
              <w:left w:val="dotted" w:sz="4" w:space="0" w:color="000000"/>
              <w:bottom w:val="dotted" w:sz="4" w:space="0" w:color="000000"/>
              <w:right w:val="dotted" w:sz="4" w:space="0" w:color="000000"/>
            </w:tcBorders>
          </w:tcPr>
          <w:p>
            <w:pPr/>
          </w:p>
        </w:tc>
        <w:tc>
          <w:tcPr>
            <w:tcW w:w="1419" w:type="dxa"/>
            <w:vMerge/>
            <w:tcBorders>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388" w:right="0"/>
              <w:jc w:val="left"/>
              <w:rPr>
                <w:rFonts w:ascii="宋体" w:hAnsi="宋体" w:cs="宋体" w:eastAsia="宋体" w:hint="default"/>
                <w:sz w:val="16"/>
                <w:szCs w:val="16"/>
              </w:rPr>
            </w:pPr>
            <w:r>
              <w:rPr>
                <w:rFonts w:ascii="宋体" w:hAnsi="宋体" w:cs="宋体" w:eastAsia="宋体" w:hint="default"/>
                <w:b/>
                <w:bCs/>
                <w:sz w:val="16"/>
                <w:szCs w:val="16"/>
              </w:rPr>
              <w:t>重分类</w:t>
            </w:r>
            <w:r>
              <w:rPr>
                <w:rFonts w:ascii="宋体" w:hAnsi="宋体" w:cs="宋体" w:eastAsia="宋体" w:hint="default"/>
                <w:sz w:val="16"/>
                <w:szCs w:val="16"/>
              </w:rPr>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278" w:right="0"/>
              <w:jc w:val="left"/>
              <w:rPr>
                <w:rFonts w:ascii="宋体" w:hAnsi="宋体" w:cs="宋体" w:eastAsia="宋体" w:hint="default"/>
                <w:sz w:val="16"/>
                <w:szCs w:val="16"/>
              </w:rPr>
            </w:pPr>
            <w:r>
              <w:rPr>
                <w:rFonts w:ascii="宋体" w:hAnsi="宋体" w:cs="宋体" w:eastAsia="宋体" w:hint="default"/>
                <w:b/>
                <w:bCs/>
                <w:sz w:val="16"/>
                <w:szCs w:val="16"/>
              </w:rPr>
              <w:t>重新计量</w:t>
            </w:r>
            <w:r>
              <w:rPr>
                <w:rFonts w:ascii="宋体" w:hAnsi="宋体" w:cs="宋体" w:eastAsia="宋体" w:hint="default"/>
                <w:sz w:val="16"/>
                <w:szCs w:val="16"/>
              </w:rPr>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right="5"/>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b/>
                <w:bCs/>
                <w:sz w:val="16"/>
                <w:szCs w:val="16"/>
              </w:rPr>
              <w:t>流动负债合计</w:t>
            </w:r>
            <w:r>
              <w:rPr>
                <w:rFonts w:ascii="宋体" w:hAnsi="宋体" w:cs="宋体" w:eastAsia="宋体" w:hint="default"/>
                <w:sz w:val="16"/>
                <w:szCs w:val="16"/>
              </w:rPr>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7,170,144,771.43</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7,170,144,771.43</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保险合同准备金</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1,243,584,695.47</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1,243,584,695.47</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其中：优先股</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59" w:right="0"/>
              <w:jc w:val="center"/>
              <w:rPr>
                <w:rFonts w:ascii="宋体" w:hAnsi="宋体" w:cs="宋体" w:eastAsia="宋体" w:hint="default"/>
                <w:sz w:val="16"/>
                <w:szCs w:val="16"/>
              </w:rPr>
            </w:pPr>
            <w:r>
              <w:rPr>
                <w:rFonts w:ascii="宋体" w:hAnsi="宋体" w:cs="宋体" w:eastAsia="宋体" w:hint="default"/>
                <w:sz w:val="16"/>
                <w:szCs w:val="16"/>
              </w:rPr>
              <w:t>永续债</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长期应付款</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535,381,362.88</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535,381,362.88</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长期应付职工薪酬</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2"/>
              <w:jc w:val="right"/>
              <w:rPr>
                <w:rFonts w:ascii="Times New Roman" w:hAnsi="Times New Roman" w:cs="Times New Roman" w:eastAsia="Times New Roman" w:hint="default"/>
                <w:sz w:val="16"/>
                <w:szCs w:val="16"/>
              </w:rPr>
            </w:pPr>
            <w:r>
              <w:rPr>
                <w:rFonts w:ascii="Times New Roman"/>
                <w:spacing w:val="-1"/>
                <w:sz w:val="16"/>
              </w:rPr>
              <w:t>721,678.96</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721,678.96</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83" w:right="0"/>
              <w:jc w:val="left"/>
              <w:rPr>
                <w:rFonts w:ascii="宋体" w:hAnsi="宋体" w:cs="宋体" w:eastAsia="宋体" w:hint="default"/>
                <w:sz w:val="16"/>
                <w:szCs w:val="16"/>
              </w:rPr>
            </w:pPr>
            <w:r>
              <w:rPr>
                <w:rFonts w:ascii="宋体" w:hAnsi="宋体" w:cs="宋体" w:eastAsia="宋体" w:hint="default"/>
                <w:sz w:val="16"/>
                <w:szCs w:val="16"/>
              </w:rPr>
              <w:t>预计负债</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22,427,073.43</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22,427,073.43</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递延收益</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349,014,327.29</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349,014,327.29</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139,015,277.48</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155,986,388.98</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16,971,111.50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2"/>
                <w:sz w:val="16"/>
              </w:rPr>
              <w:t>16,971,111.50</w:t>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其他非流动负债</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b/>
                <w:bCs/>
                <w:sz w:val="16"/>
                <w:szCs w:val="16"/>
              </w:rPr>
              <w:t>非流动负债合计</w:t>
            </w:r>
            <w:r>
              <w:rPr>
                <w:rFonts w:ascii="宋体" w:hAnsi="宋体" w:cs="宋体" w:eastAsia="宋体" w:hint="default"/>
                <w:sz w:val="16"/>
                <w:szCs w:val="16"/>
              </w:rPr>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2,290,144,415.51</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2,307,115,527.01</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16,971,111.50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2"/>
                <w:sz w:val="16"/>
              </w:rPr>
              <w:t>16,971,111.50</w:t>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b/>
                <w:bCs/>
                <w:sz w:val="16"/>
                <w:szCs w:val="16"/>
              </w:rPr>
              <w:t>负债合计</w:t>
            </w:r>
            <w:r>
              <w:rPr>
                <w:rFonts w:ascii="宋体" w:hAnsi="宋体" w:cs="宋体" w:eastAsia="宋体" w:hint="default"/>
                <w:sz w:val="16"/>
                <w:szCs w:val="16"/>
              </w:rPr>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9,460,289,186.94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9,477,260,298.44</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16,971,111.50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2"/>
                <w:sz w:val="16"/>
              </w:rPr>
              <w:t>16,971,111.50</w:t>
            </w: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所有者权益：</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股本</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2,936,165,560.00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2,936,165,560.00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其中：优先股</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59" w:right="0"/>
              <w:jc w:val="center"/>
              <w:rPr>
                <w:rFonts w:ascii="宋体" w:hAnsi="宋体" w:cs="宋体" w:eastAsia="宋体" w:hint="default"/>
                <w:sz w:val="16"/>
                <w:szCs w:val="16"/>
              </w:rPr>
            </w:pPr>
            <w:r>
              <w:rPr>
                <w:rFonts w:ascii="宋体" w:hAnsi="宋体" w:cs="宋体" w:eastAsia="宋体" w:hint="default"/>
                <w:sz w:val="16"/>
                <w:szCs w:val="16"/>
              </w:rPr>
              <w:t>永续债</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566,164,360.16</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566,164,360.16</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7,983,507.00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7,983,507.00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107,988,111.91</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-10,705,170.77</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-114,942,182.18</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-3,751,100.50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2"/>
                <w:sz w:val="16"/>
              </w:rPr>
              <w:t>-118,693,282.68</w:t>
            </w: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1,235,782.10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1,235,782.10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308,621,714.83</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325,597,230.18</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11,344,095.35</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5,631,420.00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2"/>
                <w:sz w:val="16"/>
              </w:rPr>
              <w:t>16,975,515.35</w:t>
            </w:r>
          </w:p>
        </w:tc>
      </w:tr>
      <w:tr>
        <w:trPr>
          <w:trHeight w:val="35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一般风险准备</w:t>
            </w:r>
          </w:p>
        </w:tc>
        <w:tc>
          <w:tcPr>
            <w:tcW w:w="1418"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3,071,103,612.60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3,225,384,479.43</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103,598,086.83</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50,682,780.00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154,280,866.83</w:t>
            </w:r>
          </w:p>
        </w:tc>
      </w:tr>
      <w:tr>
        <w:trPr>
          <w:trHeight w:val="482"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221" w:firstLine="160"/>
              <w:jc w:val="left"/>
              <w:rPr>
                <w:rFonts w:ascii="宋体" w:hAnsi="宋体" w:cs="宋体" w:eastAsia="宋体" w:hint="default"/>
                <w:sz w:val="16"/>
                <w:szCs w:val="16"/>
              </w:rPr>
            </w:pPr>
            <w:r>
              <w:rPr>
                <w:rFonts w:ascii="宋体" w:hAnsi="宋体" w:cs="宋体" w:eastAsia="宋体" w:hint="default"/>
                <w:sz w:val="16"/>
                <w:szCs w:val="16"/>
              </w:rPr>
              <w:t>归属于母公司所有者</w:t>
            </w:r>
            <w:r>
              <w:rPr>
                <w:rFonts w:ascii="宋体" w:hAnsi="宋体" w:cs="宋体" w:eastAsia="宋体" w:hint="default"/>
                <w:w w:val="100"/>
                <w:sz w:val="16"/>
                <w:szCs w:val="16"/>
              </w:rPr>
              <w:t> </w:t>
            </w:r>
            <w:r>
              <w:rPr>
                <w:rFonts w:ascii="宋体" w:hAnsi="宋体" w:cs="宋体" w:eastAsia="宋体" w:hint="default"/>
                <w:sz w:val="16"/>
                <w:szCs w:val="16"/>
              </w:rPr>
              <w:t>权益合计</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6,983,295,634.60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7,035,858,734.10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52,563,099.50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52,563,099.50</w:t>
            </w: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435,153,502.94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435,153,502.94</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b/>
                <w:bCs/>
                <w:sz w:val="16"/>
                <w:szCs w:val="16"/>
              </w:rPr>
              <w:t>所有者权益合计</w:t>
            </w:r>
            <w:r>
              <w:rPr>
                <w:rFonts w:ascii="宋体" w:hAnsi="宋体" w:cs="宋体" w:eastAsia="宋体" w:hint="default"/>
                <w:sz w:val="16"/>
                <w:szCs w:val="16"/>
              </w:rPr>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7,418,449,137.54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7,471,012,237.04</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52,563,099.50</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2"/>
                <w:sz w:val="16"/>
              </w:rPr>
              <w:t>52,563,099.50</w:t>
            </w:r>
          </w:p>
        </w:tc>
      </w:tr>
      <w:tr>
        <w:trPr>
          <w:trHeight w:val="361" w:hRule="exact"/>
        </w:trPr>
        <w:tc>
          <w:tcPr>
            <w:tcW w:w="19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b/>
                <w:bCs/>
                <w:sz w:val="16"/>
                <w:szCs w:val="16"/>
              </w:rPr>
              <w:t>负债和所有者权益总计</w:t>
            </w:r>
            <w:r>
              <w:rPr>
                <w:rFonts w:ascii="宋体" w:hAnsi="宋体" w:cs="宋体" w:eastAsia="宋体" w:hint="default"/>
                <w:sz w:val="16"/>
                <w:szCs w:val="16"/>
              </w:rPr>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16,878,738,324.48</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16,948,272,535.48</w:t>
            </w:r>
          </w:p>
        </w:tc>
        <w:tc>
          <w:tcPr>
            <w:tcW w:w="1274" w:type="dxa"/>
            <w:tcBorders>
              <w:top w:val="dotted" w:sz="4" w:space="0" w:color="000000"/>
              <w:left w:val="dotted" w:sz="4" w:space="0" w:color="000000"/>
              <w:bottom w:val="single" w:sz="12" w:space="0" w:color="000000"/>
              <w:right w:val="dotted" w:sz="4" w:space="0" w:color="000000"/>
            </w:tcBorders>
          </w:tcPr>
          <w:p>
            <w:pPr/>
          </w:p>
        </w:tc>
        <w:tc>
          <w:tcPr>
            <w:tcW w:w="12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2"/>
                <w:sz w:val="16"/>
              </w:rPr>
              <w:t>69,534,211.00</w:t>
            </w:r>
          </w:p>
        </w:tc>
        <w:tc>
          <w:tcPr>
            <w:tcW w:w="13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6"/>
                <w:szCs w:val="16"/>
              </w:rPr>
            </w:pPr>
            <w:r>
              <w:rPr>
                <w:rFonts w:ascii="Times New Roman"/>
                <w:spacing w:val="-2"/>
                <w:sz w:val="16"/>
              </w:rPr>
              <w:t>69,534,211.00</w:t>
            </w:r>
          </w:p>
        </w:tc>
      </w:tr>
    </w:tbl>
    <w:p>
      <w:pPr>
        <w:pStyle w:val="Heading5"/>
        <w:spacing w:line="240" w:lineRule="auto" w:before="95"/>
        <w:ind w:left="0" w:right="938"/>
        <w:jc w:val="center"/>
        <w:rPr>
          <w:b w:val="0"/>
          <w:bCs w:val="0"/>
        </w:rPr>
      </w:pPr>
      <w:r>
        <w:rPr/>
        <w:t>母公司资产负债表</w:t>
      </w:r>
      <w:r>
        <w:rPr>
          <w:b w:val="0"/>
          <w:bCs w:val="0"/>
        </w:rPr>
      </w:r>
    </w:p>
    <w:p>
      <w:pPr>
        <w:spacing w:line="240" w:lineRule="auto" w:before="4"/>
        <w:rPr>
          <w:rFonts w:ascii="宋体" w:hAnsi="宋体" w:cs="宋体" w:eastAsia="宋体" w:hint="default"/>
          <w:b/>
          <w:bCs/>
          <w:sz w:val="2"/>
          <w:szCs w:val="2"/>
        </w:rPr>
      </w:pPr>
    </w:p>
    <w:tbl>
      <w:tblPr>
        <w:tblW w:w="0" w:type="auto"/>
        <w:jc w:val="left"/>
        <w:tblInd w:w="721" w:type="dxa"/>
        <w:tblLayout w:type="fixed"/>
        <w:tblCellMar>
          <w:top w:w="0" w:type="dxa"/>
          <w:left w:w="0" w:type="dxa"/>
          <w:bottom w:w="0" w:type="dxa"/>
          <w:right w:w="0" w:type="dxa"/>
        </w:tblCellMar>
        <w:tblLook w:val="01E0"/>
      </w:tblPr>
      <w:tblGrid>
        <w:gridCol w:w="1925"/>
        <w:gridCol w:w="1411"/>
        <w:gridCol w:w="1421"/>
        <w:gridCol w:w="1270"/>
        <w:gridCol w:w="1191"/>
        <w:gridCol w:w="1327"/>
      </w:tblGrid>
      <w:tr>
        <w:trPr>
          <w:trHeight w:val="360" w:hRule="exact"/>
        </w:trPr>
        <w:tc>
          <w:tcPr>
            <w:tcW w:w="1925"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411"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b/>
                <w:bCs/>
                <w:sz w:val="16"/>
                <w:szCs w:val="16"/>
              </w:rPr>
              <w:t>上年年末余额</w:t>
            </w:r>
            <w:r>
              <w:rPr>
                <w:rFonts w:ascii="宋体" w:hAnsi="宋体" w:cs="宋体" w:eastAsia="宋体" w:hint="default"/>
                <w:sz w:val="16"/>
                <w:szCs w:val="16"/>
              </w:rPr>
            </w:r>
          </w:p>
        </w:tc>
        <w:tc>
          <w:tcPr>
            <w:tcW w:w="1421"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383"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378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b/>
                <w:bCs/>
                <w:sz w:val="16"/>
                <w:szCs w:val="16"/>
              </w:rPr>
              <w:t>调整数</w:t>
            </w:r>
            <w:r>
              <w:rPr>
                <w:rFonts w:ascii="宋体" w:hAnsi="宋体" w:cs="宋体" w:eastAsia="宋体" w:hint="default"/>
                <w:sz w:val="16"/>
                <w:szCs w:val="16"/>
              </w:rPr>
            </w:r>
          </w:p>
        </w:tc>
      </w:tr>
      <w:tr>
        <w:trPr>
          <w:trHeight w:val="348" w:hRule="exact"/>
        </w:trPr>
        <w:tc>
          <w:tcPr>
            <w:tcW w:w="1925" w:type="dxa"/>
            <w:vMerge/>
            <w:tcBorders>
              <w:left w:val="nil" w:sz="6" w:space="0" w:color="auto"/>
              <w:bottom w:val="dotted" w:sz="4" w:space="0" w:color="000000"/>
              <w:right w:val="dotted" w:sz="4" w:space="0" w:color="000000"/>
            </w:tcBorders>
          </w:tcPr>
          <w:p>
            <w:pPr/>
          </w:p>
        </w:tc>
        <w:tc>
          <w:tcPr>
            <w:tcW w:w="1411" w:type="dxa"/>
            <w:vMerge/>
            <w:tcBorders>
              <w:left w:val="dotted" w:sz="4" w:space="0" w:color="000000"/>
              <w:bottom w:val="dotted" w:sz="4" w:space="0" w:color="000000"/>
              <w:right w:val="dotted" w:sz="4" w:space="0" w:color="000000"/>
            </w:tcBorders>
          </w:tcPr>
          <w:p>
            <w:pPr/>
          </w:p>
        </w:tc>
        <w:tc>
          <w:tcPr>
            <w:tcW w:w="1421" w:type="dxa"/>
            <w:vMerge/>
            <w:tcBorders>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388" w:right="0"/>
              <w:jc w:val="left"/>
              <w:rPr>
                <w:rFonts w:ascii="宋体" w:hAnsi="宋体" w:cs="宋体" w:eastAsia="宋体" w:hint="default"/>
                <w:sz w:val="16"/>
                <w:szCs w:val="16"/>
              </w:rPr>
            </w:pPr>
            <w:r>
              <w:rPr>
                <w:rFonts w:ascii="宋体" w:hAnsi="宋体" w:cs="宋体" w:eastAsia="宋体" w:hint="default"/>
                <w:b/>
                <w:bCs/>
                <w:sz w:val="16"/>
                <w:szCs w:val="16"/>
              </w:rPr>
              <w:t>重分类</w:t>
            </w:r>
            <w:r>
              <w:rPr>
                <w:rFonts w:ascii="宋体" w:hAnsi="宋体" w:cs="宋体" w:eastAsia="宋体" w:hint="default"/>
                <w:sz w:val="16"/>
                <w:szCs w:val="16"/>
              </w:rPr>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268" w:right="0"/>
              <w:jc w:val="left"/>
              <w:rPr>
                <w:rFonts w:ascii="宋体" w:hAnsi="宋体" w:cs="宋体" w:eastAsia="宋体" w:hint="default"/>
                <w:sz w:val="16"/>
                <w:szCs w:val="16"/>
              </w:rPr>
            </w:pPr>
            <w:r>
              <w:rPr>
                <w:rFonts w:ascii="宋体" w:hAnsi="宋体" w:cs="宋体" w:eastAsia="宋体" w:hint="default"/>
                <w:b/>
                <w:bCs/>
                <w:sz w:val="16"/>
                <w:szCs w:val="16"/>
              </w:rPr>
              <w:t>重新计量</w:t>
            </w:r>
            <w:r>
              <w:rPr>
                <w:rFonts w:ascii="宋体" w:hAnsi="宋体" w:cs="宋体" w:eastAsia="宋体" w:hint="default"/>
                <w:sz w:val="16"/>
                <w:szCs w:val="16"/>
              </w:rPr>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right="5"/>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right="994"/>
              <w:jc w:val="right"/>
              <w:rPr>
                <w:rFonts w:ascii="宋体" w:hAnsi="宋体" w:cs="宋体" w:eastAsia="宋体" w:hint="default"/>
                <w:sz w:val="16"/>
                <w:szCs w:val="16"/>
              </w:rPr>
            </w:pPr>
            <w:r>
              <w:rPr>
                <w:rFonts w:ascii="宋体" w:hAnsi="宋体" w:cs="宋体" w:eastAsia="宋体" w:hint="default"/>
                <w:spacing w:val="-1"/>
                <w:sz w:val="16"/>
                <w:szCs w:val="16"/>
              </w:rPr>
              <w:t>流动资产：</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8" w:hRule="exact"/>
        </w:trPr>
        <w:tc>
          <w:tcPr>
            <w:tcW w:w="19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8"/>
              <w:ind w:right="994"/>
              <w:jc w:val="right"/>
              <w:rPr>
                <w:rFonts w:ascii="宋体" w:hAnsi="宋体" w:cs="宋体" w:eastAsia="宋体" w:hint="default"/>
                <w:sz w:val="16"/>
                <w:szCs w:val="16"/>
              </w:rPr>
            </w:pPr>
            <w:r>
              <w:rPr>
                <w:rFonts w:ascii="宋体" w:hAnsi="宋体" w:cs="宋体" w:eastAsia="宋体" w:hint="default"/>
                <w:spacing w:val="-1"/>
                <w:sz w:val="16"/>
                <w:szCs w:val="16"/>
              </w:rPr>
              <w:t>货币资金</w:t>
            </w:r>
          </w:p>
        </w:tc>
        <w:tc>
          <w:tcPr>
            <w:tcW w:w="14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left="177" w:right="0"/>
              <w:jc w:val="left"/>
              <w:rPr>
                <w:rFonts w:ascii="Times New Roman" w:hAnsi="Times New Roman" w:cs="Times New Roman" w:eastAsia="Times New Roman" w:hint="default"/>
                <w:sz w:val="16"/>
                <w:szCs w:val="16"/>
              </w:rPr>
            </w:pPr>
            <w:r>
              <w:rPr>
                <w:rFonts w:ascii="Times New Roman"/>
                <w:sz w:val="16"/>
              </w:rPr>
              <w:t>1,004,581,514.25</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left="187" w:right="0"/>
              <w:jc w:val="left"/>
              <w:rPr>
                <w:rFonts w:ascii="Times New Roman" w:hAnsi="Times New Roman" w:cs="Times New Roman" w:eastAsia="Times New Roman" w:hint="default"/>
                <w:sz w:val="16"/>
                <w:szCs w:val="16"/>
              </w:rPr>
            </w:pPr>
            <w:r>
              <w:rPr>
                <w:rFonts w:ascii="Times New Roman"/>
                <w:sz w:val="16"/>
              </w:rPr>
              <w:t>1,004,581,514.25</w:t>
            </w:r>
          </w:p>
        </w:tc>
        <w:tc>
          <w:tcPr>
            <w:tcW w:w="1270" w:type="dxa"/>
            <w:tcBorders>
              <w:top w:val="dotted" w:sz="4" w:space="0" w:color="000000"/>
              <w:left w:val="dotted" w:sz="4" w:space="0" w:color="000000"/>
              <w:bottom w:val="single" w:sz="12" w:space="0" w:color="000000"/>
              <w:right w:val="dotted" w:sz="4" w:space="0" w:color="000000"/>
            </w:tcBorders>
          </w:tcPr>
          <w:p>
            <w:pPr/>
          </w:p>
        </w:tc>
        <w:tc>
          <w:tcPr>
            <w:tcW w:w="1191" w:type="dxa"/>
            <w:tcBorders>
              <w:top w:val="dotted" w:sz="4" w:space="0" w:color="000000"/>
              <w:left w:val="dotted" w:sz="4" w:space="0" w:color="000000"/>
              <w:bottom w:val="single" w:sz="12" w:space="0" w:color="000000"/>
              <w:right w:val="dotted" w:sz="4" w:space="0" w:color="000000"/>
            </w:tcBorders>
          </w:tcPr>
          <w:p>
            <w:pPr/>
          </w:p>
        </w:tc>
        <w:tc>
          <w:tcPr>
            <w:tcW w:w="1327"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1925"/>
        <w:gridCol w:w="1411"/>
        <w:gridCol w:w="1421"/>
        <w:gridCol w:w="1270"/>
        <w:gridCol w:w="1191"/>
        <w:gridCol w:w="1327"/>
      </w:tblGrid>
      <w:tr>
        <w:trPr>
          <w:trHeight w:val="360" w:hRule="exact"/>
        </w:trPr>
        <w:tc>
          <w:tcPr>
            <w:tcW w:w="1925"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411"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b/>
                <w:bCs/>
                <w:sz w:val="16"/>
                <w:szCs w:val="16"/>
              </w:rPr>
              <w:t>上年年末余额</w:t>
            </w:r>
            <w:r>
              <w:rPr>
                <w:rFonts w:ascii="宋体" w:hAnsi="宋体" w:cs="宋体" w:eastAsia="宋体" w:hint="default"/>
                <w:sz w:val="16"/>
                <w:szCs w:val="16"/>
              </w:rPr>
            </w:r>
          </w:p>
        </w:tc>
        <w:tc>
          <w:tcPr>
            <w:tcW w:w="1421"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83"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378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b/>
                <w:bCs/>
                <w:sz w:val="16"/>
                <w:szCs w:val="16"/>
              </w:rPr>
              <w:t>调整数</w:t>
            </w:r>
            <w:r>
              <w:rPr>
                <w:rFonts w:ascii="宋体" w:hAnsi="宋体" w:cs="宋体" w:eastAsia="宋体" w:hint="default"/>
                <w:sz w:val="16"/>
                <w:szCs w:val="16"/>
              </w:rPr>
            </w:r>
          </w:p>
        </w:tc>
      </w:tr>
      <w:tr>
        <w:trPr>
          <w:trHeight w:val="348" w:hRule="exact"/>
        </w:trPr>
        <w:tc>
          <w:tcPr>
            <w:tcW w:w="1925" w:type="dxa"/>
            <w:vMerge/>
            <w:tcBorders>
              <w:left w:val="nil" w:sz="6" w:space="0" w:color="auto"/>
              <w:bottom w:val="dotted" w:sz="4" w:space="0" w:color="000000"/>
              <w:right w:val="dotted" w:sz="4" w:space="0" w:color="000000"/>
            </w:tcBorders>
          </w:tcPr>
          <w:p>
            <w:pPr/>
          </w:p>
        </w:tc>
        <w:tc>
          <w:tcPr>
            <w:tcW w:w="1411" w:type="dxa"/>
            <w:vMerge/>
            <w:tcBorders>
              <w:left w:val="dotted" w:sz="4" w:space="0" w:color="000000"/>
              <w:bottom w:val="dotted" w:sz="4" w:space="0" w:color="000000"/>
              <w:right w:val="dotted" w:sz="4" w:space="0" w:color="000000"/>
            </w:tcBorders>
          </w:tcPr>
          <w:p>
            <w:pPr/>
          </w:p>
        </w:tc>
        <w:tc>
          <w:tcPr>
            <w:tcW w:w="1421" w:type="dxa"/>
            <w:vMerge/>
            <w:tcBorders>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388" w:right="0"/>
              <w:jc w:val="left"/>
              <w:rPr>
                <w:rFonts w:ascii="宋体" w:hAnsi="宋体" w:cs="宋体" w:eastAsia="宋体" w:hint="default"/>
                <w:sz w:val="16"/>
                <w:szCs w:val="16"/>
              </w:rPr>
            </w:pPr>
            <w:r>
              <w:rPr>
                <w:rFonts w:ascii="宋体" w:hAnsi="宋体" w:cs="宋体" w:eastAsia="宋体" w:hint="default"/>
                <w:b/>
                <w:bCs/>
                <w:sz w:val="16"/>
                <w:szCs w:val="16"/>
              </w:rPr>
              <w:t>重分类</w:t>
            </w:r>
            <w:r>
              <w:rPr>
                <w:rFonts w:ascii="宋体" w:hAnsi="宋体" w:cs="宋体" w:eastAsia="宋体" w:hint="default"/>
                <w:sz w:val="16"/>
                <w:szCs w:val="16"/>
              </w:rPr>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268" w:right="0"/>
              <w:jc w:val="left"/>
              <w:rPr>
                <w:rFonts w:ascii="宋体" w:hAnsi="宋体" w:cs="宋体" w:eastAsia="宋体" w:hint="default"/>
                <w:sz w:val="16"/>
                <w:szCs w:val="16"/>
              </w:rPr>
            </w:pPr>
            <w:r>
              <w:rPr>
                <w:rFonts w:ascii="宋体" w:hAnsi="宋体" w:cs="宋体" w:eastAsia="宋体" w:hint="default"/>
                <w:b/>
                <w:bCs/>
                <w:sz w:val="16"/>
                <w:szCs w:val="16"/>
              </w:rPr>
              <w:t>重新计量</w:t>
            </w:r>
            <w:r>
              <w:rPr>
                <w:rFonts w:ascii="宋体" w:hAnsi="宋体" w:cs="宋体" w:eastAsia="宋体" w:hint="default"/>
                <w:sz w:val="16"/>
                <w:szCs w:val="16"/>
              </w:rPr>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right="5"/>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196,849,659.16</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196,849,659.16</w:t>
            </w: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196,849,659.16</w:t>
            </w:r>
          </w:p>
        </w:tc>
      </w:tr>
      <w:tr>
        <w:trPr>
          <w:trHeight w:val="689"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4"/>
              <w:ind w:left="122" w:right="193" w:firstLine="160"/>
              <w:jc w:val="both"/>
              <w:rPr>
                <w:rFonts w:ascii="宋体" w:hAnsi="宋体" w:cs="宋体" w:eastAsia="宋体" w:hint="default"/>
                <w:sz w:val="16"/>
                <w:szCs w:val="16"/>
              </w:rPr>
            </w:pPr>
            <w:r>
              <w:rPr>
                <w:rFonts w:ascii="宋体" w:hAnsi="宋体" w:cs="宋体" w:eastAsia="宋体" w:hint="default"/>
                <w:sz w:val="16"/>
                <w:szCs w:val="16"/>
              </w:rPr>
              <w:t>以公允价值计量且其</w:t>
            </w:r>
            <w:r>
              <w:rPr>
                <w:rFonts w:ascii="宋体" w:hAnsi="宋体" w:cs="宋体" w:eastAsia="宋体" w:hint="default"/>
                <w:w w:val="100"/>
                <w:sz w:val="16"/>
                <w:szCs w:val="16"/>
              </w:rPr>
              <w:t> </w:t>
            </w:r>
            <w:r>
              <w:rPr>
                <w:rFonts w:ascii="宋体" w:hAnsi="宋体" w:cs="宋体" w:eastAsia="宋体" w:hint="default"/>
                <w:spacing w:val="-1"/>
                <w:sz w:val="16"/>
                <w:szCs w:val="16"/>
              </w:rPr>
              <w:t>变动计入当期损益的金</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融资产</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衍生金融资产</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207,803,710.72</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207,803,710.72</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291,459,712.34</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291,459,712.34</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应收款项融资</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36,230,360.65</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36,230,360.65</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437,181,743.46</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437,181,743.46</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83"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192,559,192.98</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192,559,192.98</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持有待售资产</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905"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06" w:lineRule="exact"/>
              <w:ind w:left="122" w:right="193" w:firstLine="160"/>
              <w:jc w:val="left"/>
              <w:rPr>
                <w:rFonts w:ascii="宋体" w:hAnsi="宋体" w:cs="宋体" w:eastAsia="宋体" w:hint="default"/>
                <w:sz w:val="16"/>
                <w:szCs w:val="16"/>
              </w:rPr>
            </w:pPr>
            <w:r>
              <w:rPr>
                <w:rFonts w:ascii="宋体" w:hAnsi="宋体" w:cs="宋体" w:eastAsia="宋体" w:hint="default"/>
                <w:sz w:val="16"/>
                <w:szCs w:val="16"/>
              </w:rPr>
              <w:t>一年内到期的非流动</w:t>
            </w:r>
            <w:r>
              <w:rPr>
                <w:rFonts w:ascii="宋体" w:hAnsi="宋体" w:cs="宋体" w:eastAsia="宋体" w:hint="default"/>
                <w:w w:val="100"/>
                <w:sz w:val="16"/>
                <w:szCs w:val="16"/>
              </w:rPr>
              <w:t> </w:t>
            </w:r>
            <w:r>
              <w:rPr>
                <w:rFonts w:ascii="宋体" w:hAnsi="宋体" w:cs="宋体" w:eastAsia="宋体" w:hint="default"/>
                <w:sz w:val="16"/>
                <w:szCs w:val="16"/>
              </w:rPr>
              <w:t>资产</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其他流动资产</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14,058,186.51</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14,058,186.51</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b/>
                <w:bCs/>
                <w:sz w:val="16"/>
                <w:szCs w:val="16"/>
              </w:rPr>
              <w:t>流动资产合计</w:t>
            </w:r>
            <w:r>
              <w:rPr>
                <w:rFonts w:ascii="宋体" w:hAnsi="宋体" w:cs="宋体" w:eastAsia="宋体" w:hint="default"/>
                <w:sz w:val="16"/>
                <w:szCs w:val="16"/>
              </w:rPr>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2,183,874,420.91</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2,380,724,080.07</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196,849,659.16</w:t>
            </w: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196,849,659.16</w:t>
            </w: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债权投资</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211,787,459.16</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-211,787,459.16</w:t>
            </w: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2"/>
                <w:sz w:val="16"/>
              </w:rPr>
              <w:t>-211,787,459.16</w:t>
            </w: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其他债权投资</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83" w:right="0"/>
              <w:jc w:val="left"/>
              <w:rPr>
                <w:rFonts w:ascii="宋体" w:hAnsi="宋体" w:cs="宋体" w:eastAsia="宋体" w:hint="default"/>
                <w:sz w:val="16"/>
                <w:szCs w:val="16"/>
              </w:rPr>
            </w:pPr>
            <w:r>
              <w:rPr>
                <w:rFonts w:ascii="宋体" w:hAnsi="宋体" w:cs="宋体" w:eastAsia="宋体" w:hint="default"/>
                <w:sz w:val="16"/>
                <w:szCs w:val="16"/>
              </w:rPr>
              <w:t>持有至到期投资</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675,000,000.00</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675,000,000.00</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4,538,290,408.70</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4,538,290,408.70</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6,940,900.00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14,937,800.00</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184" w:right="0"/>
              <w:jc w:val="left"/>
              <w:rPr>
                <w:rFonts w:ascii="Times New Roman" w:hAnsi="Times New Roman" w:cs="Times New Roman" w:eastAsia="Times New Roman" w:hint="default"/>
                <w:sz w:val="16"/>
                <w:szCs w:val="16"/>
              </w:rPr>
            </w:pPr>
            <w:r>
              <w:rPr>
                <w:rFonts w:ascii="Times New Roman"/>
                <w:sz w:val="16"/>
              </w:rPr>
              <w:t>-7,996,900.00</w:t>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6,940,900.00</w:t>
            </w: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其他非流动金融资产</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1,164,431,257.85</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1,164,431,257.85</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477,954,225.13</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477,954,225.13</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1,542,384,441.25</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1,542,384,441.25</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生产性生物资产</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油气资产</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121,347,720.95</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121,347,720.95</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商誉</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1,691,334.30</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1,691,334.30</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递延所得税资产</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45,798,238.33</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55,444,903.33</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237" w:right="0"/>
              <w:jc w:val="left"/>
              <w:rPr>
                <w:rFonts w:ascii="Times New Roman" w:hAnsi="Times New Roman" w:cs="Times New Roman" w:eastAsia="Times New Roman" w:hint="default"/>
                <w:sz w:val="16"/>
                <w:szCs w:val="16"/>
              </w:rPr>
            </w:pPr>
            <w:r>
              <w:rPr>
                <w:rFonts w:ascii="Times New Roman"/>
                <w:sz w:val="16"/>
              </w:rPr>
              <w:t>9,646,665.00</w:t>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9,646,665.00</w:t>
            </w: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其他非流动资产</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76,295,317.40</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76,295,317.40</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19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b/>
                <w:bCs/>
                <w:sz w:val="16"/>
                <w:szCs w:val="16"/>
              </w:rPr>
              <w:t>非流动资产合计</w:t>
            </w:r>
            <w:r>
              <w:rPr>
                <w:rFonts w:ascii="宋体" w:hAnsi="宋体" w:cs="宋体" w:eastAsia="宋体" w:hint="default"/>
                <w:sz w:val="16"/>
                <w:szCs w:val="16"/>
              </w:rPr>
            </w:r>
          </w:p>
        </w:tc>
        <w:tc>
          <w:tcPr>
            <w:tcW w:w="14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8,854,980,403.07</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8,659,780,508.91</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-196,849,659.16</w:t>
            </w:r>
          </w:p>
        </w:tc>
        <w:tc>
          <w:tcPr>
            <w:tcW w:w="11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left="237" w:right="0"/>
              <w:jc w:val="left"/>
              <w:rPr>
                <w:rFonts w:ascii="Times New Roman" w:hAnsi="Times New Roman" w:cs="Times New Roman" w:eastAsia="Times New Roman" w:hint="default"/>
                <w:sz w:val="16"/>
                <w:szCs w:val="16"/>
              </w:rPr>
            </w:pPr>
            <w:r>
              <w:rPr>
                <w:rFonts w:ascii="Times New Roman"/>
                <w:sz w:val="16"/>
              </w:rPr>
              <w:t>1,649,765.00</w:t>
            </w:r>
          </w:p>
        </w:tc>
        <w:tc>
          <w:tcPr>
            <w:tcW w:w="13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-195,199,894.16</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1925"/>
        <w:gridCol w:w="1411"/>
        <w:gridCol w:w="1421"/>
        <w:gridCol w:w="1270"/>
        <w:gridCol w:w="1191"/>
        <w:gridCol w:w="1327"/>
      </w:tblGrid>
      <w:tr>
        <w:trPr>
          <w:trHeight w:val="360" w:hRule="exact"/>
        </w:trPr>
        <w:tc>
          <w:tcPr>
            <w:tcW w:w="1925"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411"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b/>
                <w:bCs/>
                <w:sz w:val="16"/>
                <w:szCs w:val="16"/>
              </w:rPr>
              <w:t>上年年末余额</w:t>
            </w:r>
            <w:r>
              <w:rPr>
                <w:rFonts w:ascii="宋体" w:hAnsi="宋体" w:cs="宋体" w:eastAsia="宋体" w:hint="default"/>
                <w:sz w:val="16"/>
                <w:szCs w:val="16"/>
              </w:rPr>
            </w:r>
          </w:p>
        </w:tc>
        <w:tc>
          <w:tcPr>
            <w:tcW w:w="1421"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83"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378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b/>
                <w:bCs/>
                <w:sz w:val="16"/>
                <w:szCs w:val="16"/>
              </w:rPr>
              <w:t>调整数</w:t>
            </w:r>
            <w:r>
              <w:rPr>
                <w:rFonts w:ascii="宋体" w:hAnsi="宋体" w:cs="宋体" w:eastAsia="宋体" w:hint="default"/>
                <w:sz w:val="16"/>
                <w:szCs w:val="16"/>
              </w:rPr>
            </w:r>
          </w:p>
        </w:tc>
      </w:tr>
      <w:tr>
        <w:trPr>
          <w:trHeight w:val="348" w:hRule="exact"/>
        </w:trPr>
        <w:tc>
          <w:tcPr>
            <w:tcW w:w="1925" w:type="dxa"/>
            <w:vMerge/>
            <w:tcBorders>
              <w:left w:val="nil" w:sz="6" w:space="0" w:color="auto"/>
              <w:bottom w:val="dotted" w:sz="4" w:space="0" w:color="000000"/>
              <w:right w:val="dotted" w:sz="4" w:space="0" w:color="000000"/>
            </w:tcBorders>
          </w:tcPr>
          <w:p>
            <w:pPr/>
          </w:p>
        </w:tc>
        <w:tc>
          <w:tcPr>
            <w:tcW w:w="1411" w:type="dxa"/>
            <w:vMerge/>
            <w:tcBorders>
              <w:left w:val="dotted" w:sz="4" w:space="0" w:color="000000"/>
              <w:bottom w:val="dotted" w:sz="4" w:space="0" w:color="000000"/>
              <w:right w:val="dotted" w:sz="4" w:space="0" w:color="000000"/>
            </w:tcBorders>
          </w:tcPr>
          <w:p>
            <w:pPr/>
          </w:p>
        </w:tc>
        <w:tc>
          <w:tcPr>
            <w:tcW w:w="1421" w:type="dxa"/>
            <w:vMerge/>
            <w:tcBorders>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388" w:right="0"/>
              <w:jc w:val="left"/>
              <w:rPr>
                <w:rFonts w:ascii="宋体" w:hAnsi="宋体" w:cs="宋体" w:eastAsia="宋体" w:hint="default"/>
                <w:sz w:val="16"/>
                <w:szCs w:val="16"/>
              </w:rPr>
            </w:pPr>
            <w:r>
              <w:rPr>
                <w:rFonts w:ascii="宋体" w:hAnsi="宋体" w:cs="宋体" w:eastAsia="宋体" w:hint="default"/>
                <w:b/>
                <w:bCs/>
                <w:sz w:val="16"/>
                <w:szCs w:val="16"/>
              </w:rPr>
              <w:t>重分类</w:t>
            </w:r>
            <w:r>
              <w:rPr>
                <w:rFonts w:ascii="宋体" w:hAnsi="宋体" w:cs="宋体" w:eastAsia="宋体" w:hint="default"/>
                <w:sz w:val="16"/>
                <w:szCs w:val="16"/>
              </w:rPr>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268" w:right="0"/>
              <w:jc w:val="left"/>
              <w:rPr>
                <w:rFonts w:ascii="宋体" w:hAnsi="宋体" w:cs="宋体" w:eastAsia="宋体" w:hint="default"/>
                <w:sz w:val="16"/>
                <w:szCs w:val="16"/>
              </w:rPr>
            </w:pPr>
            <w:r>
              <w:rPr>
                <w:rFonts w:ascii="宋体" w:hAnsi="宋体" w:cs="宋体" w:eastAsia="宋体" w:hint="default"/>
                <w:b/>
                <w:bCs/>
                <w:sz w:val="16"/>
                <w:szCs w:val="16"/>
              </w:rPr>
              <w:t>重新计量</w:t>
            </w:r>
            <w:r>
              <w:rPr>
                <w:rFonts w:ascii="宋体" w:hAnsi="宋体" w:cs="宋体" w:eastAsia="宋体" w:hint="default"/>
                <w:sz w:val="16"/>
                <w:szCs w:val="16"/>
              </w:rPr>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right="5"/>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b/>
                <w:bCs/>
                <w:sz w:val="16"/>
                <w:szCs w:val="16"/>
              </w:rPr>
              <w:t>资产总计</w:t>
            </w:r>
            <w:r>
              <w:rPr>
                <w:rFonts w:ascii="宋体" w:hAnsi="宋体" w:cs="宋体" w:eastAsia="宋体" w:hint="default"/>
                <w:sz w:val="16"/>
                <w:szCs w:val="16"/>
              </w:rPr>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11,038,854,823.98</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11,040,504,588.98</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237" w:right="0"/>
              <w:jc w:val="left"/>
              <w:rPr>
                <w:rFonts w:ascii="Times New Roman" w:hAnsi="Times New Roman" w:cs="Times New Roman" w:eastAsia="Times New Roman" w:hint="default"/>
                <w:sz w:val="16"/>
                <w:szCs w:val="16"/>
              </w:rPr>
            </w:pPr>
            <w:r>
              <w:rPr>
                <w:rFonts w:ascii="Times New Roman"/>
                <w:sz w:val="16"/>
              </w:rPr>
              <w:t>1,649,765.00</w:t>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left="374" w:right="0"/>
              <w:jc w:val="left"/>
              <w:rPr>
                <w:rFonts w:ascii="Times New Roman" w:hAnsi="Times New Roman" w:cs="Times New Roman" w:eastAsia="Times New Roman" w:hint="default"/>
                <w:sz w:val="16"/>
                <w:szCs w:val="16"/>
              </w:rPr>
            </w:pPr>
            <w:r>
              <w:rPr>
                <w:rFonts w:ascii="Times New Roman"/>
                <w:sz w:val="16"/>
              </w:rPr>
              <w:t>1,649,765.00</w:t>
            </w: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1,665,000,000.00</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1,665,000,000.00</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交易性金融负债</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686"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2"/>
              <w:ind w:left="122" w:right="193" w:firstLine="160"/>
              <w:jc w:val="both"/>
              <w:rPr>
                <w:rFonts w:ascii="宋体" w:hAnsi="宋体" w:cs="宋体" w:eastAsia="宋体" w:hint="default"/>
                <w:sz w:val="16"/>
                <w:szCs w:val="16"/>
              </w:rPr>
            </w:pPr>
            <w:r>
              <w:rPr>
                <w:rFonts w:ascii="宋体" w:hAnsi="宋体" w:cs="宋体" w:eastAsia="宋体" w:hint="default"/>
                <w:sz w:val="16"/>
                <w:szCs w:val="16"/>
              </w:rPr>
              <w:t>以公允价值计量且其</w:t>
            </w:r>
            <w:r>
              <w:rPr>
                <w:rFonts w:ascii="宋体" w:hAnsi="宋体" w:cs="宋体" w:eastAsia="宋体" w:hint="default"/>
                <w:w w:val="100"/>
                <w:sz w:val="16"/>
                <w:szCs w:val="16"/>
              </w:rPr>
              <w:t> </w:t>
            </w:r>
            <w:r>
              <w:rPr>
                <w:rFonts w:ascii="宋体" w:hAnsi="宋体" w:cs="宋体" w:eastAsia="宋体" w:hint="default"/>
                <w:spacing w:val="-1"/>
                <w:sz w:val="16"/>
                <w:szCs w:val="16"/>
              </w:rPr>
              <w:t>变动计入当期损益的金</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融负债</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衍生金融负债</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96,018,562.15</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96,018,562.15</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399,008,076.19</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399,008,076.19</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83"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55,659,405.89</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55,659,405.89</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应付职工薪酬</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100,293,954.37</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100,293,954.37</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应交税费</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174,780,122.75</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174,780,122.75</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621,528,167.51</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621,528,167.51</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持有待售负债</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93" w:firstLine="160"/>
              <w:jc w:val="left"/>
              <w:rPr>
                <w:rFonts w:ascii="宋体" w:hAnsi="宋体" w:cs="宋体" w:eastAsia="宋体" w:hint="default"/>
                <w:sz w:val="16"/>
                <w:szCs w:val="16"/>
              </w:rPr>
            </w:pPr>
            <w:r>
              <w:rPr>
                <w:rFonts w:ascii="宋体" w:hAnsi="宋体" w:cs="宋体" w:eastAsia="宋体" w:hint="default"/>
                <w:sz w:val="16"/>
                <w:szCs w:val="16"/>
              </w:rPr>
              <w:t>一年内到期的非流动</w:t>
            </w:r>
            <w:r>
              <w:rPr>
                <w:rFonts w:ascii="宋体" w:hAnsi="宋体" w:cs="宋体" w:eastAsia="宋体" w:hint="default"/>
                <w:w w:val="100"/>
                <w:sz w:val="16"/>
                <w:szCs w:val="16"/>
              </w:rPr>
              <w:t> </w:t>
            </w:r>
            <w:r>
              <w:rPr>
                <w:rFonts w:ascii="宋体" w:hAnsi="宋体" w:cs="宋体" w:eastAsia="宋体" w:hint="default"/>
                <w:sz w:val="16"/>
                <w:szCs w:val="16"/>
              </w:rPr>
              <w:t>负债</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504,000,000.00</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504,000,000.00</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其他流动负债</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36,139,686.89</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36,139,686.89</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b/>
                <w:bCs/>
                <w:sz w:val="16"/>
                <w:szCs w:val="16"/>
              </w:rPr>
              <w:t>流动负债合计</w:t>
            </w:r>
            <w:r>
              <w:rPr>
                <w:rFonts w:ascii="宋体" w:hAnsi="宋体" w:cs="宋体" w:eastAsia="宋体" w:hint="default"/>
                <w:sz w:val="16"/>
                <w:szCs w:val="16"/>
              </w:rPr>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3,652,427,975.75</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3,652,427,975.75</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1,203,584,695.47</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1,203,584,695.47</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83"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其中：优先股</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88" w:right="0"/>
              <w:jc w:val="center"/>
              <w:rPr>
                <w:rFonts w:ascii="宋体" w:hAnsi="宋体" w:cs="宋体" w:eastAsia="宋体" w:hint="default"/>
                <w:sz w:val="16"/>
                <w:szCs w:val="16"/>
              </w:rPr>
            </w:pPr>
            <w:r>
              <w:rPr>
                <w:rFonts w:ascii="宋体" w:hAnsi="宋体" w:cs="宋体" w:eastAsia="宋体" w:hint="default"/>
                <w:sz w:val="16"/>
                <w:szCs w:val="16"/>
              </w:rPr>
              <w:t>永续债</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长期应付款</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100,000,000.00</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100,000,000.00</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长期应付职工薪酬</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721,678.96</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721,678.96</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预计负债</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79,848,338.26</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79,848,338.26</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递延收益</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196,053,094.87</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196,053,094.87</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111,054,776.05</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2"/>
              <w:jc w:val="right"/>
              <w:rPr>
                <w:rFonts w:ascii="Times New Roman" w:hAnsi="Times New Roman" w:cs="Times New Roman" w:eastAsia="Times New Roman" w:hint="default"/>
                <w:sz w:val="16"/>
                <w:szCs w:val="16"/>
              </w:rPr>
            </w:pPr>
            <w:r>
              <w:rPr>
                <w:rFonts w:ascii="Times New Roman"/>
                <w:spacing w:val="-2"/>
                <w:sz w:val="16"/>
              </w:rPr>
              <w:t>111,054,776.05</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其他非流动负债</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71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b/>
                <w:bCs/>
                <w:sz w:val="16"/>
                <w:szCs w:val="16"/>
              </w:rPr>
              <w:t>非流动负债合计</w:t>
            </w:r>
            <w:r>
              <w:rPr>
                <w:rFonts w:ascii="宋体" w:hAnsi="宋体" w:cs="宋体" w:eastAsia="宋体" w:hint="default"/>
                <w:sz w:val="16"/>
                <w:szCs w:val="16"/>
              </w:rPr>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1,691,262,583.61</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1,691,262,583.61</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6"/>
                <w:szCs w:val="16"/>
              </w:rPr>
            </w:pPr>
            <w:r>
              <w:rPr>
                <w:rFonts w:ascii="宋体" w:hAnsi="宋体" w:cs="宋体" w:eastAsia="宋体" w:hint="default"/>
                <w:b/>
                <w:bCs/>
                <w:sz w:val="16"/>
                <w:szCs w:val="16"/>
              </w:rPr>
              <w:t>负债合计</w:t>
            </w:r>
            <w:r>
              <w:rPr>
                <w:rFonts w:ascii="宋体" w:hAnsi="宋体" w:cs="宋体" w:eastAsia="宋体" w:hint="default"/>
                <w:sz w:val="16"/>
                <w:szCs w:val="16"/>
              </w:rPr>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5,343,690,559.36</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5,343,690,559.36</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所有者权益：</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股本</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2,936,165,560.00</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2,936,165,560.00</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其中：优先股</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19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8"/>
              <w:ind w:left="88" w:right="0"/>
              <w:jc w:val="center"/>
              <w:rPr>
                <w:rFonts w:ascii="宋体" w:hAnsi="宋体" w:cs="宋体" w:eastAsia="宋体" w:hint="default"/>
                <w:sz w:val="16"/>
                <w:szCs w:val="16"/>
              </w:rPr>
            </w:pPr>
            <w:r>
              <w:rPr>
                <w:rFonts w:ascii="宋体" w:hAnsi="宋体" w:cs="宋体" w:eastAsia="宋体" w:hint="default"/>
                <w:sz w:val="16"/>
                <w:szCs w:val="16"/>
              </w:rPr>
              <w:t>永续债</w:t>
            </w:r>
          </w:p>
        </w:tc>
        <w:tc>
          <w:tcPr>
            <w:tcW w:w="1411" w:type="dxa"/>
            <w:tcBorders>
              <w:top w:val="dotted" w:sz="4" w:space="0" w:color="000000"/>
              <w:left w:val="dotted" w:sz="4" w:space="0" w:color="000000"/>
              <w:bottom w:val="single" w:sz="12" w:space="0" w:color="000000"/>
              <w:right w:val="dotted" w:sz="4" w:space="0" w:color="000000"/>
            </w:tcBorders>
          </w:tcPr>
          <w:p>
            <w:pPr/>
          </w:p>
        </w:tc>
        <w:tc>
          <w:tcPr>
            <w:tcW w:w="1421" w:type="dxa"/>
            <w:tcBorders>
              <w:top w:val="dotted" w:sz="4" w:space="0" w:color="000000"/>
              <w:left w:val="dotted" w:sz="4" w:space="0" w:color="000000"/>
              <w:bottom w:val="single" w:sz="12" w:space="0" w:color="000000"/>
              <w:right w:val="dotted" w:sz="4" w:space="0" w:color="000000"/>
            </w:tcBorders>
          </w:tcPr>
          <w:p>
            <w:pPr/>
          </w:p>
        </w:tc>
        <w:tc>
          <w:tcPr>
            <w:tcW w:w="1270" w:type="dxa"/>
            <w:tcBorders>
              <w:top w:val="dotted" w:sz="4" w:space="0" w:color="000000"/>
              <w:left w:val="dotted" w:sz="4" w:space="0" w:color="000000"/>
              <w:bottom w:val="single" w:sz="12" w:space="0" w:color="000000"/>
              <w:right w:val="dotted" w:sz="4" w:space="0" w:color="000000"/>
            </w:tcBorders>
          </w:tcPr>
          <w:p>
            <w:pPr/>
          </w:p>
        </w:tc>
        <w:tc>
          <w:tcPr>
            <w:tcW w:w="1191" w:type="dxa"/>
            <w:tcBorders>
              <w:top w:val="dotted" w:sz="4" w:space="0" w:color="000000"/>
              <w:left w:val="dotted" w:sz="4" w:space="0" w:color="000000"/>
              <w:bottom w:val="single" w:sz="12" w:space="0" w:color="000000"/>
              <w:right w:val="dotted" w:sz="4" w:space="0" w:color="000000"/>
            </w:tcBorders>
          </w:tcPr>
          <w:p>
            <w:pPr/>
          </w:p>
        </w:tc>
        <w:tc>
          <w:tcPr>
            <w:tcW w:w="1327"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1925"/>
        <w:gridCol w:w="1411"/>
        <w:gridCol w:w="1421"/>
        <w:gridCol w:w="1270"/>
        <w:gridCol w:w="1191"/>
        <w:gridCol w:w="1327"/>
      </w:tblGrid>
      <w:tr>
        <w:trPr>
          <w:trHeight w:val="360" w:hRule="exact"/>
        </w:trPr>
        <w:tc>
          <w:tcPr>
            <w:tcW w:w="1925"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411"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b/>
                <w:bCs/>
                <w:sz w:val="16"/>
                <w:szCs w:val="16"/>
              </w:rPr>
              <w:t>上年年末余额</w:t>
            </w:r>
            <w:r>
              <w:rPr>
                <w:rFonts w:ascii="宋体" w:hAnsi="宋体" w:cs="宋体" w:eastAsia="宋体" w:hint="default"/>
                <w:sz w:val="16"/>
                <w:szCs w:val="16"/>
              </w:rPr>
            </w:r>
          </w:p>
        </w:tc>
        <w:tc>
          <w:tcPr>
            <w:tcW w:w="1421"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83"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378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b/>
                <w:bCs/>
                <w:sz w:val="16"/>
                <w:szCs w:val="16"/>
              </w:rPr>
              <w:t>调整数</w:t>
            </w:r>
            <w:r>
              <w:rPr>
                <w:rFonts w:ascii="宋体" w:hAnsi="宋体" w:cs="宋体" w:eastAsia="宋体" w:hint="default"/>
                <w:sz w:val="16"/>
                <w:szCs w:val="16"/>
              </w:rPr>
            </w:r>
          </w:p>
        </w:tc>
      </w:tr>
      <w:tr>
        <w:trPr>
          <w:trHeight w:val="348" w:hRule="exact"/>
        </w:trPr>
        <w:tc>
          <w:tcPr>
            <w:tcW w:w="1925" w:type="dxa"/>
            <w:vMerge/>
            <w:tcBorders>
              <w:left w:val="nil" w:sz="6" w:space="0" w:color="auto"/>
              <w:bottom w:val="dotted" w:sz="4" w:space="0" w:color="000000"/>
              <w:right w:val="dotted" w:sz="4" w:space="0" w:color="000000"/>
            </w:tcBorders>
          </w:tcPr>
          <w:p>
            <w:pPr/>
          </w:p>
        </w:tc>
        <w:tc>
          <w:tcPr>
            <w:tcW w:w="1411" w:type="dxa"/>
            <w:vMerge/>
            <w:tcBorders>
              <w:left w:val="dotted" w:sz="4" w:space="0" w:color="000000"/>
              <w:bottom w:val="dotted" w:sz="4" w:space="0" w:color="000000"/>
              <w:right w:val="dotted" w:sz="4" w:space="0" w:color="000000"/>
            </w:tcBorders>
          </w:tcPr>
          <w:p>
            <w:pPr/>
          </w:p>
        </w:tc>
        <w:tc>
          <w:tcPr>
            <w:tcW w:w="1421" w:type="dxa"/>
            <w:vMerge/>
            <w:tcBorders>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388" w:right="0"/>
              <w:jc w:val="left"/>
              <w:rPr>
                <w:rFonts w:ascii="宋体" w:hAnsi="宋体" w:cs="宋体" w:eastAsia="宋体" w:hint="default"/>
                <w:sz w:val="16"/>
                <w:szCs w:val="16"/>
              </w:rPr>
            </w:pPr>
            <w:r>
              <w:rPr>
                <w:rFonts w:ascii="宋体" w:hAnsi="宋体" w:cs="宋体" w:eastAsia="宋体" w:hint="default"/>
                <w:b/>
                <w:bCs/>
                <w:sz w:val="16"/>
                <w:szCs w:val="16"/>
              </w:rPr>
              <w:t>重分类</w:t>
            </w:r>
            <w:r>
              <w:rPr>
                <w:rFonts w:ascii="宋体" w:hAnsi="宋体" w:cs="宋体" w:eastAsia="宋体" w:hint="default"/>
                <w:sz w:val="16"/>
                <w:szCs w:val="16"/>
              </w:rPr>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268" w:right="0"/>
              <w:jc w:val="left"/>
              <w:rPr>
                <w:rFonts w:ascii="宋体" w:hAnsi="宋体" w:cs="宋体" w:eastAsia="宋体" w:hint="default"/>
                <w:sz w:val="16"/>
                <w:szCs w:val="16"/>
              </w:rPr>
            </w:pPr>
            <w:r>
              <w:rPr>
                <w:rFonts w:ascii="宋体" w:hAnsi="宋体" w:cs="宋体" w:eastAsia="宋体" w:hint="default"/>
                <w:b/>
                <w:bCs/>
                <w:sz w:val="16"/>
                <w:szCs w:val="16"/>
              </w:rPr>
              <w:t>重新计量</w:t>
            </w:r>
            <w:r>
              <w:rPr>
                <w:rFonts w:ascii="宋体" w:hAnsi="宋体" w:cs="宋体" w:eastAsia="宋体" w:hint="default"/>
                <w:sz w:val="16"/>
                <w:szCs w:val="16"/>
              </w:rPr>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right="5"/>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776,973,337.42</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776,973,337.42</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7,983,507.00</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7,983,507.00</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132,664,973.13</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-35,440,415.32</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-113,440,953.45</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-54,664,435.00</w:t>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-168,105,388.45</w:t>
            </w: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1411" w:type="dxa"/>
            <w:tcBorders>
              <w:top w:val="dotted" w:sz="4" w:space="0" w:color="000000"/>
              <w:left w:val="dotted" w:sz="4" w:space="0" w:color="000000"/>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283"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578,450,936.57</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595,426,451.92</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11,344,095.35</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5,631,420.00</w:t>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2"/>
                <w:sz w:val="16"/>
              </w:rPr>
              <w:t>16,975,515.35</w:t>
            </w:r>
          </w:p>
        </w:tc>
      </w:tr>
      <w:tr>
        <w:trPr>
          <w:trHeight w:val="348"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1,278,892,964.50</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1,431,672,602.60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102,096,858.10</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50,682,780.00</w:t>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152,779,638.10</w:t>
            </w:r>
          </w:p>
        </w:tc>
      </w:tr>
      <w:tr>
        <w:trPr>
          <w:trHeight w:val="350"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b/>
                <w:bCs/>
                <w:sz w:val="16"/>
                <w:szCs w:val="16"/>
              </w:rPr>
              <w:t>所有者权益合计</w:t>
            </w:r>
            <w:r>
              <w:rPr>
                <w:rFonts w:ascii="宋体" w:hAnsi="宋体" w:cs="宋体" w:eastAsia="宋体" w:hint="default"/>
                <w:sz w:val="16"/>
                <w:szCs w:val="16"/>
              </w:rPr>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5,695,164,264.62</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5,696,814,029.62</w:t>
            </w:r>
          </w:p>
        </w:tc>
        <w:tc>
          <w:tcPr>
            <w:tcW w:w="127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1,649,765.00</w:t>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1,649,765.00</w:t>
            </w:r>
          </w:p>
        </w:tc>
      </w:tr>
      <w:tr>
        <w:trPr>
          <w:trHeight w:val="360" w:hRule="exact"/>
        </w:trPr>
        <w:tc>
          <w:tcPr>
            <w:tcW w:w="19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b/>
                <w:bCs/>
                <w:sz w:val="16"/>
                <w:szCs w:val="16"/>
              </w:rPr>
              <w:t>负债和所有者权益总计</w:t>
            </w:r>
            <w:r>
              <w:rPr>
                <w:rFonts w:ascii="宋体" w:hAnsi="宋体" w:cs="宋体" w:eastAsia="宋体" w:hint="default"/>
                <w:sz w:val="16"/>
                <w:szCs w:val="16"/>
              </w:rPr>
            </w:r>
          </w:p>
        </w:tc>
        <w:tc>
          <w:tcPr>
            <w:tcW w:w="14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11,038,854,823.98</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11,040,504,588.98</w:t>
            </w:r>
          </w:p>
        </w:tc>
        <w:tc>
          <w:tcPr>
            <w:tcW w:w="1270" w:type="dxa"/>
            <w:tcBorders>
              <w:top w:val="dotted" w:sz="4" w:space="0" w:color="000000"/>
              <w:left w:val="dotted" w:sz="4" w:space="0" w:color="000000"/>
              <w:bottom w:val="single" w:sz="12" w:space="0" w:color="000000"/>
              <w:right w:val="dotted" w:sz="4" w:space="0" w:color="000000"/>
            </w:tcBorders>
          </w:tcPr>
          <w:p>
            <w:pPr/>
          </w:p>
        </w:tc>
        <w:tc>
          <w:tcPr>
            <w:tcW w:w="11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1,649,765.00</w:t>
            </w:r>
          </w:p>
        </w:tc>
        <w:tc>
          <w:tcPr>
            <w:tcW w:w="13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1,649,765.00</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Heading5"/>
        <w:tabs>
          <w:tab w:pos="850" w:val="left" w:leader="none"/>
        </w:tabs>
        <w:spacing w:line="240" w:lineRule="auto"/>
        <w:ind w:right="3683"/>
        <w:jc w:val="left"/>
        <w:rPr>
          <w:b w:val="0"/>
          <w:bCs w:val="0"/>
        </w:rPr>
      </w:pPr>
      <w:r>
        <w:rPr/>
        <w:t>四、</w:t>
        <w:tab/>
        <w:t>税项</w:t>
      </w:r>
      <w:r>
        <w:rPr>
          <w:b w:val="0"/>
          <w:bCs w:val="0"/>
        </w:rPr>
      </w:r>
    </w:p>
    <w:p>
      <w:pPr>
        <w:pStyle w:val="Heading5"/>
        <w:tabs>
          <w:tab w:pos="850" w:val="left" w:leader="none"/>
        </w:tabs>
        <w:spacing w:line="240" w:lineRule="auto" w:before="126"/>
        <w:ind w:right="368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主要税种和税率</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839"/>
        <w:gridCol w:w="3963"/>
        <w:gridCol w:w="2403"/>
      </w:tblGrid>
      <w:tr>
        <w:trPr>
          <w:trHeight w:val="362" w:hRule="exact"/>
        </w:trPr>
        <w:tc>
          <w:tcPr>
            <w:tcW w:w="18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23" w:right="0"/>
              <w:jc w:val="center"/>
              <w:rPr>
                <w:rFonts w:ascii="宋体" w:hAnsi="宋体" w:cs="宋体" w:eastAsia="宋体" w:hint="default"/>
                <w:sz w:val="16"/>
                <w:szCs w:val="16"/>
              </w:rPr>
            </w:pPr>
            <w:r>
              <w:rPr>
                <w:rFonts w:ascii="宋体" w:hAnsi="宋体" w:cs="宋体" w:eastAsia="宋体" w:hint="default"/>
                <w:sz w:val="16"/>
                <w:szCs w:val="16"/>
              </w:rPr>
              <w:t>税种</w:t>
            </w:r>
          </w:p>
        </w:tc>
        <w:tc>
          <w:tcPr>
            <w:tcW w:w="39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计税依据</w:t>
            </w:r>
          </w:p>
        </w:tc>
        <w:tc>
          <w:tcPr>
            <w:tcW w:w="240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2"/>
              <w:jc w:val="center"/>
              <w:rPr>
                <w:rFonts w:ascii="宋体" w:hAnsi="宋体" w:cs="宋体" w:eastAsia="宋体" w:hint="default"/>
                <w:sz w:val="16"/>
                <w:szCs w:val="16"/>
              </w:rPr>
            </w:pPr>
            <w:r>
              <w:rPr>
                <w:rFonts w:ascii="宋体" w:hAnsi="宋体" w:cs="宋体" w:eastAsia="宋体" w:hint="default"/>
                <w:sz w:val="16"/>
                <w:szCs w:val="16"/>
              </w:rPr>
              <w:t>税率（</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770" w:hRule="exact"/>
        </w:trPr>
        <w:tc>
          <w:tcPr>
            <w:tcW w:w="18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24" w:right="0"/>
              <w:jc w:val="left"/>
              <w:rPr>
                <w:rFonts w:ascii="宋体" w:hAnsi="宋体" w:cs="宋体" w:eastAsia="宋体" w:hint="default"/>
                <w:sz w:val="16"/>
                <w:szCs w:val="16"/>
              </w:rPr>
            </w:pPr>
            <w:r>
              <w:rPr>
                <w:rFonts w:ascii="宋体" w:hAnsi="宋体" w:cs="宋体" w:eastAsia="宋体" w:hint="default"/>
                <w:sz w:val="16"/>
                <w:szCs w:val="16"/>
              </w:rPr>
              <w:t>增值税</w:t>
            </w:r>
          </w:p>
        </w:tc>
        <w:tc>
          <w:tcPr>
            <w:tcW w:w="3963"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45"/>
              <w:ind w:left="103" w:right="94" w:firstLine="2"/>
              <w:jc w:val="both"/>
              <w:rPr>
                <w:rFonts w:ascii="宋体" w:hAnsi="宋体" w:cs="宋体" w:eastAsia="宋体" w:hint="default"/>
                <w:sz w:val="16"/>
                <w:szCs w:val="16"/>
              </w:rPr>
            </w:pPr>
            <w:r>
              <w:rPr>
                <w:rFonts w:ascii="宋体" w:hAnsi="宋体" w:cs="宋体" w:eastAsia="宋体" w:hint="default"/>
                <w:sz w:val="16"/>
                <w:szCs w:val="16"/>
              </w:rPr>
              <w:t>按税法规定计算的销售货物和应税劳务收入为基础计</w:t>
            </w:r>
            <w:r>
              <w:rPr>
                <w:rFonts w:ascii="宋体" w:hAnsi="宋体" w:cs="宋体" w:eastAsia="宋体" w:hint="default"/>
                <w:spacing w:val="-20"/>
                <w:sz w:val="16"/>
                <w:szCs w:val="16"/>
              </w:rPr>
              <w:t> </w:t>
            </w:r>
            <w:r>
              <w:rPr>
                <w:rFonts w:ascii="宋体" w:hAnsi="宋体" w:cs="宋体" w:eastAsia="宋体" w:hint="default"/>
                <w:spacing w:val="-20"/>
                <w:sz w:val="16"/>
                <w:szCs w:val="16"/>
              </w:rPr>
            </w:r>
            <w:r>
              <w:rPr>
                <w:rFonts w:ascii="宋体" w:hAnsi="宋体" w:cs="宋体" w:eastAsia="宋体" w:hint="default"/>
                <w:sz w:val="16"/>
                <w:szCs w:val="16"/>
              </w:rPr>
              <w:t>算销项税额，在扣除当期允许抵扣的进项税额后，差</w:t>
            </w:r>
            <w:r>
              <w:rPr>
                <w:rFonts w:ascii="宋体" w:hAnsi="宋体" w:cs="宋体" w:eastAsia="宋体" w:hint="default"/>
                <w:spacing w:val="-18"/>
                <w:sz w:val="16"/>
                <w:szCs w:val="16"/>
              </w:rPr>
              <w:t> </w:t>
            </w:r>
            <w:r>
              <w:rPr>
                <w:rFonts w:ascii="宋体" w:hAnsi="宋体" w:cs="宋体" w:eastAsia="宋体" w:hint="default"/>
                <w:spacing w:val="-18"/>
                <w:sz w:val="16"/>
                <w:szCs w:val="16"/>
              </w:rPr>
            </w:r>
            <w:r>
              <w:rPr>
                <w:rFonts w:ascii="宋体" w:hAnsi="宋体" w:cs="宋体" w:eastAsia="宋体" w:hint="default"/>
                <w:sz w:val="16"/>
                <w:szCs w:val="16"/>
              </w:rPr>
              <w:t>额部分为应交增值税</w:t>
            </w:r>
          </w:p>
        </w:tc>
        <w:tc>
          <w:tcPr>
            <w:tcW w:w="24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pacing w:val="-5"/>
                <w:sz w:val="16"/>
                <w:szCs w:val="16"/>
              </w:rPr>
              <w:t>16.00</w:t>
            </w:r>
            <w:r>
              <w:rPr>
                <w:rFonts w:ascii="宋体" w:hAnsi="宋体" w:cs="宋体" w:eastAsia="宋体" w:hint="default"/>
                <w:spacing w:val="-5"/>
                <w:sz w:val="16"/>
                <w:szCs w:val="16"/>
              </w:rPr>
              <w:t>、</w:t>
            </w:r>
            <w:r>
              <w:rPr>
                <w:rFonts w:ascii="Times New Roman" w:hAnsi="Times New Roman" w:cs="Times New Roman" w:eastAsia="Times New Roman" w:hint="default"/>
                <w:spacing w:val="-5"/>
                <w:sz w:val="16"/>
                <w:szCs w:val="16"/>
              </w:rPr>
              <w:t>13.00</w:t>
            </w:r>
            <w:r>
              <w:rPr>
                <w:rFonts w:ascii="宋体" w:hAnsi="宋体" w:cs="宋体" w:eastAsia="宋体" w:hint="default"/>
                <w:spacing w:val="-5"/>
                <w:sz w:val="16"/>
                <w:szCs w:val="16"/>
              </w:rPr>
              <w:t>、</w:t>
            </w:r>
            <w:r>
              <w:rPr>
                <w:rFonts w:ascii="Times New Roman" w:hAnsi="Times New Roman" w:cs="Times New Roman" w:eastAsia="Times New Roman" w:hint="default"/>
                <w:spacing w:val="-5"/>
                <w:sz w:val="16"/>
                <w:szCs w:val="16"/>
              </w:rPr>
              <w:t>10.00</w:t>
            </w:r>
            <w:r>
              <w:rPr>
                <w:rFonts w:ascii="宋体" w:hAnsi="宋体" w:cs="宋体" w:eastAsia="宋体" w:hint="default"/>
                <w:spacing w:val="-5"/>
                <w:sz w:val="16"/>
                <w:szCs w:val="16"/>
              </w:rPr>
              <w:t>、</w:t>
            </w:r>
            <w:r>
              <w:rPr>
                <w:rFonts w:ascii="Times New Roman" w:hAnsi="Times New Roman" w:cs="Times New Roman" w:eastAsia="Times New Roman" w:hint="default"/>
                <w:spacing w:val="-5"/>
                <w:sz w:val="16"/>
                <w:szCs w:val="16"/>
              </w:rPr>
              <w:t>9.00</w:t>
            </w:r>
            <w:r>
              <w:rPr>
                <w:rFonts w:ascii="宋体" w:hAnsi="宋体" w:cs="宋体" w:eastAsia="宋体" w:hint="default"/>
                <w:spacing w:val="-5"/>
                <w:sz w:val="16"/>
                <w:szCs w:val="16"/>
              </w:rPr>
              <w:t>、</w:t>
            </w:r>
            <w:r>
              <w:rPr>
                <w:rFonts w:ascii="Times New Roman" w:hAnsi="Times New Roman" w:cs="Times New Roman" w:eastAsia="Times New Roman" w:hint="default"/>
                <w:spacing w:val="-5"/>
                <w:sz w:val="16"/>
                <w:szCs w:val="16"/>
              </w:rPr>
              <w:t>6.00</w:t>
            </w:r>
          </w:p>
        </w:tc>
      </w:tr>
      <w:tr>
        <w:trPr>
          <w:trHeight w:val="353" w:hRule="exact"/>
        </w:trPr>
        <w:tc>
          <w:tcPr>
            <w:tcW w:w="18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4" w:right="0"/>
              <w:jc w:val="left"/>
              <w:rPr>
                <w:rFonts w:ascii="宋体" w:hAnsi="宋体" w:cs="宋体" w:eastAsia="宋体" w:hint="default"/>
                <w:sz w:val="16"/>
                <w:szCs w:val="16"/>
              </w:rPr>
            </w:pPr>
            <w:r>
              <w:rPr>
                <w:rFonts w:ascii="宋体" w:hAnsi="宋体" w:cs="宋体" w:eastAsia="宋体" w:hint="default"/>
                <w:sz w:val="16"/>
                <w:szCs w:val="16"/>
              </w:rPr>
              <w:t>消费税</w:t>
            </w:r>
          </w:p>
        </w:tc>
        <w:tc>
          <w:tcPr>
            <w:tcW w:w="3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5" w:right="0"/>
              <w:jc w:val="left"/>
              <w:rPr>
                <w:rFonts w:ascii="宋体" w:hAnsi="宋体" w:cs="宋体" w:eastAsia="宋体" w:hint="default"/>
                <w:sz w:val="16"/>
                <w:szCs w:val="16"/>
              </w:rPr>
            </w:pPr>
            <w:r>
              <w:rPr>
                <w:rFonts w:ascii="宋体" w:hAnsi="宋体" w:cs="宋体" w:eastAsia="宋体" w:hint="default"/>
                <w:sz w:val="16"/>
                <w:szCs w:val="16"/>
              </w:rPr>
              <w:t>按应税销售收入计缴</w:t>
            </w:r>
          </w:p>
        </w:tc>
        <w:tc>
          <w:tcPr>
            <w:tcW w:w="24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105" w:right="0"/>
              <w:jc w:val="left"/>
              <w:rPr>
                <w:rFonts w:ascii="Times New Roman" w:hAnsi="Times New Roman" w:cs="Times New Roman" w:eastAsia="Times New Roman" w:hint="default"/>
                <w:sz w:val="16"/>
                <w:szCs w:val="16"/>
              </w:rPr>
            </w:pPr>
            <w:r>
              <w:rPr>
                <w:rFonts w:ascii="Times New Roman"/>
                <w:sz w:val="16"/>
              </w:rPr>
              <w:t>4.00</w:t>
            </w:r>
          </w:p>
        </w:tc>
      </w:tr>
      <w:tr>
        <w:trPr>
          <w:trHeight w:val="353" w:hRule="exact"/>
        </w:trPr>
        <w:tc>
          <w:tcPr>
            <w:tcW w:w="18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城市维护建设税</w:t>
            </w:r>
          </w:p>
        </w:tc>
        <w:tc>
          <w:tcPr>
            <w:tcW w:w="3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5" w:right="0"/>
              <w:jc w:val="left"/>
              <w:rPr>
                <w:rFonts w:ascii="宋体" w:hAnsi="宋体" w:cs="宋体" w:eastAsia="宋体" w:hint="default"/>
                <w:sz w:val="16"/>
                <w:szCs w:val="16"/>
              </w:rPr>
            </w:pPr>
            <w:r>
              <w:rPr>
                <w:rFonts w:ascii="宋体" w:hAnsi="宋体" w:cs="宋体" w:eastAsia="宋体" w:hint="default"/>
                <w:sz w:val="16"/>
                <w:szCs w:val="16"/>
              </w:rPr>
              <w:t>按实际缴纳的增值税及消费税计缴</w:t>
            </w:r>
          </w:p>
        </w:tc>
        <w:tc>
          <w:tcPr>
            <w:tcW w:w="24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7.00</w:t>
            </w:r>
            <w:r>
              <w:rPr>
                <w:rFonts w:ascii="宋体" w:hAnsi="宋体" w:cs="宋体" w:eastAsia="宋体" w:hint="default"/>
                <w:sz w:val="16"/>
                <w:szCs w:val="16"/>
              </w:rPr>
              <w:t>、</w:t>
            </w:r>
            <w:r>
              <w:rPr>
                <w:rFonts w:ascii="Times New Roman" w:hAnsi="Times New Roman" w:cs="Times New Roman" w:eastAsia="Times New Roman" w:hint="default"/>
                <w:sz w:val="16"/>
                <w:szCs w:val="16"/>
              </w:rPr>
              <w:t>5.00</w:t>
            </w:r>
          </w:p>
        </w:tc>
      </w:tr>
      <w:tr>
        <w:trPr>
          <w:trHeight w:val="365" w:hRule="exact"/>
        </w:trPr>
        <w:tc>
          <w:tcPr>
            <w:tcW w:w="18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企业所得税</w:t>
            </w:r>
          </w:p>
        </w:tc>
        <w:tc>
          <w:tcPr>
            <w:tcW w:w="39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3"/>
              <w:ind w:left="105" w:right="0"/>
              <w:jc w:val="left"/>
              <w:rPr>
                <w:rFonts w:ascii="宋体" w:hAnsi="宋体" w:cs="宋体" w:eastAsia="宋体" w:hint="default"/>
                <w:sz w:val="16"/>
                <w:szCs w:val="16"/>
              </w:rPr>
            </w:pPr>
            <w:r>
              <w:rPr>
                <w:rFonts w:ascii="宋体" w:hAnsi="宋体" w:cs="宋体" w:eastAsia="宋体" w:hint="default"/>
                <w:sz w:val="16"/>
                <w:szCs w:val="16"/>
              </w:rPr>
              <w:t>按应纳税所得额计缴</w:t>
            </w:r>
          </w:p>
        </w:tc>
        <w:tc>
          <w:tcPr>
            <w:tcW w:w="240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3"/>
              <w:ind w:left="10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pacing w:val="-8"/>
                <w:sz w:val="16"/>
                <w:szCs w:val="16"/>
              </w:rPr>
              <w:t>25.00</w:t>
            </w:r>
            <w:r>
              <w:rPr>
                <w:rFonts w:ascii="宋体" w:hAnsi="宋体" w:cs="宋体" w:eastAsia="宋体" w:hint="default"/>
                <w:spacing w:val="-8"/>
                <w:sz w:val="16"/>
                <w:szCs w:val="16"/>
              </w:rPr>
              <w:t>、</w:t>
            </w:r>
            <w:r>
              <w:rPr>
                <w:rFonts w:ascii="Times New Roman" w:hAnsi="Times New Roman" w:cs="Times New Roman" w:eastAsia="Times New Roman" w:hint="default"/>
                <w:spacing w:val="-8"/>
                <w:sz w:val="16"/>
                <w:szCs w:val="16"/>
              </w:rPr>
              <w:t>20.00</w:t>
            </w:r>
            <w:r>
              <w:rPr>
                <w:rFonts w:ascii="宋体" w:hAnsi="宋体" w:cs="宋体" w:eastAsia="宋体" w:hint="default"/>
                <w:spacing w:val="-8"/>
                <w:sz w:val="16"/>
                <w:szCs w:val="16"/>
              </w:rPr>
              <w:t>、</w:t>
            </w:r>
            <w:r>
              <w:rPr>
                <w:rFonts w:ascii="Times New Roman" w:hAnsi="Times New Roman" w:cs="Times New Roman" w:eastAsia="Times New Roman" w:hint="default"/>
                <w:spacing w:val="-8"/>
                <w:sz w:val="16"/>
                <w:szCs w:val="16"/>
              </w:rPr>
              <w:t>16.50</w:t>
            </w:r>
            <w:r>
              <w:rPr>
                <w:rFonts w:ascii="宋体" w:hAnsi="宋体" w:cs="宋体" w:eastAsia="宋体" w:hint="default"/>
                <w:spacing w:val="-8"/>
                <w:sz w:val="16"/>
                <w:szCs w:val="16"/>
              </w:rPr>
              <w:t>、</w:t>
            </w:r>
            <w:r>
              <w:rPr>
                <w:rFonts w:ascii="Times New Roman" w:hAnsi="Times New Roman" w:cs="Times New Roman" w:eastAsia="Times New Roman" w:hint="default"/>
                <w:spacing w:val="-8"/>
                <w:sz w:val="16"/>
                <w:szCs w:val="16"/>
              </w:rPr>
              <w:t>15.00</w:t>
            </w:r>
            <w:r>
              <w:rPr>
                <w:rFonts w:ascii="宋体" w:hAnsi="宋体" w:cs="宋体" w:eastAsia="宋体" w:hint="default"/>
                <w:spacing w:val="-8"/>
                <w:sz w:val="16"/>
                <w:szCs w:val="16"/>
              </w:rPr>
              <w:t>、</w:t>
            </w:r>
            <w:r>
              <w:rPr>
                <w:rFonts w:ascii="Times New Roman" w:hAnsi="Times New Roman" w:cs="Times New Roman" w:eastAsia="Times New Roman" w:hint="default"/>
                <w:spacing w:val="-8"/>
                <w:sz w:val="16"/>
                <w:szCs w:val="16"/>
              </w:rPr>
              <w:t>0.00</w:t>
            </w:r>
          </w:p>
        </w:tc>
      </w:tr>
    </w:tbl>
    <w:p>
      <w:pPr>
        <w:spacing w:line="240" w:lineRule="auto" w:before="8"/>
        <w:rPr>
          <w:rFonts w:ascii="宋体" w:hAnsi="宋体" w:cs="宋体" w:eastAsia="宋体" w:hint="default"/>
          <w:b/>
          <w:bCs/>
          <w:sz w:val="5"/>
          <w:szCs w:val="5"/>
        </w:rPr>
      </w:pPr>
    </w:p>
    <w:p>
      <w:pPr>
        <w:pStyle w:val="BodyText"/>
        <w:spacing w:line="336" w:lineRule="auto"/>
        <w:ind w:left="850" w:right="1468"/>
        <w:jc w:val="left"/>
      </w:pPr>
      <w:r>
        <w:rPr/>
        <w:t>说明：</w:t>
      </w:r>
      <w:r>
        <w:rPr>
          <w:spacing w:val="-102"/>
        </w:rPr>
        <w:t> </w:t>
      </w:r>
      <w:r>
        <w:rPr>
          <w:rFonts w:ascii="Times New Roman" w:hAnsi="Times New Roman" w:cs="Times New Roman" w:eastAsia="Times New Roman" w:hint="default"/>
          <w:spacing w:val="-4"/>
        </w:rPr>
        <w:t>1</w:t>
      </w:r>
      <w:r>
        <w:rPr>
          <w:spacing w:val="-4"/>
        </w:rPr>
        <w:t>、武汉长光电源有限公司主要生产密封铅酸蓄电池。根据《关于对电池涂料征收消</w:t>
      </w:r>
      <w:r>
        <w:rPr>
          <w:spacing w:val="-30"/>
        </w:rPr>
        <w:t> </w:t>
      </w:r>
      <w:r>
        <w:rPr>
          <w:spacing w:val="-30"/>
        </w:rPr>
      </w:r>
      <w:r>
        <w:rPr>
          <w:spacing w:val="-3"/>
        </w:rPr>
        <w:t>费税的通知》财税〔</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3"/>
        </w:rPr>
        <w:t> </w:t>
      </w:r>
      <w:r>
        <w:rPr>
          <w:spacing w:val="-4"/>
        </w:rPr>
        <w:t>号，自</w:t>
      </w:r>
      <w:r>
        <w:rPr>
          <w:spacing w:val="-50"/>
        </w:rPr>
        <w:t> </w:t>
      </w:r>
      <w:r>
        <w:rPr>
          <w:rFonts w:ascii="Times New Roman" w:hAnsi="Times New Roman" w:cs="Times New Roman" w:eastAsia="Times New Roman" w:hint="default"/>
        </w:rPr>
        <w:t>2016 </w:t>
      </w:r>
      <w:r>
        <w:rPr/>
        <w:t>年</w:t>
      </w:r>
      <w:r>
        <w:rPr>
          <w:spacing w:val="-49"/>
        </w:rPr>
        <w:t> </w:t>
      </w:r>
      <w:r>
        <w:rPr>
          <w:rFonts w:ascii="Times New Roman" w:hAnsi="Times New Roman" w:cs="Times New Roman" w:eastAsia="Times New Roman" w:hint="default"/>
        </w:rPr>
        <w:t>1 </w:t>
      </w:r>
      <w:r>
        <w:rPr/>
        <w:t>月</w:t>
      </w:r>
      <w:r>
        <w:rPr>
          <w:spacing w:val="-50"/>
        </w:rPr>
        <w:t> </w:t>
      </w:r>
      <w:r>
        <w:rPr>
          <w:rFonts w:ascii="Times New Roman" w:hAnsi="Times New Roman" w:cs="Times New Roman" w:eastAsia="Times New Roman" w:hint="default"/>
        </w:rPr>
        <w:t>1 </w:t>
      </w:r>
      <w:r>
        <w:rPr/>
        <w:t>日起，对铅蓄电池按</w:t>
      </w:r>
      <w:r>
        <w:rPr>
          <w:spacing w:val="-49"/>
        </w:rPr>
        <w:t> </w:t>
      </w:r>
      <w:r>
        <w:rPr>
          <w:rFonts w:ascii="Times New Roman" w:hAnsi="Times New Roman" w:cs="Times New Roman" w:eastAsia="Times New Roman" w:hint="default"/>
        </w:rPr>
        <w:t>4%</w:t>
      </w:r>
      <w:r>
        <w:rPr/>
        <w:t>税率征</w:t>
      </w:r>
      <w:r>
        <w:rPr>
          <w:w w:val="100"/>
        </w:rPr>
        <w:t> </w:t>
      </w:r>
      <w:r>
        <w:rPr/>
        <w:t>收消费税。</w:t>
      </w:r>
    </w:p>
    <w:p>
      <w:pPr>
        <w:pStyle w:val="BodyText"/>
        <w:spacing w:line="240" w:lineRule="auto" w:before="39"/>
        <w:ind w:left="850" w:right="1468"/>
        <w:jc w:val="left"/>
      </w:pPr>
      <w:r>
        <w:rPr>
          <w:rFonts w:ascii="Times New Roman" w:hAnsi="Times New Roman" w:cs="Times New Roman" w:eastAsia="Times New Roman" w:hint="default"/>
          <w:w w:val="100"/>
        </w:rPr>
        <w:t>2</w:t>
      </w:r>
      <w:r>
        <w:rPr>
          <w:w w:val="100"/>
        </w:rPr>
        <w:t>、</w:t>
      </w:r>
      <w:r>
        <w:rPr>
          <w:spacing w:val="-3"/>
          <w:w w:val="100"/>
        </w:rPr>
        <w:t>根</w:t>
      </w:r>
      <w:r>
        <w:rPr>
          <w:w w:val="100"/>
        </w:rPr>
        <w:t>据</w:t>
      </w:r>
      <w:r>
        <w:rPr>
          <w:spacing w:val="-3"/>
          <w:w w:val="100"/>
        </w:rPr>
        <w:t>《</w:t>
      </w:r>
      <w:r>
        <w:rPr>
          <w:w w:val="100"/>
        </w:rPr>
        <w:t>关</w:t>
      </w:r>
      <w:r>
        <w:rPr>
          <w:spacing w:val="-3"/>
          <w:w w:val="100"/>
        </w:rPr>
        <w:t>于</w:t>
      </w:r>
      <w:r>
        <w:rPr>
          <w:w w:val="100"/>
        </w:rPr>
        <w:t>深</w:t>
      </w:r>
      <w:r>
        <w:rPr>
          <w:spacing w:val="-3"/>
          <w:w w:val="100"/>
        </w:rPr>
        <w:t>化</w:t>
      </w:r>
      <w:r>
        <w:rPr>
          <w:w w:val="100"/>
        </w:rPr>
        <w:t>增</w:t>
      </w:r>
      <w:r>
        <w:rPr>
          <w:spacing w:val="-3"/>
          <w:w w:val="100"/>
        </w:rPr>
        <w:t>值税</w:t>
      </w:r>
      <w:r>
        <w:rPr>
          <w:w w:val="100"/>
        </w:rPr>
        <w:t>改革</w:t>
      </w:r>
      <w:r>
        <w:rPr>
          <w:spacing w:val="-3"/>
          <w:w w:val="100"/>
        </w:rPr>
        <w:t>有</w:t>
      </w:r>
      <w:r>
        <w:rPr>
          <w:w w:val="100"/>
        </w:rPr>
        <w:t>关</w:t>
      </w:r>
      <w:r>
        <w:rPr>
          <w:spacing w:val="-3"/>
          <w:w w:val="100"/>
        </w:rPr>
        <w:t>政</w:t>
      </w:r>
      <w:r>
        <w:rPr>
          <w:w w:val="100"/>
        </w:rPr>
        <w:t>策</w:t>
      </w:r>
      <w:r>
        <w:rPr>
          <w:spacing w:val="-3"/>
          <w:w w:val="100"/>
        </w:rPr>
        <w:t>的</w:t>
      </w:r>
      <w:r>
        <w:rPr>
          <w:w w:val="100"/>
        </w:rPr>
        <w:t>公</w:t>
      </w:r>
      <w:r>
        <w:rPr>
          <w:spacing w:val="-3"/>
          <w:w w:val="100"/>
        </w:rPr>
        <w:t>告</w:t>
      </w:r>
      <w:r>
        <w:rPr>
          <w:spacing w:val="-106"/>
          <w:w w:val="100"/>
        </w:rPr>
        <w:t>》</w:t>
      </w:r>
      <w:r>
        <w:rPr>
          <w:spacing w:val="-3"/>
          <w:w w:val="100"/>
        </w:rPr>
        <w:t>（财</w:t>
      </w:r>
      <w:r>
        <w:rPr>
          <w:w w:val="100"/>
        </w:rPr>
        <w:t>政部</w:t>
      </w:r>
      <w:r>
        <w:rPr>
          <w:spacing w:val="-2"/>
        </w:rPr>
        <w:t> </w:t>
      </w:r>
      <w:r>
        <w:rPr>
          <w:w w:val="100"/>
        </w:rPr>
        <w:t>税</w:t>
      </w:r>
      <w:r>
        <w:rPr>
          <w:spacing w:val="-3"/>
          <w:w w:val="100"/>
        </w:rPr>
        <w:t>务</w:t>
      </w:r>
      <w:r>
        <w:rPr>
          <w:w w:val="100"/>
        </w:rPr>
        <w:t>总局</w:t>
      </w:r>
      <w:r>
        <w:rPr>
          <w:spacing w:val="-2"/>
        </w:rPr>
        <w:t> </w:t>
      </w:r>
      <w:r>
        <w:rPr>
          <w:w w:val="100"/>
        </w:rPr>
        <w:t>海</w:t>
      </w:r>
      <w:r>
        <w:rPr>
          <w:spacing w:val="-3"/>
          <w:w w:val="100"/>
        </w:rPr>
        <w:t>关</w:t>
      </w:r>
      <w:r>
        <w:rPr>
          <w:w w:val="100"/>
        </w:rPr>
        <w:t>总</w:t>
      </w:r>
      <w:r>
        <w:rPr>
          <w:spacing w:val="-3"/>
          <w:w w:val="100"/>
        </w:rPr>
        <w:t>署</w:t>
      </w:r>
      <w:r>
        <w:rPr>
          <w:w w:val="100"/>
        </w:rPr>
        <w:t>公告</w:t>
      </w:r>
    </w:p>
    <w:p>
      <w:pPr>
        <w:pStyle w:val="BodyText"/>
        <w:spacing w:line="331" w:lineRule="auto" w:before="110"/>
        <w:ind w:left="850" w:right="1788"/>
        <w:jc w:val="left"/>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2"/>
          <w:w w:val="100"/>
        </w:rPr>
        <w:t> </w:t>
      </w:r>
      <w:r>
        <w:rPr>
          <w:w w:val="100"/>
        </w:rPr>
        <w:t>年第</w:t>
      </w:r>
      <w:r>
        <w:rPr>
          <w:spacing w:val="-52"/>
          <w:w w:val="100"/>
        </w:rPr>
        <w:t> </w:t>
      </w:r>
      <w:r>
        <w:rPr>
          <w:rFonts w:ascii="Times New Roman" w:hAnsi="Times New Roman" w:cs="Times New Roman" w:eastAsia="Times New Roman" w:hint="default"/>
          <w:spacing w:val="-2"/>
          <w:w w:val="100"/>
        </w:rPr>
        <w:t>39</w:t>
      </w:r>
      <w:r>
        <w:rPr>
          <w:rFonts w:ascii="Times New Roman" w:hAnsi="Times New Roman" w:cs="Times New Roman" w:eastAsia="Times New Roman" w:hint="default"/>
          <w:spacing w:val="1"/>
          <w:w w:val="100"/>
        </w:rPr>
        <w:t> </w:t>
      </w:r>
      <w:r>
        <w:rPr>
          <w:spacing w:val="-28"/>
          <w:w w:val="100"/>
        </w:rPr>
        <w:t>号），自</w:t>
      </w:r>
      <w:r>
        <w:rPr>
          <w:spacing w:val="-51"/>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1"/>
          <w:w w:val="100"/>
        </w:rPr>
        <w:t> </w:t>
      </w:r>
      <w:r>
        <w:rPr>
          <w:w w:val="100"/>
        </w:rPr>
        <w:t>年</w:t>
      </w:r>
      <w:r>
        <w:rPr>
          <w:spacing w:val="-52"/>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spacing w:val="-2"/>
          <w:w w:val="100"/>
        </w:rPr>
        <w:t>日起本公司发生的增值税应税销售行为，原适</w:t>
      </w:r>
      <w:r>
        <w:rPr>
          <w:w w:val="100"/>
        </w:rPr>
        <w:t> </w:t>
      </w:r>
      <w:r>
        <w:rPr/>
        <w:t>用</w:t>
      </w:r>
      <w:r>
        <w:rPr>
          <w:spacing w:val="-54"/>
        </w:rPr>
        <w:t> </w:t>
      </w:r>
      <w:r>
        <w:rPr>
          <w:rFonts w:ascii="Times New Roman" w:hAnsi="Times New Roman" w:cs="Times New Roman" w:eastAsia="Times New Roman" w:hint="default"/>
        </w:rPr>
        <w:t>16%</w:t>
      </w:r>
      <w:r>
        <w:rPr/>
        <w:t>税率的，税率调整为</w:t>
      </w:r>
      <w:r>
        <w:rPr>
          <w:spacing w:val="-53"/>
        </w:rPr>
        <w:t> </w:t>
      </w:r>
      <w:r>
        <w:rPr>
          <w:rFonts w:ascii="Times New Roman" w:hAnsi="Times New Roman" w:cs="Times New Roman" w:eastAsia="Times New Roman" w:hint="default"/>
        </w:rPr>
        <w:t>13%</w:t>
      </w:r>
      <w:r>
        <w:rPr/>
        <w:t>；原适用</w:t>
      </w:r>
      <w:r>
        <w:rPr>
          <w:spacing w:val="-56"/>
        </w:rPr>
        <w:t> </w:t>
      </w:r>
      <w:r>
        <w:rPr>
          <w:rFonts w:ascii="Times New Roman" w:hAnsi="Times New Roman" w:cs="Times New Roman" w:eastAsia="Times New Roman" w:hint="default"/>
        </w:rPr>
        <w:t>10%</w:t>
      </w:r>
      <w:r>
        <w:rPr/>
        <w:t>税率的，税率调整为</w:t>
      </w:r>
      <w:r>
        <w:rPr>
          <w:spacing w:val="-54"/>
        </w:rPr>
        <w:t> </w:t>
      </w:r>
      <w:r>
        <w:rPr>
          <w:rFonts w:ascii="Times New Roman" w:hAnsi="Times New Roman" w:cs="Times New Roman" w:eastAsia="Times New Roman" w:hint="default"/>
        </w:rPr>
        <w:t>9%</w:t>
      </w:r>
      <w:r>
        <w:rPr/>
        <w:t>。</w:t>
      </w:r>
    </w:p>
    <w:p>
      <w:pPr>
        <w:spacing w:line="240" w:lineRule="auto" w:before="1"/>
        <w:rPr>
          <w:rFonts w:ascii="宋体" w:hAnsi="宋体" w:cs="宋体" w:eastAsia="宋体" w:hint="default"/>
          <w:sz w:val="32"/>
          <w:szCs w:val="32"/>
        </w:rPr>
      </w:pPr>
    </w:p>
    <w:p>
      <w:pPr>
        <w:pStyle w:val="BodyText"/>
        <w:spacing w:line="240" w:lineRule="auto" w:before="0"/>
        <w:ind w:left="850" w:right="3683"/>
        <w:jc w:val="left"/>
      </w:pPr>
      <w:r>
        <w:rPr/>
        <w:t>存在不同企业所得税税率纳税主体情况如下：</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5768"/>
        <w:gridCol w:w="2437"/>
      </w:tblGrid>
      <w:tr>
        <w:trPr>
          <w:trHeight w:val="365" w:hRule="exact"/>
        </w:trPr>
        <w:tc>
          <w:tcPr>
            <w:tcW w:w="576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24" w:right="0"/>
              <w:jc w:val="center"/>
              <w:rPr>
                <w:rFonts w:ascii="宋体" w:hAnsi="宋体" w:cs="宋体" w:eastAsia="宋体" w:hint="default"/>
                <w:sz w:val="16"/>
                <w:szCs w:val="16"/>
              </w:rPr>
            </w:pPr>
            <w:r>
              <w:rPr>
                <w:rFonts w:ascii="宋体" w:hAnsi="宋体" w:cs="宋体" w:eastAsia="宋体" w:hint="default"/>
                <w:sz w:val="16"/>
                <w:szCs w:val="16"/>
              </w:rPr>
              <w:t>纳税主体名称</w:t>
            </w:r>
          </w:p>
        </w:tc>
        <w:tc>
          <w:tcPr>
            <w:tcW w:w="24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587" w:right="0"/>
              <w:jc w:val="left"/>
              <w:rPr>
                <w:rFonts w:ascii="宋体" w:hAnsi="宋体" w:cs="宋体" w:eastAsia="宋体" w:hint="default"/>
                <w:sz w:val="16"/>
                <w:szCs w:val="16"/>
              </w:rPr>
            </w:pPr>
            <w:r>
              <w:rPr>
                <w:rFonts w:ascii="宋体" w:hAnsi="宋体" w:cs="宋体" w:eastAsia="宋体" w:hint="default"/>
                <w:sz w:val="16"/>
                <w:szCs w:val="16"/>
              </w:rPr>
              <w:t>所得税税率（</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353"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4" w:right="0"/>
              <w:jc w:val="left"/>
              <w:rPr>
                <w:rFonts w:ascii="宋体" w:hAnsi="宋体" w:cs="宋体" w:eastAsia="宋体" w:hint="default"/>
                <w:sz w:val="16"/>
                <w:szCs w:val="16"/>
              </w:rPr>
            </w:pPr>
            <w:r>
              <w:rPr>
                <w:rFonts w:ascii="宋体" w:hAnsi="宋体" w:cs="宋体" w:eastAsia="宋体" w:hint="default"/>
                <w:sz w:val="16"/>
                <w:szCs w:val="16"/>
              </w:rPr>
              <w:t>中国长城科技集团股份有限公司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15.00</w:t>
            </w:r>
          </w:p>
        </w:tc>
      </w:tr>
      <w:tr>
        <w:trPr>
          <w:trHeight w:val="353"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4" w:right="0"/>
              <w:jc w:val="left"/>
              <w:rPr>
                <w:rFonts w:ascii="宋体" w:hAnsi="宋体" w:cs="宋体" w:eastAsia="宋体" w:hint="default"/>
                <w:sz w:val="16"/>
                <w:szCs w:val="16"/>
              </w:rPr>
            </w:pPr>
            <w:r>
              <w:rPr>
                <w:rFonts w:ascii="宋体" w:hAnsi="宋体" w:cs="宋体" w:eastAsia="宋体" w:hint="default"/>
                <w:sz w:val="16"/>
                <w:szCs w:val="16"/>
              </w:rPr>
              <w:t>湖南长城科技信息有限公司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6"/>
                <w:szCs w:val="16"/>
              </w:rPr>
            </w:pPr>
            <w:r>
              <w:rPr>
                <w:rFonts w:ascii="Times New Roman"/>
                <w:spacing w:val="-1"/>
                <w:sz w:val="16"/>
              </w:rPr>
              <w:t>25.00</w:t>
            </w:r>
          </w:p>
        </w:tc>
      </w:tr>
      <w:tr>
        <w:trPr>
          <w:trHeight w:val="353"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深圳中电长城能源有限公司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25.00</w:t>
            </w:r>
          </w:p>
        </w:tc>
      </w:tr>
      <w:tr>
        <w:trPr>
          <w:trHeight w:val="355"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海南长城系统科技有限公司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25.00</w:t>
            </w:r>
          </w:p>
        </w:tc>
      </w:tr>
      <w:tr>
        <w:trPr>
          <w:trHeight w:val="353"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湖南长城计算机系统有限公司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25.00</w:t>
            </w:r>
          </w:p>
        </w:tc>
      </w:tr>
      <w:tr>
        <w:trPr>
          <w:trHeight w:val="353"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中国长城计算机（香港）控股有限公司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16.50</w:t>
            </w:r>
          </w:p>
        </w:tc>
      </w:tr>
      <w:tr>
        <w:trPr>
          <w:trHeight w:val="365" w:hRule="exact"/>
        </w:trPr>
        <w:tc>
          <w:tcPr>
            <w:tcW w:w="57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柏怡国际控股有限公司</w:t>
            </w:r>
          </w:p>
        </w:tc>
        <w:tc>
          <w:tcPr>
            <w:tcW w:w="24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0.00</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5768"/>
        <w:gridCol w:w="2437"/>
      </w:tblGrid>
      <w:tr>
        <w:trPr>
          <w:trHeight w:val="363" w:hRule="exact"/>
        </w:trPr>
        <w:tc>
          <w:tcPr>
            <w:tcW w:w="576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4"/>
              <w:ind w:left="24" w:right="0"/>
              <w:jc w:val="center"/>
              <w:rPr>
                <w:rFonts w:ascii="宋体" w:hAnsi="宋体" w:cs="宋体" w:eastAsia="宋体" w:hint="default"/>
                <w:sz w:val="16"/>
                <w:szCs w:val="16"/>
              </w:rPr>
            </w:pPr>
            <w:r>
              <w:rPr>
                <w:rFonts w:ascii="宋体" w:hAnsi="宋体" w:cs="宋体" w:eastAsia="宋体" w:hint="default"/>
                <w:sz w:val="16"/>
                <w:szCs w:val="16"/>
              </w:rPr>
              <w:t>纳税主体名称</w:t>
            </w:r>
          </w:p>
        </w:tc>
        <w:tc>
          <w:tcPr>
            <w:tcW w:w="24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left="587" w:right="0"/>
              <w:jc w:val="left"/>
              <w:rPr>
                <w:rFonts w:ascii="宋体" w:hAnsi="宋体" w:cs="宋体" w:eastAsia="宋体" w:hint="default"/>
                <w:sz w:val="16"/>
                <w:szCs w:val="16"/>
              </w:rPr>
            </w:pPr>
            <w:r>
              <w:rPr>
                <w:rFonts w:ascii="宋体" w:hAnsi="宋体" w:cs="宋体" w:eastAsia="宋体" w:hint="default"/>
                <w:sz w:val="16"/>
                <w:szCs w:val="16"/>
              </w:rPr>
              <w:t>所得税税率（</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355"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长沙湘计海盾科技有限公司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15.00</w:t>
            </w:r>
          </w:p>
        </w:tc>
      </w:tr>
      <w:tr>
        <w:trPr>
          <w:trHeight w:val="353"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湖南长城医疗科技有限公司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15.00</w:t>
            </w:r>
          </w:p>
        </w:tc>
      </w:tr>
      <w:tr>
        <w:trPr>
          <w:trHeight w:val="353"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长沙中电软件园有限公司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25.00</w:t>
            </w:r>
          </w:p>
        </w:tc>
      </w:tr>
      <w:tr>
        <w:trPr>
          <w:trHeight w:val="355"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深圳中电长城信息安全系统有限公司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15.00</w:t>
            </w:r>
          </w:p>
        </w:tc>
      </w:tr>
      <w:tr>
        <w:trPr>
          <w:trHeight w:val="353"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4" w:right="0"/>
              <w:jc w:val="left"/>
              <w:rPr>
                <w:rFonts w:ascii="宋体" w:hAnsi="宋体" w:cs="宋体" w:eastAsia="宋体" w:hint="default"/>
                <w:sz w:val="16"/>
                <w:szCs w:val="16"/>
              </w:rPr>
            </w:pPr>
            <w:r>
              <w:rPr>
                <w:rFonts w:ascii="宋体" w:hAnsi="宋体" w:cs="宋体" w:eastAsia="宋体" w:hint="default"/>
                <w:sz w:val="16"/>
                <w:szCs w:val="16"/>
              </w:rPr>
              <w:t>安徽长城计算机系统有限公司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25.00</w:t>
            </w:r>
          </w:p>
        </w:tc>
      </w:tr>
      <w:tr>
        <w:trPr>
          <w:trHeight w:val="353"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浙江长城计算机系统有限公司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25.00</w:t>
            </w:r>
          </w:p>
        </w:tc>
      </w:tr>
      <w:tr>
        <w:trPr>
          <w:trHeight w:val="353" w:hRule="exact"/>
        </w:trPr>
        <w:tc>
          <w:tcPr>
            <w:tcW w:w="5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山西长城计算机系统有限公司</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25.00</w:t>
            </w:r>
          </w:p>
        </w:tc>
      </w:tr>
      <w:tr>
        <w:trPr>
          <w:trHeight w:val="365" w:hRule="exact"/>
        </w:trPr>
        <w:tc>
          <w:tcPr>
            <w:tcW w:w="57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4" w:right="0"/>
              <w:jc w:val="left"/>
              <w:rPr>
                <w:rFonts w:ascii="宋体" w:hAnsi="宋体" w:cs="宋体" w:eastAsia="宋体" w:hint="default"/>
                <w:sz w:val="16"/>
                <w:szCs w:val="16"/>
              </w:rPr>
            </w:pPr>
            <w:r>
              <w:rPr>
                <w:rFonts w:ascii="宋体" w:hAnsi="宋体" w:cs="宋体" w:eastAsia="宋体" w:hint="default"/>
                <w:sz w:val="16"/>
                <w:szCs w:val="16"/>
              </w:rPr>
              <w:t>河南长城计算机系统有限公司</w:t>
            </w:r>
          </w:p>
        </w:tc>
        <w:tc>
          <w:tcPr>
            <w:tcW w:w="24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25.00</w:t>
            </w:r>
          </w:p>
        </w:tc>
      </w:tr>
    </w:tbl>
    <w:p>
      <w:pPr>
        <w:pStyle w:val="Heading5"/>
        <w:tabs>
          <w:tab w:pos="850" w:val="left" w:leader="none"/>
        </w:tabs>
        <w:spacing w:line="240" w:lineRule="auto" w:before="95"/>
        <w:ind w:right="36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税收优惠</w:t>
      </w:r>
      <w:r>
        <w:rPr>
          <w:b w:val="0"/>
          <w:bCs w:val="0"/>
        </w:rPr>
      </w:r>
    </w:p>
    <w:p>
      <w:pPr>
        <w:pStyle w:val="BodyText"/>
        <w:tabs>
          <w:tab w:pos="1397" w:val="left" w:leader="none"/>
        </w:tabs>
        <w:spacing w:line="240" w:lineRule="auto" w:before="110"/>
        <w:ind w:left="846" w:right="3683"/>
        <w:jc w:val="left"/>
      </w:pPr>
      <w:r>
        <w:rPr>
          <w:rFonts w:ascii="Times New Roman" w:hAnsi="Times New Roman" w:cs="Times New Roman" w:eastAsia="Times New Roman" w:hint="default"/>
        </w:rPr>
        <w:t>1</w:t>
      </w:r>
      <w:r>
        <w:rPr/>
        <w:t>、</w:t>
        <w:tab/>
        <w:t>本报告期享受所得税优惠税率的各级次公司如下：</w:t>
      </w:r>
    </w:p>
    <w:tbl>
      <w:tblPr>
        <w:tblW w:w="0" w:type="auto"/>
        <w:jc w:val="left"/>
        <w:tblInd w:w="721" w:type="dxa"/>
        <w:tblLayout w:type="fixed"/>
        <w:tblCellMar>
          <w:top w:w="0" w:type="dxa"/>
          <w:left w:w="0" w:type="dxa"/>
          <w:bottom w:w="0" w:type="dxa"/>
          <w:right w:w="0" w:type="dxa"/>
        </w:tblCellMar>
        <w:tblLook w:val="01E0"/>
      </w:tblPr>
      <w:tblGrid>
        <w:gridCol w:w="3111"/>
        <w:gridCol w:w="1256"/>
        <w:gridCol w:w="3838"/>
      </w:tblGrid>
      <w:tr>
        <w:trPr>
          <w:trHeight w:val="358" w:hRule="exact"/>
        </w:trPr>
        <w:tc>
          <w:tcPr>
            <w:tcW w:w="311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8"/>
              <w:ind w:left="18" w:right="0"/>
              <w:jc w:val="center"/>
              <w:rPr>
                <w:rFonts w:ascii="宋体" w:hAnsi="宋体" w:cs="宋体" w:eastAsia="宋体" w:hint="default"/>
                <w:sz w:val="16"/>
                <w:szCs w:val="16"/>
              </w:rPr>
            </w:pPr>
            <w:r>
              <w:rPr>
                <w:rFonts w:ascii="宋体" w:hAnsi="宋体" w:cs="宋体" w:eastAsia="宋体" w:hint="default"/>
                <w:sz w:val="16"/>
                <w:szCs w:val="16"/>
              </w:rPr>
              <w:t>公司名称</w:t>
            </w:r>
          </w:p>
        </w:tc>
        <w:tc>
          <w:tcPr>
            <w:tcW w:w="12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8"/>
              <w:ind w:left="194" w:right="0"/>
              <w:jc w:val="left"/>
              <w:rPr>
                <w:rFonts w:ascii="Calibri" w:hAnsi="Calibri" w:cs="Calibri" w:eastAsia="Calibri" w:hint="default"/>
                <w:sz w:val="16"/>
                <w:szCs w:val="16"/>
              </w:rPr>
            </w:pPr>
            <w:r>
              <w:rPr>
                <w:rFonts w:ascii="宋体" w:hAnsi="宋体" w:cs="宋体" w:eastAsia="宋体" w:hint="default"/>
                <w:sz w:val="16"/>
                <w:szCs w:val="16"/>
              </w:rPr>
              <w:t>所得税率</w:t>
            </w:r>
            <w:r>
              <w:rPr>
                <w:rFonts w:ascii="Calibri" w:hAnsi="Calibri" w:cs="Calibri" w:eastAsia="Calibri" w:hint="default"/>
                <w:sz w:val="16"/>
                <w:szCs w:val="16"/>
              </w:rPr>
              <w:t>(%)</w:t>
            </w:r>
          </w:p>
        </w:tc>
        <w:tc>
          <w:tcPr>
            <w:tcW w:w="383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8"/>
              <w:ind w:right="5"/>
              <w:jc w:val="center"/>
              <w:rPr>
                <w:rFonts w:ascii="宋体" w:hAnsi="宋体" w:cs="宋体" w:eastAsia="宋体" w:hint="default"/>
                <w:sz w:val="16"/>
                <w:szCs w:val="16"/>
              </w:rPr>
            </w:pPr>
            <w:r>
              <w:rPr>
                <w:rFonts w:ascii="宋体" w:hAnsi="宋体" w:cs="宋体" w:eastAsia="宋体" w:hint="default"/>
                <w:sz w:val="16"/>
                <w:szCs w:val="16"/>
              </w:rPr>
              <w:t>说明</w:t>
            </w:r>
          </w:p>
        </w:tc>
      </w:tr>
      <w:tr>
        <w:trPr>
          <w:trHeight w:val="562"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中国长城科技集团股份有限公司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08" w:lineRule="exact" w:before="43"/>
              <w:ind w:left="100" w:right="0"/>
              <w:jc w:val="left"/>
              <w:rPr>
                <w:rFonts w:ascii="宋体" w:hAnsi="宋体" w:cs="宋体" w:eastAsia="宋体" w:hint="default"/>
                <w:sz w:val="16"/>
                <w:szCs w:val="16"/>
              </w:rPr>
            </w:pPr>
            <w:r>
              <w:rPr>
                <w:rFonts w:ascii="宋体" w:hAnsi="宋体" w:cs="宋体" w:eastAsia="宋体" w:hint="default"/>
                <w:spacing w:val="27"/>
                <w:sz w:val="16"/>
                <w:szCs w:val="16"/>
              </w:rPr>
              <w:t>公司被批准认定为高新</w:t>
            </w:r>
            <w:r>
              <w:rPr>
                <w:rFonts w:ascii="宋体" w:hAnsi="宋体" w:cs="宋体" w:eastAsia="宋体" w:hint="default"/>
                <w:spacing w:val="-29"/>
                <w:sz w:val="16"/>
                <w:szCs w:val="16"/>
              </w:rPr>
              <w:t> </w:t>
            </w:r>
            <w:r>
              <w:rPr>
                <w:rFonts w:ascii="宋体" w:hAnsi="宋体" w:cs="宋体" w:eastAsia="宋体" w:hint="default"/>
                <w:spacing w:val="15"/>
                <w:sz w:val="16"/>
                <w:szCs w:val="16"/>
              </w:rPr>
              <w:t>技术</w:t>
            </w:r>
            <w:r>
              <w:rPr>
                <w:rFonts w:ascii="宋体" w:hAnsi="宋体" w:cs="宋体" w:eastAsia="宋体" w:hint="default"/>
                <w:spacing w:val="-29"/>
                <w:sz w:val="16"/>
                <w:szCs w:val="16"/>
              </w:rPr>
              <w:t> </w:t>
            </w:r>
            <w:r>
              <w:rPr>
                <w:rFonts w:ascii="宋体" w:hAnsi="宋体" w:cs="宋体" w:eastAsia="宋体" w:hint="default"/>
                <w:spacing w:val="25"/>
                <w:sz w:val="16"/>
                <w:szCs w:val="16"/>
              </w:rPr>
              <w:t>企业，证书编号</w:t>
            </w:r>
            <w:r>
              <w:rPr>
                <w:rFonts w:ascii="宋体" w:hAnsi="宋体" w:cs="宋体" w:eastAsia="宋体" w:hint="default"/>
                <w:spacing w:val="-49"/>
                <w:sz w:val="16"/>
                <w:szCs w:val="16"/>
              </w:rPr>
              <w:t> </w:t>
            </w:r>
            <w:r>
              <w:rPr>
                <w:rFonts w:ascii="宋体" w:hAnsi="宋体" w:cs="宋体" w:eastAsia="宋体" w:hint="default"/>
                <w:sz w:val="16"/>
                <w:szCs w:val="16"/>
              </w:rPr>
            </w:r>
          </w:p>
          <w:p>
            <w:pPr>
              <w:pStyle w:val="TableParagraph"/>
              <w:spacing w:line="220"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GR201744204644</w:t>
            </w:r>
            <w:r>
              <w:rPr>
                <w:rFonts w:ascii="宋体" w:hAnsi="宋体" w:cs="宋体" w:eastAsia="宋体" w:hint="default"/>
                <w:sz w:val="16"/>
                <w:szCs w:val="16"/>
              </w:rPr>
              <w:t>，有效期三年</w:t>
            </w:r>
          </w:p>
        </w:tc>
      </w:tr>
      <w:tr>
        <w:trPr>
          <w:trHeight w:val="1183"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宝辉科技（龙南）有限公司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06" w:lineRule="exact" w:before="65"/>
              <w:ind w:left="100" w:right="103"/>
              <w:jc w:val="both"/>
              <w:rPr>
                <w:rFonts w:ascii="Times New Roman" w:hAnsi="Times New Roman" w:cs="Times New Roman" w:eastAsia="Times New Roman" w:hint="default"/>
                <w:sz w:val="16"/>
                <w:szCs w:val="16"/>
              </w:rPr>
            </w:pPr>
            <w:r>
              <w:rPr>
                <w:rFonts w:ascii="宋体" w:hAnsi="宋体" w:cs="宋体" w:eastAsia="宋体" w:hint="default"/>
                <w:spacing w:val="-4"/>
                <w:sz w:val="16"/>
                <w:szCs w:val="16"/>
              </w:rPr>
              <w:t>公司设立于赣州市的生产性外商投资企业，根据赣州</w:t>
            </w:r>
            <w:r>
              <w:rPr>
                <w:rFonts w:ascii="宋体" w:hAnsi="宋体" w:cs="宋体" w:eastAsia="宋体" w:hint="default"/>
                <w:spacing w:val="-48"/>
                <w:sz w:val="16"/>
                <w:szCs w:val="16"/>
              </w:rPr>
              <w:t> </w:t>
            </w:r>
            <w:r>
              <w:rPr>
                <w:rFonts w:ascii="宋体" w:hAnsi="宋体" w:cs="宋体" w:eastAsia="宋体" w:hint="default"/>
                <w:spacing w:val="-48"/>
                <w:sz w:val="16"/>
                <w:szCs w:val="16"/>
              </w:rPr>
            </w:r>
            <w:r>
              <w:rPr>
                <w:rFonts w:ascii="宋体" w:hAnsi="宋体" w:cs="宋体" w:eastAsia="宋体" w:hint="default"/>
                <w:spacing w:val="-4"/>
                <w:sz w:val="16"/>
                <w:szCs w:val="16"/>
              </w:rPr>
              <w:t>国税局《关于赣州市执行西部大开发税收政策问题的</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z w:val="16"/>
                <w:szCs w:val="16"/>
              </w:rPr>
              <w:t>通知》有关政策，自</w:t>
            </w:r>
            <w:r>
              <w:rPr>
                <w:rFonts w:ascii="宋体" w:hAnsi="宋体" w:cs="宋体" w:eastAsia="宋体" w:hint="default"/>
                <w:spacing w:val="-35"/>
                <w:sz w:val="16"/>
                <w:szCs w:val="16"/>
              </w:rPr>
              <w:t>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35"/>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35"/>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日至</w:t>
            </w:r>
            <w:r>
              <w:rPr>
                <w:rFonts w:ascii="宋体" w:hAnsi="宋体" w:cs="宋体" w:eastAsia="宋体" w:hint="default"/>
                <w:spacing w:val="-35"/>
                <w:sz w:val="16"/>
                <w:szCs w:val="16"/>
              </w:rPr>
              <w:t> </w:t>
            </w:r>
            <w:r>
              <w:rPr>
                <w:rFonts w:ascii="Times New Roman" w:hAnsi="Times New Roman" w:cs="Times New Roman" w:eastAsia="Times New Roman" w:hint="default"/>
                <w:sz w:val="16"/>
                <w:szCs w:val="16"/>
              </w:rPr>
              <w:t>2020</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35"/>
                <w:sz w:val="16"/>
                <w:szCs w:val="16"/>
              </w:rPr>
              <w:t> </w:t>
            </w:r>
            <w:r>
              <w:rPr>
                <w:rFonts w:ascii="Times New Roman" w:hAnsi="Times New Roman" w:cs="Times New Roman" w:eastAsia="Times New Roman" w:hint="default"/>
                <w:sz w:val="16"/>
                <w:szCs w:val="16"/>
              </w:rPr>
              <w:t>12</w:t>
            </w:r>
          </w:p>
          <w:p>
            <w:pPr>
              <w:pStyle w:val="TableParagraph"/>
              <w:spacing w:line="206" w:lineRule="exact" w:before="3"/>
              <w:ind w:left="100" w:right="106"/>
              <w:jc w:val="both"/>
              <w:rPr>
                <w:rFonts w:ascii="宋体" w:hAnsi="宋体" w:cs="宋体" w:eastAsia="宋体" w:hint="default"/>
                <w:sz w:val="16"/>
                <w:szCs w:val="16"/>
              </w:rPr>
            </w:pPr>
            <w:r>
              <w:rPr>
                <w:rFonts w:ascii="宋体" w:hAnsi="宋体" w:cs="宋体" w:eastAsia="宋体" w:hint="default"/>
                <w:sz w:val="16"/>
                <w:szCs w:val="16"/>
              </w:rPr>
              <w:t>月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22"/>
                <w:sz w:val="16"/>
                <w:szCs w:val="16"/>
              </w:rPr>
              <w:t> </w:t>
            </w:r>
            <w:r>
              <w:rPr>
                <w:rFonts w:ascii="宋体" w:hAnsi="宋体" w:cs="宋体" w:eastAsia="宋体" w:hint="default"/>
                <w:sz w:val="16"/>
                <w:szCs w:val="16"/>
              </w:rPr>
              <w:t>日，对设在赣州市的鼓励类产业的内资企业和</w:t>
            </w:r>
            <w:r>
              <w:rPr>
                <w:rFonts w:ascii="宋体" w:hAnsi="宋体" w:cs="宋体" w:eastAsia="宋体" w:hint="default"/>
                <w:w w:val="100"/>
                <w:sz w:val="16"/>
                <w:szCs w:val="16"/>
              </w:rPr>
              <w:t> </w:t>
            </w:r>
            <w:r>
              <w:rPr>
                <w:rFonts w:ascii="宋体" w:hAnsi="宋体" w:cs="宋体" w:eastAsia="宋体" w:hint="default"/>
                <w:sz w:val="16"/>
                <w:szCs w:val="16"/>
              </w:rPr>
              <w:t>外商投资企业减按</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15%</w:t>
            </w:r>
            <w:r>
              <w:rPr>
                <w:rFonts w:ascii="宋体" w:hAnsi="宋体" w:cs="宋体" w:eastAsia="宋体" w:hint="default"/>
                <w:sz w:val="16"/>
                <w:szCs w:val="16"/>
              </w:rPr>
              <w:t>的税率征收企业所得税</w:t>
            </w:r>
          </w:p>
        </w:tc>
      </w:tr>
      <w:tr>
        <w:trPr>
          <w:trHeight w:val="768"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湖南长城信息金融设备有限责任公司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37" w:lineRule="auto" w:before="45"/>
              <w:ind w:left="100" w:right="106"/>
              <w:jc w:val="both"/>
              <w:rPr>
                <w:rFonts w:ascii="宋体" w:hAnsi="宋体" w:cs="宋体" w:eastAsia="宋体" w:hint="default"/>
                <w:sz w:val="16"/>
                <w:szCs w:val="16"/>
              </w:rPr>
            </w:pPr>
            <w:r>
              <w:rPr>
                <w:rFonts w:ascii="宋体" w:hAnsi="宋体" w:cs="宋体" w:eastAsia="宋体" w:hint="default"/>
                <w:spacing w:val="-4"/>
                <w:sz w:val="16"/>
                <w:szCs w:val="16"/>
              </w:rPr>
              <w:t>经湖南省科学技术厅、湖南省财政厅、湖南省国家税</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4"/>
                <w:sz w:val="16"/>
                <w:szCs w:val="16"/>
              </w:rPr>
              <w:t>务局、湖南省地方税务局审批，被认定为高新技术企</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1"/>
                <w:sz w:val="16"/>
                <w:szCs w:val="16"/>
              </w:rPr>
              <w:t>业，证书编号为</w:t>
            </w:r>
            <w:r>
              <w:rPr>
                <w:rFonts w:ascii="宋体" w:hAnsi="宋体" w:cs="宋体" w:eastAsia="宋体" w:hint="default"/>
                <w:spacing w:val="-4"/>
                <w:sz w:val="16"/>
                <w:szCs w:val="16"/>
              </w:rPr>
              <w:t> </w:t>
            </w:r>
            <w:r>
              <w:rPr>
                <w:rFonts w:ascii="Times New Roman" w:hAnsi="Times New Roman" w:cs="Times New Roman" w:eastAsia="Times New Roman" w:hint="default"/>
                <w:spacing w:val="-2"/>
                <w:sz w:val="16"/>
                <w:szCs w:val="16"/>
              </w:rPr>
              <w:t>GR201743000180</w:t>
            </w:r>
            <w:r>
              <w:rPr>
                <w:rFonts w:ascii="宋体" w:hAnsi="宋体" w:cs="宋体" w:eastAsia="宋体" w:hint="default"/>
                <w:spacing w:val="-2"/>
                <w:sz w:val="16"/>
                <w:szCs w:val="16"/>
              </w:rPr>
              <w:t>，有效期三年</w:t>
            </w:r>
          </w:p>
        </w:tc>
      </w:tr>
      <w:tr>
        <w:trPr>
          <w:trHeight w:val="771"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长沙湘计海盾科技有限公司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37" w:lineRule="auto" w:before="45"/>
              <w:ind w:left="100" w:right="106"/>
              <w:jc w:val="both"/>
              <w:rPr>
                <w:rFonts w:ascii="宋体" w:hAnsi="宋体" w:cs="宋体" w:eastAsia="宋体" w:hint="default"/>
                <w:sz w:val="16"/>
                <w:szCs w:val="16"/>
              </w:rPr>
            </w:pPr>
            <w:r>
              <w:rPr>
                <w:rFonts w:ascii="宋体" w:hAnsi="宋体" w:cs="宋体" w:eastAsia="宋体" w:hint="default"/>
                <w:spacing w:val="-4"/>
                <w:sz w:val="16"/>
                <w:szCs w:val="16"/>
              </w:rPr>
              <w:t>经湖南省科学技术厅、湖南省财政厅、湖南省国家税</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4"/>
                <w:sz w:val="16"/>
                <w:szCs w:val="16"/>
              </w:rPr>
              <w:t>务局、湖南省地方税务局审批，被认定为高新技术企</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1"/>
                <w:sz w:val="16"/>
                <w:szCs w:val="16"/>
              </w:rPr>
              <w:t>业，证书编号为</w:t>
            </w:r>
            <w:r>
              <w:rPr>
                <w:rFonts w:ascii="宋体" w:hAnsi="宋体" w:cs="宋体" w:eastAsia="宋体" w:hint="default"/>
                <w:spacing w:val="-4"/>
                <w:sz w:val="16"/>
                <w:szCs w:val="16"/>
              </w:rPr>
              <w:t> </w:t>
            </w:r>
            <w:r>
              <w:rPr>
                <w:rFonts w:ascii="Times New Roman" w:hAnsi="Times New Roman" w:cs="Times New Roman" w:eastAsia="Times New Roman" w:hint="default"/>
                <w:spacing w:val="-2"/>
                <w:sz w:val="16"/>
                <w:szCs w:val="16"/>
              </w:rPr>
              <w:t>GR201743000086</w:t>
            </w:r>
            <w:r>
              <w:rPr>
                <w:rFonts w:ascii="宋体" w:hAnsi="宋体" w:cs="宋体" w:eastAsia="宋体" w:hint="default"/>
                <w:spacing w:val="-2"/>
                <w:sz w:val="16"/>
                <w:szCs w:val="16"/>
              </w:rPr>
              <w:t>，有效期三年</w:t>
            </w:r>
          </w:p>
        </w:tc>
      </w:tr>
      <w:tr>
        <w:trPr>
          <w:trHeight w:val="768"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湖南长城医疗科技有限公司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37" w:lineRule="auto" w:before="43"/>
              <w:ind w:left="100" w:right="106"/>
              <w:jc w:val="both"/>
              <w:rPr>
                <w:rFonts w:ascii="宋体" w:hAnsi="宋体" w:cs="宋体" w:eastAsia="宋体" w:hint="default"/>
                <w:sz w:val="16"/>
                <w:szCs w:val="16"/>
              </w:rPr>
            </w:pPr>
            <w:r>
              <w:rPr>
                <w:rFonts w:ascii="宋体" w:hAnsi="宋体" w:cs="宋体" w:eastAsia="宋体" w:hint="default"/>
                <w:spacing w:val="-4"/>
                <w:sz w:val="16"/>
                <w:szCs w:val="16"/>
              </w:rPr>
              <w:t>经湖南省科学技术厅、湖南省财政厅、湖南省国家税</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4"/>
                <w:sz w:val="16"/>
                <w:szCs w:val="16"/>
              </w:rPr>
              <w:t>务局、湖南省地方税务局审批，被认定为高新技术企</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1"/>
                <w:sz w:val="16"/>
                <w:szCs w:val="16"/>
              </w:rPr>
              <w:t>业，证书编号为</w:t>
            </w:r>
            <w:r>
              <w:rPr>
                <w:rFonts w:ascii="宋体" w:hAnsi="宋体" w:cs="宋体" w:eastAsia="宋体" w:hint="default"/>
                <w:spacing w:val="-4"/>
                <w:sz w:val="16"/>
                <w:szCs w:val="16"/>
              </w:rPr>
              <w:t> </w:t>
            </w:r>
            <w:r>
              <w:rPr>
                <w:rFonts w:ascii="Times New Roman" w:hAnsi="Times New Roman" w:cs="Times New Roman" w:eastAsia="Times New Roman" w:hint="default"/>
                <w:spacing w:val="-2"/>
                <w:sz w:val="16"/>
                <w:szCs w:val="16"/>
              </w:rPr>
              <w:t>GR201943002173</w:t>
            </w:r>
            <w:r>
              <w:rPr>
                <w:rFonts w:ascii="宋体" w:hAnsi="宋体" w:cs="宋体" w:eastAsia="宋体" w:hint="default"/>
                <w:spacing w:val="-2"/>
                <w:sz w:val="16"/>
                <w:szCs w:val="16"/>
              </w:rPr>
              <w:t>，有效期三年</w:t>
            </w:r>
          </w:p>
        </w:tc>
      </w:tr>
      <w:tr>
        <w:trPr>
          <w:trHeight w:val="562"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北京圣非凡电子系统技术开发有限公司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08" w:lineRule="exact" w:before="43"/>
              <w:ind w:left="100" w:right="0"/>
              <w:jc w:val="left"/>
              <w:rPr>
                <w:rFonts w:ascii="宋体" w:hAnsi="宋体" w:cs="宋体" w:eastAsia="宋体" w:hint="default"/>
                <w:sz w:val="16"/>
                <w:szCs w:val="16"/>
              </w:rPr>
            </w:pPr>
            <w:r>
              <w:rPr>
                <w:rFonts w:ascii="宋体" w:hAnsi="宋体" w:cs="宋体" w:eastAsia="宋体" w:hint="default"/>
                <w:spacing w:val="37"/>
                <w:sz w:val="16"/>
                <w:szCs w:val="16"/>
              </w:rPr>
              <w:t>公司被认定为高新技术</w:t>
            </w:r>
            <w:r>
              <w:rPr>
                <w:rFonts w:ascii="宋体" w:hAnsi="宋体" w:cs="宋体" w:eastAsia="宋体" w:hint="default"/>
                <w:spacing w:val="-22"/>
                <w:sz w:val="16"/>
                <w:szCs w:val="16"/>
              </w:rPr>
              <w:t> </w:t>
            </w:r>
            <w:r>
              <w:rPr>
                <w:rFonts w:ascii="宋体" w:hAnsi="宋体" w:cs="宋体" w:eastAsia="宋体" w:hint="default"/>
                <w:spacing w:val="21"/>
                <w:sz w:val="16"/>
                <w:szCs w:val="16"/>
              </w:rPr>
              <w:t>企业</w:t>
            </w:r>
            <w:r>
              <w:rPr>
                <w:rFonts w:ascii="宋体" w:hAnsi="宋体" w:cs="宋体" w:eastAsia="宋体" w:hint="default"/>
                <w:spacing w:val="-22"/>
                <w:sz w:val="16"/>
                <w:szCs w:val="16"/>
              </w:rPr>
              <w:t> </w:t>
            </w:r>
            <w:r>
              <w:rPr>
                <w:rFonts w:ascii="宋体" w:hAnsi="宋体" w:cs="宋体" w:eastAsia="宋体" w:hint="default"/>
                <w:spacing w:val="35"/>
                <w:sz w:val="16"/>
                <w:szCs w:val="16"/>
              </w:rPr>
              <w:t>，证书编号为</w:t>
            </w:r>
            <w:r>
              <w:rPr>
                <w:rFonts w:ascii="宋体" w:hAnsi="宋体" w:cs="宋体" w:eastAsia="宋体" w:hint="default"/>
                <w:spacing w:val="-37"/>
                <w:sz w:val="16"/>
                <w:szCs w:val="16"/>
              </w:rPr>
              <w:t> </w:t>
            </w:r>
            <w:r>
              <w:rPr>
                <w:rFonts w:ascii="宋体" w:hAnsi="宋体" w:cs="宋体" w:eastAsia="宋体" w:hint="default"/>
                <w:sz w:val="16"/>
                <w:szCs w:val="16"/>
              </w:rPr>
            </w:r>
          </w:p>
          <w:p>
            <w:pPr>
              <w:pStyle w:val="TableParagraph"/>
              <w:spacing w:line="220"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GR201911007592</w:t>
            </w:r>
            <w:r>
              <w:rPr>
                <w:rFonts w:ascii="宋体" w:hAnsi="宋体" w:cs="宋体" w:eastAsia="宋体" w:hint="default"/>
                <w:sz w:val="16"/>
                <w:szCs w:val="16"/>
              </w:rPr>
              <w:t>，有效期三年</w:t>
            </w:r>
          </w:p>
        </w:tc>
      </w:tr>
      <w:tr>
        <w:trPr>
          <w:trHeight w:val="768"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武汉中元通信股份有限公司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37" w:lineRule="auto" w:before="43"/>
              <w:ind w:left="100" w:right="106"/>
              <w:jc w:val="both"/>
              <w:rPr>
                <w:rFonts w:ascii="宋体" w:hAnsi="宋体" w:cs="宋体" w:eastAsia="宋体" w:hint="default"/>
                <w:sz w:val="16"/>
                <w:szCs w:val="16"/>
              </w:rPr>
            </w:pPr>
            <w:r>
              <w:rPr>
                <w:rFonts w:ascii="宋体" w:hAnsi="宋体" w:cs="宋体" w:eastAsia="宋体" w:hint="default"/>
                <w:spacing w:val="-4"/>
                <w:sz w:val="16"/>
                <w:szCs w:val="16"/>
              </w:rPr>
              <w:t>经湖北省科学技术厅、湖北省财政厅、湖北省国家税</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4"/>
                <w:sz w:val="16"/>
                <w:szCs w:val="16"/>
              </w:rPr>
              <w:t>务局、湖北省地方税务局批准，被认定为高新技术企</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1"/>
                <w:sz w:val="16"/>
                <w:szCs w:val="16"/>
              </w:rPr>
              <w:t>业，证书编号为</w:t>
            </w:r>
            <w:r>
              <w:rPr>
                <w:rFonts w:ascii="宋体" w:hAnsi="宋体" w:cs="宋体" w:eastAsia="宋体" w:hint="default"/>
                <w:spacing w:val="-4"/>
                <w:sz w:val="16"/>
                <w:szCs w:val="16"/>
              </w:rPr>
              <w:t> </w:t>
            </w:r>
            <w:r>
              <w:rPr>
                <w:rFonts w:ascii="Times New Roman" w:hAnsi="Times New Roman" w:cs="Times New Roman" w:eastAsia="Times New Roman" w:hint="default"/>
                <w:spacing w:val="-2"/>
                <w:sz w:val="16"/>
                <w:szCs w:val="16"/>
              </w:rPr>
              <w:t>GR201742002032</w:t>
            </w:r>
            <w:r>
              <w:rPr>
                <w:rFonts w:ascii="宋体" w:hAnsi="宋体" w:cs="宋体" w:eastAsia="宋体" w:hint="default"/>
                <w:spacing w:val="-2"/>
                <w:sz w:val="16"/>
                <w:szCs w:val="16"/>
              </w:rPr>
              <w:t>，有效期三年</w:t>
            </w:r>
          </w:p>
        </w:tc>
      </w:tr>
      <w:tr>
        <w:trPr>
          <w:trHeight w:val="768"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武汉瀚兴日月电源有限公司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06" w:lineRule="exact" w:before="65"/>
              <w:ind w:left="100" w:right="106"/>
              <w:jc w:val="both"/>
              <w:rPr>
                <w:rFonts w:ascii="宋体" w:hAnsi="宋体" w:cs="宋体" w:eastAsia="宋体" w:hint="default"/>
                <w:sz w:val="16"/>
                <w:szCs w:val="16"/>
              </w:rPr>
            </w:pPr>
            <w:r>
              <w:rPr>
                <w:rFonts w:ascii="宋体" w:hAnsi="宋体" w:cs="宋体" w:eastAsia="宋体" w:hint="default"/>
                <w:spacing w:val="-4"/>
                <w:sz w:val="16"/>
                <w:szCs w:val="16"/>
              </w:rPr>
              <w:t>经湖北省科学技术厅、湖北省财政厅、湖北省国家税</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4"/>
                <w:sz w:val="16"/>
                <w:szCs w:val="16"/>
              </w:rPr>
              <w:t>务局、湖北省地方税务局批准，被认定为高新技术企</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z w:val="16"/>
                <w:szCs w:val="16"/>
              </w:rPr>
              <w:t>业，证书编号为</w:t>
            </w:r>
            <w:r>
              <w:rPr>
                <w:rFonts w:ascii="宋体" w:hAnsi="宋体" w:cs="宋体" w:eastAsia="宋体" w:hint="default"/>
                <w:spacing w:val="-50"/>
                <w:sz w:val="16"/>
                <w:szCs w:val="16"/>
              </w:rPr>
              <w:t> </w:t>
            </w:r>
            <w:r>
              <w:rPr>
                <w:rFonts w:ascii="Times New Roman" w:hAnsi="Times New Roman" w:cs="Times New Roman" w:eastAsia="Times New Roman" w:hint="default"/>
                <w:sz w:val="16"/>
                <w:szCs w:val="16"/>
              </w:rPr>
              <w:t>GF201742000171</w:t>
            </w:r>
            <w:r>
              <w:rPr>
                <w:rFonts w:ascii="宋体" w:hAnsi="宋体" w:cs="宋体" w:eastAsia="宋体" w:hint="default"/>
                <w:sz w:val="16"/>
                <w:szCs w:val="16"/>
              </w:rPr>
              <w:t>，有效期三年</w:t>
            </w:r>
          </w:p>
        </w:tc>
      </w:tr>
      <w:tr>
        <w:trPr>
          <w:trHeight w:val="768"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武汉中原长江科技发展有限公司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06" w:lineRule="exact" w:before="65"/>
              <w:ind w:left="100" w:right="106"/>
              <w:jc w:val="both"/>
              <w:rPr>
                <w:rFonts w:ascii="宋体" w:hAnsi="宋体" w:cs="宋体" w:eastAsia="宋体" w:hint="default"/>
                <w:sz w:val="16"/>
                <w:szCs w:val="16"/>
              </w:rPr>
            </w:pPr>
            <w:r>
              <w:rPr>
                <w:rFonts w:ascii="宋体" w:hAnsi="宋体" w:cs="宋体" w:eastAsia="宋体" w:hint="default"/>
                <w:spacing w:val="-4"/>
                <w:sz w:val="16"/>
                <w:szCs w:val="16"/>
              </w:rPr>
              <w:t>经湖北省科学技术厅、湖北省财政厅、湖北省国家税</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4"/>
                <w:sz w:val="16"/>
                <w:szCs w:val="16"/>
              </w:rPr>
              <w:t>务局、湖北省地方税务局批准，被认定为高新技术企</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1"/>
                <w:sz w:val="16"/>
                <w:szCs w:val="16"/>
              </w:rPr>
              <w:t>业，证书编号为</w:t>
            </w:r>
            <w:r>
              <w:rPr>
                <w:rFonts w:ascii="宋体" w:hAnsi="宋体" w:cs="宋体" w:eastAsia="宋体" w:hint="default"/>
                <w:spacing w:val="-4"/>
                <w:sz w:val="16"/>
                <w:szCs w:val="16"/>
              </w:rPr>
              <w:t> </w:t>
            </w:r>
            <w:r>
              <w:rPr>
                <w:rFonts w:ascii="Times New Roman" w:hAnsi="Times New Roman" w:cs="Times New Roman" w:eastAsia="Times New Roman" w:hint="default"/>
                <w:spacing w:val="-2"/>
                <w:sz w:val="16"/>
                <w:szCs w:val="16"/>
              </w:rPr>
              <w:t>GR201742002069</w:t>
            </w:r>
            <w:r>
              <w:rPr>
                <w:rFonts w:ascii="宋体" w:hAnsi="宋体" w:cs="宋体" w:eastAsia="宋体" w:hint="default"/>
                <w:spacing w:val="-2"/>
                <w:sz w:val="16"/>
                <w:szCs w:val="16"/>
              </w:rPr>
              <w:t>，有效期三年</w:t>
            </w:r>
          </w:p>
        </w:tc>
      </w:tr>
      <w:tr>
        <w:trPr>
          <w:trHeight w:val="769"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武汉长光电源有限公司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37" w:lineRule="auto" w:before="46"/>
              <w:ind w:left="100" w:right="106"/>
              <w:jc w:val="both"/>
              <w:rPr>
                <w:rFonts w:ascii="宋体" w:hAnsi="宋体" w:cs="宋体" w:eastAsia="宋体" w:hint="default"/>
                <w:sz w:val="16"/>
                <w:szCs w:val="16"/>
              </w:rPr>
            </w:pPr>
            <w:r>
              <w:rPr>
                <w:rFonts w:ascii="宋体" w:hAnsi="宋体" w:cs="宋体" w:eastAsia="宋体" w:hint="default"/>
                <w:spacing w:val="-4"/>
                <w:sz w:val="16"/>
                <w:szCs w:val="16"/>
              </w:rPr>
              <w:t>经湖北省科学技术厅、湖北省财政厅、湖北省国家税</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4"/>
                <w:sz w:val="16"/>
                <w:szCs w:val="16"/>
              </w:rPr>
              <w:t>务局、湖北省地方税务局批准，被认定为高新技术企</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1"/>
                <w:sz w:val="16"/>
                <w:szCs w:val="16"/>
              </w:rPr>
              <w:t>业，证书编号为</w:t>
            </w:r>
            <w:r>
              <w:rPr>
                <w:rFonts w:ascii="宋体" w:hAnsi="宋体" w:cs="宋体" w:eastAsia="宋体" w:hint="default"/>
                <w:spacing w:val="-4"/>
                <w:sz w:val="16"/>
                <w:szCs w:val="16"/>
              </w:rPr>
              <w:t> </w:t>
            </w:r>
            <w:r>
              <w:rPr>
                <w:rFonts w:ascii="Times New Roman" w:hAnsi="Times New Roman" w:cs="Times New Roman" w:eastAsia="Times New Roman" w:hint="default"/>
                <w:spacing w:val="-2"/>
                <w:sz w:val="16"/>
                <w:szCs w:val="16"/>
              </w:rPr>
              <w:t>GR201742002221</w:t>
            </w:r>
            <w:r>
              <w:rPr>
                <w:rFonts w:ascii="宋体" w:hAnsi="宋体" w:cs="宋体" w:eastAsia="宋体" w:hint="default"/>
                <w:spacing w:val="-2"/>
                <w:sz w:val="16"/>
                <w:szCs w:val="16"/>
              </w:rPr>
              <w:t>，有效期三年</w:t>
            </w:r>
          </w:p>
        </w:tc>
      </w:tr>
      <w:tr>
        <w:trPr>
          <w:trHeight w:val="770"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武汉中电通信有限责任公司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37" w:lineRule="auto" w:before="45"/>
              <w:ind w:left="100" w:right="106"/>
              <w:jc w:val="both"/>
              <w:rPr>
                <w:rFonts w:ascii="宋体" w:hAnsi="宋体" w:cs="宋体" w:eastAsia="宋体" w:hint="default"/>
                <w:sz w:val="16"/>
                <w:szCs w:val="16"/>
              </w:rPr>
            </w:pPr>
            <w:r>
              <w:rPr>
                <w:rFonts w:ascii="宋体" w:hAnsi="宋体" w:cs="宋体" w:eastAsia="宋体" w:hint="default"/>
                <w:spacing w:val="-4"/>
                <w:sz w:val="16"/>
                <w:szCs w:val="16"/>
              </w:rPr>
              <w:t>经湖北省科学技术厅、湖北省财政厅、国家税务总局</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4"/>
                <w:sz w:val="16"/>
                <w:szCs w:val="16"/>
              </w:rPr>
              <w:t>湖北省税务局审批，被认定为高新技术企业，证书编</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z w:val="16"/>
                <w:szCs w:val="16"/>
              </w:rPr>
              <w:t>号为</w:t>
            </w:r>
            <w:r>
              <w:rPr>
                <w:rFonts w:ascii="宋体" w:hAnsi="宋体" w:cs="宋体" w:eastAsia="宋体" w:hint="default"/>
                <w:spacing w:val="-52"/>
                <w:sz w:val="16"/>
                <w:szCs w:val="16"/>
              </w:rPr>
              <w:t> </w:t>
            </w:r>
            <w:r>
              <w:rPr>
                <w:rFonts w:ascii="Times New Roman" w:hAnsi="Times New Roman" w:cs="Times New Roman" w:eastAsia="Times New Roman" w:hint="default"/>
                <w:sz w:val="16"/>
                <w:szCs w:val="16"/>
              </w:rPr>
              <w:t>GR201842002452</w:t>
            </w:r>
            <w:r>
              <w:rPr>
                <w:rFonts w:ascii="宋体" w:hAnsi="宋体" w:cs="宋体" w:eastAsia="宋体" w:hint="default"/>
                <w:sz w:val="16"/>
                <w:szCs w:val="16"/>
              </w:rPr>
              <w:t>，有效期三年</w:t>
            </w:r>
          </w:p>
        </w:tc>
      </w:tr>
      <w:tr>
        <w:trPr>
          <w:trHeight w:val="571" w:hRule="exact"/>
        </w:trPr>
        <w:tc>
          <w:tcPr>
            <w:tcW w:w="31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高怡达科技（深圳）有限公司</w:t>
            </w:r>
          </w:p>
        </w:tc>
        <w:tc>
          <w:tcPr>
            <w:tcW w:w="12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16"/>
                <w:szCs w:val="16"/>
              </w:rPr>
            </w:pPr>
            <w:r>
              <w:rPr>
                <w:rFonts w:ascii="Calibri"/>
                <w:sz w:val="16"/>
              </w:rPr>
              <w:t>15.00</w:t>
            </w:r>
          </w:p>
        </w:tc>
        <w:tc>
          <w:tcPr>
            <w:tcW w:w="3838" w:type="dxa"/>
            <w:tcBorders>
              <w:top w:val="dotted" w:sz="4" w:space="0" w:color="000000"/>
              <w:left w:val="dotted" w:sz="4" w:space="0" w:color="000000"/>
              <w:bottom w:val="single" w:sz="12" w:space="0" w:color="000000"/>
              <w:right w:val="nil" w:sz="6" w:space="0" w:color="auto"/>
            </w:tcBorders>
          </w:tcPr>
          <w:p>
            <w:pPr>
              <w:pStyle w:val="TableParagraph"/>
              <w:spacing w:line="208" w:lineRule="exact" w:before="61"/>
              <w:ind w:left="100" w:right="106"/>
              <w:jc w:val="left"/>
              <w:rPr>
                <w:rFonts w:ascii="宋体" w:hAnsi="宋体" w:cs="宋体" w:eastAsia="宋体" w:hint="default"/>
                <w:sz w:val="16"/>
                <w:szCs w:val="16"/>
              </w:rPr>
            </w:pPr>
            <w:r>
              <w:rPr>
                <w:rFonts w:ascii="宋体" w:hAnsi="宋体" w:cs="宋体" w:eastAsia="宋体" w:hint="default"/>
                <w:sz w:val="16"/>
                <w:szCs w:val="16"/>
              </w:rPr>
              <w:t>公司于</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月</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16</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日取得高新技术企业证书，</w:t>
            </w:r>
            <w:r>
              <w:rPr>
                <w:rFonts w:ascii="宋体" w:hAnsi="宋体" w:cs="宋体" w:eastAsia="宋体" w:hint="default"/>
                <w:w w:val="100"/>
                <w:sz w:val="16"/>
                <w:szCs w:val="16"/>
              </w:rPr>
              <w:t> </w:t>
            </w:r>
            <w:r>
              <w:rPr>
                <w:rFonts w:ascii="宋体" w:hAnsi="宋体" w:cs="宋体" w:eastAsia="宋体" w:hint="default"/>
                <w:sz w:val="16"/>
                <w:szCs w:val="16"/>
              </w:rPr>
              <w:t>证书编号为</w:t>
            </w:r>
            <w:r>
              <w:rPr>
                <w:rFonts w:ascii="宋体" w:hAnsi="宋体" w:cs="宋体" w:eastAsia="宋体" w:hint="default"/>
                <w:spacing w:val="-50"/>
                <w:sz w:val="16"/>
                <w:szCs w:val="16"/>
              </w:rPr>
              <w:t> </w:t>
            </w:r>
            <w:r>
              <w:rPr>
                <w:rFonts w:ascii="Times New Roman" w:hAnsi="Times New Roman" w:cs="Times New Roman" w:eastAsia="Times New Roman" w:hint="default"/>
                <w:sz w:val="16"/>
                <w:szCs w:val="16"/>
              </w:rPr>
              <w:t>GR201844200702</w:t>
            </w:r>
            <w:r>
              <w:rPr>
                <w:rFonts w:ascii="宋体" w:hAnsi="宋体" w:cs="宋体" w:eastAsia="宋体" w:hint="default"/>
                <w:sz w:val="16"/>
                <w:szCs w:val="16"/>
              </w:rPr>
              <w:t>，有效期三年</w:t>
            </w:r>
          </w:p>
        </w:tc>
      </w:tr>
    </w:tbl>
    <w:p>
      <w:pPr>
        <w:spacing w:after="0" w:line="208" w:lineRule="exact"/>
        <w:jc w:val="left"/>
        <w:rPr>
          <w:rFonts w:ascii="宋体" w:hAnsi="宋体" w:cs="宋体" w:eastAsia="宋体"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3111"/>
        <w:gridCol w:w="1256"/>
        <w:gridCol w:w="3838"/>
      </w:tblGrid>
      <w:tr>
        <w:trPr>
          <w:trHeight w:val="360" w:hRule="exact"/>
        </w:trPr>
        <w:tc>
          <w:tcPr>
            <w:tcW w:w="311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18" w:right="0"/>
              <w:jc w:val="center"/>
              <w:rPr>
                <w:rFonts w:ascii="宋体" w:hAnsi="宋体" w:cs="宋体" w:eastAsia="宋体" w:hint="default"/>
                <w:sz w:val="16"/>
                <w:szCs w:val="16"/>
              </w:rPr>
            </w:pPr>
            <w:r>
              <w:rPr>
                <w:rFonts w:ascii="宋体" w:hAnsi="宋体" w:cs="宋体" w:eastAsia="宋体" w:hint="default"/>
                <w:sz w:val="16"/>
                <w:szCs w:val="16"/>
              </w:rPr>
              <w:t>公司名称</w:t>
            </w:r>
          </w:p>
        </w:tc>
        <w:tc>
          <w:tcPr>
            <w:tcW w:w="12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194" w:right="0"/>
              <w:jc w:val="left"/>
              <w:rPr>
                <w:rFonts w:ascii="Calibri" w:hAnsi="Calibri" w:cs="Calibri" w:eastAsia="Calibri" w:hint="default"/>
                <w:sz w:val="16"/>
                <w:szCs w:val="16"/>
              </w:rPr>
            </w:pPr>
            <w:r>
              <w:rPr>
                <w:rFonts w:ascii="宋体" w:hAnsi="宋体" w:cs="宋体" w:eastAsia="宋体" w:hint="default"/>
                <w:sz w:val="16"/>
                <w:szCs w:val="16"/>
              </w:rPr>
              <w:t>所得税率</w:t>
            </w:r>
            <w:r>
              <w:rPr>
                <w:rFonts w:ascii="Calibri" w:hAnsi="Calibri" w:cs="Calibri" w:eastAsia="Calibri" w:hint="default"/>
                <w:sz w:val="16"/>
                <w:szCs w:val="16"/>
              </w:rPr>
              <w:t>(%)</w:t>
            </w:r>
          </w:p>
        </w:tc>
        <w:tc>
          <w:tcPr>
            <w:tcW w:w="383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sz w:val="16"/>
                <w:szCs w:val="16"/>
              </w:rPr>
              <w:t>说明</w:t>
            </w:r>
          </w:p>
        </w:tc>
      </w:tr>
      <w:tr>
        <w:trPr>
          <w:trHeight w:val="559"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柏怡澳门离岸商业服务有限公司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0.00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06" w:lineRule="exact" w:before="63"/>
              <w:ind w:left="100" w:right="106"/>
              <w:jc w:val="left"/>
              <w:rPr>
                <w:rFonts w:ascii="宋体" w:hAnsi="宋体" w:cs="宋体" w:eastAsia="宋体" w:hint="default"/>
                <w:sz w:val="16"/>
                <w:szCs w:val="16"/>
              </w:rPr>
            </w:pPr>
            <w:r>
              <w:rPr>
                <w:rFonts w:ascii="宋体" w:hAnsi="宋体" w:cs="宋体" w:eastAsia="宋体" w:hint="default"/>
                <w:spacing w:val="-4"/>
                <w:sz w:val="16"/>
                <w:szCs w:val="16"/>
              </w:rPr>
              <w:t>公司设立于中国澳门，属于离岸公司根据中国澳门的</w:t>
            </w:r>
            <w:r>
              <w:rPr>
                <w:rFonts w:ascii="宋体" w:hAnsi="宋体" w:cs="宋体" w:eastAsia="宋体" w:hint="default"/>
                <w:spacing w:val="-48"/>
                <w:sz w:val="16"/>
                <w:szCs w:val="16"/>
              </w:rPr>
              <w:t> </w:t>
            </w:r>
            <w:r>
              <w:rPr>
                <w:rFonts w:ascii="宋体" w:hAnsi="宋体" w:cs="宋体" w:eastAsia="宋体" w:hint="default"/>
                <w:spacing w:val="-48"/>
                <w:sz w:val="16"/>
                <w:szCs w:val="16"/>
              </w:rPr>
            </w:r>
            <w:r>
              <w:rPr>
                <w:rFonts w:ascii="宋体" w:hAnsi="宋体" w:cs="宋体" w:eastAsia="宋体" w:hint="default"/>
                <w:sz w:val="16"/>
                <w:szCs w:val="16"/>
              </w:rPr>
              <w:t>相关规定享受免税政策。</w:t>
            </w:r>
          </w:p>
        </w:tc>
      </w:tr>
      <w:tr>
        <w:trPr>
          <w:trHeight w:val="562"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柏怡电子（越南）有限公司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20.00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06" w:lineRule="exact" w:before="65"/>
              <w:ind w:left="100" w:right="106"/>
              <w:jc w:val="left"/>
              <w:rPr>
                <w:rFonts w:ascii="宋体" w:hAnsi="宋体" w:cs="宋体" w:eastAsia="宋体" w:hint="default"/>
                <w:sz w:val="16"/>
                <w:szCs w:val="16"/>
              </w:rPr>
            </w:pPr>
            <w:r>
              <w:rPr>
                <w:rFonts w:ascii="宋体" w:hAnsi="宋体" w:cs="宋体" w:eastAsia="宋体" w:hint="default"/>
                <w:sz w:val="16"/>
                <w:szCs w:val="16"/>
              </w:rPr>
              <w:t>公司于 </w:t>
            </w: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3"/>
                <w:sz w:val="16"/>
                <w:szCs w:val="16"/>
              </w:rPr>
              <w:t> </w:t>
            </w:r>
            <w:r>
              <w:rPr>
                <w:rFonts w:ascii="宋体" w:hAnsi="宋体" w:cs="宋体" w:eastAsia="宋体" w:hint="default"/>
                <w:sz w:val="16"/>
                <w:szCs w:val="16"/>
              </w:rPr>
              <w:t>年设立于越南，根据当地政策所得税享</w:t>
            </w:r>
            <w:r>
              <w:rPr>
                <w:rFonts w:ascii="宋体" w:hAnsi="宋体" w:cs="宋体" w:eastAsia="宋体" w:hint="default"/>
                <w:w w:val="100"/>
                <w:sz w:val="16"/>
                <w:szCs w:val="16"/>
              </w:rPr>
              <w:t> </w:t>
            </w:r>
            <w:r>
              <w:rPr>
                <w:rFonts w:ascii="宋体" w:hAnsi="宋体" w:cs="宋体" w:eastAsia="宋体" w:hint="default"/>
                <w:sz w:val="16"/>
                <w:szCs w:val="16"/>
              </w:rPr>
              <w:t>受两免两减半。</w:t>
            </w:r>
          </w:p>
        </w:tc>
      </w:tr>
      <w:tr>
        <w:trPr>
          <w:trHeight w:val="1183"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中国长城计算机（香港）控股有限公司</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16.50</w:t>
            </w:r>
          </w:p>
        </w:tc>
        <w:tc>
          <w:tcPr>
            <w:tcW w:w="3838" w:type="dxa"/>
            <w:tcBorders>
              <w:top w:val="dotted" w:sz="4" w:space="0" w:color="000000"/>
              <w:left w:val="dotted" w:sz="4" w:space="0" w:color="000000"/>
              <w:bottom w:val="dotted" w:sz="4" w:space="0" w:color="000000"/>
              <w:right w:val="nil" w:sz="6" w:space="0" w:color="auto"/>
            </w:tcBorders>
          </w:tcPr>
          <w:p>
            <w:pPr>
              <w:pStyle w:val="TableParagraph"/>
              <w:spacing w:line="223" w:lineRule="auto" w:before="56"/>
              <w:ind w:left="100" w:right="104"/>
              <w:jc w:val="both"/>
              <w:rPr>
                <w:rFonts w:ascii="宋体" w:hAnsi="宋体" w:cs="宋体" w:eastAsia="宋体" w:hint="default"/>
                <w:sz w:val="16"/>
                <w:szCs w:val="16"/>
              </w:rPr>
            </w:pPr>
            <w:r>
              <w:rPr>
                <w:rFonts w:ascii="宋体" w:hAnsi="宋体" w:cs="宋体" w:eastAsia="宋体" w:hint="default"/>
                <w:sz w:val="16"/>
                <w:szCs w:val="16"/>
              </w:rPr>
              <w:t>本企业在本期首 </w:t>
            </w:r>
            <w:r>
              <w:rPr>
                <w:rFonts w:ascii="Times New Roman" w:hAnsi="Times New Roman" w:cs="Times New Roman" w:eastAsia="Times New Roman" w:hint="default"/>
                <w:sz w:val="16"/>
                <w:szCs w:val="16"/>
              </w:rPr>
              <w:t>200.00</w:t>
            </w:r>
            <w:r>
              <w:rPr>
                <w:rFonts w:ascii="Times New Roman" w:hAnsi="Times New Roman" w:cs="Times New Roman" w:eastAsia="Times New Roman" w:hint="default"/>
                <w:spacing w:val="17"/>
                <w:sz w:val="16"/>
                <w:szCs w:val="16"/>
              </w:rPr>
              <w:t> </w:t>
            </w:r>
            <w:r>
              <w:rPr>
                <w:rFonts w:ascii="宋体" w:hAnsi="宋体" w:cs="宋体" w:eastAsia="宋体" w:hint="default"/>
                <w:sz w:val="16"/>
                <w:szCs w:val="16"/>
              </w:rPr>
              <w:t>万港币的应纳税所得额，根</w:t>
            </w:r>
            <w:r>
              <w:rPr>
                <w:rFonts w:ascii="宋体" w:hAnsi="宋体" w:cs="宋体" w:eastAsia="宋体" w:hint="default"/>
                <w:w w:val="100"/>
                <w:sz w:val="16"/>
                <w:szCs w:val="16"/>
              </w:rPr>
              <w:t> </w:t>
            </w:r>
            <w:r>
              <w:rPr>
                <w:rFonts w:ascii="宋体" w:hAnsi="宋体" w:cs="宋体" w:eastAsia="宋体" w:hint="default"/>
                <w:spacing w:val="-1"/>
                <w:w w:val="100"/>
                <w:sz w:val="16"/>
                <w:szCs w:val="16"/>
              </w:rPr>
              <w:t>据香港《</w:t>
            </w:r>
            <w:r>
              <w:rPr>
                <w:rFonts w:ascii="Times New Roman" w:hAnsi="Times New Roman" w:cs="Times New Roman" w:eastAsia="Times New Roman" w:hint="default"/>
                <w:spacing w:val="-1"/>
                <w:w w:val="100"/>
                <w:sz w:val="16"/>
                <w:szCs w:val="16"/>
              </w:rPr>
              <w:t>2018</w:t>
            </w:r>
            <w:r>
              <w:rPr>
                <w:rFonts w:ascii="Times New Roman" w:hAnsi="Times New Roman" w:cs="Times New Roman" w:eastAsia="Times New Roman" w:hint="default"/>
                <w:w w:val="100"/>
                <w:sz w:val="16"/>
                <w:szCs w:val="16"/>
              </w:rPr>
              <w:t> </w:t>
            </w:r>
            <w:r>
              <w:rPr>
                <w:rFonts w:ascii="宋体" w:hAnsi="宋体" w:cs="宋体" w:eastAsia="宋体" w:hint="default"/>
                <w:spacing w:val="-10"/>
                <w:w w:val="100"/>
                <w:sz w:val="16"/>
                <w:szCs w:val="16"/>
              </w:rPr>
              <w:t>年税务（修订）（第</w:t>
            </w:r>
            <w:r>
              <w:rPr>
                <w:rFonts w:ascii="宋体" w:hAnsi="宋体" w:cs="宋体" w:eastAsia="宋体" w:hint="default"/>
                <w:w w:val="100"/>
                <w:sz w:val="16"/>
                <w:szCs w:val="16"/>
              </w:rPr>
              <w:t> </w:t>
            </w:r>
            <w:r>
              <w:rPr>
                <w:rFonts w:ascii="Times New Roman" w:hAnsi="Times New Roman" w:cs="Times New Roman" w:eastAsia="Times New Roman" w:hint="default"/>
                <w:w w:val="100"/>
                <w:sz w:val="16"/>
                <w:szCs w:val="16"/>
              </w:rPr>
              <w:t>3</w:t>
            </w:r>
            <w:r>
              <w:rPr>
                <w:rFonts w:ascii="Times New Roman" w:hAnsi="Times New Roman" w:cs="Times New Roman" w:eastAsia="Times New Roman" w:hint="default"/>
                <w:spacing w:val="-13"/>
                <w:w w:val="100"/>
                <w:sz w:val="16"/>
                <w:szCs w:val="16"/>
              </w:rPr>
              <w:t> </w:t>
            </w:r>
            <w:r>
              <w:rPr>
                <w:rFonts w:ascii="宋体" w:hAnsi="宋体" w:cs="宋体" w:eastAsia="宋体" w:hint="default"/>
                <w:spacing w:val="-13"/>
                <w:w w:val="100"/>
                <w:sz w:val="16"/>
                <w:szCs w:val="16"/>
              </w:rPr>
              <w:t>号）条例》，可</w:t>
            </w:r>
            <w:r>
              <w:rPr>
                <w:rFonts w:ascii="宋体" w:hAnsi="宋体" w:cs="宋体" w:eastAsia="宋体" w:hint="default"/>
                <w:w w:val="100"/>
                <w:sz w:val="16"/>
                <w:szCs w:val="16"/>
              </w:rPr>
              <w:t> </w:t>
            </w:r>
            <w:r>
              <w:rPr>
                <w:rFonts w:ascii="宋体" w:hAnsi="宋体" w:cs="宋体" w:eastAsia="宋体" w:hint="default"/>
                <w:sz w:val="16"/>
                <w:szCs w:val="16"/>
              </w:rPr>
              <w:t>享受</w:t>
            </w:r>
            <w:r>
              <w:rPr>
                <w:rFonts w:ascii="宋体" w:hAnsi="宋体" w:cs="宋体" w:eastAsia="宋体" w:hint="default"/>
                <w:spacing w:val="-18"/>
                <w:sz w:val="16"/>
                <w:szCs w:val="16"/>
              </w:rPr>
              <w:t> </w:t>
            </w:r>
            <w:r>
              <w:rPr>
                <w:rFonts w:ascii="Times New Roman" w:hAnsi="Times New Roman" w:cs="Times New Roman" w:eastAsia="Times New Roman" w:hint="default"/>
                <w:spacing w:val="-3"/>
                <w:sz w:val="16"/>
                <w:szCs w:val="16"/>
              </w:rPr>
              <w:t>8.25%</w:t>
            </w:r>
            <w:r>
              <w:rPr>
                <w:rFonts w:ascii="宋体" w:hAnsi="宋体" w:cs="宋体" w:eastAsia="宋体" w:hint="default"/>
                <w:spacing w:val="-3"/>
                <w:sz w:val="16"/>
                <w:szCs w:val="16"/>
              </w:rPr>
              <w:t>的优惠税率；应纳税所得额（利得税）超</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过 </w:t>
            </w:r>
            <w:r>
              <w:rPr>
                <w:rFonts w:ascii="Times New Roman" w:hAnsi="Times New Roman" w:cs="Times New Roman" w:eastAsia="Times New Roman" w:hint="default"/>
                <w:sz w:val="16"/>
                <w:szCs w:val="16"/>
              </w:rPr>
              <w:t>200.00 </w:t>
            </w:r>
            <w:r>
              <w:rPr>
                <w:rFonts w:ascii="宋体" w:hAnsi="宋体" w:cs="宋体" w:eastAsia="宋体" w:hint="default"/>
                <w:sz w:val="16"/>
                <w:szCs w:val="16"/>
              </w:rPr>
              <w:t>万港币的部分需按照</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16.5%</w:t>
            </w:r>
            <w:r>
              <w:rPr>
                <w:rFonts w:ascii="宋体" w:hAnsi="宋体" w:cs="宋体" w:eastAsia="宋体" w:hint="default"/>
                <w:sz w:val="16"/>
                <w:szCs w:val="16"/>
              </w:rPr>
              <w:t>的税率缴纳企</w:t>
            </w:r>
            <w:r>
              <w:rPr>
                <w:rFonts w:ascii="宋体" w:hAnsi="宋体" w:cs="宋体" w:eastAsia="宋体" w:hint="default"/>
                <w:w w:val="100"/>
                <w:sz w:val="16"/>
                <w:szCs w:val="16"/>
              </w:rPr>
              <w:t> </w:t>
            </w:r>
            <w:r>
              <w:rPr>
                <w:rFonts w:ascii="宋体" w:hAnsi="宋体" w:cs="宋体" w:eastAsia="宋体" w:hint="default"/>
                <w:spacing w:val="-9"/>
                <w:w w:val="100"/>
                <w:sz w:val="16"/>
                <w:szCs w:val="16"/>
              </w:rPr>
              <w:t>业所得税（利得税）。</w:t>
            </w:r>
          </w:p>
        </w:tc>
      </w:tr>
      <w:tr>
        <w:trPr>
          <w:trHeight w:val="571" w:hRule="exact"/>
        </w:trPr>
        <w:tc>
          <w:tcPr>
            <w:tcW w:w="31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深圳中电长城信息安全系统有限公司</w:t>
            </w:r>
          </w:p>
        </w:tc>
        <w:tc>
          <w:tcPr>
            <w:tcW w:w="12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15.00</w:t>
            </w:r>
          </w:p>
        </w:tc>
        <w:tc>
          <w:tcPr>
            <w:tcW w:w="3838" w:type="dxa"/>
            <w:tcBorders>
              <w:top w:val="dotted" w:sz="4" w:space="0" w:color="000000"/>
              <w:left w:val="dotted" w:sz="4" w:space="0" w:color="000000"/>
              <w:bottom w:val="single" w:sz="12" w:space="0" w:color="000000"/>
              <w:right w:val="nil" w:sz="6" w:space="0" w:color="auto"/>
            </w:tcBorders>
          </w:tcPr>
          <w:p>
            <w:pPr>
              <w:pStyle w:val="TableParagraph"/>
              <w:spacing w:line="206" w:lineRule="exact" w:before="65"/>
              <w:ind w:left="100" w:right="106"/>
              <w:jc w:val="left"/>
              <w:rPr>
                <w:rFonts w:ascii="宋体" w:hAnsi="宋体" w:cs="宋体" w:eastAsia="宋体" w:hint="default"/>
                <w:sz w:val="16"/>
                <w:szCs w:val="16"/>
              </w:rPr>
            </w:pPr>
            <w:r>
              <w:rPr>
                <w:rFonts w:ascii="宋体" w:hAnsi="宋体" w:cs="宋体" w:eastAsia="宋体" w:hint="default"/>
                <w:sz w:val="16"/>
                <w:szCs w:val="16"/>
              </w:rPr>
              <w:t>公司于</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9</w:t>
            </w:r>
            <w:r>
              <w:rPr>
                <w:rFonts w:ascii="Times New Roman" w:hAnsi="Times New Roman" w:cs="Times New Roman" w:eastAsia="Times New Roman" w:hint="default"/>
                <w:spacing w:val="2"/>
                <w:sz w:val="16"/>
                <w:szCs w:val="16"/>
              </w:rPr>
              <w:t> </w:t>
            </w:r>
            <w:r>
              <w:rPr>
                <w:rFonts w:ascii="宋体" w:hAnsi="宋体" w:cs="宋体" w:eastAsia="宋体" w:hint="default"/>
                <w:spacing w:val="-6"/>
                <w:sz w:val="16"/>
                <w:szCs w:val="16"/>
              </w:rPr>
              <w:t>日取得高新技术企业证书，证</w:t>
            </w:r>
            <w:r>
              <w:rPr>
                <w:rFonts w:ascii="宋体" w:hAnsi="宋体" w:cs="宋体" w:eastAsia="宋体" w:hint="default"/>
                <w:w w:val="100"/>
                <w:sz w:val="16"/>
                <w:szCs w:val="16"/>
              </w:rPr>
              <w:t> </w:t>
            </w:r>
            <w:r>
              <w:rPr>
                <w:rFonts w:ascii="宋体" w:hAnsi="宋体" w:cs="宋体" w:eastAsia="宋体" w:hint="default"/>
                <w:sz w:val="16"/>
                <w:szCs w:val="16"/>
              </w:rPr>
              <w:t>书编号为</w:t>
            </w:r>
            <w:r>
              <w:rPr>
                <w:rFonts w:ascii="宋体" w:hAnsi="宋体" w:cs="宋体" w:eastAsia="宋体" w:hint="default"/>
                <w:spacing w:val="-51"/>
                <w:sz w:val="16"/>
                <w:szCs w:val="16"/>
              </w:rPr>
              <w:t> </w:t>
            </w:r>
            <w:r>
              <w:rPr>
                <w:rFonts w:ascii="Times New Roman" w:hAnsi="Times New Roman" w:cs="Times New Roman" w:eastAsia="Times New Roman" w:hint="default"/>
                <w:sz w:val="16"/>
                <w:szCs w:val="16"/>
              </w:rPr>
              <w:t>GR201944205226</w:t>
            </w:r>
            <w:r>
              <w:rPr>
                <w:rFonts w:ascii="宋体" w:hAnsi="宋体" w:cs="宋体" w:eastAsia="宋体" w:hint="default"/>
                <w:sz w:val="16"/>
                <w:szCs w:val="16"/>
              </w:rPr>
              <w:t>，有效期三年</w:t>
            </w:r>
          </w:p>
        </w:tc>
      </w:tr>
    </w:tbl>
    <w:p>
      <w:pPr>
        <w:pStyle w:val="BodyText"/>
        <w:spacing w:line="240" w:lineRule="auto" w:before="95"/>
        <w:ind w:left="846" w:right="1468"/>
        <w:jc w:val="left"/>
      </w:pPr>
      <w:r>
        <w:rPr>
          <w:rFonts w:ascii="Times New Roman" w:hAnsi="Times New Roman" w:cs="Times New Roman" w:eastAsia="Times New Roman" w:hint="default"/>
          <w:w w:val="100"/>
        </w:rPr>
        <w:t>2</w:t>
      </w:r>
      <w:r>
        <w:rPr>
          <w:w w:val="100"/>
        </w:rPr>
        <w:t>、</w:t>
      </w:r>
      <w:r>
        <w:rPr>
          <w:spacing w:val="-3"/>
          <w:w w:val="100"/>
        </w:rPr>
        <w:t>根</w:t>
      </w:r>
      <w:r>
        <w:rPr>
          <w:w w:val="100"/>
        </w:rPr>
        <w:t>据</w:t>
      </w:r>
      <w:r>
        <w:rPr>
          <w:spacing w:val="-3"/>
          <w:w w:val="100"/>
        </w:rPr>
        <w:t>香</w:t>
      </w:r>
      <w:r>
        <w:rPr>
          <w:w w:val="100"/>
        </w:rPr>
        <w:t>港</w:t>
      </w:r>
      <w:r>
        <w:rPr>
          <w:spacing w:val="-3"/>
          <w:w w:val="100"/>
        </w:rPr>
        <w:t>《</w:t>
      </w:r>
      <w:r>
        <w:rPr>
          <w:w w:val="100"/>
        </w:rPr>
        <w:t>税</w:t>
      </w:r>
      <w:r>
        <w:rPr>
          <w:spacing w:val="-3"/>
          <w:w w:val="100"/>
        </w:rPr>
        <w:t>务</w:t>
      </w:r>
      <w:r>
        <w:rPr>
          <w:w w:val="100"/>
        </w:rPr>
        <w:t>条例</w:t>
      </w:r>
      <w:r>
        <w:rPr>
          <w:spacing w:val="-108"/>
          <w:w w:val="100"/>
        </w:rPr>
        <w:t>》</w:t>
      </w:r>
      <w:r>
        <w:rPr>
          <w:w w:val="100"/>
        </w:rPr>
        <w:t>，本</w:t>
      </w:r>
      <w:r>
        <w:rPr>
          <w:spacing w:val="-3"/>
          <w:w w:val="100"/>
        </w:rPr>
        <w:t>公</w:t>
      </w:r>
      <w:r>
        <w:rPr>
          <w:w w:val="100"/>
        </w:rPr>
        <w:t>司</w:t>
      </w:r>
      <w:r>
        <w:rPr>
          <w:spacing w:val="-3"/>
          <w:w w:val="100"/>
        </w:rPr>
        <w:t>之</w:t>
      </w:r>
      <w:r>
        <w:rPr>
          <w:w w:val="100"/>
        </w:rPr>
        <w:t>香</w:t>
      </w:r>
      <w:r>
        <w:rPr>
          <w:spacing w:val="-3"/>
          <w:w w:val="100"/>
        </w:rPr>
        <w:t>港</w:t>
      </w:r>
      <w:r>
        <w:rPr>
          <w:w w:val="100"/>
        </w:rPr>
        <w:t>地</w:t>
      </w:r>
      <w:r>
        <w:rPr>
          <w:spacing w:val="-3"/>
          <w:w w:val="100"/>
        </w:rPr>
        <w:t>区</w:t>
      </w:r>
      <w:r>
        <w:rPr>
          <w:w w:val="100"/>
        </w:rPr>
        <w:t>子</w:t>
      </w:r>
      <w:r>
        <w:rPr>
          <w:spacing w:val="-3"/>
          <w:w w:val="100"/>
        </w:rPr>
        <w:t>公</w:t>
      </w:r>
      <w:r>
        <w:rPr>
          <w:w w:val="100"/>
        </w:rPr>
        <w:t>司的</w:t>
      </w:r>
      <w:r>
        <w:rPr>
          <w:spacing w:val="-3"/>
          <w:w w:val="100"/>
        </w:rPr>
        <w:t>利</w:t>
      </w:r>
      <w:r>
        <w:rPr>
          <w:w w:val="100"/>
        </w:rPr>
        <w:t>得</w:t>
      </w:r>
      <w:r>
        <w:rPr>
          <w:spacing w:val="-3"/>
          <w:w w:val="100"/>
        </w:rPr>
        <w:t>税</w:t>
      </w:r>
      <w:r>
        <w:rPr>
          <w:w w:val="100"/>
        </w:rPr>
        <w:t>税</w:t>
      </w:r>
      <w:r>
        <w:rPr>
          <w:spacing w:val="-3"/>
          <w:w w:val="100"/>
        </w:rPr>
        <w:t>率</w:t>
      </w:r>
      <w:r>
        <w:rPr>
          <w:w w:val="100"/>
        </w:rPr>
        <w:t>是</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6.50</w:t>
      </w:r>
      <w:r>
        <w:rPr>
          <w:rFonts w:ascii="Times New Roman" w:hAnsi="Times New Roman" w:cs="Times New Roman" w:eastAsia="Times New Roman" w:hint="default"/>
          <w:spacing w:val="-3"/>
          <w:w w:val="100"/>
        </w:rPr>
        <w:t>%</w:t>
      </w:r>
      <w:r>
        <w:rPr>
          <w:w w:val="100"/>
        </w:rPr>
        <w:t>。</w:t>
      </w:r>
    </w:p>
    <w:p>
      <w:pPr>
        <w:pStyle w:val="BodyText"/>
        <w:spacing w:line="333" w:lineRule="auto" w:before="110"/>
        <w:ind w:left="850" w:right="1468"/>
        <w:jc w:val="left"/>
      </w:pPr>
      <w:r>
        <w:rPr>
          <w:rFonts w:ascii="Times New Roman" w:hAnsi="Times New Roman" w:cs="Times New Roman" w:eastAsia="Times New Roman" w:hint="default"/>
          <w:spacing w:val="-4"/>
          <w:w w:val="100"/>
        </w:rPr>
        <w:t>3</w:t>
      </w:r>
      <w:r>
        <w:rPr>
          <w:spacing w:val="-4"/>
          <w:w w:val="100"/>
        </w:rPr>
        <w:t>、根据财政部和国家税务总局《关于软件产品增值税政策的通知》（财税</w:t>
      </w:r>
      <w:r>
        <w:rPr>
          <w:rFonts w:ascii="Times New Roman" w:hAnsi="Times New Roman" w:cs="Times New Roman" w:eastAsia="Times New Roman" w:hint="default"/>
          <w:spacing w:val="-4"/>
          <w:w w:val="100"/>
        </w:rPr>
        <w:t>[2011]100</w:t>
      </w:r>
      <w:r>
        <w:rPr>
          <w:rFonts w:ascii="Times New Roman" w:hAnsi="Times New Roman" w:cs="Times New Roman" w:eastAsia="Times New Roman" w:hint="default"/>
          <w:spacing w:val="-50"/>
          <w:w w:val="100"/>
        </w:rPr>
        <w:t> </w:t>
      </w:r>
      <w:r>
        <w:rPr>
          <w:rFonts w:ascii="Times New Roman" w:hAnsi="Times New Roman" w:cs="Times New Roman" w:eastAsia="Times New Roman" w:hint="default"/>
          <w:spacing w:val="-50"/>
          <w:w w:val="100"/>
        </w:rPr>
      </w:r>
      <w:r>
        <w:rPr>
          <w:spacing w:val="-13"/>
          <w:w w:val="100"/>
        </w:rPr>
        <w:t>号），增值税一般纳税人销售其自行开发生产的软件产品，按</w:t>
      </w:r>
      <w:r>
        <w:rPr>
          <w:spacing w:val="-33"/>
          <w:w w:val="100"/>
        </w:rPr>
        <w:t> </w:t>
      </w:r>
      <w:r>
        <w:rPr>
          <w:rFonts w:ascii="Times New Roman" w:hAnsi="Times New Roman" w:cs="Times New Roman" w:eastAsia="Times New Roman" w:hint="default"/>
          <w:spacing w:val="-2"/>
          <w:w w:val="100"/>
        </w:rPr>
        <w:t>17%</w:t>
      </w:r>
      <w:r>
        <w:rPr>
          <w:spacing w:val="-2"/>
          <w:w w:val="100"/>
        </w:rPr>
        <w:t>税率征收增值税后，</w:t>
      </w:r>
      <w:r>
        <w:rPr>
          <w:spacing w:val="-97"/>
          <w:w w:val="100"/>
        </w:rPr>
        <w:t> </w:t>
      </w:r>
      <w:r>
        <w:rPr>
          <w:spacing w:val="-97"/>
          <w:w w:val="100"/>
        </w:rPr>
      </w:r>
      <w:r>
        <w:rPr/>
        <w:t>对其增值税实际税负超过</w:t>
      </w:r>
      <w:r>
        <w:rPr>
          <w:spacing w:val="-44"/>
        </w:rPr>
        <w:t> </w:t>
      </w:r>
      <w:r>
        <w:rPr>
          <w:rFonts w:ascii="Times New Roman" w:hAnsi="Times New Roman" w:cs="Times New Roman" w:eastAsia="Times New Roman" w:hint="default"/>
          <w:spacing w:val="-5"/>
        </w:rPr>
        <w:t>3%</w:t>
      </w:r>
      <w:r>
        <w:rPr>
          <w:spacing w:val="-5"/>
        </w:rPr>
        <w:t>的部分实行即征即退政策。本公司、子公司湖南长城信</w:t>
      </w:r>
      <w:r>
        <w:rPr>
          <w:spacing w:val="-77"/>
        </w:rPr>
        <w:t> </w:t>
      </w:r>
      <w:r>
        <w:rPr>
          <w:spacing w:val="-77"/>
        </w:rPr>
      </w:r>
      <w:r>
        <w:rPr/>
        <w:t>息金融设备有限责任公司、湖南长城医疗科技有限公司、二级子公司中电长城（长</w:t>
      </w:r>
      <w:r>
        <w:rPr>
          <w:w w:val="100"/>
        </w:rPr>
        <w:t> </w:t>
      </w:r>
      <w:r>
        <w:rPr/>
        <w:t>沙）信息技术有限公司享受此项优惠政策。</w:t>
      </w:r>
    </w:p>
    <w:p>
      <w:pPr>
        <w:pStyle w:val="BodyText"/>
        <w:spacing w:line="343" w:lineRule="auto" w:before="44"/>
        <w:ind w:left="850" w:right="1468"/>
        <w:jc w:val="left"/>
      </w:pPr>
      <w:r>
        <w:rPr>
          <w:rFonts w:ascii="Times New Roman" w:hAnsi="Times New Roman" w:cs="Times New Roman" w:eastAsia="Times New Roman" w:hint="default"/>
          <w:spacing w:val="-3"/>
        </w:rPr>
        <w:t>4</w:t>
      </w:r>
      <w:r>
        <w:rPr>
          <w:spacing w:val="-3"/>
        </w:rPr>
        <w:t>、根据财政部、国家税务总局</w:t>
      </w:r>
      <w:r>
        <w:rPr>
          <w:spacing w:val="-47"/>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5"/>
        </w:rPr>
        <w:t>日（</w:t>
      </w:r>
      <w:r>
        <w:rPr>
          <w:rFonts w:ascii="Times New Roman" w:hAnsi="Times New Roman" w:cs="Times New Roman" w:eastAsia="Times New Roman" w:hint="default"/>
          <w:spacing w:val="-5"/>
        </w:rPr>
        <w:t>94</w:t>
      </w:r>
      <w:r>
        <w:rPr>
          <w:spacing w:val="-5"/>
        </w:rPr>
        <w:t>）财税字第</w:t>
      </w:r>
      <w:r>
        <w:rPr>
          <w:spacing w:val="-48"/>
        </w:rPr>
        <w:t> </w:t>
      </w:r>
      <w:r>
        <w:rPr>
          <w:rFonts w:ascii="Times New Roman" w:hAnsi="Times New Roman" w:cs="Times New Roman" w:eastAsia="Times New Roman" w:hint="default"/>
          <w:spacing w:val="-4"/>
        </w:rPr>
        <w:t>011</w:t>
      </w:r>
      <w:r>
        <w:rPr>
          <w:rFonts w:ascii="Times New Roman" w:hAnsi="Times New Roman" w:cs="Times New Roman" w:eastAsia="Times New Roman" w:hint="default"/>
          <w:spacing w:val="5"/>
        </w:rPr>
        <w:t> </w:t>
      </w:r>
      <w:r>
        <w:rPr>
          <w:spacing w:val="-4"/>
        </w:rPr>
        <w:t>号的规定，军</w:t>
      </w:r>
      <w:r>
        <w:rPr>
          <w:spacing w:val="-93"/>
        </w:rPr>
        <w:t> </w:t>
      </w:r>
      <w:r>
        <w:rPr>
          <w:spacing w:val="-93"/>
        </w:rPr>
      </w:r>
      <w:r>
        <w:rPr>
          <w:spacing w:val="-4"/>
        </w:rPr>
        <w:t>工系统所属军事工厂（包括科研单位）生产销售的应税货物应当按规定征收增值税。</w:t>
      </w:r>
      <w:r>
        <w:rPr>
          <w:spacing w:val="-28"/>
        </w:rPr>
        <w:t> </w:t>
      </w:r>
      <w:r>
        <w:rPr>
          <w:spacing w:val="-28"/>
        </w:rPr>
      </w:r>
      <w:r>
        <w:rPr/>
        <w:t>但对列入军工主管部门军品生产计划并按照军品作价原则销售给军队、人民武装警</w:t>
      </w:r>
      <w:r>
        <w:rPr>
          <w:w w:val="100"/>
        </w:rPr>
        <w:t> </w:t>
      </w:r>
      <w:r>
        <w:rPr/>
        <w:t>察部队和军事工厂的军品，免征增值税。</w:t>
      </w:r>
    </w:p>
    <w:p>
      <w:pPr>
        <w:pStyle w:val="BodyText"/>
        <w:spacing w:line="331" w:lineRule="auto" w:before="35"/>
        <w:ind w:left="850" w:right="1875"/>
        <w:jc w:val="left"/>
      </w:pPr>
      <w:r>
        <w:rPr>
          <w:rFonts w:ascii="Times New Roman" w:hAnsi="Times New Roman" w:cs="Times New Roman" w:eastAsia="Times New Roman" w:hint="default"/>
        </w:rPr>
        <w:t>5</w:t>
      </w:r>
      <w:r>
        <w:rPr/>
        <w:t>、二级子公司</w:t>
      </w:r>
      <w:r>
        <w:rPr>
          <w:spacing w:val="-56"/>
        </w:rPr>
        <w:t> </w:t>
      </w:r>
      <w:r>
        <w:rPr>
          <w:rFonts w:ascii="Times New Roman" w:hAnsi="Times New Roman" w:cs="Times New Roman" w:eastAsia="Times New Roman" w:hint="default"/>
        </w:rPr>
        <w:t>Perfect</w:t>
      </w:r>
      <w:r>
        <w:rPr>
          <w:rFonts w:ascii="Times New Roman" w:hAnsi="Times New Roman" w:cs="Times New Roman" w:eastAsia="Times New Roman" w:hint="default"/>
          <w:spacing w:val="-3"/>
        </w:rPr>
        <w:t> </w:t>
      </w:r>
      <w:r>
        <w:rPr>
          <w:rFonts w:ascii="Times New Roman" w:hAnsi="Times New Roman" w:cs="Times New Roman" w:eastAsia="Times New Roman" w:hint="default"/>
        </w:rPr>
        <w:t>Galaxy</w:t>
      </w:r>
      <w:r>
        <w:rPr>
          <w:rFonts w:ascii="Times New Roman" w:hAnsi="Times New Roman" w:cs="Times New Roman" w:eastAsia="Times New Roman" w:hint="default"/>
          <w:spacing w:val="-1"/>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2"/>
        </w:rPr>
        <w:t> </w:t>
      </w:r>
      <w:r>
        <w:rPr/>
        <w:t>注册地在</w:t>
      </w:r>
      <w:r>
        <w:rPr>
          <w:spacing w:val="-54"/>
        </w:rPr>
        <w:t> </w:t>
      </w:r>
      <w:r>
        <w:rPr>
          <w:rFonts w:ascii="Times New Roman" w:hAnsi="Times New Roman" w:cs="Times New Roman" w:eastAsia="Times New Roman" w:hint="default"/>
        </w:rPr>
        <w:t>BRITISH</w:t>
      </w:r>
      <w:r>
        <w:rPr>
          <w:rFonts w:ascii="Times New Roman" w:hAnsi="Times New Roman" w:cs="Times New Roman" w:eastAsia="Times New Roman" w:hint="default"/>
          <w:spacing w:val="-8"/>
        </w:rPr>
        <w:t> </w:t>
      </w:r>
      <w:r>
        <w:rPr>
          <w:rFonts w:ascii="Times New Roman" w:hAnsi="Times New Roman" w:cs="Times New Roman" w:eastAsia="Times New Roman" w:hint="default"/>
        </w:rPr>
        <w:t>VIRGIN</w:t>
      </w:r>
      <w:r>
        <w:rPr>
          <w:rFonts w:ascii="Times New Roman" w:hAnsi="Times New Roman" w:cs="Times New Roman" w:eastAsia="Times New Roman" w:hint="default"/>
          <w:w w:val="100"/>
        </w:rPr>
        <w:t> </w:t>
      </w:r>
      <w:r>
        <w:rPr>
          <w:rFonts w:ascii="Times New Roman" w:hAnsi="Times New Roman" w:cs="Times New Roman" w:eastAsia="Times New Roman" w:hint="default"/>
          <w:spacing w:val="-4"/>
          <w:w w:val="100"/>
        </w:rPr>
        <w:t>ISLANDS-BVI</w:t>
      </w:r>
      <w:r>
        <w:rPr>
          <w:spacing w:val="-4"/>
          <w:w w:val="100"/>
        </w:rPr>
        <w:t>（英属维京群岛），该岛屿注册的海外公司不用缴纳增值税、所得税</w:t>
      </w:r>
      <w:r>
        <w:rPr>
          <w:spacing w:val="-101"/>
          <w:w w:val="100"/>
        </w:rPr>
        <w:t> </w:t>
      </w:r>
      <w:r>
        <w:rPr>
          <w:spacing w:val="-101"/>
          <w:w w:val="100"/>
        </w:rPr>
      </w:r>
      <w:r>
        <w:rPr/>
        <w:t>等税费。</w:t>
      </w:r>
    </w:p>
    <w:p>
      <w:pPr>
        <w:pStyle w:val="BodyText"/>
        <w:spacing w:line="240" w:lineRule="auto" w:before="46"/>
        <w:ind w:left="850" w:right="1468"/>
        <w:jc w:val="left"/>
      </w:pPr>
      <w:r>
        <w:rPr>
          <w:rFonts w:ascii="Times New Roman" w:hAnsi="Times New Roman" w:cs="Times New Roman" w:eastAsia="Times New Roman" w:hint="default"/>
          <w:spacing w:val="-4"/>
        </w:rPr>
        <w:t>6</w:t>
      </w:r>
      <w:r>
        <w:rPr>
          <w:spacing w:val="-4"/>
        </w:rPr>
        <w:t>、本公司子公司长沙中电软件园有限公司根据财政部税务总局公告</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年第</w:t>
      </w:r>
      <w:r>
        <w:rPr>
          <w:spacing w:val="-41"/>
        </w:rPr>
        <w:t> </w:t>
      </w:r>
      <w:r>
        <w:rPr>
          <w:rFonts w:ascii="Times New Roman" w:hAnsi="Times New Roman" w:cs="Times New Roman" w:eastAsia="Times New Roman" w:hint="default"/>
        </w:rPr>
        <w:t>61</w:t>
      </w:r>
      <w:r>
        <w:rPr>
          <w:rFonts w:ascii="Times New Roman" w:hAnsi="Times New Roman" w:cs="Times New Roman" w:eastAsia="Times New Roman" w:hint="default"/>
          <w:spacing w:val="8"/>
        </w:rPr>
        <w:t> </w:t>
      </w:r>
      <w:r>
        <w:rPr/>
        <w:t>号</w:t>
      </w:r>
    </w:p>
    <w:p>
      <w:pPr>
        <w:pStyle w:val="BodyText"/>
        <w:spacing w:line="343" w:lineRule="auto" w:before="107"/>
        <w:ind w:left="850" w:right="1786"/>
        <w:jc w:val="both"/>
      </w:pPr>
      <w:r>
        <w:rPr>
          <w:spacing w:val="-6"/>
          <w:w w:val="100"/>
        </w:rPr>
        <w:t>《关于公共租赁住房税收优惠政策的公告》，对公租房建设期间用地及公租房建成后</w:t>
      </w:r>
      <w:r>
        <w:rPr>
          <w:spacing w:val="-103"/>
          <w:w w:val="100"/>
        </w:rPr>
        <w:t> </w:t>
      </w:r>
      <w:r>
        <w:rPr>
          <w:spacing w:val="-103"/>
          <w:w w:val="100"/>
        </w:rPr>
      </w:r>
      <w:r>
        <w:rPr>
          <w:spacing w:val="-2"/>
        </w:rPr>
        <w:t>占地，免征城镇土地使用税；对公租房免征房产税；对经营公租房所取得的租金收</w:t>
      </w:r>
      <w:r>
        <w:rPr>
          <w:spacing w:val="-35"/>
        </w:rPr>
        <w:t> </w:t>
      </w:r>
      <w:r>
        <w:rPr>
          <w:spacing w:val="-35"/>
        </w:rPr>
      </w:r>
      <w:r>
        <w:rPr/>
        <w:t>入，免征增值税；根据财税</w:t>
      </w:r>
      <w:r>
        <w:rPr>
          <w:rFonts w:ascii="Times New Roman" w:hAnsi="Times New Roman" w:cs="Times New Roman" w:eastAsia="Times New Roman" w:hint="default"/>
        </w:rPr>
        <w:t>[2018]120 </w:t>
      </w:r>
      <w:r>
        <w:rPr>
          <w:spacing w:val="-3"/>
        </w:rPr>
        <w:t>号财政部、税务总局、科技部、教育部《关于</w:t>
      </w:r>
      <w:r>
        <w:rPr>
          <w:w w:val="100"/>
        </w:rPr>
        <w:t> </w:t>
      </w:r>
      <w:r>
        <w:rPr>
          <w:spacing w:val="-1"/>
          <w:w w:val="100"/>
        </w:rPr>
        <w:t>科技企业孵化器 </w:t>
      </w:r>
      <w:r>
        <w:rPr>
          <w:spacing w:val="-7"/>
          <w:w w:val="100"/>
        </w:rPr>
        <w:t>大学科技园和众创空间税收政策的通知》，自</w:t>
      </w:r>
      <w:r>
        <w:rPr>
          <w:spacing w:val="-55"/>
          <w:w w:val="100"/>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 </w:t>
      </w:r>
      <w:r>
        <w:rPr>
          <w:w w:val="100"/>
        </w:rPr>
        <w:t>日至</w:t>
      </w:r>
    </w:p>
    <w:p>
      <w:pPr>
        <w:pStyle w:val="BodyText"/>
        <w:spacing w:line="340" w:lineRule="auto" w:before="10"/>
        <w:ind w:left="850" w:right="1786"/>
        <w:jc w:val="both"/>
      </w:pPr>
      <w:r>
        <w:rPr>
          <w:rFonts w:ascii="Times New Roman" w:hAnsi="Times New Roman" w:cs="Times New Roman" w:eastAsia="Times New Roman" w:hint="default"/>
        </w:rPr>
        <w:t>2021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日，对国家级、省级科技企业孵化器、大学科技园和国家备案众创</w:t>
      </w:r>
      <w:r>
        <w:rPr>
          <w:w w:val="100"/>
        </w:rPr>
        <w:t> </w:t>
      </w:r>
      <w:r>
        <w:rPr>
          <w:spacing w:val="-2"/>
        </w:rPr>
        <w:t>空间自用及无偿或通过出租等方式提供在孵对象使用的房产、土地，免征房产税和</w:t>
      </w:r>
      <w:r>
        <w:rPr>
          <w:spacing w:val="-35"/>
        </w:rPr>
        <w:t> </w:t>
      </w:r>
      <w:r>
        <w:rPr>
          <w:spacing w:val="-35"/>
        </w:rPr>
      </w:r>
      <w:r>
        <w:rPr/>
        <w:t>城镇土地使用税；对其向在孵对象提供孵化服务取得的收入，免征增值税。</w:t>
      </w:r>
    </w:p>
    <w:p>
      <w:pPr>
        <w:pStyle w:val="Heading5"/>
        <w:tabs>
          <w:tab w:pos="850" w:val="left" w:leader="none"/>
        </w:tabs>
        <w:spacing w:line="240" w:lineRule="auto" w:before="37"/>
        <w:ind w:right="3683"/>
        <w:jc w:val="left"/>
        <w:rPr>
          <w:b w:val="0"/>
          <w:bCs w:val="0"/>
        </w:rPr>
      </w:pPr>
      <w:r>
        <w:rPr/>
        <w:t>五、</w:t>
        <w:tab/>
        <w:t>合并财务报表项目注释</w:t>
      </w:r>
      <w:r>
        <w:rPr>
          <w:b w:val="0"/>
          <w:bCs w:val="0"/>
        </w:rPr>
      </w:r>
    </w:p>
    <w:p>
      <w:pPr>
        <w:pStyle w:val="Heading5"/>
        <w:tabs>
          <w:tab w:pos="850" w:val="left" w:leader="none"/>
        </w:tabs>
        <w:spacing w:line="240" w:lineRule="auto" w:before="126"/>
        <w:ind w:right="368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货币资金</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478"/>
        <w:gridCol w:w="2321"/>
        <w:gridCol w:w="2405"/>
      </w:tblGrid>
      <w:tr>
        <w:trPr>
          <w:trHeight w:val="362" w:hRule="exact"/>
        </w:trPr>
        <w:tc>
          <w:tcPr>
            <w:tcW w:w="347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2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3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717"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5" w:hRule="exact"/>
        </w:trPr>
        <w:tc>
          <w:tcPr>
            <w:tcW w:w="34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库存现金</w:t>
            </w:r>
          </w:p>
        </w:tc>
        <w:tc>
          <w:tcPr>
            <w:tcW w:w="2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420,657.17</w:t>
            </w:r>
          </w:p>
        </w:tc>
        <w:tc>
          <w:tcPr>
            <w:tcW w:w="24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437,844.84</w:t>
            </w:r>
          </w:p>
        </w:tc>
      </w:tr>
      <w:tr>
        <w:trPr>
          <w:trHeight w:val="362" w:hRule="exact"/>
        </w:trPr>
        <w:tc>
          <w:tcPr>
            <w:tcW w:w="34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银行存款</w:t>
            </w:r>
          </w:p>
        </w:tc>
        <w:tc>
          <w:tcPr>
            <w:tcW w:w="23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3,929,471,246.65</w:t>
            </w:r>
          </w:p>
        </w:tc>
        <w:tc>
          <w:tcPr>
            <w:tcW w:w="24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3,333,335,760.16</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b/>
          <w:bCs/>
          <w:sz w:val="18"/>
          <w:szCs w:val="18"/>
        </w:rPr>
      </w:pPr>
    </w:p>
    <w:tbl>
      <w:tblPr>
        <w:tblW w:w="0" w:type="auto"/>
        <w:jc w:val="left"/>
        <w:tblInd w:w="721" w:type="dxa"/>
        <w:tblLayout w:type="fixed"/>
        <w:tblCellMar>
          <w:top w:w="0" w:type="dxa"/>
          <w:left w:w="0" w:type="dxa"/>
          <w:bottom w:w="0" w:type="dxa"/>
          <w:right w:w="0" w:type="dxa"/>
        </w:tblCellMar>
        <w:tblLook w:val="01E0"/>
      </w:tblPr>
      <w:tblGrid>
        <w:gridCol w:w="3478"/>
        <w:gridCol w:w="2321"/>
        <w:gridCol w:w="2405"/>
      </w:tblGrid>
      <w:tr>
        <w:trPr>
          <w:trHeight w:val="363" w:hRule="exact"/>
        </w:trPr>
        <w:tc>
          <w:tcPr>
            <w:tcW w:w="347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4"/>
              <w:ind w:left="2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3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4"/>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left="717"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5" w:hRule="exact"/>
        </w:trPr>
        <w:tc>
          <w:tcPr>
            <w:tcW w:w="34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其他货币资金</w:t>
            </w:r>
          </w:p>
        </w:tc>
        <w:tc>
          <w:tcPr>
            <w:tcW w:w="2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49,384,691.54</w:t>
            </w:r>
          </w:p>
        </w:tc>
        <w:tc>
          <w:tcPr>
            <w:tcW w:w="24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61,691,618.99</w:t>
            </w:r>
          </w:p>
        </w:tc>
      </w:tr>
      <w:tr>
        <w:trPr>
          <w:trHeight w:val="353" w:hRule="exact"/>
        </w:trPr>
        <w:tc>
          <w:tcPr>
            <w:tcW w:w="34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2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3,979,276,595.36</w:t>
            </w:r>
          </w:p>
        </w:tc>
        <w:tc>
          <w:tcPr>
            <w:tcW w:w="24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3,395,465,223.99</w:t>
            </w:r>
          </w:p>
        </w:tc>
      </w:tr>
      <w:tr>
        <w:trPr>
          <w:trHeight w:val="365" w:hRule="exact"/>
        </w:trPr>
        <w:tc>
          <w:tcPr>
            <w:tcW w:w="34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其中：存放在境外的款项总额</w:t>
            </w:r>
          </w:p>
        </w:tc>
        <w:tc>
          <w:tcPr>
            <w:tcW w:w="23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101,593,391.96</w:t>
            </w:r>
          </w:p>
        </w:tc>
        <w:tc>
          <w:tcPr>
            <w:tcW w:w="24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63,841,706.67</w:t>
            </w:r>
          </w:p>
        </w:tc>
      </w:tr>
    </w:tbl>
    <w:p>
      <w:pPr>
        <w:pStyle w:val="BodyText"/>
        <w:spacing w:line="350" w:lineRule="auto" w:before="93"/>
        <w:ind w:left="850" w:right="1468"/>
        <w:jc w:val="left"/>
      </w:pPr>
      <w:r>
        <w:rPr/>
        <w:pict>
          <v:shape style="position:absolute;margin-left:119.059998pt;margin-top:39.953663pt;width:412.4pt;height:196.9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4"/>
                    <w:gridCol w:w="2345"/>
                    <w:gridCol w:w="2345"/>
                  </w:tblGrid>
                  <w:tr>
                    <w:trPr>
                      <w:trHeight w:val="365" w:hRule="exact"/>
                    </w:trPr>
                    <w:tc>
                      <w:tcPr>
                        <w:tcW w:w="35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34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3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683"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35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用于担保的定期存款或通知存款</w:t>
                        </w:r>
                      </w:p>
                    </w:tc>
                    <w:tc>
                      <w:tcPr>
                        <w:tcW w:w="2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2"/>
                            <w:sz w:val="16"/>
                          </w:rPr>
                          <w:t>112,000,000.00</w:t>
                        </w:r>
                      </w:p>
                    </w:tc>
                    <w:tc>
                      <w:tcPr>
                        <w:tcW w:w="23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112,000,000.00</w:t>
                        </w:r>
                      </w:p>
                    </w:tc>
                  </w:tr>
                  <w:tr>
                    <w:trPr>
                      <w:trHeight w:val="353" w:hRule="exact"/>
                    </w:trPr>
                    <w:tc>
                      <w:tcPr>
                        <w:tcW w:w="35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银行承兑汇票保证金</w:t>
                        </w:r>
                      </w:p>
                    </w:tc>
                    <w:tc>
                      <w:tcPr>
                        <w:tcW w:w="2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36,997,907.93</w:t>
                        </w:r>
                      </w:p>
                    </w:tc>
                    <w:tc>
                      <w:tcPr>
                        <w:tcW w:w="23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59,262,626.99</w:t>
                        </w:r>
                      </w:p>
                    </w:tc>
                  </w:tr>
                  <w:tr>
                    <w:trPr>
                      <w:trHeight w:val="355" w:hRule="exact"/>
                    </w:trPr>
                    <w:tc>
                      <w:tcPr>
                        <w:tcW w:w="35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履约保证金</w:t>
                        </w:r>
                      </w:p>
                    </w:tc>
                    <w:tc>
                      <w:tcPr>
                        <w:tcW w:w="2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8,056,592.29</w:t>
                        </w:r>
                      </w:p>
                    </w:tc>
                    <w:tc>
                      <w:tcPr>
                        <w:tcW w:w="23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20,772.00</w:t>
                        </w:r>
                      </w:p>
                    </w:tc>
                  </w:tr>
                  <w:tr>
                    <w:trPr>
                      <w:trHeight w:val="353" w:hRule="exact"/>
                    </w:trPr>
                    <w:tc>
                      <w:tcPr>
                        <w:tcW w:w="35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汇票贴现保证金</w:t>
                        </w:r>
                      </w:p>
                    </w:tc>
                    <w:tc>
                      <w:tcPr>
                        <w:tcW w:w="2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3"/>
                          <w:jc w:val="right"/>
                          <w:rPr>
                            <w:rFonts w:ascii="Times New Roman" w:hAnsi="Times New Roman" w:cs="Times New Roman" w:eastAsia="Times New Roman" w:hint="default"/>
                            <w:sz w:val="16"/>
                            <w:szCs w:val="16"/>
                          </w:rPr>
                        </w:pPr>
                        <w:r>
                          <w:rPr>
                            <w:rFonts w:ascii="Times New Roman"/>
                            <w:spacing w:val="-1"/>
                            <w:sz w:val="16"/>
                          </w:rPr>
                          <w:t>2,013,225.00</w:t>
                        </w:r>
                      </w:p>
                    </w:tc>
                    <w:tc>
                      <w:tcPr>
                        <w:tcW w:w="23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6"/>
                            <w:szCs w:val="16"/>
                          </w:rPr>
                        </w:pPr>
                        <w:r>
                          <w:rPr>
                            <w:rFonts w:ascii="Times New Roman"/>
                            <w:spacing w:val="-1"/>
                            <w:sz w:val="16"/>
                          </w:rPr>
                          <w:t>2,385,220.00</w:t>
                        </w:r>
                      </w:p>
                    </w:tc>
                  </w:tr>
                  <w:tr>
                    <w:trPr>
                      <w:trHeight w:val="353" w:hRule="exact"/>
                    </w:trPr>
                    <w:tc>
                      <w:tcPr>
                        <w:tcW w:w="35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诉讼冻结资金</w:t>
                        </w:r>
                      </w:p>
                    </w:tc>
                    <w:tc>
                      <w:tcPr>
                        <w:tcW w:w="2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1,368,033.24</w:t>
                        </w:r>
                      </w:p>
                    </w:tc>
                    <w:tc>
                      <w:tcPr>
                        <w:tcW w:w="2345"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35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购房按揭保证金</w:t>
                        </w:r>
                      </w:p>
                    </w:tc>
                    <w:tc>
                      <w:tcPr>
                        <w:tcW w:w="2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2"/>
                          <w:jc w:val="right"/>
                          <w:rPr>
                            <w:rFonts w:ascii="Times New Roman" w:hAnsi="Times New Roman" w:cs="Times New Roman" w:eastAsia="Times New Roman" w:hint="default"/>
                            <w:sz w:val="16"/>
                            <w:szCs w:val="16"/>
                          </w:rPr>
                        </w:pPr>
                        <w:r>
                          <w:rPr>
                            <w:rFonts w:ascii="Times New Roman"/>
                            <w:spacing w:val="-1"/>
                            <w:sz w:val="16"/>
                          </w:rPr>
                          <w:t>753,055.48</w:t>
                        </w:r>
                      </w:p>
                    </w:tc>
                    <w:tc>
                      <w:tcPr>
                        <w:tcW w:w="2345"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35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ETC</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保证金</w:t>
                        </w:r>
                      </w:p>
                    </w:tc>
                    <w:tc>
                      <w:tcPr>
                        <w:tcW w:w="2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2"/>
                          <w:jc w:val="right"/>
                          <w:rPr>
                            <w:rFonts w:ascii="Times New Roman" w:hAnsi="Times New Roman" w:cs="Times New Roman" w:eastAsia="Times New Roman" w:hint="default"/>
                            <w:sz w:val="16"/>
                            <w:szCs w:val="16"/>
                          </w:rPr>
                        </w:pPr>
                        <w:r>
                          <w:rPr>
                            <w:rFonts w:ascii="Times New Roman"/>
                            <w:spacing w:val="-1"/>
                            <w:sz w:val="16"/>
                          </w:rPr>
                          <w:t>3,500.00</w:t>
                        </w:r>
                      </w:p>
                    </w:tc>
                    <w:tc>
                      <w:tcPr>
                        <w:tcW w:w="23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3,000.00</w:t>
                        </w:r>
                      </w:p>
                    </w:tc>
                  </w:tr>
                  <w:tr>
                    <w:trPr>
                      <w:trHeight w:val="353" w:hRule="exact"/>
                    </w:trPr>
                    <w:tc>
                      <w:tcPr>
                        <w:tcW w:w="35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东方证券保证金</w:t>
                        </w:r>
                      </w:p>
                    </w:tc>
                    <w:tc>
                      <w:tcPr>
                        <w:tcW w:w="2345" w:type="dxa"/>
                        <w:tcBorders>
                          <w:top w:val="dotted" w:sz="4" w:space="0" w:color="000000"/>
                          <w:left w:val="dotted" w:sz="4" w:space="0" w:color="000000"/>
                          <w:bottom w:val="dotted" w:sz="4" w:space="0" w:color="000000"/>
                          <w:right w:val="dotted" w:sz="4" w:space="0" w:color="000000"/>
                        </w:tcBorders>
                      </w:tcPr>
                      <w:p>
                        <w:pPr/>
                      </w:p>
                    </w:tc>
                    <w:tc>
                      <w:tcPr>
                        <w:tcW w:w="23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20,000.00</w:t>
                        </w:r>
                      </w:p>
                    </w:tc>
                  </w:tr>
                  <w:tr>
                    <w:trPr>
                      <w:trHeight w:val="353" w:hRule="exact"/>
                    </w:trPr>
                    <w:tc>
                      <w:tcPr>
                        <w:tcW w:w="35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放在境外且资金汇回受到限制的款项</w:t>
                        </w:r>
                      </w:p>
                    </w:tc>
                    <w:tc>
                      <w:tcPr>
                        <w:tcW w:w="2345" w:type="dxa"/>
                        <w:tcBorders>
                          <w:top w:val="dotted" w:sz="4" w:space="0" w:color="000000"/>
                          <w:left w:val="dotted" w:sz="4" w:space="0" w:color="000000"/>
                          <w:bottom w:val="dotted" w:sz="4" w:space="0" w:color="000000"/>
                          <w:right w:val="dotted" w:sz="4" w:space="0" w:color="000000"/>
                        </w:tcBorders>
                      </w:tcPr>
                      <w:p>
                        <w:pPr/>
                      </w:p>
                    </w:tc>
                    <w:tc>
                      <w:tcPr>
                        <w:tcW w:w="2345"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35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3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161,192,313.94</w:t>
                        </w:r>
                      </w:p>
                    </w:tc>
                    <w:tc>
                      <w:tcPr>
                        <w:tcW w:w="23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1"/>
                            <w:sz w:val="16"/>
                          </w:rPr>
                          <w:t>173,691,618.99</w:t>
                        </w:r>
                      </w:p>
                    </w:tc>
                  </w:tr>
                </w:tbl>
                <w:p>
                  <w:pPr/>
                </w:p>
              </w:txbxContent>
            </v:textbox>
            <w10:wrap type="none"/>
          </v:shape>
        </w:pict>
      </w:r>
      <w:r>
        <w:rPr>
          <w:spacing w:val="-2"/>
        </w:rPr>
        <w:t>其中因抵押、质押或冻结等对使用有限制，以及放在境外且资金汇回受到限制的货</w:t>
      </w:r>
      <w:r>
        <w:rPr>
          <w:spacing w:val="-35"/>
        </w:rPr>
        <w:t> </w:t>
      </w:r>
      <w:r>
        <w:rPr>
          <w:spacing w:val="-35"/>
        </w:rPr>
      </w:r>
      <w:r>
        <w:rPr/>
        <w:t>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交易性金融资产</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5075"/>
        <w:gridCol w:w="3130"/>
      </w:tblGrid>
      <w:tr>
        <w:trPr>
          <w:trHeight w:val="365" w:hRule="exact"/>
        </w:trPr>
        <w:tc>
          <w:tcPr>
            <w:tcW w:w="50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6"/>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1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right="3"/>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5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以公允价值计量且其变动计入当期损益的金融资产</w:t>
            </w:r>
          </w:p>
        </w:tc>
        <w:tc>
          <w:tcPr>
            <w:tcW w:w="31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418,768,388.48</w:t>
            </w:r>
          </w:p>
        </w:tc>
      </w:tr>
      <w:tr>
        <w:trPr>
          <w:trHeight w:val="356" w:hRule="exact"/>
        </w:trPr>
        <w:tc>
          <w:tcPr>
            <w:tcW w:w="5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宋体" w:hAnsi="宋体" w:cs="宋体" w:eastAsia="宋体" w:hint="default"/>
                <w:sz w:val="16"/>
                <w:szCs w:val="16"/>
              </w:rPr>
              <w:t>其中：债务工具投资</w:t>
            </w:r>
          </w:p>
        </w:tc>
        <w:tc>
          <w:tcPr>
            <w:tcW w:w="31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6"/>
                <w:szCs w:val="16"/>
              </w:rPr>
            </w:pPr>
            <w:r>
              <w:rPr>
                <w:rFonts w:ascii="Times New Roman"/>
                <w:spacing w:val="-1"/>
                <w:sz w:val="16"/>
              </w:rPr>
              <w:t>1,000,000.00</w:t>
            </w:r>
          </w:p>
        </w:tc>
      </w:tr>
      <w:tr>
        <w:trPr>
          <w:trHeight w:val="353" w:hRule="exact"/>
        </w:trPr>
        <w:tc>
          <w:tcPr>
            <w:tcW w:w="5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604" w:right="0"/>
              <w:jc w:val="left"/>
              <w:rPr>
                <w:rFonts w:ascii="宋体" w:hAnsi="宋体" w:cs="宋体" w:eastAsia="宋体" w:hint="default"/>
                <w:sz w:val="16"/>
                <w:szCs w:val="16"/>
              </w:rPr>
            </w:pPr>
            <w:r>
              <w:rPr>
                <w:rFonts w:ascii="宋体" w:hAnsi="宋体" w:cs="宋体" w:eastAsia="宋体" w:hint="default"/>
                <w:sz w:val="16"/>
                <w:szCs w:val="16"/>
              </w:rPr>
              <w:t>权益工具投资</w:t>
            </w:r>
          </w:p>
        </w:tc>
        <w:tc>
          <w:tcPr>
            <w:tcW w:w="31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269,852,788.48</w:t>
            </w:r>
          </w:p>
        </w:tc>
      </w:tr>
      <w:tr>
        <w:trPr>
          <w:trHeight w:val="353" w:hRule="exact"/>
        </w:trPr>
        <w:tc>
          <w:tcPr>
            <w:tcW w:w="5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604" w:right="0"/>
              <w:jc w:val="left"/>
              <w:rPr>
                <w:rFonts w:ascii="宋体" w:hAnsi="宋体" w:cs="宋体" w:eastAsia="宋体" w:hint="default"/>
                <w:sz w:val="16"/>
                <w:szCs w:val="16"/>
              </w:rPr>
            </w:pPr>
            <w:r>
              <w:rPr>
                <w:rFonts w:ascii="宋体" w:hAnsi="宋体" w:cs="宋体" w:eastAsia="宋体" w:hint="default"/>
                <w:sz w:val="16"/>
                <w:szCs w:val="16"/>
              </w:rPr>
              <w:t>混合工具</w:t>
            </w:r>
          </w:p>
        </w:tc>
        <w:tc>
          <w:tcPr>
            <w:tcW w:w="31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17,915,600.00</w:t>
            </w:r>
          </w:p>
        </w:tc>
      </w:tr>
      <w:tr>
        <w:trPr>
          <w:trHeight w:val="353" w:hRule="exact"/>
        </w:trPr>
        <w:tc>
          <w:tcPr>
            <w:tcW w:w="5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604" w:right="0"/>
              <w:jc w:val="left"/>
              <w:rPr>
                <w:rFonts w:ascii="宋体" w:hAnsi="宋体" w:cs="宋体" w:eastAsia="宋体" w:hint="default"/>
                <w:sz w:val="16"/>
                <w:szCs w:val="16"/>
              </w:rPr>
            </w:pPr>
            <w:r>
              <w:rPr>
                <w:rFonts w:ascii="宋体" w:hAnsi="宋体" w:cs="宋体" w:eastAsia="宋体" w:hint="default"/>
                <w:sz w:val="16"/>
                <w:szCs w:val="16"/>
              </w:rPr>
              <w:t>衍生金融资产</w:t>
            </w:r>
          </w:p>
        </w:tc>
        <w:tc>
          <w:tcPr>
            <w:tcW w:w="3130"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5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604" w:right="0"/>
              <w:jc w:val="left"/>
              <w:rPr>
                <w:rFonts w:ascii="宋体" w:hAnsi="宋体" w:cs="宋体" w:eastAsia="宋体" w:hint="default"/>
                <w:sz w:val="16"/>
                <w:szCs w:val="16"/>
              </w:rPr>
            </w:pPr>
            <w:r>
              <w:rPr>
                <w:rFonts w:ascii="宋体" w:hAnsi="宋体" w:cs="宋体" w:eastAsia="宋体" w:hint="default"/>
                <w:spacing w:val="-3"/>
                <w:sz w:val="16"/>
                <w:szCs w:val="16"/>
              </w:rPr>
              <w:t>其他</w:t>
            </w:r>
            <w:r>
              <w:rPr>
                <w:rFonts w:ascii="宋体" w:hAnsi="宋体" w:cs="宋体" w:eastAsia="宋体" w:hint="default"/>
                <w:sz w:val="16"/>
                <w:szCs w:val="16"/>
              </w:rPr>
            </w:r>
          </w:p>
        </w:tc>
        <w:tc>
          <w:tcPr>
            <w:tcW w:w="31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130,000,000.00</w:t>
            </w:r>
          </w:p>
        </w:tc>
      </w:tr>
      <w:tr>
        <w:trPr>
          <w:trHeight w:val="353" w:hRule="exact"/>
        </w:trPr>
        <w:tc>
          <w:tcPr>
            <w:tcW w:w="5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指定为以公允价值计量且其变动计入当期损益的金融资产</w:t>
            </w:r>
          </w:p>
        </w:tc>
        <w:tc>
          <w:tcPr>
            <w:tcW w:w="313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5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其中：债务工具投资</w:t>
            </w:r>
          </w:p>
        </w:tc>
        <w:tc>
          <w:tcPr>
            <w:tcW w:w="3130"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5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604" w:right="0"/>
              <w:jc w:val="left"/>
              <w:rPr>
                <w:rFonts w:ascii="宋体" w:hAnsi="宋体" w:cs="宋体" w:eastAsia="宋体" w:hint="default"/>
                <w:sz w:val="16"/>
                <w:szCs w:val="16"/>
              </w:rPr>
            </w:pPr>
            <w:r>
              <w:rPr>
                <w:rFonts w:ascii="宋体" w:hAnsi="宋体" w:cs="宋体" w:eastAsia="宋体" w:hint="default"/>
                <w:sz w:val="16"/>
                <w:szCs w:val="16"/>
              </w:rPr>
              <w:t>权益工具投资</w:t>
            </w:r>
          </w:p>
        </w:tc>
        <w:tc>
          <w:tcPr>
            <w:tcW w:w="313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5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604" w:right="0"/>
              <w:jc w:val="left"/>
              <w:rPr>
                <w:rFonts w:ascii="宋体" w:hAnsi="宋体" w:cs="宋体" w:eastAsia="宋体" w:hint="default"/>
                <w:sz w:val="16"/>
                <w:szCs w:val="16"/>
              </w:rPr>
            </w:pPr>
            <w:r>
              <w:rPr>
                <w:rFonts w:ascii="宋体" w:hAnsi="宋体" w:cs="宋体" w:eastAsia="宋体" w:hint="default"/>
                <w:spacing w:val="-3"/>
                <w:sz w:val="16"/>
                <w:szCs w:val="16"/>
              </w:rPr>
              <w:t>其他</w:t>
            </w:r>
            <w:r>
              <w:rPr>
                <w:rFonts w:ascii="宋体" w:hAnsi="宋体" w:cs="宋体" w:eastAsia="宋体" w:hint="default"/>
                <w:sz w:val="16"/>
                <w:szCs w:val="16"/>
              </w:rPr>
            </w:r>
          </w:p>
        </w:tc>
        <w:tc>
          <w:tcPr>
            <w:tcW w:w="3130"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50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31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418,768,388.48</w:t>
            </w:r>
          </w:p>
        </w:tc>
      </w:tr>
    </w:tbl>
    <w:p>
      <w:pPr>
        <w:spacing w:line="240" w:lineRule="auto" w:before="7"/>
        <w:rPr>
          <w:rFonts w:ascii="宋体" w:hAnsi="宋体" w:cs="宋体" w:eastAsia="宋体" w:hint="default"/>
          <w:b/>
          <w:bCs/>
          <w:sz w:val="27"/>
          <w:szCs w:val="27"/>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衍生金融资产</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716"/>
        <w:gridCol w:w="2244"/>
        <w:gridCol w:w="2245"/>
      </w:tblGrid>
      <w:tr>
        <w:trPr>
          <w:trHeight w:val="365" w:hRule="exact"/>
        </w:trPr>
        <w:tc>
          <w:tcPr>
            <w:tcW w:w="371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right="1682"/>
              <w:jc w:val="right"/>
              <w:rPr>
                <w:rFonts w:ascii="宋体" w:hAnsi="宋体" w:cs="宋体" w:eastAsia="宋体" w:hint="default"/>
                <w:sz w:val="16"/>
                <w:szCs w:val="16"/>
              </w:rPr>
            </w:pPr>
            <w:r>
              <w:rPr>
                <w:rFonts w:ascii="宋体" w:hAnsi="宋体" w:cs="宋体" w:eastAsia="宋体" w:hint="default"/>
                <w:sz w:val="16"/>
                <w:szCs w:val="16"/>
              </w:rPr>
              <w:t>项目</w:t>
            </w:r>
          </w:p>
        </w:tc>
        <w:tc>
          <w:tcPr>
            <w:tcW w:w="22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2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633"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3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非套期工具</w:t>
            </w:r>
          </w:p>
        </w:tc>
        <w:tc>
          <w:tcPr>
            <w:tcW w:w="2244" w:type="dxa"/>
            <w:tcBorders>
              <w:top w:val="dotted" w:sz="4" w:space="0" w:color="000000"/>
              <w:left w:val="dotted" w:sz="4" w:space="0" w:color="000000"/>
              <w:bottom w:val="dotted" w:sz="4" w:space="0" w:color="000000"/>
              <w:right w:val="dotted" w:sz="4" w:space="0" w:color="000000"/>
            </w:tcBorders>
          </w:tcPr>
          <w:p>
            <w:pPr/>
          </w:p>
        </w:tc>
        <w:tc>
          <w:tcPr>
            <w:tcW w:w="22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2,731,217.74</w:t>
            </w:r>
          </w:p>
        </w:tc>
      </w:tr>
      <w:tr>
        <w:trPr>
          <w:trHeight w:val="365" w:hRule="exact"/>
        </w:trPr>
        <w:tc>
          <w:tcPr>
            <w:tcW w:w="37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682"/>
              <w:jc w:val="right"/>
              <w:rPr>
                <w:rFonts w:ascii="宋体" w:hAnsi="宋体" w:cs="宋体" w:eastAsia="宋体" w:hint="default"/>
                <w:sz w:val="16"/>
                <w:szCs w:val="16"/>
              </w:rPr>
            </w:pPr>
            <w:r>
              <w:rPr>
                <w:rFonts w:ascii="宋体" w:hAnsi="宋体" w:cs="宋体" w:eastAsia="宋体" w:hint="default"/>
                <w:sz w:val="16"/>
                <w:szCs w:val="16"/>
              </w:rPr>
              <w:t>合计</w:t>
            </w:r>
          </w:p>
        </w:tc>
        <w:tc>
          <w:tcPr>
            <w:tcW w:w="2244" w:type="dxa"/>
            <w:tcBorders>
              <w:top w:val="dotted" w:sz="4" w:space="0" w:color="000000"/>
              <w:left w:val="dotted" w:sz="4" w:space="0" w:color="000000"/>
              <w:bottom w:val="single" w:sz="12" w:space="0" w:color="000000"/>
              <w:right w:val="dotted" w:sz="4" w:space="0" w:color="000000"/>
            </w:tcBorders>
          </w:tcPr>
          <w:p>
            <w:pPr/>
          </w:p>
        </w:tc>
        <w:tc>
          <w:tcPr>
            <w:tcW w:w="22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2,731,217.74</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2"/>
        <w:rPr>
          <w:rFonts w:ascii="宋体" w:hAnsi="宋体" w:cs="宋体" w:eastAsia="宋体" w:hint="default"/>
          <w:b/>
          <w:bCs/>
          <w:sz w:val="22"/>
          <w:szCs w:val="22"/>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应收票据</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应收票据分类列示</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149"/>
        <w:gridCol w:w="2528"/>
        <w:gridCol w:w="2528"/>
      </w:tblGrid>
      <w:tr>
        <w:trPr>
          <w:trHeight w:val="365" w:hRule="exact"/>
        </w:trPr>
        <w:tc>
          <w:tcPr>
            <w:tcW w:w="314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right="1400"/>
              <w:jc w:val="right"/>
              <w:rPr>
                <w:rFonts w:ascii="宋体" w:hAnsi="宋体" w:cs="宋体" w:eastAsia="宋体" w:hint="default"/>
                <w:sz w:val="16"/>
                <w:szCs w:val="16"/>
              </w:rPr>
            </w:pPr>
            <w:r>
              <w:rPr>
                <w:rFonts w:ascii="宋体" w:hAnsi="宋体" w:cs="宋体" w:eastAsia="宋体" w:hint="default"/>
                <w:sz w:val="16"/>
                <w:szCs w:val="16"/>
              </w:rPr>
              <w:t>项目</w:t>
            </w:r>
          </w:p>
        </w:tc>
        <w:tc>
          <w:tcPr>
            <w:tcW w:w="25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5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77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3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银行承兑汇票</w:t>
            </w:r>
          </w:p>
        </w:tc>
        <w:tc>
          <w:tcPr>
            <w:tcW w:w="25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386,543,195.75</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206,590,067.36</w:t>
            </w:r>
          </w:p>
        </w:tc>
      </w:tr>
      <w:tr>
        <w:trPr>
          <w:trHeight w:val="353" w:hRule="exact"/>
        </w:trPr>
        <w:tc>
          <w:tcPr>
            <w:tcW w:w="3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商业承兑汇票</w:t>
            </w:r>
          </w:p>
        </w:tc>
        <w:tc>
          <w:tcPr>
            <w:tcW w:w="25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1,133,310,116.23</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548,332,437.12</w:t>
            </w:r>
          </w:p>
        </w:tc>
      </w:tr>
      <w:tr>
        <w:trPr>
          <w:trHeight w:val="355" w:hRule="exact"/>
        </w:trPr>
        <w:tc>
          <w:tcPr>
            <w:tcW w:w="3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减：坏账准备</w:t>
            </w:r>
          </w:p>
        </w:tc>
        <w:tc>
          <w:tcPr>
            <w:tcW w:w="25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1,762,297.23</w:t>
            </w:r>
          </w:p>
        </w:tc>
        <w:tc>
          <w:tcPr>
            <w:tcW w:w="2528"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31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right="1400"/>
              <w:jc w:val="right"/>
              <w:rPr>
                <w:rFonts w:ascii="宋体" w:hAnsi="宋体" w:cs="宋体" w:eastAsia="宋体" w:hint="default"/>
                <w:sz w:val="16"/>
                <w:szCs w:val="16"/>
              </w:rPr>
            </w:pPr>
            <w:r>
              <w:rPr>
                <w:rFonts w:ascii="宋体" w:hAnsi="宋体" w:cs="宋体" w:eastAsia="宋体" w:hint="default"/>
                <w:sz w:val="16"/>
                <w:szCs w:val="16"/>
              </w:rPr>
              <w:t>合计</w:t>
            </w:r>
          </w:p>
        </w:tc>
        <w:tc>
          <w:tcPr>
            <w:tcW w:w="25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1,518,091,014.75</w:t>
            </w:r>
          </w:p>
        </w:tc>
        <w:tc>
          <w:tcPr>
            <w:tcW w:w="25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754,922,504.48</w:t>
            </w:r>
          </w:p>
        </w:tc>
      </w:tr>
    </w:tbl>
    <w:p>
      <w:pPr>
        <w:spacing w:line="240" w:lineRule="auto" w:before="9"/>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期末公司已质押的应收票据</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245"/>
        <w:gridCol w:w="4959"/>
      </w:tblGrid>
      <w:tr>
        <w:trPr>
          <w:trHeight w:val="362" w:hRule="exact"/>
        </w:trPr>
        <w:tc>
          <w:tcPr>
            <w:tcW w:w="32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right="1448"/>
              <w:jc w:val="right"/>
              <w:rPr>
                <w:rFonts w:ascii="宋体" w:hAnsi="宋体" w:cs="宋体" w:eastAsia="宋体" w:hint="default"/>
                <w:sz w:val="16"/>
                <w:szCs w:val="16"/>
              </w:rPr>
            </w:pPr>
            <w:r>
              <w:rPr>
                <w:rFonts w:ascii="宋体" w:hAnsi="宋体" w:cs="宋体" w:eastAsia="宋体" w:hint="default"/>
                <w:sz w:val="16"/>
                <w:szCs w:val="16"/>
              </w:rPr>
              <w:t>项目</w:t>
            </w:r>
          </w:p>
        </w:tc>
        <w:tc>
          <w:tcPr>
            <w:tcW w:w="495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3"/>
              <w:jc w:val="center"/>
              <w:rPr>
                <w:rFonts w:ascii="宋体" w:hAnsi="宋体" w:cs="宋体" w:eastAsia="宋体" w:hint="default"/>
                <w:sz w:val="16"/>
                <w:szCs w:val="16"/>
              </w:rPr>
            </w:pPr>
            <w:r>
              <w:rPr>
                <w:rFonts w:ascii="宋体" w:hAnsi="宋体" w:cs="宋体" w:eastAsia="宋体" w:hint="default"/>
                <w:sz w:val="16"/>
                <w:szCs w:val="16"/>
              </w:rPr>
              <w:t>期末已质押金额</w:t>
            </w:r>
          </w:p>
        </w:tc>
      </w:tr>
      <w:tr>
        <w:trPr>
          <w:trHeight w:val="356" w:hRule="exact"/>
        </w:trPr>
        <w:tc>
          <w:tcPr>
            <w:tcW w:w="32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宋体" w:hAnsi="宋体" w:cs="宋体" w:eastAsia="宋体" w:hint="default"/>
                <w:sz w:val="16"/>
                <w:szCs w:val="16"/>
              </w:rPr>
              <w:t>银行承兑汇票</w:t>
            </w:r>
          </w:p>
        </w:tc>
        <w:tc>
          <w:tcPr>
            <w:tcW w:w="4959"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32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商业承兑汇票</w:t>
            </w:r>
          </w:p>
        </w:tc>
        <w:tc>
          <w:tcPr>
            <w:tcW w:w="49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5,998,000.00</w:t>
            </w:r>
          </w:p>
        </w:tc>
      </w:tr>
      <w:tr>
        <w:trPr>
          <w:trHeight w:val="365" w:hRule="exact"/>
        </w:trPr>
        <w:tc>
          <w:tcPr>
            <w:tcW w:w="32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448"/>
              <w:jc w:val="right"/>
              <w:rPr>
                <w:rFonts w:ascii="宋体" w:hAnsi="宋体" w:cs="宋体" w:eastAsia="宋体" w:hint="default"/>
                <w:sz w:val="16"/>
                <w:szCs w:val="16"/>
              </w:rPr>
            </w:pPr>
            <w:r>
              <w:rPr>
                <w:rFonts w:ascii="宋体" w:hAnsi="宋体" w:cs="宋体" w:eastAsia="宋体" w:hint="default"/>
                <w:sz w:val="16"/>
                <w:szCs w:val="16"/>
              </w:rPr>
              <w:t>合计</w:t>
            </w:r>
          </w:p>
        </w:tc>
        <w:tc>
          <w:tcPr>
            <w:tcW w:w="495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5,998,000.00</w:t>
            </w:r>
          </w:p>
        </w:tc>
      </w:tr>
    </w:tbl>
    <w:p>
      <w:pPr>
        <w:spacing w:line="240" w:lineRule="auto" w:before="6"/>
        <w:rPr>
          <w:rFonts w:ascii="宋体" w:hAnsi="宋体" w:cs="宋体" w:eastAsia="宋体" w:hint="default"/>
          <w:b/>
          <w:bCs/>
          <w:sz w:val="27"/>
          <w:szCs w:val="27"/>
        </w:rPr>
      </w:pPr>
    </w:p>
    <w:p>
      <w:pPr>
        <w:pStyle w:val="Heading5"/>
        <w:tabs>
          <w:tab w:pos="1397" w:val="left" w:leader="none"/>
        </w:tabs>
        <w:spacing w:line="240" w:lineRule="auto"/>
        <w:ind w:left="846" w:right="1468"/>
        <w:jc w:val="left"/>
        <w:rPr>
          <w:b w:val="0"/>
          <w:bCs w:val="0"/>
        </w:rPr>
      </w:pPr>
      <w:r>
        <w:rPr>
          <w:rFonts w:ascii="Times New Roman" w:hAnsi="Times New Roman" w:cs="Times New Roman" w:eastAsia="Times New Roman" w:hint="default"/>
        </w:rPr>
        <w:t>3</w:t>
      </w:r>
      <w:r>
        <w:rPr/>
        <w:t>、</w:t>
        <w:tab/>
      </w:r>
      <w:r>
        <w:rPr>
          <w:spacing w:val="-1"/>
        </w:rPr>
        <w:t>期末公司已背书或贴现且在资产负债表日尚未到期的应收票据</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149"/>
        <w:gridCol w:w="2528"/>
        <w:gridCol w:w="2528"/>
      </w:tblGrid>
      <w:tr>
        <w:trPr>
          <w:trHeight w:val="365" w:hRule="exact"/>
        </w:trPr>
        <w:tc>
          <w:tcPr>
            <w:tcW w:w="314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right="1400"/>
              <w:jc w:val="right"/>
              <w:rPr>
                <w:rFonts w:ascii="宋体" w:hAnsi="宋体" w:cs="宋体" w:eastAsia="宋体" w:hint="default"/>
                <w:sz w:val="16"/>
                <w:szCs w:val="16"/>
              </w:rPr>
            </w:pPr>
            <w:r>
              <w:rPr>
                <w:rFonts w:ascii="宋体" w:hAnsi="宋体" w:cs="宋体" w:eastAsia="宋体" w:hint="default"/>
                <w:sz w:val="16"/>
                <w:szCs w:val="16"/>
              </w:rPr>
              <w:t>项目</w:t>
            </w:r>
          </w:p>
        </w:tc>
        <w:tc>
          <w:tcPr>
            <w:tcW w:w="25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619" w:right="0"/>
              <w:jc w:val="left"/>
              <w:rPr>
                <w:rFonts w:ascii="宋体" w:hAnsi="宋体" w:cs="宋体" w:eastAsia="宋体" w:hint="default"/>
                <w:sz w:val="16"/>
                <w:szCs w:val="16"/>
              </w:rPr>
            </w:pPr>
            <w:r>
              <w:rPr>
                <w:rFonts w:ascii="宋体" w:hAnsi="宋体" w:cs="宋体" w:eastAsia="宋体" w:hint="default"/>
                <w:sz w:val="16"/>
                <w:szCs w:val="16"/>
              </w:rPr>
              <w:t>期末终止确认金额</w:t>
            </w:r>
          </w:p>
        </w:tc>
        <w:tc>
          <w:tcPr>
            <w:tcW w:w="25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535" w:right="0"/>
              <w:jc w:val="left"/>
              <w:rPr>
                <w:rFonts w:ascii="宋体" w:hAnsi="宋体" w:cs="宋体" w:eastAsia="宋体" w:hint="default"/>
                <w:sz w:val="16"/>
                <w:szCs w:val="16"/>
              </w:rPr>
            </w:pPr>
            <w:r>
              <w:rPr>
                <w:rFonts w:ascii="宋体" w:hAnsi="宋体" w:cs="宋体" w:eastAsia="宋体" w:hint="default"/>
                <w:sz w:val="16"/>
                <w:szCs w:val="16"/>
              </w:rPr>
              <w:t>期末未终止确认金额</w:t>
            </w:r>
          </w:p>
        </w:tc>
      </w:tr>
      <w:tr>
        <w:trPr>
          <w:trHeight w:val="353" w:hRule="exact"/>
        </w:trPr>
        <w:tc>
          <w:tcPr>
            <w:tcW w:w="3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银行承兑汇票</w:t>
            </w:r>
          </w:p>
        </w:tc>
        <w:tc>
          <w:tcPr>
            <w:tcW w:w="25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168,693,852.58</w:t>
            </w:r>
          </w:p>
        </w:tc>
        <w:tc>
          <w:tcPr>
            <w:tcW w:w="2528"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3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商业承兑汇票</w:t>
            </w:r>
          </w:p>
        </w:tc>
        <w:tc>
          <w:tcPr>
            <w:tcW w:w="2528" w:type="dxa"/>
            <w:tcBorders>
              <w:top w:val="dotted" w:sz="4" w:space="0" w:color="000000"/>
              <w:left w:val="dotted" w:sz="4" w:space="0" w:color="000000"/>
              <w:bottom w:val="dotted" w:sz="4" w:space="0" w:color="000000"/>
              <w:right w:val="dotted" w:sz="4" w:space="0" w:color="000000"/>
            </w:tcBorders>
          </w:tcPr>
          <w:p>
            <w:pP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40,493,938.79</w:t>
            </w:r>
          </w:p>
        </w:tc>
      </w:tr>
      <w:tr>
        <w:trPr>
          <w:trHeight w:val="365" w:hRule="exact"/>
        </w:trPr>
        <w:tc>
          <w:tcPr>
            <w:tcW w:w="31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400"/>
              <w:jc w:val="right"/>
              <w:rPr>
                <w:rFonts w:ascii="宋体" w:hAnsi="宋体" w:cs="宋体" w:eastAsia="宋体" w:hint="default"/>
                <w:sz w:val="16"/>
                <w:szCs w:val="16"/>
              </w:rPr>
            </w:pPr>
            <w:r>
              <w:rPr>
                <w:rFonts w:ascii="宋体" w:hAnsi="宋体" w:cs="宋体" w:eastAsia="宋体" w:hint="default"/>
                <w:sz w:val="16"/>
                <w:szCs w:val="16"/>
              </w:rPr>
              <w:t>合计</w:t>
            </w:r>
          </w:p>
        </w:tc>
        <w:tc>
          <w:tcPr>
            <w:tcW w:w="25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168,693,852.58</w:t>
            </w:r>
          </w:p>
        </w:tc>
        <w:tc>
          <w:tcPr>
            <w:tcW w:w="25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40,493,938.79</w:t>
            </w:r>
          </w:p>
        </w:tc>
      </w:tr>
    </w:tbl>
    <w:p>
      <w:pPr>
        <w:spacing w:line="240" w:lineRule="auto" w:before="6"/>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4</w:t>
      </w:r>
      <w:r>
        <w:rPr/>
        <w:t>、</w:t>
        <w:tab/>
      </w:r>
      <w:r>
        <w:rPr>
          <w:spacing w:val="-1"/>
        </w:rPr>
        <w:t>期末公司因出票人未履约而将其转为应收账款的票据</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121"/>
        <w:gridCol w:w="5084"/>
      </w:tblGrid>
      <w:tr>
        <w:trPr>
          <w:trHeight w:val="365" w:hRule="exact"/>
        </w:trPr>
        <w:tc>
          <w:tcPr>
            <w:tcW w:w="31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4"/>
              <w:ind w:right="1385"/>
              <w:jc w:val="right"/>
              <w:rPr>
                <w:rFonts w:ascii="宋体" w:hAnsi="宋体" w:cs="宋体" w:eastAsia="宋体" w:hint="default"/>
                <w:sz w:val="16"/>
                <w:szCs w:val="16"/>
              </w:rPr>
            </w:pPr>
            <w:r>
              <w:rPr>
                <w:rFonts w:ascii="宋体" w:hAnsi="宋体" w:cs="宋体" w:eastAsia="宋体" w:hint="default"/>
                <w:sz w:val="16"/>
                <w:szCs w:val="16"/>
              </w:rPr>
              <w:t>项目</w:t>
            </w:r>
          </w:p>
        </w:tc>
        <w:tc>
          <w:tcPr>
            <w:tcW w:w="508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right="0"/>
              <w:jc w:val="center"/>
              <w:rPr>
                <w:rFonts w:ascii="宋体" w:hAnsi="宋体" w:cs="宋体" w:eastAsia="宋体" w:hint="default"/>
                <w:sz w:val="16"/>
                <w:szCs w:val="16"/>
              </w:rPr>
            </w:pPr>
            <w:r>
              <w:rPr>
                <w:rFonts w:ascii="宋体" w:hAnsi="宋体" w:cs="宋体" w:eastAsia="宋体" w:hint="default"/>
                <w:sz w:val="16"/>
                <w:szCs w:val="16"/>
              </w:rPr>
              <w:t>期末转应收账款金额</w:t>
            </w:r>
          </w:p>
        </w:tc>
      </w:tr>
      <w:tr>
        <w:trPr>
          <w:trHeight w:val="353"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商业承兑汇票</w:t>
            </w:r>
          </w:p>
        </w:tc>
        <w:tc>
          <w:tcPr>
            <w:tcW w:w="50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37,043,499.41</w:t>
            </w:r>
          </w:p>
        </w:tc>
      </w:tr>
      <w:tr>
        <w:trPr>
          <w:trHeight w:val="353"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银行承兑汇票</w:t>
            </w:r>
          </w:p>
        </w:tc>
        <w:tc>
          <w:tcPr>
            <w:tcW w:w="50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1,000,000.00</w:t>
            </w:r>
          </w:p>
        </w:tc>
      </w:tr>
      <w:tr>
        <w:trPr>
          <w:trHeight w:val="365" w:hRule="exact"/>
        </w:trPr>
        <w:tc>
          <w:tcPr>
            <w:tcW w:w="31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385"/>
              <w:jc w:val="right"/>
              <w:rPr>
                <w:rFonts w:ascii="宋体" w:hAnsi="宋体" w:cs="宋体" w:eastAsia="宋体" w:hint="default"/>
                <w:sz w:val="16"/>
                <w:szCs w:val="16"/>
              </w:rPr>
            </w:pPr>
            <w:r>
              <w:rPr>
                <w:rFonts w:ascii="宋体" w:hAnsi="宋体" w:cs="宋体" w:eastAsia="宋体" w:hint="default"/>
                <w:sz w:val="16"/>
                <w:szCs w:val="16"/>
              </w:rPr>
              <w:t>合计</w:t>
            </w:r>
          </w:p>
        </w:tc>
        <w:tc>
          <w:tcPr>
            <w:tcW w:w="508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38,043,499.41</w:t>
            </w:r>
          </w:p>
        </w:tc>
      </w:tr>
    </w:tbl>
    <w:p>
      <w:pPr>
        <w:spacing w:line="240" w:lineRule="auto" w:before="6"/>
        <w:rPr>
          <w:rFonts w:ascii="宋体" w:hAnsi="宋体" w:cs="宋体" w:eastAsia="宋体" w:hint="default"/>
          <w:b/>
          <w:bCs/>
          <w:sz w:val="27"/>
          <w:szCs w:val="27"/>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应收账款</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应收账款按账龄披露</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157"/>
        <w:gridCol w:w="2523"/>
        <w:gridCol w:w="2525"/>
      </w:tblGrid>
      <w:tr>
        <w:trPr>
          <w:trHeight w:val="365" w:hRule="exact"/>
        </w:trPr>
        <w:tc>
          <w:tcPr>
            <w:tcW w:w="31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21"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25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5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77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31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2,598,616,017.52</w:t>
            </w:r>
          </w:p>
        </w:tc>
        <w:tc>
          <w:tcPr>
            <w:tcW w:w="2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2,514,965,263.16</w:t>
            </w:r>
          </w:p>
        </w:tc>
      </w:tr>
      <w:tr>
        <w:trPr>
          <w:trHeight w:val="562" w:hRule="exact"/>
        </w:trPr>
        <w:tc>
          <w:tcPr>
            <w:tcW w:w="315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45"/>
              <w:jc w:val="left"/>
              <w:rPr>
                <w:rFonts w:ascii="宋体" w:hAnsi="宋体" w:cs="宋体" w:eastAsia="宋体" w:hint="default"/>
                <w:sz w:val="16"/>
                <w:szCs w:val="16"/>
              </w:rPr>
            </w:pPr>
            <w:r>
              <w:rPr>
                <w:rFonts w:ascii="宋体" w:hAnsi="宋体" w:cs="宋体" w:eastAsia="宋体" w:hint="default"/>
                <w:spacing w:val="-1"/>
                <w:sz w:val="16"/>
                <w:szCs w:val="16"/>
              </w:rPr>
              <w:t>其中：在合同规定的收款账期内的应收款</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项组合</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640,102,474.12</w:t>
            </w:r>
          </w:p>
        </w:tc>
        <w:tc>
          <w:tcPr>
            <w:tcW w:w="2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643,701,346.97</w:t>
            </w:r>
          </w:p>
        </w:tc>
      </w:tr>
      <w:tr>
        <w:trPr>
          <w:trHeight w:val="353" w:hRule="exact"/>
        </w:trPr>
        <w:tc>
          <w:tcPr>
            <w:tcW w:w="31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1,958,513,543.40</w:t>
            </w:r>
          </w:p>
        </w:tc>
        <w:tc>
          <w:tcPr>
            <w:tcW w:w="2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1,871,263,916.19</w:t>
            </w:r>
          </w:p>
        </w:tc>
      </w:tr>
      <w:tr>
        <w:trPr>
          <w:trHeight w:val="353" w:hRule="exact"/>
        </w:trPr>
        <w:tc>
          <w:tcPr>
            <w:tcW w:w="31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 </w:t>
            </w:r>
            <w:r>
              <w:rPr>
                <w:rFonts w:ascii="宋体" w:hAnsi="宋体" w:cs="宋体" w:eastAsia="宋体" w:hint="default"/>
                <w:sz w:val="16"/>
                <w:szCs w:val="16"/>
              </w:rPr>
              <w:t>年以内小计</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2,598,616,017.52</w:t>
            </w:r>
          </w:p>
        </w:tc>
        <w:tc>
          <w:tcPr>
            <w:tcW w:w="2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2,514,965,263.16</w:t>
            </w:r>
          </w:p>
        </w:tc>
      </w:tr>
      <w:tr>
        <w:trPr>
          <w:trHeight w:val="355" w:hRule="exact"/>
        </w:trPr>
        <w:tc>
          <w:tcPr>
            <w:tcW w:w="31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440,016,099.50</w:t>
            </w:r>
          </w:p>
        </w:tc>
        <w:tc>
          <w:tcPr>
            <w:tcW w:w="2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1"/>
                <w:sz w:val="16"/>
              </w:rPr>
              <w:t>505,234,930.34</w:t>
            </w:r>
          </w:p>
        </w:tc>
      </w:tr>
      <w:tr>
        <w:trPr>
          <w:trHeight w:val="353" w:hRule="exact"/>
        </w:trPr>
        <w:tc>
          <w:tcPr>
            <w:tcW w:w="31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131,521,408.64</w:t>
            </w:r>
          </w:p>
        </w:tc>
        <w:tc>
          <w:tcPr>
            <w:tcW w:w="2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110,037,191.40</w:t>
            </w:r>
          </w:p>
        </w:tc>
      </w:tr>
      <w:tr>
        <w:trPr>
          <w:trHeight w:val="353" w:hRule="exact"/>
        </w:trPr>
        <w:tc>
          <w:tcPr>
            <w:tcW w:w="31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58,458,988.79</w:t>
            </w:r>
          </w:p>
        </w:tc>
        <w:tc>
          <w:tcPr>
            <w:tcW w:w="2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48,180,780.32</w:t>
            </w:r>
          </w:p>
        </w:tc>
      </w:tr>
      <w:tr>
        <w:trPr>
          <w:trHeight w:val="365" w:hRule="exact"/>
        </w:trPr>
        <w:tc>
          <w:tcPr>
            <w:tcW w:w="31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5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18,167,294.51</w:t>
            </w:r>
          </w:p>
        </w:tc>
        <w:tc>
          <w:tcPr>
            <w:tcW w:w="25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24,068,674.60</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b/>
          <w:bCs/>
          <w:sz w:val="18"/>
          <w:szCs w:val="18"/>
        </w:rPr>
      </w:pPr>
    </w:p>
    <w:tbl>
      <w:tblPr>
        <w:tblW w:w="0" w:type="auto"/>
        <w:jc w:val="left"/>
        <w:tblInd w:w="721" w:type="dxa"/>
        <w:tblLayout w:type="fixed"/>
        <w:tblCellMar>
          <w:top w:w="0" w:type="dxa"/>
          <w:left w:w="0" w:type="dxa"/>
          <w:bottom w:w="0" w:type="dxa"/>
          <w:right w:w="0" w:type="dxa"/>
        </w:tblCellMar>
        <w:tblLook w:val="01E0"/>
      </w:tblPr>
      <w:tblGrid>
        <w:gridCol w:w="3157"/>
        <w:gridCol w:w="2523"/>
        <w:gridCol w:w="2525"/>
      </w:tblGrid>
      <w:tr>
        <w:trPr>
          <w:trHeight w:val="363" w:hRule="exact"/>
        </w:trPr>
        <w:tc>
          <w:tcPr>
            <w:tcW w:w="31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4"/>
              <w:ind w:right="1402"/>
              <w:jc w:val="right"/>
              <w:rPr>
                <w:rFonts w:ascii="宋体" w:hAnsi="宋体" w:cs="宋体" w:eastAsia="宋体" w:hint="default"/>
                <w:sz w:val="16"/>
                <w:szCs w:val="16"/>
              </w:rPr>
            </w:pPr>
            <w:r>
              <w:rPr>
                <w:rFonts w:ascii="宋体" w:hAnsi="宋体" w:cs="宋体" w:eastAsia="宋体" w:hint="default"/>
                <w:sz w:val="16"/>
                <w:szCs w:val="16"/>
              </w:rPr>
              <w:t>账龄</w:t>
            </w:r>
          </w:p>
        </w:tc>
        <w:tc>
          <w:tcPr>
            <w:tcW w:w="25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4"/>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5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left="77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5" w:hRule="exact"/>
        </w:trPr>
        <w:tc>
          <w:tcPr>
            <w:tcW w:w="31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66,866,826.27</w:t>
            </w:r>
          </w:p>
        </w:tc>
        <w:tc>
          <w:tcPr>
            <w:tcW w:w="2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44,835,169.69</w:t>
            </w:r>
          </w:p>
        </w:tc>
      </w:tr>
      <w:tr>
        <w:trPr>
          <w:trHeight w:val="353" w:hRule="exact"/>
        </w:trPr>
        <w:tc>
          <w:tcPr>
            <w:tcW w:w="31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3,313,646,635.23</w:t>
            </w:r>
          </w:p>
        </w:tc>
        <w:tc>
          <w:tcPr>
            <w:tcW w:w="2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3,247,322,009.51</w:t>
            </w:r>
          </w:p>
        </w:tc>
      </w:tr>
      <w:tr>
        <w:trPr>
          <w:trHeight w:val="353" w:hRule="exact"/>
        </w:trPr>
        <w:tc>
          <w:tcPr>
            <w:tcW w:w="31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减：坏账准备</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301,239,610.22</w:t>
            </w:r>
          </w:p>
        </w:tc>
        <w:tc>
          <w:tcPr>
            <w:tcW w:w="2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280,104,430.62</w:t>
            </w:r>
          </w:p>
        </w:tc>
      </w:tr>
      <w:tr>
        <w:trPr>
          <w:trHeight w:val="365" w:hRule="exact"/>
        </w:trPr>
        <w:tc>
          <w:tcPr>
            <w:tcW w:w="31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402"/>
              <w:jc w:val="right"/>
              <w:rPr>
                <w:rFonts w:ascii="宋体" w:hAnsi="宋体" w:cs="宋体" w:eastAsia="宋体" w:hint="default"/>
                <w:sz w:val="16"/>
                <w:szCs w:val="16"/>
              </w:rPr>
            </w:pPr>
            <w:r>
              <w:rPr>
                <w:rFonts w:ascii="宋体" w:hAnsi="宋体" w:cs="宋体" w:eastAsia="宋体" w:hint="default"/>
                <w:sz w:val="16"/>
                <w:szCs w:val="16"/>
              </w:rPr>
              <w:t>合计</w:t>
            </w:r>
          </w:p>
        </w:tc>
        <w:tc>
          <w:tcPr>
            <w:tcW w:w="25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3,012,407,025.01</w:t>
            </w:r>
          </w:p>
        </w:tc>
        <w:tc>
          <w:tcPr>
            <w:tcW w:w="25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1"/>
                <w:sz w:val="16"/>
              </w:rPr>
              <w:t>2,967,217,578.89</w:t>
            </w:r>
          </w:p>
        </w:tc>
      </w:tr>
    </w:tbl>
    <w:p>
      <w:pPr>
        <w:spacing w:line="240" w:lineRule="auto" w:before="5"/>
        <w:rPr>
          <w:rFonts w:ascii="宋体" w:hAnsi="宋体" w:cs="宋体" w:eastAsia="宋体" w:hint="default"/>
          <w:b/>
          <w:bCs/>
          <w:sz w:val="26"/>
          <w:szCs w:val="26"/>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应收账款按坏账计提方法分类披露</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1671"/>
        <w:gridCol w:w="1471"/>
        <w:gridCol w:w="994"/>
        <w:gridCol w:w="1404"/>
        <w:gridCol w:w="1234"/>
        <w:gridCol w:w="1430"/>
      </w:tblGrid>
      <w:tr>
        <w:trPr>
          <w:trHeight w:val="365" w:hRule="exact"/>
        </w:trPr>
        <w:tc>
          <w:tcPr>
            <w:tcW w:w="167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6534"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1671" w:type="dxa"/>
            <w:vMerge/>
            <w:tcBorders>
              <w:left w:val="nil" w:sz="6" w:space="0" w:color="auto"/>
              <w:right w:val="dotted" w:sz="4" w:space="0" w:color="000000"/>
            </w:tcBorders>
          </w:tcPr>
          <w:p>
            <w:pPr/>
          </w:p>
        </w:tc>
        <w:tc>
          <w:tcPr>
            <w:tcW w:w="246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63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2"/>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430" w:type="dxa"/>
            <w:vMerge w:val="restart"/>
            <w:tcBorders>
              <w:top w:val="dotted" w:sz="4" w:space="0" w:color="000000"/>
              <w:left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388"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355" w:hRule="exact"/>
        </w:trPr>
        <w:tc>
          <w:tcPr>
            <w:tcW w:w="1671" w:type="dxa"/>
            <w:vMerge/>
            <w:tcBorders>
              <w:left w:val="nil" w:sz="6" w:space="0" w:color="auto"/>
              <w:bottom w:val="dotted" w:sz="4" w:space="0" w:color="000000"/>
              <w:right w:val="dotted" w:sz="4" w:space="0" w:color="000000"/>
            </w:tcBorders>
          </w:tcPr>
          <w:p>
            <w:pP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105"/>
              <w:jc w:val="right"/>
              <w:rPr>
                <w:rFonts w:ascii="宋体" w:hAnsi="宋体" w:cs="宋体" w:eastAsia="宋体"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26"/>
              <w:jc w:val="right"/>
              <w:rPr>
                <w:rFonts w:ascii="宋体" w:hAnsi="宋体" w:cs="宋体" w:eastAsia="宋体" w:hint="default"/>
                <w:sz w:val="16"/>
                <w:szCs w:val="16"/>
              </w:rPr>
            </w:pPr>
            <w:r>
              <w:rPr>
                <w:rFonts w:ascii="宋体" w:hAnsi="宋体" w:cs="宋体" w:eastAsia="宋体" w:hint="default"/>
                <w:spacing w:val="-1"/>
                <w:sz w:val="16"/>
                <w:szCs w:val="16"/>
              </w:rPr>
              <w:t>计提比例（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430" w:type="dxa"/>
            <w:vMerge/>
            <w:tcBorders>
              <w:left w:val="dotted" w:sz="4" w:space="0" w:color="000000"/>
              <w:bottom w:val="dotted" w:sz="4" w:space="0" w:color="000000"/>
              <w:right w:val="nil" w:sz="6" w:space="0" w:color="auto"/>
            </w:tcBorders>
          </w:tcPr>
          <w:p>
            <w:pPr/>
          </w:p>
        </w:tc>
      </w:tr>
      <w:tr>
        <w:trPr>
          <w:trHeight w:val="353" w:hRule="exact"/>
        </w:trPr>
        <w:tc>
          <w:tcPr>
            <w:tcW w:w="16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按单项计提坏账准备</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57,439,155.08</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1.73</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56,680,608.28</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98.68</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758,546.80</w:t>
            </w:r>
          </w:p>
        </w:tc>
      </w:tr>
      <w:tr>
        <w:trPr>
          <w:trHeight w:val="353" w:hRule="exact"/>
        </w:trPr>
        <w:tc>
          <w:tcPr>
            <w:tcW w:w="16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按组合计提坏账准备</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3,256,207,480.15</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98.27</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244,559,001.94</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7.51</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3,011,648,478.21</w:t>
            </w:r>
          </w:p>
        </w:tc>
      </w:tr>
      <w:tr>
        <w:trPr>
          <w:trHeight w:val="353" w:hRule="exact"/>
        </w:trPr>
        <w:tc>
          <w:tcPr>
            <w:tcW w:w="16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其中：</w:t>
            </w:r>
          </w:p>
        </w:tc>
        <w:tc>
          <w:tcPr>
            <w:tcW w:w="147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04" w:type="dxa"/>
            <w:tcBorders>
              <w:top w:val="dotted" w:sz="4" w:space="0" w:color="000000"/>
              <w:left w:val="dotted" w:sz="4" w:space="0" w:color="000000"/>
              <w:bottom w:val="dotted" w:sz="4" w:space="0" w:color="000000"/>
              <w:right w:val="dotted" w:sz="4" w:space="0" w:color="000000"/>
            </w:tcBorders>
          </w:tcPr>
          <w:p>
            <w:pPr/>
          </w:p>
        </w:tc>
        <w:tc>
          <w:tcPr>
            <w:tcW w:w="1234" w:type="dxa"/>
            <w:tcBorders>
              <w:top w:val="dotted" w:sz="4" w:space="0" w:color="000000"/>
              <w:left w:val="dotted" w:sz="4" w:space="0" w:color="000000"/>
              <w:bottom w:val="dotted" w:sz="4" w:space="0" w:color="000000"/>
              <w:right w:val="dotted" w:sz="4" w:space="0" w:color="000000"/>
            </w:tcBorders>
          </w:tcPr>
          <w:p>
            <w:pPr/>
          </w:p>
        </w:tc>
        <w:tc>
          <w:tcPr>
            <w:tcW w:w="1430" w:type="dxa"/>
            <w:tcBorders>
              <w:top w:val="dotted" w:sz="4" w:space="0" w:color="000000"/>
              <w:left w:val="dotted" w:sz="4" w:space="0" w:color="000000"/>
              <w:bottom w:val="dotted" w:sz="4" w:space="0" w:color="000000"/>
              <w:right w:val="nil" w:sz="6" w:space="0" w:color="auto"/>
            </w:tcBorders>
          </w:tcPr>
          <w:p>
            <w:pPr/>
          </w:p>
        </w:tc>
      </w:tr>
      <w:tr>
        <w:trPr>
          <w:trHeight w:val="562" w:hRule="exact"/>
        </w:trPr>
        <w:tc>
          <w:tcPr>
            <w:tcW w:w="1671"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99"/>
              <w:jc w:val="left"/>
              <w:rPr>
                <w:rFonts w:ascii="宋体" w:hAnsi="宋体" w:cs="宋体" w:eastAsia="宋体" w:hint="default"/>
                <w:sz w:val="16"/>
                <w:szCs w:val="16"/>
              </w:rPr>
            </w:pPr>
            <w:r>
              <w:rPr>
                <w:rFonts w:ascii="宋体" w:hAnsi="宋体" w:cs="宋体" w:eastAsia="宋体" w:hint="default"/>
                <w:spacing w:val="-1"/>
                <w:sz w:val="16"/>
                <w:szCs w:val="16"/>
              </w:rPr>
              <w:t>在合同规定的收款账</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
                <w:sz w:val="16"/>
                <w:szCs w:val="16"/>
              </w:rPr>
              <w:t>期内的应收款项组合</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640,102,474.12</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19.66</w:t>
            </w:r>
          </w:p>
        </w:tc>
        <w:tc>
          <w:tcPr>
            <w:tcW w:w="1404" w:type="dxa"/>
            <w:tcBorders>
              <w:top w:val="dotted" w:sz="4" w:space="0" w:color="000000"/>
              <w:left w:val="dotted" w:sz="4" w:space="0" w:color="000000"/>
              <w:bottom w:val="dotted" w:sz="4" w:space="0" w:color="000000"/>
              <w:right w:val="dotted" w:sz="4" w:space="0" w:color="000000"/>
            </w:tcBorders>
          </w:tcPr>
          <w:p>
            <w:pPr/>
          </w:p>
        </w:tc>
        <w:tc>
          <w:tcPr>
            <w:tcW w:w="1234" w:type="dxa"/>
            <w:tcBorders>
              <w:top w:val="dotted" w:sz="4" w:space="0" w:color="000000"/>
              <w:left w:val="dotted" w:sz="4" w:space="0" w:color="000000"/>
              <w:bottom w:val="dotted" w:sz="4" w:space="0" w:color="000000"/>
              <w:right w:val="dotted" w:sz="4" w:space="0" w:color="000000"/>
            </w:tcBorders>
          </w:tcPr>
          <w:p>
            <w:pP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640,102,474.12</w:t>
            </w:r>
          </w:p>
        </w:tc>
      </w:tr>
      <w:tr>
        <w:trPr>
          <w:trHeight w:val="353" w:hRule="exact"/>
        </w:trPr>
        <w:tc>
          <w:tcPr>
            <w:tcW w:w="16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2,616,105,006.03</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80.34</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244,559,001.94</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9.35</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1"/>
                <w:sz w:val="16"/>
              </w:rPr>
              <w:t>2,371,546,004.09</w:t>
            </w:r>
          </w:p>
        </w:tc>
      </w:tr>
      <w:tr>
        <w:trPr>
          <w:trHeight w:val="365" w:hRule="exact"/>
        </w:trPr>
        <w:tc>
          <w:tcPr>
            <w:tcW w:w="16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3,313,646,635.23</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301,239,610.22</w:t>
            </w:r>
          </w:p>
        </w:tc>
        <w:tc>
          <w:tcPr>
            <w:tcW w:w="1234" w:type="dxa"/>
            <w:tcBorders>
              <w:top w:val="dotted" w:sz="4" w:space="0" w:color="000000"/>
              <w:left w:val="dotted" w:sz="4" w:space="0" w:color="000000"/>
              <w:bottom w:val="single" w:sz="12" w:space="0" w:color="000000"/>
              <w:right w:val="dotted" w:sz="4" w:space="0" w:color="000000"/>
            </w:tcBorders>
          </w:tcPr>
          <w:p>
            <w:pPr/>
          </w:p>
        </w:tc>
        <w:tc>
          <w:tcPr>
            <w:tcW w:w="14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1"/>
                <w:sz w:val="16"/>
              </w:rPr>
              <w:t>3,012,407,025.01</w:t>
            </w:r>
          </w:p>
        </w:tc>
      </w:tr>
    </w:tbl>
    <w:p>
      <w:pPr>
        <w:spacing w:line="240" w:lineRule="auto" w:before="2"/>
        <w:rPr>
          <w:rFonts w:ascii="宋体" w:hAnsi="宋体" w:cs="宋体" w:eastAsia="宋体" w:hint="default"/>
          <w:b/>
          <w:bCs/>
          <w:sz w:val="23"/>
          <w:szCs w:val="23"/>
        </w:rPr>
      </w:pPr>
    </w:p>
    <w:tbl>
      <w:tblPr>
        <w:tblW w:w="0" w:type="auto"/>
        <w:jc w:val="left"/>
        <w:tblInd w:w="721" w:type="dxa"/>
        <w:tblLayout w:type="fixed"/>
        <w:tblCellMar>
          <w:top w:w="0" w:type="dxa"/>
          <w:left w:w="0" w:type="dxa"/>
          <w:bottom w:w="0" w:type="dxa"/>
          <w:right w:w="0" w:type="dxa"/>
        </w:tblCellMar>
        <w:tblLook w:val="01E0"/>
      </w:tblPr>
      <w:tblGrid>
        <w:gridCol w:w="2098"/>
        <w:gridCol w:w="1416"/>
        <w:gridCol w:w="852"/>
        <w:gridCol w:w="1284"/>
        <w:gridCol w:w="1265"/>
        <w:gridCol w:w="1418"/>
      </w:tblGrid>
      <w:tr>
        <w:trPr>
          <w:trHeight w:val="362" w:hRule="exact"/>
        </w:trPr>
        <w:tc>
          <w:tcPr>
            <w:tcW w:w="209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623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5"/>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5" w:hRule="exact"/>
        </w:trPr>
        <w:tc>
          <w:tcPr>
            <w:tcW w:w="2098" w:type="dxa"/>
            <w:vMerge/>
            <w:tcBorders>
              <w:left w:val="nil" w:sz="6" w:space="0" w:color="auto"/>
              <w:right w:val="dotted" w:sz="4" w:space="0" w:color="000000"/>
            </w:tcBorders>
          </w:tcPr>
          <w:p>
            <w:pPr/>
          </w:p>
        </w:tc>
        <w:tc>
          <w:tcPr>
            <w:tcW w:w="226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54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418" w:type="dxa"/>
            <w:vMerge w:val="restart"/>
            <w:tcBorders>
              <w:top w:val="dotted" w:sz="4" w:space="0" w:color="000000"/>
              <w:left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83"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353" w:hRule="exact"/>
        </w:trPr>
        <w:tc>
          <w:tcPr>
            <w:tcW w:w="2098" w:type="dxa"/>
            <w:vMerge/>
            <w:tcBorders>
              <w:left w:val="nil" w:sz="6" w:space="0" w:color="auto"/>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2"/>
              <w:jc w:val="center"/>
              <w:rPr>
                <w:rFonts w:ascii="宋体" w:hAnsi="宋体" w:cs="宋体" w:eastAsia="宋体" w:hint="default"/>
                <w:sz w:val="16"/>
                <w:szCs w:val="16"/>
              </w:rPr>
            </w:pPr>
            <w:r>
              <w:rPr>
                <w:rFonts w:ascii="宋体" w:hAnsi="宋体" w:cs="宋体" w:eastAsia="宋体" w:hint="default"/>
                <w:sz w:val="16"/>
                <w:szCs w:val="16"/>
              </w:rPr>
              <w:t>金额</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19"/>
              <w:jc w:val="right"/>
              <w:rPr>
                <w:rFonts w:ascii="宋体" w:hAnsi="宋体" w:cs="宋体" w:eastAsia="宋体" w:hint="default"/>
                <w:sz w:val="16"/>
                <w:szCs w:val="16"/>
              </w:rPr>
            </w:pPr>
            <w:r>
              <w:rPr>
                <w:rFonts w:ascii="宋体" w:hAnsi="宋体" w:cs="宋体" w:eastAsia="宋体" w:hint="default"/>
                <w:spacing w:val="-13"/>
                <w:sz w:val="16"/>
                <w:szCs w:val="16"/>
              </w:rPr>
              <w:t>比例（</w:t>
            </w:r>
            <w:r>
              <w:rPr>
                <w:rFonts w:ascii="Times New Roman" w:hAnsi="Times New Roman" w:cs="Times New Roman" w:eastAsia="Times New Roman" w:hint="default"/>
                <w:spacing w:val="-13"/>
                <w:sz w:val="16"/>
                <w:szCs w:val="16"/>
              </w:rPr>
              <w:t>%</w:t>
            </w:r>
            <w:r>
              <w:rPr>
                <w:rFonts w:ascii="宋体" w:hAnsi="宋体" w:cs="宋体" w:eastAsia="宋体" w:hint="default"/>
                <w:spacing w:val="-13"/>
                <w:sz w:val="16"/>
                <w:szCs w:val="16"/>
              </w:rPr>
              <w:t>）</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55"/>
              <w:jc w:val="right"/>
              <w:rPr>
                <w:rFonts w:ascii="宋体" w:hAnsi="宋体" w:cs="宋体" w:eastAsia="宋体" w:hint="default"/>
                <w:sz w:val="16"/>
                <w:szCs w:val="16"/>
              </w:rPr>
            </w:pPr>
            <w:r>
              <w:rPr>
                <w:rFonts w:ascii="宋体" w:hAnsi="宋体" w:cs="宋体" w:eastAsia="宋体" w:hint="default"/>
                <w:spacing w:val="-1"/>
                <w:sz w:val="16"/>
                <w:szCs w:val="16"/>
              </w:rPr>
              <w:t>计提比例（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418" w:type="dxa"/>
            <w:vMerge/>
            <w:tcBorders>
              <w:left w:val="dotted" w:sz="4" w:space="0" w:color="000000"/>
              <w:bottom w:val="dotted" w:sz="4" w:space="0" w:color="000000"/>
              <w:right w:val="nil" w:sz="6" w:space="0" w:color="auto"/>
            </w:tcBorders>
          </w:tcPr>
          <w:p>
            <w:pPr/>
          </w:p>
        </w:tc>
      </w:tr>
      <w:tr>
        <w:trPr>
          <w:trHeight w:val="562" w:hRule="exact"/>
        </w:trPr>
        <w:tc>
          <w:tcPr>
            <w:tcW w:w="2098"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207"/>
              <w:jc w:val="left"/>
              <w:rPr>
                <w:rFonts w:ascii="宋体" w:hAnsi="宋体" w:cs="宋体" w:eastAsia="宋体" w:hint="default"/>
                <w:sz w:val="16"/>
                <w:szCs w:val="16"/>
              </w:rPr>
            </w:pPr>
            <w:r>
              <w:rPr>
                <w:rFonts w:ascii="宋体" w:hAnsi="宋体" w:cs="宋体" w:eastAsia="宋体" w:hint="default"/>
                <w:spacing w:val="-1"/>
                <w:sz w:val="16"/>
                <w:szCs w:val="16"/>
              </w:rPr>
              <w:t>单项金额重大并单独计提</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坏账准备的应收账款</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43,678,894.94</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1.35</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44" w:right="0"/>
              <w:jc w:val="center"/>
              <w:rPr>
                <w:rFonts w:ascii="Times New Roman" w:hAnsi="Times New Roman" w:cs="Times New Roman" w:eastAsia="Times New Roman" w:hint="default"/>
                <w:sz w:val="16"/>
                <w:szCs w:val="16"/>
              </w:rPr>
            </w:pPr>
            <w:r>
              <w:rPr>
                <w:rFonts w:ascii="Times New Roman"/>
                <w:sz w:val="16"/>
              </w:rPr>
              <w:t>43,678,894.94</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559" w:hRule="exact"/>
        </w:trPr>
        <w:tc>
          <w:tcPr>
            <w:tcW w:w="2098"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207"/>
              <w:jc w:val="left"/>
              <w:rPr>
                <w:rFonts w:ascii="宋体" w:hAnsi="宋体" w:cs="宋体" w:eastAsia="宋体" w:hint="default"/>
                <w:sz w:val="16"/>
                <w:szCs w:val="16"/>
              </w:rPr>
            </w:pPr>
            <w:r>
              <w:rPr>
                <w:rFonts w:ascii="宋体" w:hAnsi="宋体" w:cs="宋体" w:eastAsia="宋体" w:hint="default"/>
                <w:spacing w:val="-1"/>
                <w:sz w:val="16"/>
                <w:szCs w:val="16"/>
              </w:rPr>
              <w:t>按信用风险特征组合计提</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坏账准备的应收账款</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3,185,367,712.48</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79" w:right="0"/>
              <w:jc w:val="left"/>
              <w:rPr>
                <w:rFonts w:ascii="Times New Roman" w:hAnsi="Times New Roman" w:cs="Times New Roman" w:eastAsia="Times New Roman" w:hint="default"/>
                <w:sz w:val="16"/>
                <w:szCs w:val="16"/>
              </w:rPr>
            </w:pPr>
            <w:r>
              <w:rPr>
                <w:rFonts w:ascii="Times New Roman"/>
                <w:sz w:val="16"/>
              </w:rPr>
              <w:t>98.09</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62" w:right="0"/>
              <w:jc w:val="center"/>
              <w:rPr>
                <w:rFonts w:ascii="Times New Roman" w:hAnsi="Times New Roman" w:cs="Times New Roman" w:eastAsia="Times New Roman" w:hint="default"/>
                <w:sz w:val="16"/>
                <w:szCs w:val="16"/>
              </w:rPr>
            </w:pPr>
            <w:r>
              <w:rPr>
                <w:rFonts w:ascii="Times New Roman"/>
                <w:sz w:val="16"/>
              </w:rPr>
              <w:t>218,908,982.10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6.87</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2,966,458,730.38</w:t>
            </w:r>
          </w:p>
        </w:tc>
      </w:tr>
      <w:tr>
        <w:trPr>
          <w:trHeight w:val="562" w:hRule="exact"/>
        </w:trPr>
        <w:tc>
          <w:tcPr>
            <w:tcW w:w="2098"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207"/>
              <w:jc w:val="left"/>
              <w:rPr>
                <w:rFonts w:ascii="宋体" w:hAnsi="宋体" w:cs="宋体" w:eastAsia="宋体" w:hint="default"/>
                <w:sz w:val="16"/>
                <w:szCs w:val="16"/>
              </w:rPr>
            </w:pPr>
            <w:r>
              <w:rPr>
                <w:rFonts w:ascii="宋体" w:hAnsi="宋体" w:cs="宋体" w:eastAsia="宋体" w:hint="default"/>
                <w:spacing w:val="-1"/>
                <w:sz w:val="16"/>
                <w:szCs w:val="16"/>
              </w:rPr>
              <w:t>单项金额不重大但单独计</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提坏账准备的应收账款</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18,275,402.09</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0.56</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44" w:right="0"/>
              <w:jc w:val="center"/>
              <w:rPr>
                <w:rFonts w:ascii="Times New Roman" w:hAnsi="Times New Roman" w:cs="Times New Roman" w:eastAsia="Times New Roman" w:hint="default"/>
                <w:sz w:val="16"/>
                <w:szCs w:val="16"/>
              </w:rPr>
            </w:pPr>
            <w:r>
              <w:rPr>
                <w:rFonts w:ascii="Times New Roman"/>
                <w:sz w:val="16"/>
              </w:rPr>
              <w:t>17,516,553.58</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95.85</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758,848.51</w:t>
            </w:r>
          </w:p>
        </w:tc>
      </w:tr>
      <w:tr>
        <w:trPr>
          <w:trHeight w:val="365" w:hRule="exact"/>
        </w:trPr>
        <w:tc>
          <w:tcPr>
            <w:tcW w:w="20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3,247,322,009.51</w:t>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left="300" w:right="0"/>
              <w:jc w:val="left"/>
              <w:rPr>
                <w:rFonts w:ascii="Times New Roman" w:hAnsi="Times New Roman" w:cs="Times New Roman" w:eastAsia="Times New Roman" w:hint="default"/>
                <w:sz w:val="16"/>
                <w:szCs w:val="16"/>
              </w:rPr>
            </w:pPr>
            <w:r>
              <w:rPr>
                <w:rFonts w:ascii="Times New Roman"/>
                <w:sz w:val="16"/>
              </w:rPr>
              <w:t>100.00</w:t>
            </w:r>
          </w:p>
        </w:tc>
        <w:tc>
          <w:tcPr>
            <w:tcW w:w="12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left="62" w:right="0"/>
              <w:jc w:val="center"/>
              <w:rPr>
                <w:rFonts w:ascii="Times New Roman" w:hAnsi="Times New Roman" w:cs="Times New Roman" w:eastAsia="Times New Roman" w:hint="default"/>
                <w:sz w:val="16"/>
                <w:szCs w:val="16"/>
              </w:rPr>
            </w:pPr>
            <w:r>
              <w:rPr>
                <w:rFonts w:ascii="Times New Roman"/>
                <w:sz w:val="16"/>
              </w:rPr>
              <w:t>280,104,430.62</w:t>
            </w:r>
          </w:p>
        </w:tc>
        <w:tc>
          <w:tcPr>
            <w:tcW w:w="1265" w:type="dxa"/>
            <w:tcBorders>
              <w:top w:val="dotted" w:sz="4" w:space="0" w:color="000000"/>
              <w:left w:val="dotted" w:sz="4" w:space="0" w:color="000000"/>
              <w:bottom w:val="single" w:sz="12" w:space="0" w:color="000000"/>
              <w:right w:val="dotted" w:sz="4" w:space="0" w:color="000000"/>
            </w:tcBorders>
          </w:tcPr>
          <w:p>
            <w:pPr/>
          </w:p>
        </w:tc>
        <w:tc>
          <w:tcPr>
            <w:tcW w:w="14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2,967,217,578.89</w:t>
            </w:r>
          </w:p>
        </w:tc>
      </w:tr>
    </w:tbl>
    <w:p>
      <w:pPr>
        <w:spacing w:line="240" w:lineRule="auto" w:before="5"/>
        <w:rPr>
          <w:rFonts w:ascii="宋体" w:hAnsi="宋体" w:cs="宋体" w:eastAsia="宋体" w:hint="default"/>
          <w:b/>
          <w:bCs/>
          <w:sz w:val="26"/>
          <w:szCs w:val="26"/>
        </w:rPr>
      </w:pPr>
    </w:p>
    <w:p>
      <w:pPr>
        <w:pStyle w:val="BodyText"/>
        <w:spacing w:line="240" w:lineRule="auto"/>
        <w:ind w:right="3683"/>
        <w:jc w:val="left"/>
      </w:pPr>
      <w:r>
        <w:rPr/>
        <w:t>按单项计提坏账准备：</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237"/>
        <w:gridCol w:w="1418"/>
        <w:gridCol w:w="1318"/>
        <w:gridCol w:w="1622"/>
        <w:gridCol w:w="1609"/>
      </w:tblGrid>
      <w:tr>
        <w:trPr>
          <w:trHeight w:val="365" w:hRule="exact"/>
        </w:trPr>
        <w:tc>
          <w:tcPr>
            <w:tcW w:w="2237"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596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2237" w:type="dxa"/>
            <w:vMerge/>
            <w:tcBorders>
              <w:left w:val="nil" w:sz="6" w:space="0" w:color="auto"/>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383"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333"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59" w:right="0"/>
              <w:jc w:val="left"/>
              <w:rPr>
                <w:rFonts w:ascii="宋体" w:hAnsi="宋体" w:cs="宋体" w:eastAsia="宋体" w:hint="default"/>
                <w:sz w:val="16"/>
                <w:szCs w:val="16"/>
              </w:rPr>
            </w:pPr>
            <w:r>
              <w:rPr>
                <w:rFonts w:ascii="宋体" w:hAnsi="宋体" w:cs="宋体" w:eastAsia="宋体" w:hint="default"/>
                <w:sz w:val="16"/>
                <w:szCs w:val="16"/>
              </w:rPr>
              <w:t>计提比例（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475" w:right="0"/>
              <w:jc w:val="left"/>
              <w:rPr>
                <w:rFonts w:ascii="宋体" w:hAnsi="宋体" w:cs="宋体" w:eastAsia="宋体" w:hint="default"/>
                <w:sz w:val="16"/>
                <w:szCs w:val="16"/>
              </w:rPr>
            </w:pPr>
            <w:r>
              <w:rPr>
                <w:rFonts w:ascii="宋体" w:hAnsi="宋体" w:cs="宋体" w:eastAsia="宋体" w:hint="default"/>
                <w:sz w:val="16"/>
                <w:szCs w:val="16"/>
              </w:rPr>
              <w:t>计提理由</w:t>
            </w:r>
          </w:p>
        </w:tc>
      </w:tr>
      <w:tr>
        <w:trPr>
          <w:trHeight w:val="562"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85"/>
              <w:jc w:val="left"/>
              <w:rPr>
                <w:rFonts w:ascii="宋体" w:hAnsi="宋体" w:cs="宋体" w:eastAsia="宋体" w:hint="default"/>
                <w:sz w:val="16"/>
                <w:szCs w:val="16"/>
              </w:rPr>
            </w:pPr>
            <w:r>
              <w:rPr>
                <w:rFonts w:ascii="宋体" w:hAnsi="宋体" w:cs="宋体" w:eastAsia="宋体" w:hint="default"/>
                <w:spacing w:val="-1"/>
                <w:sz w:val="16"/>
                <w:szCs w:val="16"/>
              </w:rPr>
              <w:t>长信数码信息文化发展有限</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11,861,278.00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11,861,278.00</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Times New Roman" w:hAnsi="Times New Roman" w:cs="Times New Roman" w:eastAsia="Times New Roman" w:hint="default"/>
                <w:sz w:val="16"/>
                <w:szCs w:val="16"/>
              </w:rPr>
            </w:pPr>
            <w:r>
              <w:rPr>
                <w:rFonts w:ascii="Times New Roman"/>
                <w:sz w:val="16"/>
              </w:rPr>
              <w:t>Big Lots,</w:t>
            </w:r>
            <w:r>
              <w:rPr>
                <w:rFonts w:ascii="Times New Roman"/>
                <w:spacing w:val="-6"/>
                <w:sz w:val="16"/>
              </w:rPr>
              <w:t> </w:t>
            </w:r>
            <w:r>
              <w:rPr>
                <w:rFonts w:ascii="Times New Roman"/>
                <w:sz w:val="16"/>
              </w:rPr>
              <w:t>Inc.</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0"/>
              <w:jc w:val="right"/>
              <w:rPr>
                <w:rFonts w:ascii="Times New Roman" w:hAnsi="Times New Roman" w:cs="Times New Roman" w:eastAsia="Times New Roman" w:hint="default"/>
                <w:sz w:val="16"/>
                <w:szCs w:val="16"/>
              </w:rPr>
            </w:pPr>
            <w:r>
              <w:rPr>
                <w:rFonts w:ascii="Times New Roman"/>
                <w:spacing w:val="-2"/>
                <w:sz w:val="16"/>
              </w:rPr>
              <w:t>10,811,055.86</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0"/>
              <w:jc w:val="right"/>
              <w:rPr>
                <w:rFonts w:ascii="Times New Roman" w:hAnsi="Times New Roman" w:cs="Times New Roman" w:eastAsia="Times New Roman" w:hint="default"/>
                <w:sz w:val="16"/>
                <w:szCs w:val="16"/>
              </w:rPr>
            </w:pPr>
            <w:r>
              <w:rPr>
                <w:rFonts w:ascii="Times New Roman"/>
                <w:spacing w:val="-2"/>
                <w:sz w:val="16"/>
              </w:rPr>
              <w:t>10,811,055.86</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4"/>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562"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85"/>
              <w:jc w:val="left"/>
              <w:rPr>
                <w:rFonts w:ascii="宋体" w:hAnsi="宋体" w:cs="宋体" w:eastAsia="宋体" w:hint="default"/>
                <w:sz w:val="16"/>
                <w:szCs w:val="16"/>
              </w:rPr>
            </w:pPr>
            <w:r>
              <w:rPr>
                <w:rFonts w:ascii="宋体" w:hAnsi="宋体" w:cs="宋体" w:eastAsia="宋体" w:hint="default"/>
                <w:spacing w:val="-1"/>
                <w:sz w:val="16"/>
                <w:szCs w:val="16"/>
              </w:rPr>
              <w:t>深圳市广鑫融进出口贸易有</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6,288,540.00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6,288,540.00</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pacing w:val="-7"/>
                <w:sz w:val="16"/>
                <w:szCs w:val="16"/>
              </w:rPr>
              <w:t>波士顿电池（江苏）有限公司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5,183,600.00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5,183,600.00</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5"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0"/>
              <w:ind w:left="122" w:right="0"/>
              <w:jc w:val="left"/>
              <w:rPr>
                <w:rFonts w:ascii="Times New Roman" w:hAnsi="Times New Roman" w:cs="Times New Roman" w:eastAsia="Times New Roman" w:hint="default"/>
                <w:sz w:val="16"/>
                <w:szCs w:val="16"/>
              </w:rPr>
            </w:pPr>
            <w:r>
              <w:rPr>
                <w:rFonts w:ascii="Times New Roman"/>
                <w:sz w:val="16"/>
              </w:rPr>
              <w:t>Best Buy Company</w:t>
            </w:r>
            <w:r>
              <w:rPr>
                <w:rFonts w:ascii="Times New Roman"/>
                <w:spacing w:val="-9"/>
                <w:sz w:val="16"/>
              </w:rPr>
              <w:t> </w:t>
            </w:r>
            <w:r>
              <w:rPr>
                <w:rFonts w:ascii="Times New Roman"/>
                <w:sz w:val="16"/>
              </w:rPr>
              <w:t>Inc.</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2,691,384.47</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2,691,384.47</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62" w:hRule="exact"/>
        </w:trPr>
        <w:tc>
          <w:tcPr>
            <w:tcW w:w="22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8"/>
              <w:ind w:left="122" w:right="0"/>
              <w:jc w:val="left"/>
              <w:rPr>
                <w:rFonts w:ascii="Times New Roman" w:hAnsi="Times New Roman" w:cs="Times New Roman" w:eastAsia="Times New Roman" w:hint="default"/>
                <w:sz w:val="16"/>
                <w:szCs w:val="16"/>
              </w:rPr>
            </w:pPr>
            <w:r>
              <w:rPr>
                <w:rFonts w:ascii="Times New Roman"/>
                <w:sz w:val="16"/>
              </w:rPr>
              <w:t>PRO COM PRODUCTS</w:t>
            </w:r>
            <w:r>
              <w:rPr>
                <w:rFonts w:ascii="Times New Roman"/>
                <w:spacing w:val="-9"/>
                <w:sz w:val="16"/>
              </w:rPr>
              <w:t> </w:t>
            </w:r>
            <w:r>
              <w:rPr>
                <w:rFonts w:ascii="Times New Roman"/>
                <w:sz w:val="16"/>
              </w:rPr>
              <w:t>INC</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2,439,535.28</w:t>
            </w:r>
          </w:p>
        </w:tc>
        <w:tc>
          <w:tcPr>
            <w:tcW w:w="13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2,439,535.28</w:t>
            </w:r>
          </w:p>
        </w:tc>
        <w:tc>
          <w:tcPr>
            <w:tcW w:w="16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1"/>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bl>
    <w:p>
      <w:pPr>
        <w:spacing w:after="0" w:line="240" w:lineRule="auto"/>
        <w:jc w:val="left"/>
        <w:rPr>
          <w:rFonts w:ascii="宋体" w:hAnsi="宋体" w:cs="宋体" w:eastAsia="宋体"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2237"/>
        <w:gridCol w:w="1418"/>
        <w:gridCol w:w="1318"/>
        <w:gridCol w:w="1622"/>
        <w:gridCol w:w="1609"/>
      </w:tblGrid>
      <w:tr>
        <w:trPr>
          <w:trHeight w:val="363" w:hRule="exact"/>
        </w:trPr>
        <w:tc>
          <w:tcPr>
            <w:tcW w:w="2237"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596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5" w:hRule="exact"/>
        </w:trPr>
        <w:tc>
          <w:tcPr>
            <w:tcW w:w="2237" w:type="dxa"/>
            <w:vMerge/>
            <w:tcBorders>
              <w:left w:val="nil" w:sz="6" w:space="0" w:color="auto"/>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383"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333"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59" w:right="0"/>
              <w:jc w:val="left"/>
              <w:rPr>
                <w:rFonts w:ascii="宋体" w:hAnsi="宋体" w:cs="宋体" w:eastAsia="宋体" w:hint="default"/>
                <w:sz w:val="16"/>
                <w:szCs w:val="16"/>
              </w:rPr>
            </w:pPr>
            <w:r>
              <w:rPr>
                <w:rFonts w:ascii="宋体" w:hAnsi="宋体" w:cs="宋体" w:eastAsia="宋体" w:hint="default"/>
                <w:sz w:val="16"/>
                <w:szCs w:val="16"/>
              </w:rPr>
              <w:t>计提比例（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475" w:right="0"/>
              <w:jc w:val="left"/>
              <w:rPr>
                <w:rFonts w:ascii="宋体" w:hAnsi="宋体" w:cs="宋体" w:eastAsia="宋体" w:hint="default"/>
                <w:sz w:val="16"/>
                <w:szCs w:val="16"/>
              </w:rPr>
            </w:pPr>
            <w:r>
              <w:rPr>
                <w:rFonts w:ascii="宋体" w:hAnsi="宋体" w:cs="宋体" w:eastAsia="宋体" w:hint="default"/>
                <w:sz w:val="16"/>
                <w:szCs w:val="16"/>
              </w:rPr>
              <w:t>计提理由</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蠡县教育局</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1,808,569.71</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1,808,569.71</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河北玉田县银河中学</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1,767,456.75</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1,181,429.95</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66.84</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5"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深圳万盟有限责任公司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1,279,510.00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1,279,510.00</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河北容城中学</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1,153,494.52</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1,153,494.52</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长春市朝阳技工学校</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1,149,335.06</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1,103,335.06</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96.00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562"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85"/>
              <w:jc w:val="left"/>
              <w:rPr>
                <w:rFonts w:ascii="宋体" w:hAnsi="宋体" w:cs="宋体" w:eastAsia="宋体" w:hint="default"/>
                <w:sz w:val="16"/>
                <w:szCs w:val="16"/>
              </w:rPr>
            </w:pPr>
            <w:r>
              <w:rPr>
                <w:rFonts w:ascii="宋体" w:hAnsi="宋体" w:cs="宋体" w:eastAsia="宋体" w:hint="default"/>
                <w:spacing w:val="-1"/>
                <w:sz w:val="16"/>
                <w:szCs w:val="16"/>
              </w:rPr>
              <w:t>湖南中电天恒信息科技有限</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1,009,005.00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1,009,005.00</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武汉盛帆电子有限公司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705,046.96</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705,046.96</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吉林省计算机信息工程学校</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629,501.89</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593,501.89</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94.28</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562"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6"/>
              <w:ind w:left="122" w:right="185"/>
              <w:jc w:val="left"/>
              <w:rPr>
                <w:rFonts w:ascii="宋体" w:hAnsi="宋体" w:cs="宋体" w:eastAsia="宋体" w:hint="default"/>
                <w:sz w:val="16"/>
                <w:szCs w:val="16"/>
              </w:rPr>
            </w:pPr>
            <w:r>
              <w:rPr>
                <w:rFonts w:ascii="宋体" w:hAnsi="宋体" w:cs="宋体" w:eastAsia="宋体" w:hint="default"/>
                <w:spacing w:val="-1"/>
                <w:sz w:val="16"/>
                <w:szCs w:val="16"/>
              </w:rPr>
              <w:t>如皋市青年氢燃料发动机有</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588,000.00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588,000.00</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5"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榆树市第一小学</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550,019.93</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459,499.93</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83.54</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金华青年汽车制造有限公司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444,396.25</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444,396.25</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545"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59" w:lineRule="auto" w:before="86"/>
              <w:ind w:left="122" w:right="655"/>
              <w:jc w:val="left"/>
              <w:rPr>
                <w:rFonts w:ascii="Times New Roman" w:hAnsi="Times New Roman" w:cs="Times New Roman" w:eastAsia="Times New Roman" w:hint="default"/>
                <w:sz w:val="16"/>
                <w:szCs w:val="16"/>
              </w:rPr>
            </w:pPr>
            <w:r>
              <w:rPr>
                <w:rFonts w:ascii="Times New Roman"/>
                <w:sz w:val="16"/>
              </w:rPr>
              <w:t>OCZ</w:t>
            </w:r>
            <w:r>
              <w:rPr>
                <w:rFonts w:ascii="Times New Roman"/>
                <w:spacing w:val="-4"/>
                <w:sz w:val="16"/>
              </w:rPr>
              <w:t> </w:t>
            </w:r>
            <w:r>
              <w:rPr>
                <w:rFonts w:ascii="Times New Roman"/>
                <w:sz w:val="16"/>
              </w:rPr>
              <w:t>TECHNOLOGY</w:t>
            </w:r>
            <w:r>
              <w:rPr>
                <w:rFonts w:ascii="Times New Roman"/>
                <w:w w:val="100"/>
                <w:sz w:val="16"/>
              </w:rPr>
              <w:t> </w:t>
            </w:r>
            <w:r>
              <w:rPr>
                <w:rFonts w:ascii="Times New Roman"/>
                <w:sz w:val="16"/>
              </w:rPr>
              <w:t>GROUP</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392,251.79</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392,251.79</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9"/>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5"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中国科学院信息工程研究所</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346,500.00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346,500.00</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河南省焦作第二十二中学</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336,920.63</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336,920.63</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562"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85"/>
              <w:jc w:val="left"/>
              <w:rPr>
                <w:rFonts w:ascii="宋体" w:hAnsi="宋体" w:cs="宋体" w:eastAsia="宋体" w:hint="default"/>
                <w:sz w:val="16"/>
                <w:szCs w:val="16"/>
              </w:rPr>
            </w:pPr>
            <w:r>
              <w:rPr>
                <w:rFonts w:ascii="宋体" w:hAnsi="宋体" w:cs="宋体" w:eastAsia="宋体" w:hint="default"/>
                <w:spacing w:val="-1"/>
                <w:sz w:val="16"/>
                <w:szCs w:val="16"/>
              </w:rPr>
              <w:t>河南省焦作修武城镇职业高</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中</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303,522.04</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303,522.04</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喀什市善水科技有限公司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268,625.00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268,625.00</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沁阳第四中学</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220,600.80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220,600.80</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6"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宋体" w:hAnsi="宋体" w:cs="宋体" w:eastAsia="宋体" w:hint="default"/>
                <w:sz w:val="16"/>
                <w:szCs w:val="16"/>
              </w:rPr>
              <w:t>河南省焦作第十五中学</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6"/>
                <w:szCs w:val="16"/>
              </w:rPr>
            </w:pPr>
            <w:r>
              <w:rPr>
                <w:rFonts w:ascii="Times New Roman"/>
                <w:spacing w:val="-1"/>
                <w:sz w:val="16"/>
              </w:rPr>
              <w:t>220,541.86</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6"/>
                <w:szCs w:val="16"/>
              </w:rPr>
            </w:pPr>
            <w:r>
              <w:rPr>
                <w:rFonts w:ascii="Times New Roman"/>
                <w:spacing w:val="-1"/>
                <w:sz w:val="16"/>
              </w:rPr>
              <w:t>220,541.86</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4"/>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3"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其他小额单位款项</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4,990,463.28</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4,990,463.28</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1"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65" w:hRule="exact"/>
        </w:trPr>
        <w:tc>
          <w:tcPr>
            <w:tcW w:w="22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57,439,155.08</w:t>
            </w:r>
          </w:p>
        </w:tc>
        <w:tc>
          <w:tcPr>
            <w:tcW w:w="13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56,680,608.28</w:t>
            </w:r>
          </w:p>
        </w:tc>
        <w:tc>
          <w:tcPr>
            <w:tcW w:w="1622" w:type="dxa"/>
            <w:tcBorders>
              <w:top w:val="dotted" w:sz="4" w:space="0" w:color="000000"/>
              <w:left w:val="dotted" w:sz="4" w:space="0" w:color="000000"/>
              <w:bottom w:val="single" w:sz="12" w:space="0" w:color="000000"/>
              <w:right w:val="dotted" w:sz="4" w:space="0" w:color="000000"/>
            </w:tcBorders>
          </w:tcPr>
          <w:p>
            <w:pPr/>
          </w:p>
        </w:tc>
        <w:tc>
          <w:tcPr>
            <w:tcW w:w="1609" w:type="dxa"/>
            <w:tcBorders>
              <w:top w:val="dotted" w:sz="4" w:space="0" w:color="000000"/>
              <w:left w:val="dotted" w:sz="4" w:space="0" w:color="000000"/>
              <w:bottom w:val="single" w:sz="12" w:space="0" w:color="000000"/>
              <w:right w:val="nil" w:sz="6" w:space="0" w:color="auto"/>
            </w:tcBorders>
          </w:tcPr>
          <w:p>
            <w:pPr/>
          </w:p>
        </w:tc>
      </w:tr>
    </w:tbl>
    <w:p>
      <w:pPr>
        <w:pStyle w:val="BodyText"/>
        <w:spacing w:line="350" w:lineRule="auto" w:before="93"/>
        <w:ind w:right="6448"/>
        <w:jc w:val="left"/>
      </w:pPr>
      <w:r>
        <w:rPr/>
        <w:pict>
          <v:shape style="position:absolute;margin-left:119.059998pt;margin-top:39.953663pt;width:412.4pt;height:207.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0"/>
                    <w:gridCol w:w="2143"/>
                    <w:gridCol w:w="2144"/>
                    <w:gridCol w:w="2158"/>
                  </w:tblGrid>
                  <w:tr>
                    <w:trPr>
                      <w:trHeight w:val="365" w:hRule="exact"/>
                    </w:trPr>
                    <w:tc>
                      <w:tcPr>
                        <w:tcW w:w="1760"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644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5"/>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1760" w:type="dxa"/>
                        <w:vMerge/>
                        <w:tcBorders>
                          <w:left w:val="nil" w:sz="6" w:space="0" w:color="auto"/>
                          <w:bottom w:val="dotted" w:sz="4" w:space="0" w:color="000000"/>
                          <w:right w:val="dotted" w:sz="4" w:space="0" w:color="000000"/>
                        </w:tcBorders>
                      </w:tcPr>
                      <w:p>
                        <w:pPr/>
                      </w:p>
                    </w:tc>
                    <w:tc>
                      <w:tcPr>
                        <w:tcW w:w="2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0"/>
                          <w:jc w:val="center"/>
                          <w:rPr>
                            <w:rFonts w:ascii="宋体" w:hAnsi="宋体" w:cs="宋体" w:eastAsia="宋体" w:hint="default"/>
                            <w:sz w:val="16"/>
                            <w:szCs w:val="16"/>
                          </w:rPr>
                        </w:pPr>
                        <w:r>
                          <w:rPr>
                            <w:rFonts w:ascii="宋体" w:hAnsi="宋体" w:cs="宋体" w:eastAsia="宋体" w:hint="default"/>
                            <w:sz w:val="16"/>
                            <w:szCs w:val="16"/>
                          </w:rPr>
                          <w:t>应收账款</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2"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525" w:right="0"/>
                          <w:jc w:val="left"/>
                          <w:rPr>
                            <w:rFonts w:ascii="宋体" w:hAnsi="宋体" w:cs="宋体" w:eastAsia="宋体" w:hint="default"/>
                            <w:sz w:val="16"/>
                            <w:szCs w:val="16"/>
                          </w:rPr>
                        </w:pPr>
                        <w:r>
                          <w:rPr>
                            <w:rFonts w:ascii="宋体" w:hAnsi="宋体" w:cs="宋体" w:eastAsia="宋体" w:hint="default"/>
                            <w:sz w:val="16"/>
                            <w:szCs w:val="16"/>
                          </w:rPr>
                          <w:t>计提比例（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562" w:hRule="exact"/>
                    </w:trPr>
                    <w:tc>
                      <w:tcPr>
                        <w:tcW w:w="176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88"/>
                          <w:jc w:val="left"/>
                          <w:rPr>
                            <w:rFonts w:ascii="宋体" w:hAnsi="宋体" w:cs="宋体" w:eastAsia="宋体" w:hint="default"/>
                            <w:sz w:val="16"/>
                            <w:szCs w:val="16"/>
                          </w:rPr>
                        </w:pPr>
                        <w:r>
                          <w:rPr>
                            <w:rFonts w:ascii="宋体" w:hAnsi="宋体" w:cs="宋体" w:eastAsia="宋体" w:hint="default"/>
                            <w:spacing w:val="-1"/>
                            <w:sz w:val="16"/>
                            <w:szCs w:val="16"/>
                          </w:rPr>
                          <w:t>在合同规定的收款账</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
                            <w:sz w:val="16"/>
                            <w:szCs w:val="16"/>
                          </w:rPr>
                          <w:t>期内的应收款项组合</w:t>
                        </w:r>
                      </w:p>
                    </w:tc>
                    <w:tc>
                      <w:tcPr>
                        <w:tcW w:w="2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640,102,474.12</w:t>
                        </w:r>
                      </w:p>
                    </w:tc>
                    <w:tc>
                      <w:tcPr>
                        <w:tcW w:w="2144" w:type="dxa"/>
                        <w:tcBorders>
                          <w:top w:val="dotted" w:sz="4" w:space="0" w:color="000000"/>
                          <w:left w:val="dotted" w:sz="4" w:space="0" w:color="000000"/>
                          <w:bottom w:val="dotted" w:sz="4" w:space="0" w:color="000000"/>
                          <w:right w:val="dotted" w:sz="4" w:space="0" w:color="000000"/>
                        </w:tcBorders>
                      </w:tcPr>
                      <w:p>
                        <w:pPr/>
                      </w:p>
                    </w:tc>
                    <w:tc>
                      <w:tcPr>
                        <w:tcW w:w="2158"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7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2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2,616,105,006.03</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244,559,001.94</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9.35</w:t>
                        </w:r>
                      </w:p>
                    </w:tc>
                  </w:tr>
                  <w:tr>
                    <w:trPr>
                      <w:trHeight w:val="353" w:hRule="exact"/>
                    </w:trPr>
                    <w:tc>
                      <w:tcPr>
                        <w:tcW w:w="17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其中：</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2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1,958,513,543.40</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97,925,677.17</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5.00</w:t>
                        </w:r>
                      </w:p>
                    </w:tc>
                  </w:tr>
                  <w:tr>
                    <w:trPr>
                      <w:trHeight w:val="353" w:hRule="exact"/>
                    </w:trPr>
                    <w:tc>
                      <w:tcPr>
                        <w:tcW w:w="17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right="548"/>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6"/>
                            <w:szCs w:val="16"/>
                          </w:rPr>
                        </w:pPr>
                        <w:r>
                          <w:rPr>
                            <w:rFonts w:ascii="Times New Roman"/>
                            <w:spacing w:val="-1"/>
                            <w:sz w:val="16"/>
                          </w:rPr>
                          <w:t>439,352,104.50</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6"/>
                            <w:szCs w:val="16"/>
                          </w:rPr>
                        </w:pPr>
                        <w:r>
                          <w:rPr>
                            <w:rFonts w:ascii="Times New Roman"/>
                            <w:spacing w:val="-2"/>
                            <w:sz w:val="16"/>
                          </w:rPr>
                          <w:t>43,935,210.45</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6"/>
                            <w:szCs w:val="16"/>
                          </w:rPr>
                        </w:pPr>
                        <w:r>
                          <w:rPr>
                            <w:rFonts w:ascii="Times New Roman"/>
                            <w:spacing w:val="-1"/>
                            <w:sz w:val="16"/>
                          </w:rPr>
                          <w:t>10.00</w:t>
                        </w:r>
                      </w:p>
                    </w:tc>
                  </w:tr>
                  <w:tr>
                    <w:trPr>
                      <w:trHeight w:val="355" w:hRule="exact"/>
                    </w:trPr>
                    <w:tc>
                      <w:tcPr>
                        <w:tcW w:w="17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right="548"/>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130,324,212.40</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39,097,263.72</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30.00</w:t>
                        </w:r>
                      </w:p>
                    </w:tc>
                  </w:tr>
                  <w:tr>
                    <w:trPr>
                      <w:trHeight w:val="353" w:hRule="exact"/>
                    </w:trPr>
                    <w:tc>
                      <w:tcPr>
                        <w:tcW w:w="17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right="548"/>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51,763,486.82</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31,058,092.09</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60.00</w:t>
                        </w:r>
                      </w:p>
                    </w:tc>
                  </w:tr>
                  <w:tr>
                    <w:trPr>
                      <w:trHeight w:val="353" w:hRule="exact"/>
                    </w:trPr>
                    <w:tc>
                      <w:tcPr>
                        <w:tcW w:w="17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right="548"/>
                          <w:jc w:val="righ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18,044,502.01</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14,435,601.61</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80.00</w:t>
                        </w:r>
                      </w:p>
                    </w:tc>
                  </w:tr>
                  <w:tr>
                    <w:trPr>
                      <w:trHeight w:val="355" w:hRule="exact"/>
                    </w:trPr>
                    <w:tc>
                      <w:tcPr>
                        <w:tcW w:w="17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right="548"/>
                          <w:jc w:val="righ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2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2"/>
                            <w:sz w:val="16"/>
                          </w:rPr>
                          <w:t>18,107,156.90</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18,107,156.90</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100.00</w:t>
                        </w:r>
                      </w:p>
                    </w:tc>
                  </w:tr>
                  <w:tr>
                    <w:trPr>
                      <w:trHeight w:val="362" w:hRule="exact"/>
                    </w:trPr>
                    <w:tc>
                      <w:tcPr>
                        <w:tcW w:w="17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1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3,256,207,480.15</w:t>
                        </w:r>
                      </w:p>
                    </w:tc>
                    <w:tc>
                      <w:tcPr>
                        <w:tcW w:w="21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244,559,001.94</w:t>
                        </w:r>
                      </w:p>
                    </w:tc>
                    <w:tc>
                      <w:tcPr>
                        <w:tcW w:w="2158"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spacing w:val="-2"/>
        </w:rPr>
        <w:t>按组合计提坏账准备：</w:t>
      </w:r>
      <w:r>
        <w:rPr>
          <w:spacing w:val="-85"/>
        </w:rPr>
        <w:t> </w:t>
      </w:r>
      <w:r>
        <w:rPr>
          <w:spacing w:val="-85"/>
        </w:rPr>
      </w:r>
      <w:r>
        <w:rPr/>
        <w:t>组合计提项目：</w:t>
      </w:r>
    </w:p>
    <w:p>
      <w:pPr>
        <w:spacing w:after="0" w:line="350" w:lineRule="auto"/>
        <w:jc w:val="left"/>
        <w:sectPr>
          <w:pgSz w:w="11910" w:h="16840"/>
          <w:pgMar w:header="753" w:footer="997" w:top="1500" w:bottom="1180" w:left="1660" w:right="0"/>
        </w:sectPr>
      </w:pPr>
    </w:p>
    <w:p>
      <w:pPr>
        <w:spacing w:line="240" w:lineRule="auto" w:before="12"/>
        <w:rPr>
          <w:rFonts w:ascii="宋体" w:hAnsi="宋体" w:cs="宋体" w:eastAsia="宋体" w:hint="default"/>
          <w:sz w:val="22"/>
          <w:szCs w:val="22"/>
        </w:rPr>
      </w:pPr>
    </w:p>
    <w:p>
      <w:pPr>
        <w:pStyle w:val="BodyText"/>
        <w:spacing w:line="343" w:lineRule="auto"/>
        <w:ind w:right="1786"/>
        <w:jc w:val="both"/>
      </w:pPr>
      <w:r>
        <w:rPr/>
        <w:pict>
          <v:shape style="position:absolute;margin-left:119.059998pt;margin-top:77.063675pt;width:412.4pt;height:126.3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6"/>
                    <w:gridCol w:w="4369"/>
                  </w:tblGrid>
                  <w:tr>
                    <w:trPr>
                      <w:trHeight w:val="365" w:hRule="exact"/>
                    </w:trPr>
                    <w:tc>
                      <w:tcPr>
                        <w:tcW w:w="383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6"/>
                          <w:ind w:left="19"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43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left="141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应收账款计提比例</w:t>
                        </w:r>
                        <w:r>
                          <w:rPr>
                            <w:rFonts w:ascii="Times New Roman" w:hAnsi="Times New Roman" w:cs="Times New Roman" w:eastAsia="Times New Roman" w:hint="default"/>
                            <w:sz w:val="16"/>
                            <w:szCs w:val="16"/>
                          </w:rPr>
                          <w:t>(%)</w:t>
                        </w:r>
                      </w:p>
                    </w:tc>
                  </w:tr>
                  <w:tr>
                    <w:trPr>
                      <w:trHeight w:val="353" w:hRule="exact"/>
                    </w:trPr>
                    <w:tc>
                      <w:tcPr>
                        <w:tcW w:w="38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年以内（含</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r>
                      </w:p>
                    </w:tc>
                    <w:tc>
                      <w:tcPr>
                        <w:tcW w:w="4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5.00</w:t>
                        </w:r>
                      </w:p>
                    </w:tc>
                  </w:tr>
                  <w:tr>
                    <w:trPr>
                      <w:trHeight w:val="355" w:hRule="exact"/>
                    </w:trPr>
                    <w:tc>
                      <w:tcPr>
                        <w:tcW w:w="38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10.00</w:t>
                        </w:r>
                      </w:p>
                    </w:tc>
                  </w:tr>
                  <w:tr>
                    <w:trPr>
                      <w:trHeight w:val="353" w:hRule="exact"/>
                    </w:trPr>
                    <w:tc>
                      <w:tcPr>
                        <w:tcW w:w="38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30.00</w:t>
                        </w:r>
                      </w:p>
                    </w:tc>
                  </w:tr>
                  <w:tr>
                    <w:trPr>
                      <w:trHeight w:val="353" w:hRule="exact"/>
                    </w:trPr>
                    <w:tc>
                      <w:tcPr>
                        <w:tcW w:w="38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60.00</w:t>
                        </w:r>
                      </w:p>
                    </w:tc>
                  </w:tr>
                  <w:tr>
                    <w:trPr>
                      <w:trHeight w:val="355" w:hRule="exact"/>
                    </w:trPr>
                    <w:tc>
                      <w:tcPr>
                        <w:tcW w:w="38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80.00</w:t>
                        </w:r>
                      </w:p>
                    </w:tc>
                  </w:tr>
                  <w:tr>
                    <w:trPr>
                      <w:trHeight w:val="363" w:hRule="exact"/>
                    </w:trPr>
                    <w:tc>
                      <w:tcPr>
                        <w:tcW w:w="383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43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6"/>
                            <w:szCs w:val="16"/>
                          </w:rPr>
                        </w:pPr>
                        <w:r>
                          <w:rPr>
                            <w:rFonts w:ascii="Times New Roman"/>
                            <w:spacing w:val="-1"/>
                            <w:sz w:val="16"/>
                          </w:rPr>
                          <w:t>100.00</w:t>
                        </w:r>
                      </w:p>
                    </w:tc>
                  </w:tr>
                </w:tbl>
                <w:p>
                  <w:pPr/>
                </w:p>
              </w:txbxContent>
            </v:textbox>
            <w10:wrap type="none"/>
          </v:shape>
        </w:pict>
      </w:r>
      <w:r>
        <w:rPr>
          <w:spacing w:val="-5"/>
        </w:rPr>
        <w:t>说明：公司将应收账款按类似信用风险特征进行组合，划分为在合同规定的收</w:t>
      </w:r>
      <w:r>
        <w:rPr>
          <w:spacing w:val="-46"/>
        </w:rPr>
        <w:t> </w:t>
      </w:r>
      <w:r>
        <w:rPr>
          <w:spacing w:val="-46"/>
        </w:rPr>
      </w:r>
      <w:r>
        <w:rPr>
          <w:spacing w:val="-5"/>
          <w:w w:val="100"/>
        </w:rPr>
        <w:t>款账期内的应收款项组合和账龄组合。在合同规定的收款账期内的应收款项组</w:t>
      </w:r>
      <w:r>
        <w:rPr>
          <w:spacing w:val="-85"/>
          <w:w w:val="100"/>
        </w:rPr>
        <w:t> </w:t>
      </w:r>
      <w:r>
        <w:rPr>
          <w:spacing w:val="-85"/>
          <w:w w:val="100"/>
        </w:rPr>
      </w:r>
      <w:r>
        <w:rPr>
          <w:spacing w:val="-3"/>
        </w:rPr>
        <w:t>合预期发生减值损失的风险很低，坏账计提比例为</w:t>
      </w:r>
      <w:r>
        <w:rPr>
          <w:spacing w:val="-14"/>
        </w:rPr>
        <w:t> </w:t>
      </w:r>
      <w:r>
        <w:rPr>
          <w:rFonts w:ascii="Times New Roman" w:hAnsi="Times New Roman" w:cs="Times New Roman" w:eastAsia="Times New Roman" w:hint="default"/>
          <w:spacing w:val="-4"/>
        </w:rPr>
        <w:t>0.00%</w:t>
      </w:r>
      <w:r>
        <w:rPr>
          <w:spacing w:val="-4"/>
        </w:rPr>
        <w:t>；账龄组合按以下比</w:t>
      </w:r>
      <w:r>
        <w:rPr>
          <w:spacing w:val="-94"/>
        </w:rPr>
        <w:t> </w:t>
      </w:r>
      <w:r>
        <w:rPr>
          <w:spacing w:val="-94"/>
        </w:rPr>
      </w:r>
      <w:r>
        <w:rPr/>
        <w:t>例计提坏账准备：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3</w:t>
      </w:r>
      <w:r>
        <w:rPr/>
        <w:t>、</w:t>
        <w:tab/>
      </w:r>
      <w:r>
        <w:rPr>
          <w:spacing w:val="-1"/>
        </w:rPr>
        <w:t>本期计提、转回或收回的坏账准备情况</w:t>
      </w:r>
      <w:r>
        <w:rPr>
          <w:b w:val="0"/>
          <w:bCs w:val="0"/>
          <w:spacing w:val="-1"/>
        </w:rPr>
      </w:r>
    </w:p>
    <w:tbl>
      <w:tblPr>
        <w:tblW w:w="0" w:type="auto"/>
        <w:jc w:val="left"/>
        <w:tblInd w:w="109" w:type="dxa"/>
        <w:tblLayout w:type="fixed"/>
        <w:tblCellMar>
          <w:top w:w="0" w:type="dxa"/>
          <w:left w:w="0" w:type="dxa"/>
          <w:bottom w:w="0" w:type="dxa"/>
          <w:right w:w="0" w:type="dxa"/>
        </w:tblCellMar>
        <w:tblLook w:val="01E0"/>
      </w:tblPr>
      <w:tblGrid>
        <w:gridCol w:w="1034"/>
        <w:gridCol w:w="1217"/>
        <w:gridCol w:w="1214"/>
        <w:gridCol w:w="1138"/>
        <w:gridCol w:w="1056"/>
        <w:gridCol w:w="1056"/>
        <w:gridCol w:w="937"/>
        <w:gridCol w:w="854"/>
        <w:gridCol w:w="1217"/>
      </w:tblGrid>
      <w:tr>
        <w:trPr>
          <w:trHeight w:val="362" w:hRule="exact"/>
        </w:trPr>
        <w:tc>
          <w:tcPr>
            <w:tcW w:w="1034"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1217"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214"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80"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5041"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本期变动金额</w:t>
            </w:r>
          </w:p>
        </w:tc>
        <w:tc>
          <w:tcPr>
            <w:tcW w:w="1217" w:type="dxa"/>
            <w:vMerge w:val="restart"/>
            <w:tcBorders>
              <w:top w:val="single" w:sz="12" w:space="0" w:color="000000"/>
              <w:left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1034" w:type="dxa"/>
            <w:vMerge/>
            <w:tcBorders>
              <w:left w:val="nil" w:sz="6" w:space="0" w:color="auto"/>
              <w:bottom w:val="dotted" w:sz="4" w:space="0" w:color="000000"/>
              <w:right w:val="dotted" w:sz="4" w:space="0" w:color="000000"/>
            </w:tcBorders>
          </w:tcPr>
          <w:p>
            <w:pPr/>
          </w:p>
        </w:tc>
        <w:tc>
          <w:tcPr>
            <w:tcW w:w="1217" w:type="dxa"/>
            <w:vMerge/>
            <w:tcBorders>
              <w:left w:val="dotted" w:sz="4" w:space="0" w:color="000000"/>
              <w:bottom w:val="dotted" w:sz="4" w:space="0" w:color="000000"/>
              <w:right w:val="dotted" w:sz="4" w:space="0" w:color="000000"/>
            </w:tcBorders>
          </w:tcPr>
          <w:p>
            <w:pPr/>
          </w:p>
        </w:tc>
        <w:tc>
          <w:tcPr>
            <w:tcW w:w="1214" w:type="dxa"/>
            <w:vMerge/>
            <w:tcBorders>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计提</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20" w:right="0"/>
              <w:jc w:val="left"/>
              <w:rPr>
                <w:rFonts w:ascii="宋体" w:hAnsi="宋体" w:cs="宋体" w:eastAsia="宋体" w:hint="default"/>
                <w:sz w:val="16"/>
                <w:szCs w:val="16"/>
              </w:rPr>
            </w:pPr>
            <w:r>
              <w:rPr>
                <w:rFonts w:ascii="宋体" w:hAnsi="宋体" w:cs="宋体" w:eastAsia="宋体" w:hint="default"/>
                <w:sz w:val="16"/>
                <w:szCs w:val="16"/>
              </w:rPr>
              <w:t>收回或转回</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2"/>
              <w:jc w:val="center"/>
              <w:rPr>
                <w:rFonts w:ascii="宋体" w:hAnsi="宋体" w:cs="宋体" w:eastAsia="宋体" w:hint="default"/>
                <w:sz w:val="16"/>
                <w:szCs w:val="16"/>
              </w:rPr>
            </w:pPr>
            <w:r>
              <w:rPr>
                <w:rFonts w:ascii="宋体" w:hAnsi="宋体" w:cs="宋体" w:eastAsia="宋体" w:hint="default"/>
                <w:sz w:val="16"/>
                <w:szCs w:val="16"/>
              </w:rPr>
              <w:t>转销或核销</w:t>
            </w:r>
          </w:p>
        </w:tc>
        <w:tc>
          <w:tcPr>
            <w:tcW w:w="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3"/>
              <w:jc w:val="center"/>
              <w:rPr>
                <w:rFonts w:ascii="宋体" w:hAnsi="宋体" w:cs="宋体" w:eastAsia="宋体" w:hint="default"/>
                <w:sz w:val="16"/>
                <w:szCs w:val="16"/>
              </w:rPr>
            </w:pPr>
            <w:r>
              <w:rPr>
                <w:rFonts w:ascii="宋体" w:hAnsi="宋体" w:cs="宋体" w:eastAsia="宋体" w:hint="default"/>
                <w:sz w:val="16"/>
                <w:szCs w:val="16"/>
              </w:rPr>
              <w:t>其他减少</w:t>
            </w:r>
          </w:p>
        </w:tc>
        <w:tc>
          <w:tcPr>
            <w:tcW w:w="8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0" w:right="0"/>
              <w:jc w:val="left"/>
              <w:rPr>
                <w:rFonts w:ascii="宋体" w:hAnsi="宋体" w:cs="宋体" w:eastAsia="宋体" w:hint="default"/>
                <w:sz w:val="16"/>
                <w:szCs w:val="16"/>
              </w:rPr>
            </w:pPr>
            <w:r>
              <w:rPr>
                <w:rFonts w:ascii="宋体" w:hAnsi="宋体" w:cs="宋体" w:eastAsia="宋体" w:hint="default"/>
                <w:sz w:val="16"/>
                <w:szCs w:val="16"/>
              </w:rPr>
              <w:t>汇率变动</w:t>
            </w:r>
          </w:p>
        </w:tc>
        <w:tc>
          <w:tcPr>
            <w:tcW w:w="1217" w:type="dxa"/>
            <w:vMerge/>
            <w:tcBorders>
              <w:left w:val="dotted" w:sz="4" w:space="0" w:color="000000"/>
              <w:bottom w:val="dotted" w:sz="4" w:space="0" w:color="000000"/>
              <w:right w:val="nil" w:sz="6" w:space="0" w:color="auto"/>
            </w:tcBorders>
          </w:tcPr>
          <w:p>
            <w:pPr/>
          </w:p>
        </w:tc>
      </w:tr>
      <w:tr>
        <w:trPr>
          <w:trHeight w:val="562" w:hRule="exact"/>
        </w:trPr>
        <w:tc>
          <w:tcPr>
            <w:tcW w:w="1034"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3"/>
              <w:jc w:val="left"/>
              <w:rPr>
                <w:rFonts w:ascii="宋体" w:hAnsi="宋体" w:cs="宋体" w:eastAsia="宋体" w:hint="default"/>
                <w:sz w:val="16"/>
                <w:szCs w:val="16"/>
              </w:rPr>
            </w:pPr>
            <w:r>
              <w:rPr>
                <w:rFonts w:ascii="宋体" w:hAnsi="宋体" w:cs="宋体" w:eastAsia="宋体" w:hint="default"/>
                <w:sz w:val="16"/>
                <w:szCs w:val="16"/>
              </w:rPr>
              <w:t>按单项计提</w:t>
            </w:r>
            <w:r>
              <w:rPr>
                <w:rFonts w:ascii="宋体" w:hAnsi="宋体" w:cs="宋体" w:eastAsia="宋体" w:hint="default"/>
                <w:w w:val="100"/>
                <w:sz w:val="16"/>
                <w:szCs w:val="16"/>
              </w:rPr>
              <w:t> </w:t>
            </w:r>
            <w:r>
              <w:rPr>
                <w:rFonts w:ascii="宋体" w:hAnsi="宋体" w:cs="宋体" w:eastAsia="宋体" w:hint="default"/>
                <w:sz w:val="16"/>
                <w:szCs w:val="16"/>
              </w:rPr>
              <w:t>坏账准备</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61,195,448.52</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79" w:right="0"/>
              <w:jc w:val="center"/>
              <w:rPr>
                <w:rFonts w:ascii="Times New Roman" w:hAnsi="Times New Roman" w:cs="Times New Roman" w:eastAsia="Times New Roman" w:hint="default"/>
                <w:sz w:val="16"/>
                <w:szCs w:val="16"/>
              </w:rPr>
            </w:pPr>
            <w:r>
              <w:rPr>
                <w:rFonts w:ascii="Times New Roman"/>
                <w:sz w:val="16"/>
              </w:rPr>
              <w:t>61,195,448.52</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2,390,112.14</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1" w:right="0"/>
              <w:jc w:val="left"/>
              <w:rPr>
                <w:rFonts w:ascii="Times New Roman" w:hAnsi="Times New Roman" w:cs="Times New Roman" w:eastAsia="Times New Roman" w:hint="default"/>
                <w:sz w:val="16"/>
                <w:szCs w:val="16"/>
              </w:rPr>
            </w:pPr>
            <w:r>
              <w:rPr>
                <w:rFonts w:ascii="Times New Roman"/>
                <w:sz w:val="16"/>
              </w:rPr>
              <w:t>1,252,592.41</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sz w:val="16"/>
              </w:rPr>
              <w:t>5,157,039.54</w:t>
            </w:r>
          </w:p>
        </w:tc>
        <w:tc>
          <w:tcPr>
            <w:tcW w:w="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sz w:val="16"/>
              </w:rPr>
              <w:t>495,320.43</w:t>
            </w:r>
          </w:p>
        </w:tc>
        <w:tc>
          <w:tcPr>
            <w:tcW w:w="854"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56,680,608.28</w:t>
            </w:r>
          </w:p>
        </w:tc>
      </w:tr>
      <w:tr>
        <w:trPr>
          <w:trHeight w:val="562" w:hRule="exact"/>
        </w:trPr>
        <w:tc>
          <w:tcPr>
            <w:tcW w:w="1034"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3"/>
              <w:jc w:val="left"/>
              <w:rPr>
                <w:rFonts w:ascii="宋体" w:hAnsi="宋体" w:cs="宋体" w:eastAsia="宋体" w:hint="default"/>
                <w:sz w:val="16"/>
                <w:szCs w:val="16"/>
              </w:rPr>
            </w:pPr>
            <w:r>
              <w:rPr>
                <w:rFonts w:ascii="宋体" w:hAnsi="宋体" w:cs="宋体" w:eastAsia="宋体" w:hint="default"/>
                <w:sz w:val="16"/>
                <w:szCs w:val="16"/>
              </w:rPr>
              <w:t>按组合计提</w:t>
            </w:r>
            <w:r>
              <w:rPr>
                <w:rFonts w:ascii="宋体" w:hAnsi="宋体" w:cs="宋体" w:eastAsia="宋体" w:hint="default"/>
                <w:w w:val="100"/>
                <w:sz w:val="16"/>
                <w:szCs w:val="16"/>
              </w:rPr>
              <w:t> </w:t>
            </w:r>
            <w:r>
              <w:rPr>
                <w:rFonts w:ascii="宋体" w:hAnsi="宋体" w:cs="宋体" w:eastAsia="宋体" w:hint="default"/>
                <w:sz w:val="16"/>
                <w:szCs w:val="16"/>
              </w:rPr>
              <w:t>坏账准备</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218,908,982.10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218,908,982.10</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26,180,007.34</w:t>
            </w:r>
          </w:p>
        </w:tc>
        <w:tc>
          <w:tcPr>
            <w:tcW w:w="1056"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15" w:right="0"/>
              <w:jc w:val="center"/>
              <w:rPr>
                <w:rFonts w:ascii="Times New Roman" w:hAnsi="Times New Roman" w:cs="Times New Roman" w:eastAsia="Times New Roman" w:hint="default"/>
                <w:sz w:val="16"/>
                <w:szCs w:val="16"/>
              </w:rPr>
            </w:pPr>
            <w:r>
              <w:rPr>
                <w:rFonts w:ascii="Times New Roman"/>
                <w:sz w:val="16"/>
              </w:rPr>
              <w:t>249,170.00</w:t>
            </w:r>
          </w:p>
        </w:tc>
        <w:tc>
          <w:tcPr>
            <w:tcW w:w="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sz w:val="16"/>
              </w:rPr>
              <w:t>352,818.12</w:t>
            </w:r>
          </w:p>
        </w:tc>
        <w:tc>
          <w:tcPr>
            <w:tcW w:w="8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0" w:right="0"/>
              <w:jc w:val="left"/>
              <w:rPr>
                <w:rFonts w:ascii="Times New Roman" w:hAnsi="Times New Roman" w:cs="Times New Roman" w:eastAsia="Times New Roman" w:hint="default"/>
                <w:sz w:val="16"/>
                <w:szCs w:val="16"/>
              </w:rPr>
            </w:pPr>
            <w:r>
              <w:rPr>
                <w:rFonts w:ascii="Times New Roman"/>
                <w:sz w:val="16"/>
              </w:rPr>
              <w:t>72,000.62</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244,559,001.94</w:t>
            </w:r>
          </w:p>
        </w:tc>
      </w:tr>
      <w:tr>
        <w:trPr>
          <w:trHeight w:val="365" w:hRule="exact"/>
        </w:trPr>
        <w:tc>
          <w:tcPr>
            <w:tcW w:w="10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280,104,430.62</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6"/>
                <w:szCs w:val="16"/>
              </w:rPr>
            </w:pPr>
            <w:r>
              <w:rPr>
                <w:rFonts w:ascii="Times New Roman"/>
                <w:sz w:val="16"/>
              </w:rPr>
              <w:t>280,104,430.62</w:t>
            </w:r>
          </w:p>
        </w:tc>
        <w:tc>
          <w:tcPr>
            <w:tcW w:w="11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2"/>
                <w:sz w:val="16"/>
              </w:rPr>
              <w:t>28,570,119.48</w:t>
            </w:r>
          </w:p>
        </w:tc>
        <w:tc>
          <w:tcPr>
            <w:tcW w:w="10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01" w:right="0"/>
              <w:jc w:val="left"/>
              <w:rPr>
                <w:rFonts w:ascii="Times New Roman" w:hAnsi="Times New Roman" w:cs="Times New Roman" w:eastAsia="Times New Roman" w:hint="default"/>
                <w:sz w:val="16"/>
                <w:szCs w:val="16"/>
              </w:rPr>
            </w:pPr>
            <w:r>
              <w:rPr>
                <w:rFonts w:ascii="Times New Roman"/>
                <w:sz w:val="16"/>
              </w:rPr>
              <w:t>1,252,592.41</w:t>
            </w:r>
          </w:p>
        </w:tc>
        <w:tc>
          <w:tcPr>
            <w:tcW w:w="10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2"/>
              <w:jc w:val="center"/>
              <w:rPr>
                <w:rFonts w:ascii="Times New Roman" w:hAnsi="Times New Roman" w:cs="Times New Roman" w:eastAsia="Times New Roman" w:hint="default"/>
                <w:sz w:val="16"/>
                <w:szCs w:val="16"/>
              </w:rPr>
            </w:pPr>
            <w:r>
              <w:rPr>
                <w:rFonts w:ascii="Times New Roman"/>
                <w:sz w:val="16"/>
              </w:rPr>
              <w:t>5,406,209.54</w:t>
            </w:r>
          </w:p>
        </w:tc>
        <w:tc>
          <w:tcPr>
            <w:tcW w:w="9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2"/>
              <w:jc w:val="center"/>
              <w:rPr>
                <w:rFonts w:ascii="Times New Roman" w:hAnsi="Times New Roman" w:cs="Times New Roman" w:eastAsia="Times New Roman" w:hint="default"/>
                <w:sz w:val="16"/>
                <w:szCs w:val="16"/>
              </w:rPr>
            </w:pPr>
            <w:r>
              <w:rPr>
                <w:rFonts w:ascii="Times New Roman"/>
                <w:sz w:val="16"/>
              </w:rPr>
              <w:t>848,138.55</w:t>
            </w:r>
          </w:p>
        </w:tc>
        <w:tc>
          <w:tcPr>
            <w:tcW w:w="8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00" w:right="0"/>
              <w:jc w:val="left"/>
              <w:rPr>
                <w:rFonts w:ascii="Times New Roman" w:hAnsi="Times New Roman" w:cs="Times New Roman" w:eastAsia="Times New Roman" w:hint="default"/>
                <w:sz w:val="16"/>
                <w:szCs w:val="16"/>
              </w:rPr>
            </w:pPr>
            <w:r>
              <w:rPr>
                <w:rFonts w:ascii="Times New Roman"/>
                <w:sz w:val="16"/>
              </w:rPr>
              <w:t>72,000.62</w:t>
            </w:r>
          </w:p>
        </w:tc>
        <w:tc>
          <w:tcPr>
            <w:tcW w:w="12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301,239,610.22</w:t>
            </w:r>
          </w:p>
        </w:tc>
      </w:tr>
    </w:tbl>
    <w:p>
      <w:pPr>
        <w:spacing w:line="240" w:lineRule="auto" w:before="6"/>
        <w:rPr>
          <w:rFonts w:ascii="宋体" w:hAnsi="宋体" w:cs="宋体" w:eastAsia="宋体" w:hint="default"/>
          <w:b/>
          <w:bCs/>
          <w:sz w:val="27"/>
          <w:szCs w:val="27"/>
        </w:rPr>
      </w:pPr>
    </w:p>
    <w:p>
      <w:pPr>
        <w:pStyle w:val="BodyText"/>
        <w:spacing w:line="240" w:lineRule="auto"/>
        <w:ind w:right="3683"/>
        <w:jc w:val="left"/>
      </w:pPr>
      <w:r>
        <w:rPr/>
        <w:t>其中本期坏账准备收回或转回金额重要的：</w:t>
      </w:r>
    </w:p>
    <w:p>
      <w:pPr>
        <w:spacing w:line="240" w:lineRule="auto" w:before="5"/>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768"/>
        <w:gridCol w:w="1313"/>
        <w:gridCol w:w="1771"/>
        <w:gridCol w:w="1313"/>
        <w:gridCol w:w="1039"/>
      </w:tblGrid>
      <w:tr>
        <w:trPr>
          <w:trHeight w:val="571" w:hRule="exact"/>
        </w:trPr>
        <w:tc>
          <w:tcPr>
            <w:tcW w:w="276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313"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65"/>
              <w:ind w:left="568" w:right="171" w:hanging="401"/>
              <w:jc w:val="left"/>
              <w:rPr>
                <w:rFonts w:ascii="宋体" w:hAnsi="宋体" w:cs="宋体" w:eastAsia="宋体" w:hint="default"/>
                <w:sz w:val="16"/>
                <w:szCs w:val="16"/>
              </w:rPr>
            </w:pPr>
            <w:r>
              <w:rPr>
                <w:rFonts w:ascii="宋体" w:hAnsi="宋体" w:cs="宋体" w:eastAsia="宋体" w:hint="default"/>
                <w:sz w:val="16"/>
                <w:szCs w:val="16"/>
              </w:rPr>
              <w:t>转回或收回金</w:t>
            </w:r>
            <w:r>
              <w:rPr>
                <w:rFonts w:ascii="宋体" w:hAnsi="宋体" w:cs="宋体" w:eastAsia="宋体" w:hint="default"/>
                <w:w w:val="100"/>
                <w:sz w:val="16"/>
                <w:szCs w:val="16"/>
              </w:rPr>
              <w:t> </w:t>
            </w:r>
            <w:r>
              <w:rPr>
                <w:rFonts w:ascii="宋体" w:hAnsi="宋体" w:cs="宋体" w:eastAsia="宋体" w:hint="default"/>
                <w:sz w:val="16"/>
                <w:szCs w:val="16"/>
              </w:rPr>
              <w:t>额</w:t>
            </w:r>
          </w:p>
        </w:tc>
        <w:tc>
          <w:tcPr>
            <w:tcW w:w="1771"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65"/>
              <w:ind w:left="400" w:right="156" w:hanging="240"/>
              <w:jc w:val="left"/>
              <w:rPr>
                <w:rFonts w:ascii="宋体" w:hAnsi="宋体" w:cs="宋体" w:eastAsia="宋体" w:hint="default"/>
                <w:sz w:val="16"/>
                <w:szCs w:val="16"/>
              </w:rPr>
            </w:pPr>
            <w:r>
              <w:rPr>
                <w:rFonts w:ascii="宋体" w:hAnsi="宋体" w:cs="宋体" w:eastAsia="宋体" w:hint="default"/>
                <w:sz w:val="16"/>
                <w:szCs w:val="16"/>
              </w:rPr>
              <w:t>确定原坏账准备的依</w:t>
            </w:r>
            <w:r>
              <w:rPr>
                <w:rFonts w:ascii="宋体" w:hAnsi="宋体" w:cs="宋体" w:eastAsia="宋体" w:hint="default"/>
                <w:w w:val="100"/>
                <w:sz w:val="16"/>
                <w:szCs w:val="16"/>
              </w:rPr>
              <w:t> </w:t>
            </w:r>
            <w:r>
              <w:rPr>
                <w:rFonts w:ascii="宋体" w:hAnsi="宋体" w:cs="宋体" w:eastAsia="宋体" w:hint="default"/>
                <w:sz w:val="16"/>
                <w:szCs w:val="16"/>
              </w:rPr>
              <w:t>据及其合理性</w:t>
            </w:r>
          </w:p>
        </w:tc>
        <w:tc>
          <w:tcPr>
            <w:tcW w:w="1313"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65"/>
              <w:ind w:left="571" w:right="169" w:hanging="401"/>
              <w:jc w:val="left"/>
              <w:rPr>
                <w:rFonts w:ascii="宋体" w:hAnsi="宋体" w:cs="宋体" w:eastAsia="宋体" w:hint="default"/>
                <w:sz w:val="16"/>
                <w:szCs w:val="16"/>
              </w:rPr>
            </w:pPr>
            <w:r>
              <w:rPr>
                <w:rFonts w:ascii="宋体" w:hAnsi="宋体" w:cs="宋体" w:eastAsia="宋体" w:hint="default"/>
                <w:sz w:val="16"/>
                <w:szCs w:val="16"/>
              </w:rPr>
              <w:t>转回或收回原</w:t>
            </w:r>
            <w:r>
              <w:rPr>
                <w:rFonts w:ascii="宋体" w:hAnsi="宋体" w:cs="宋体" w:eastAsia="宋体" w:hint="default"/>
                <w:w w:val="100"/>
                <w:sz w:val="16"/>
                <w:szCs w:val="16"/>
              </w:rPr>
              <w:t> </w:t>
            </w:r>
            <w:r>
              <w:rPr>
                <w:rFonts w:ascii="宋体" w:hAnsi="宋体" w:cs="宋体" w:eastAsia="宋体" w:hint="default"/>
                <w:sz w:val="16"/>
                <w:szCs w:val="16"/>
              </w:rPr>
              <w:t>因</w:t>
            </w:r>
          </w:p>
        </w:tc>
        <w:tc>
          <w:tcPr>
            <w:tcW w:w="103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94" w:right="0"/>
              <w:jc w:val="left"/>
              <w:rPr>
                <w:rFonts w:ascii="宋体" w:hAnsi="宋体" w:cs="宋体" w:eastAsia="宋体" w:hint="default"/>
                <w:sz w:val="16"/>
                <w:szCs w:val="16"/>
              </w:rPr>
            </w:pPr>
            <w:r>
              <w:rPr>
                <w:rFonts w:ascii="宋体" w:hAnsi="宋体" w:cs="宋体" w:eastAsia="宋体" w:hint="default"/>
                <w:sz w:val="16"/>
                <w:szCs w:val="16"/>
              </w:rPr>
              <w:t>收回方式</w:t>
            </w:r>
          </w:p>
        </w:tc>
      </w:tr>
      <w:tr>
        <w:trPr>
          <w:trHeight w:val="353" w:hRule="exact"/>
        </w:trPr>
        <w:tc>
          <w:tcPr>
            <w:tcW w:w="2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齐齐哈尔市富拉尔基区教育局</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386,136.45</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可收回性</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331" w:right="0"/>
              <w:jc w:val="left"/>
              <w:rPr>
                <w:rFonts w:ascii="宋体" w:hAnsi="宋体" w:cs="宋体" w:eastAsia="宋体" w:hint="default"/>
                <w:sz w:val="16"/>
                <w:szCs w:val="16"/>
              </w:rPr>
            </w:pPr>
            <w:r>
              <w:rPr>
                <w:rFonts w:ascii="宋体" w:hAnsi="宋体" w:cs="宋体" w:eastAsia="宋体" w:hint="default"/>
                <w:sz w:val="16"/>
                <w:szCs w:val="16"/>
              </w:rPr>
              <w:t>收到款项</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94" w:right="0"/>
              <w:jc w:val="left"/>
              <w:rPr>
                <w:rFonts w:ascii="宋体" w:hAnsi="宋体" w:cs="宋体" w:eastAsia="宋体" w:hint="default"/>
                <w:sz w:val="16"/>
                <w:szCs w:val="16"/>
              </w:rPr>
            </w:pPr>
            <w:r>
              <w:rPr>
                <w:rFonts w:ascii="宋体" w:hAnsi="宋体" w:cs="宋体" w:eastAsia="宋体" w:hint="default"/>
                <w:sz w:val="16"/>
                <w:szCs w:val="16"/>
              </w:rPr>
              <w:t>货币回款</w:t>
            </w:r>
          </w:p>
        </w:tc>
      </w:tr>
      <w:tr>
        <w:trPr>
          <w:trHeight w:val="355" w:hRule="exact"/>
        </w:trPr>
        <w:tc>
          <w:tcPr>
            <w:tcW w:w="2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金华青年汽车制造有限公司</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331,884.28</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可收回性</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331" w:right="0"/>
              <w:jc w:val="left"/>
              <w:rPr>
                <w:rFonts w:ascii="宋体" w:hAnsi="宋体" w:cs="宋体" w:eastAsia="宋体" w:hint="default"/>
                <w:sz w:val="16"/>
                <w:szCs w:val="16"/>
              </w:rPr>
            </w:pPr>
            <w:r>
              <w:rPr>
                <w:rFonts w:ascii="宋体" w:hAnsi="宋体" w:cs="宋体" w:eastAsia="宋体" w:hint="default"/>
                <w:sz w:val="16"/>
                <w:szCs w:val="16"/>
              </w:rPr>
              <w:t>收到款项</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94" w:right="0"/>
              <w:jc w:val="left"/>
              <w:rPr>
                <w:rFonts w:ascii="宋体" w:hAnsi="宋体" w:cs="宋体" w:eastAsia="宋体" w:hint="default"/>
                <w:sz w:val="16"/>
                <w:szCs w:val="16"/>
              </w:rPr>
            </w:pPr>
            <w:r>
              <w:rPr>
                <w:rFonts w:ascii="宋体" w:hAnsi="宋体" w:cs="宋体" w:eastAsia="宋体" w:hint="default"/>
                <w:sz w:val="16"/>
                <w:szCs w:val="16"/>
              </w:rPr>
              <w:t>货币回款</w:t>
            </w:r>
          </w:p>
        </w:tc>
      </w:tr>
      <w:tr>
        <w:trPr>
          <w:trHeight w:val="353" w:hRule="exact"/>
        </w:trPr>
        <w:tc>
          <w:tcPr>
            <w:tcW w:w="2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四平市铁东区教育技术装备办公室</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324,571.68</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0"/>
              <w:jc w:val="center"/>
              <w:rPr>
                <w:rFonts w:ascii="宋体" w:hAnsi="宋体" w:cs="宋体" w:eastAsia="宋体" w:hint="default"/>
                <w:sz w:val="16"/>
                <w:szCs w:val="16"/>
              </w:rPr>
            </w:pPr>
            <w:r>
              <w:rPr>
                <w:rFonts w:ascii="宋体" w:hAnsi="宋体" w:cs="宋体" w:eastAsia="宋体" w:hint="default"/>
                <w:sz w:val="16"/>
                <w:szCs w:val="16"/>
              </w:rPr>
              <w:t>可收回性</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331" w:right="0"/>
              <w:jc w:val="left"/>
              <w:rPr>
                <w:rFonts w:ascii="宋体" w:hAnsi="宋体" w:cs="宋体" w:eastAsia="宋体" w:hint="default"/>
                <w:sz w:val="16"/>
                <w:szCs w:val="16"/>
              </w:rPr>
            </w:pPr>
            <w:r>
              <w:rPr>
                <w:rFonts w:ascii="宋体" w:hAnsi="宋体" w:cs="宋体" w:eastAsia="宋体" w:hint="default"/>
                <w:sz w:val="16"/>
                <w:szCs w:val="16"/>
              </w:rPr>
              <w:t>收到款项</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94" w:right="0"/>
              <w:jc w:val="left"/>
              <w:rPr>
                <w:rFonts w:ascii="宋体" w:hAnsi="宋体" w:cs="宋体" w:eastAsia="宋体" w:hint="default"/>
                <w:sz w:val="16"/>
                <w:szCs w:val="16"/>
              </w:rPr>
            </w:pPr>
            <w:r>
              <w:rPr>
                <w:rFonts w:ascii="宋体" w:hAnsi="宋体" w:cs="宋体" w:eastAsia="宋体" w:hint="default"/>
                <w:sz w:val="16"/>
                <w:szCs w:val="16"/>
              </w:rPr>
              <w:t>货币回款</w:t>
            </w:r>
          </w:p>
        </w:tc>
      </w:tr>
      <w:tr>
        <w:trPr>
          <w:trHeight w:val="353" w:hRule="exact"/>
        </w:trPr>
        <w:tc>
          <w:tcPr>
            <w:tcW w:w="27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河北省唐县第二中学</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210,000.00</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可收回性</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331" w:right="0"/>
              <w:jc w:val="left"/>
              <w:rPr>
                <w:rFonts w:ascii="宋体" w:hAnsi="宋体" w:cs="宋体" w:eastAsia="宋体" w:hint="default"/>
                <w:sz w:val="16"/>
                <w:szCs w:val="16"/>
              </w:rPr>
            </w:pPr>
            <w:r>
              <w:rPr>
                <w:rFonts w:ascii="宋体" w:hAnsi="宋体" w:cs="宋体" w:eastAsia="宋体" w:hint="default"/>
                <w:sz w:val="16"/>
                <w:szCs w:val="16"/>
              </w:rPr>
              <w:t>收到款项</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94" w:right="0"/>
              <w:jc w:val="left"/>
              <w:rPr>
                <w:rFonts w:ascii="宋体" w:hAnsi="宋体" w:cs="宋体" w:eastAsia="宋体" w:hint="default"/>
                <w:sz w:val="16"/>
                <w:szCs w:val="16"/>
              </w:rPr>
            </w:pPr>
            <w:r>
              <w:rPr>
                <w:rFonts w:ascii="宋体" w:hAnsi="宋体" w:cs="宋体" w:eastAsia="宋体" w:hint="default"/>
                <w:sz w:val="16"/>
                <w:szCs w:val="16"/>
              </w:rPr>
              <w:t>货币回款</w:t>
            </w:r>
          </w:p>
        </w:tc>
      </w:tr>
      <w:tr>
        <w:trPr>
          <w:trHeight w:val="365" w:hRule="exact"/>
        </w:trPr>
        <w:tc>
          <w:tcPr>
            <w:tcW w:w="27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1,252,592.41</w:t>
            </w:r>
          </w:p>
        </w:tc>
        <w:tc>
          <w:tcPr>
            <w:tcW w:w="1771" w:type="dxa"/>
            <w:tcBorders>
              <w:top w:val="dotted" w:sz="4" w:space="0" w:color="000000"/>
              <w:left w:val="dotted" w:sz="4" w:space="0" w:color="000000"/>
              <w:bottom w:val="single" w:sz="12" w:space="0" w:color="000000"/>
              <w:right w:val="dotted" w:sz="4" w:space="0" w:color="000000"/>
            </w:tcBorders>
          </w:tcPr>
          <w:p>
            <w:pPr/>
          </w:p>
        </w:tc>
        <w:tc>
          <w:tcPr>
            <w:tcW w:w="1313" w:type="dxa"/>
            <w:tcBorders>
              <w:top w:val="dotted" w:sz="4" w:space="0" w:color="000000"/>
              <w:left w:val="dotted" w:sz="4" w:space="0" w:color="000000"/>
              <w:bottom w:val="single" w:sz="12" w:space="0" w:color="000000"/>
              <w:right w:val="dotted" w:sz="4" w:space="0" w:color="000000"/>
            </w:tcBorders>
          </w:tcPr>
          <w:p>
            <w:pPr/>
          </w:p>
        </w:tc>
        <w:tc>
          <w:tcPr>
            <w:tcW w:w="103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6"/>
          <w:szCs w:val="26"/>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4</w:t>
      </w:r>
      <w:r>
        <w:rPr/>
        <w:t>、</w:t>
        <w:tab/>
      </w:r>
      <w:r>
        <w:rPr>
          <w:spacing w:val="-1"/>
        </w:rPr>
        <w:t>本期实际核销的应收账款情况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4712"/>
        <w:gridCol w:w="3493"/>
      </w:tblGrid>
      <w:tr>
        <w:trPr>
          <w:trHeight w:val="365" w:hRule="exact"/>
        </w:trPr>
        <w:tc>
          <w:tcPr>
            <w:tcW w:w="471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4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5"/>
              <w:jc w:val="center"/>
              <w:rPr>
                <w:rFonts w:ascii="宋体" w:hAnsi="宋体" w:cs="宋体" w:eastAsia="宋体" w:hint="default"/>
                <w:sz w:val="16"/>
                <w:szCs w:val="16"/>
              </w:rPr>
            </w:pPr>
            <w:r>
              <w:rPr>
                <w:rFonts w:ascii="宋体" w:hAnsi="宋体" w:cs="宋体" w:eastAsia="宋体" w:hint="default"/>
                <w:sz w:val="16"/>
                <w:szCs w:val="16"/>
              </w:rPr>
              <w:t>核销金额</w:t>
            </w:r>
          </w:p>
        </w:tc>
      </w:tr>
      <w:tr>
        <w:trPr>
          <w:trHeight w:val="365" w:hRule="exact"/>
        </w:trPr>
        <w:tc>
          <w:tcPr>
            <w:tcW w:w="47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实际核销的应收账款</w:t>
            </w:r>
          </w:p>
        </w:tc>
        <w:tc>
          <w:tcPr>
            <w:tcW w:w="34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5,406,209.54</w:t>
            </w:r>
          </w:p>
        </w:tc>
      </w:tr>
    </w:tbl>
    <w:p>
      <w:pPr>
        <w:spacing w:line="240" w:lineRule="auto" w:before="6"/>
        <w:rPr>
          <w:rFonts w:ascii="宋体" w:hAnsi="宋体" w:cs="宋体" w:eastAsia="宋体" w:hint="default"/>
          <w:b/>
          <w:bCs/>
          <w:sz w:val="27"/>
          <w:szCs w:val="27"/>
        </w:rPr>
      </w:pPr>
    </w:p>
    <w:p>
      <w:pPr>
        <w:pStyle w:val="BodyText"/>
        <w:spacing w:line="240" w:lineRule="auto"/>
        <w:ind w:right="3683"/>
        <w:jc w:val="left"/>
      </w:pPr>
      <w:r>
        <w:rPr/>
        <w:t>其中重要的应收账款核销情况：</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962"/>
        <w:gridCol w:w="958"/>
        <w:gridCol w:w="1268"/>
        <w:gridCol w:w="1356"/>
        <w:gridCol w:w="1172"/>
        <w:gridCol w:w="902"/>
      </w:tblGrid>
      <w:tr>
        <w:trPr>
          <w:trHeight w:val="778" w:hRule="exact"/>
        </w:trPr>
        <w:tc>
          <w:tcPr>
            <w:tcW w:w="296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9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06" w:lineRule="exact"/>
              <w:ind w:left="314" w:right="149" w:hanging="161"/>
              <w:jc w:val="left"/>
              <w:rPr>
                <w:rFonts w:ascii="宋体" w:hAnsi="宋体" w:cs="宋体" w:eastAsia="宋体" w:hint="default"/>
                <w:sz w:val="16"/>
                <w:szCs w:val="16"/>
              </w:rPr>
            </w:pPr>
            <w:r>
              <w:rPr>
                <w:rFonts w:ascii="宋体" w:hAnsi="宋体" w:cs="宋体" w:eastAsia="宋体" w:hint="default"/>
                <w:sz w:val="16"/>
                <w:szCs w:val="16"/>
              </w:rPr>
              <w:t>应收账款</w:t>
            </w:r>
            <w:r>
              <w:rPr>
                <w:rFonts w:ascii="宋体" w:hAnsi="宋体" w:cs="宋体" w:eastAsia="宋体" w:hint="default"/>
                <w:spacing w:val="-77"/>
                <w:sz w:val="16"/>
                <w:szCs w:val="16"/>
              </w:rPr>
              <w:t> </w:t>
            </w:r>
            <w:r>
              <w:rPr>
                <w:rFonts w:ascii="宋体" w:hAnsi="宋体" w:cs="宋体" w:eastAsia="宋体" w:hint="default"/>
                <w:sz w:val="16"/>
                <w:szCs w:val="16"/>
              </w:rPr>
              <w:t>性质</w:t>
            </w:r>
          </w:p>
        </w:tc>
        <w:tc>
          <w:tcPr>
            <w:tcW w:w="1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6"/>
                <w:szCs w:val="16"/>
              </w:rPr>
            </w:pPr>
            <w:r>
              <w:rPr>
                <w:rFonts w:ascii="宋体" w:hAnsi="宋体" w:cs="宋体" w:eastAsia="宋体" w:hint="default"/>
                <w:sz w:val="16"/>
                <w:szCs w:val="16"/>
              </w:rPr>
              <w:t>核销金额</w:t>
            </w:r>
          </w:p>
        </w:tc>
        <w:tc>
          <w:tcPr>
            <w:tcW w:w="13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16"/>
                <w:szCs w:val="16"/>
              </w:rPr>
            </w:pPr>
            <w:r>
              <w:rPr>
                <w:rFonts w:ascii="宋体" w:hAnsi="宋体" w:cs="宋体" w:eastAsia="宋体" w:hint="default"/>
                <w:sz w:val="16"/>
                <w:szCs w:val="16"/>
              </w:rPr>
              <w:t>核销原因</w:t>
            </w:r>
          </w:p>
        </w:tc>
        <w:tc>
          <w:tcPr>
            <w:tcW w:w="11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06" w:lineRule="exact"/>
              <w:ind w:left="418" w:right="180" w:hanging="240"/>
              <w:jc w:val="left"/>
              <w:rPr>
                <w:rFonts w:ascii="宋体" w:hAnsi="宋体" w:cs="宋体" w:eastAsia="宋体" w:hint="default"/>
                <w:sz w:val="16"/>
                <w:szCs w:val="16"/>
              </w:rPr>
            </w:pPr>
            <w:r>
              <w:rPr>
                <w:rFonts w:ascii="宋体" w:hAnsi="宋体" w:cs="宋体" w:eastAsia="宋体" w:hint="default"/>
                <w:sz w:val="16"/>
                <w:szCs w:val="16"/>
              </w:rPr>
              <w:t>履行的核销</w:t>
            </w:r>
            <w:r>
              <w:rPr>
                <w:rFonts w:ascii="宋体" w:hAnsi="宋体" w:cs="宋体" w:eastAsia="宋体" w:hint="default"/>
                <w:w w:val="100"/>
                <w:sz w:val="16"/>
                <w:szCs w:val="16"/>
              </w:rPr>
              <w:t> </w:t>
            </w:r>
            <w:r>
              <w:rPr>
                <w:rFonts w:ascii="宋体" w:hAnsi="宋体" w:cs="宋体" w:eastAsia="宋体" w:hint="default"/>
                <w:sz w:val="16"/>
                <w:szCs w:val="16"/>
              </w:rPr>
              <w:t>程序</w:t>
            </w:r>
          </w:p>
        </w:tc>
        <w:tc>
          <w:tcPr>
            <w:tcW w:w="902" w:type="dxa"/>
            <w:tcBorders>
              <w:top w:val="single" w:sz="12" w:space="0" w:color="000000"/>
              <w:left w:val="dotted" w:sz="4" w:space="0" w:color="000000"/>
              <w:bottom w:val="dotted" w:sz="4" w:space="0" w:color="000000"/>
              <w:right w:val="nil" w:sz="6" w:space="0" w:color="auto"/>
            </w:tcBorders>
          </w:tcPr>
          <w:p>
            <w:pPr>
              <w:pStyle w:val="TableParagraph"/>
              <w:spacing w:line="237" w:lineRule="auto" w:before="45"/>
              <w:ind w:left="124" w:right="127"/>
              <w:jc w:val="both"/>
              <w:rPr>
                <w:rFonts w:ascii="宋体" w:hAnsi="宋体" w:cs="宋体" w:eastAsia="宋体" w:hint="default"/>
                <w:sz w:val="16"/>
                <w:szCs w:val="16"/>
              </w:rPr>
            </w:pPr>
            <w:r>
              <w:rPr>
                <w:rFonts w:ascii="宋体" w:hAnsi="宋体" w:cs="宋体" w:eastAsia="宋体" w:hint="default"/>
                <w:sz w:val="16"/>
                <w:szCs w:val="16"/>
              </w:rPr>
              <w:t>款项是否</w:t>
            </w:r>
            <w:r>
              <w:rPr>
                <w:rFonts w:ascii="宋体" w:hAnsi="宋体" w:cs="宋体" w:eastAsia="宋体" w:hint="default"/>
                <w:spacing w:val="-77"/>
                <w:sz w:val="16"/>
                <w:szCs w:val="16"/>
              </w:rPr>
              <w:t> </w:t>
            </w:r>
            <w:r>
              <w:rPr>
                <w:rFonts w:ascii="宋体" w:hAnsi="宋体" w:cs="宋体" w:eastAsia="宋体" w:hint="default"/>
                <w:sz w:val="16"/>
                <w:szCs w:val="16"/>
              </w:rPr>
              <w:t>因关联交</w:t>
            </w:r>
            <w:r>
              <w:rPr>
                <w:rFonts w:ascii="宋体" w:hAnsi="宋体" w:cs="宋体" w:eastAsia="宋体" w:hint="default"/>
                <w:spacing w:val="-77"/>
                <w:sz w:val="16"/>
                <w:szCs w:val="16"/>
              </w:rPr>
              <w:t> </w:t>
            </w:r>
            <w:r>
              <w:rPr>
                <w:rFonts w:ascii="宋体" w:hAnsi="宋体" w:cs="宋体" w:eastAsia="宋体" w:hint="default"/>
                <w:sz w:val="16"/>
                <w:szCs w:val="16"/>
              </w:rPr>
              <w:t>易产生</w:t>
            </w:r>
          </w:p>
        </w:tc>
      </w:tr>
      <w:tr>
        <w:trPr>
          <w:trHeight w:val="365" w:hRule="exact"/>
        </w:trPr>
        <w:tc>
          <w:tcPr>
            <w:tcW w:w="29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0"/>
              <w:ind w:left="122" w:right="0"/>
              <w:jc w:val="left"/>
              <w:rPr>
                <w:rFonts w:ascii="Times New Roman" w:hAnsi="Times New Roman" w:cs="Times New Roman" w:eastAsia="Times New Roman" w:hint="default"/>
                <w:sz w:val="16"/>
                <w:szCs w:val="16"/>
              </w:rPr>
            </w:pPr>
            <w:r>
              <w:rPr>
                <w:rFonts w:ascii="Times New Roman"/>
                <w:sz w:val="16"/>
              </w:rPr>
              <w:t>Diablotek International</w:t>
            </w:r>
            <w:r>
              <w:rPr>
                <w:rFonts w:ascii="Times New Roman"/>
                <w:spacing w:val="-16"/>
                <w:sz w:val="16"/>
              </w:rPr>
              <w:t> </w:t>
            </w:r>
            <w:r>
              <w:rPr>
                <w:rFonts w:ascii="Times New Roman"/>
                <w:sz w:val="16"/>
              </w:rPr>
              <w:t>Inc.</w:t>
            </w:r>
          </w:p>
        </w:tc>
        <w:tc>
          <w:tcPr>
            <w:tcW w:w="9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3"/>
              <w:ind w:left="314" w:right="0"/>
              <w:jc w:val="left"/>
              <w:rPr>
                <w:rFonts w:ascii="宋体" w:hAnsi="宋体" w:cs="宋体" w:eastAsia="宋体" w:hint="default"/>
                <w:sz w:val="16"/>
                <w:szCs w:val="16"/>
              </w:rPr>
            </w:pPr>
            <w:r>
              <w:rPr>
                <w:rFonts w:ascii="宋体" w:hAnsi="宋体" w:cs="宋体" w:eastAsia="宋体" w:hint="default"/>
                <w:sz w:val="16"/>
                <w:szCs w:val="16"/>
              </w:rPr>
              <w:t>货款</w:t>
            </w:r>
          </w:p>
        </w:tc>
        <w:tc>
          <w:tcPr>
            <w:tcW w:w="1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left="314" w:right="0"/>
              <w:jc w:val="left"/>
              <w:rPr>
                <w:rFonts w:ascii="Times New Roman" w:hAnsi="Times New Roman" w:cs="Times New Roman" w:eastAsia="Times New Roman" w:hint="default"/>
                <w:sz w:val="16"/>
                <w:szCs w:val="16"/>
              </w:rPr>
            </w:pPr>
            <w:r>
              <w:rPr>
                <w:rFonts w:ascii="Times New Roman"/>
                <w:sz w:val="16"/>
              </w:rPr>
              <w:t>4,669,539.54</w:t>
            </w:r>
          </w:p>
        </w:tc>
        <w:tc>
          <w:tcPr>
            <w:tcW w:w="13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3"/>
              <w:ind w:left="350" w:right="0"/>
              <w:jc w:val="left"/>
              <w:rPr>
                <w:rFonts w:ascii="宋体" w:hAnsi="宋体" w:cs="宋体" w:eastAsia="宋体" w:hint="default"/>
                <w:sz w:val="16"/>
                <w:szCs w:val="16"/>
              </w:rPr>
            </w:pPr>
            <w:r>
              <w:rPr>
                <w:rFonts w:ascii="宋体" w:hAnsi="宋体" w:cs="宋体" w:eastAsia="宋体" w:hint="default"/>
                <w:sz w:val="16"/>
                <w:szCs w:val="16"/>
              </w:rPr>
              <w:t>公司注销</w:t>
            </w:r>
          </w:p>
        </w:tc>
        <w:tc>
          <w:tcPr>
            <w:tcW w:w="11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3"/>
              <w:ind w:left="178" w:right="0"/>
              <w:jc w:val="left"/>
              <w:rPr>
                <w:rFonts w:ascii="宋体" w:hAnsi="宋体" w:cs="宋体" w:eastAsia="宋体" w:hint="default"/>
                <w:sz w:val="16"/>
                <w:szCs w:val="16"/>
              </w:rPr>
            </w:pPr>
            <w:r>
              <w:rPr>
                <w:rFonts w:ascii="宋体" w:hAnsi="宋体" w:cs="宋体" w:eastAsia="宋体" w:hint="default"/>
                <w:sz w:val="16"/>
                <w:szCs w:val="16"/>
              </w:rPr>
              <w:t>董事会决议</w:t>
            </w:r>
          </w:p>
        </w:tc>
        <w:tc>
          <w:tcPr>
            <w:tcW w:w="90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3"/>
              <w:ind w:right="5"/>
              <w:jc w:val="center"/>
              <w:rPr>
                <w:rFonts w:ascii="宋体" w:hAnsi="宋体" w:cs="宋体" w:eastAsia="宋体" w:hint="default"/>
                <w:sz w:val="16"/>
                <w:szCs w:val="16"/>
              </w:rPr>
            </w:pPr>
            <w:r>
              <w:rPr>
                <w:rFonts w:ascii="宋体" w:hAnsi="宋体" w:cs="宋体" w:eastAsia="宋体" w:hint="default"/>
                <w:w w:val="100"/>
                <w:sz w:val="16"/>
                <w:szCs w:val="16"/>
              </w:rPr>
              <w:t>否</w:t>
            </w:r>
          </w:p>
        </w:tc>
      </w:tr>
    </w:tbl>
    <w:p>
      <w:pPr>
        <w:spacing w:after="0" w:line="240" w:lineRule="auto"/>
        <w:jc w:val="center"/>
        <w:rPr>
          <w:rFonts w:ascii="宋体" w:hAnsi="宋体" w:cs="宋体" w:eastAsia="宋体"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2962"/>
        <w:gridCol w:w="958"/>
        <w:gridCol w:w="1268"/>
        <w:gridCol w:w="1356"/>
        <w:gridCol w:w="1172"/>
        <w:gridCol w:w="902"/>
      </w:tblGrid>
      <w:tr>
        <w:trPr>
          <w:trHeight w:val="778" w:hRule="exact"/>
        </w:trPr>
        <w:tc>
          <w:tcPr>
            <w:tcW w:w="296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9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06" w:lineRule="exact"/>
              <w:ind w:left="314" w:right="149" w:hanging="161"/>
              <w:jc w:val="left"/>
              <w:rPr>
                <w:rFonts w:ascii="宋体" w:hAnsi="宋体" w:cs="宋体" w:eastAsia="宋体" w:hint="default"/>
                <w:sz w:val="16"/>
                <w:szCs w:val="16"/>
              </w:rPr>
            </w:pPr>
            <w:r>
              <w:rPr>
                <w:rFonts w:ascii="宋体" w:hAnsi="宋体" w:cs="宋体" w:eastAsia="宋体" w:hint="default"/>
                <w:sz w:val="16"/>
                <w:szCs w:val="16"/>
              </w:rPr>
              <w:t>应收账款</w:t>
            </w:r>
            <w:r>
              <w:rPr>
                <w:rFonts w:ascii="宋体" w:hAnsi="宋体" w:cs="宋体" w:eastAsia="宋体" w:hint="default"/>
                <w:spacing w:val="-77"/>
                <w:sz w:val="16"/>
                <w:szCs w:val="16"/>
              </w:rPr>
              <w:t> </w:t>
            </w:r>
            <w:r>
              <w:rPr>
                <w:rFonts w:ascii="宋体" w:hAnsi="宋体" w:cs="宋体" w:eastAsia="宋体" w:hint="default"/>
                <w:sz w:val="16"/>
                <w:szCs w:val="16"/>
              </w:rPr>
              <w:t>性质</w:t>
            </w:r>
          </w:p>
        </w:tc>
        <w:tc>
          <w:tcPr>
            <w:tcW w:w="1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6"/>
                <w:szCs w:val="16"/>
              </w:rPr>
            </w:pPr>
            <w:r>
              <w:rPr>
                <w:rFonts w:ascii="宋体" w:hAnsi="宋体" w:cs="宋体" w:eastAsia="宋体" w:hint="default"/>
                <w:sz w:val="16"/>
                <w:szCs w:val="16"/>
              </w:rPr>
              <w:t>核销金额</w:t>
            </w:r>
          </w:p>
        </w:tc>
        <w:tc>
          <w:tcPr>
            <w:tcW w:w="13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16"/>
                <w:szCs w:val="16"/>
              </w:rPr>
            </w:pPr>
            <w:r>
              <w:rPr>
                <w:rFonts w:ascii="宋体" w:hAnsi="宋体" w:cs="宋体" w:eastAsia="宋体" w:hint="default"/>
                <w:sz w:val="16"/>
                <w:szCs w:val="16"/>
              </w:rPr>
              <w:t>核销原因</w:t>
            </w:r>
          </w:p>
        </w:tc>
        <w:tc>
          <w:tcPr>
            <w:tcW w:w="11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06" w:lineRule="exact"/>
              <w:ind w:left="418" w:right="180" w:hanging="240"/>
              <w:jc w:val="left"/>
              <w:rPr>
                <w:rFonts w:ascii="宋体" w:hAnsi="宋体" w:cs="宋体" w:eastAsia="宋体" w:hint="default"/>
                <w:sz w:val="16"/>
                <w:szCs w:val="16"/>
              </w:rPr>
            </w:pPr>
            <w:r>
              <w:rPr>
                <w:rFonts w:ascii="宋体" w:hAnsi="宋体" w:cs="宋体" w:eastAsia="宋体" w:hint="default"/>
                <w:sz w:val="16"/>
                <w:szCs w:val="16"/>
              </w:rPr>
              <w:t>履行的核销</w:t>
            </w:r>
            <w:r>
              <w:rPr>
                <w:rFonts w:ascii="宋体" w:hAnsi="宋体" w:cs="宋体" w:eastAsia="宋体" w:hint="default"/>
                <w:w w:val="100"/>
                <w:sz w:val="16"/>
                <w:szCs w:val="16"/>
              </w:rPr>
              <w:t> </w:t>
            </w:r>
            <w:r>
              <w:rPr>
                <w:rFonts w:ascii="宋体" w:hAnsi="宋体" w:cs="宋体" w:eastAsia="宋体" w:hint="default"/>
                <w:sz w:val="16"/>
                <w:szCs w:val="16"/>
              </w:rPr>
              <w:t>程序</w:t>
            </w:r>
          </w:p>
        </w:tc>
        <w:tc>
          <w:tcPr>
            <w:tcW w:w="902" w:type="dxa"/>
            <w:tcBorders>
              <w:top w:val="single" w:sz="12" w:space="0" w:color="000000"/>
              <w:left w:val="dotted" w:sz="4" w:space="0" w:color="000000"/>
              <w:bottom w:val="dotted" w:sz="4" w:space="0" w:color="000000"/>
              <w:right w:val="nil" w:sz="6" w:space="0" w:color="auto"/>
            </w:tcBorders>
          </w:tcPr>
          <w:p>
            <w:pPr>
              <w:pStyle w:val="TableParagraph"/>
              <w:spacing w:line="237" w:lineRule="auto" w:before="45"/>
              <w:ind w:left="124" w:right="127"/>
              <w:jc w:val="both"/>
              <w:rPr>
                <w:rFonts w:ascii="宋体" w:hAnsi="宋体" w:cs="宋体" w:eastAsia="宋体" w:hint="default"/>
                <w:sz w:val="16"/>
                <w:szCs w:val="16"/>
              </w:rPr>
            </w:pPr>
            <w:r>
              <w:rPr>
                <w:rFonts w:ascii="宋体" w:hAnsi="宋体" w:cs="宋体" w:eastAsia="宋体" w:hint="default"/>
                <w:sz w:val="16"/>
                <w:szCs w:val="16"/>
              </w:rPr>
              <w:t>款项是否</w:t>
            </w:r>
            <w:r>
              <w:rPr>
                <w:rFonts w:ascii="宋体" w:hAnsi="宋体" w:cs="宋体" w:eastAsia="宋体" w:hint="default"/>
                <w:spacing w:val="-77"/>
                <w:sz w:val="16"/>
                <w:szCs w:val="16"/>
              </w:rPr>
              <w:t> </w:t>
            </w:r>
            <w:r>
              <w:rPr>
                <w:rFonts w:ascii="宋体" w:hAnsi="宋体" w:cs="宋体" w:eastAsia="宋体" w:hint="default"/>
                <w:sz w:val="16"/>
                <w:szCs w:val="16"/>
              </w:rPr>
              <w:t>因关联交</w:t>
            </w:r>
            <w:r>
              <w:rPr>
                <w:rFonts w:ascii="宋体" w:hAnsi="宋体" w:cs="宋体" w:eastAsia="宋体" w:hint="default"/>
                <w:spacing w:val="-77"/>
                <w:sz w:val="16"/>
                <w:szCs w:val="16"/>
              </w:rPr>
              <w:t> </w:t>
            </w:r>
            <w:r>
              <w:rPr>
                <w:rFonts w:ascii="宋体" w:hAnsi="宋体" w:cs="宋体" w:eastAsia="宋体" w:hint="default"/>
                <w:sz w:val="16"/>
                <w:szCs w:val="16"/>
              </w:rPr>
              <w:t>易产生</w:t>
            </w:r>
          </w:p>
        </w:tc>
      </w:tr>
      <w:tr>
        <w:trPr>
          <w:trHeight w:val="355" w:hRule="exact"/>
        </w:trPr>
        <w:tc>
          <w:tcPr>
            <w:tcW w:w="29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长沙长远电子信息技术有限公司</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货款</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470,000.00</w:t>
            </w:r>
          </w:p>
        </w:tc>
        <w:tc>
          <w:tcPr>
            <w:tcW w:w="13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350" w:right="0"/>
              <w:jc w:val="left"/>
              <w:rPr>
                <w:rFonts w:ascii="宋体" w:hAnsi="宋体" w:cs="宋体" w:eastAsia="宋体" w:hint="default"/>
                <w:sz w:val="16"/>
                <w:szCs w:val="16"/>
              </w:rPr>
            </w:pPr>
            <w:r>
              <w:rPr>
                <w:rFonts w:ascii="宋体" w:hAnsi="宋体" w:cs="宋体" w:eastAsia="宋体" w:hint="default"/>
                <w:sz w:val="16"/>
                <w:szCs w:val="16"/>
              </w:rPr>
              <w:t>公司注销</w:t>
            </w:r>
          </w:p>
        </w:tc>
        <w:tc>
          <w:tcPr>
            <w:tcW w:w="1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2"/>
              <w:jc w:val="center"/>
              <w:rPr>
                <w:rFonts w:ascii="宋体" w:hAnsi="宋体" w:cs="宋体" w:eastAsia="宋体" w:hint="default"/>
                <w:sz w:val="16"/>
                <w:szCs w:val="16"/>
              </w:rPr>
            </w:pPr>
            <w:r>
              <w:rPr>
                <w:rFonts w:ascii="宋体" w:hAnsi="宋体" w:cs="宋体" w:eastAsia="宋体" w:hint="default"/>
                <w:sz w:val="16"/>
                <w:szCs w:val="16"/>
              </w:rPr>
              <w:t>董事会决议</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5"/>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559" w:hRule="exact"/>
        </w:trPr>
        <w:tc>
          <w:tcPr>
            <w:tcW w:w="29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中国银行股份有限公司永州市分行</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货款</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103,230.00</w:t>
            </w:r>
          </w:p>
        </w:tc>
        <w:tc>
          <w:tcPr>
            <w:tcW w:w="13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92" w:right="110" w:hanging="82"/>
              <w:jc w:val="left"/>
              <w:rPr>
                <w:rFonts w:ascii="宋体" w:hAnsi="宋体" w:cs="宋体" w:eastAsia="宋体" w:hint="default"/>
                <w:sz w:val="16"/>
                <w:szCs w:val="16"/>
              </w:rPr>
            </w:pPr>
            <w:r>
              <w:rPr>
                <w:rFonts w:ascii="宋体" w:hAnsi="宋体" w:cs="宋体" w:eastAsia="宋体" w:hint="default"/>
                <w:sz w:val="16"/>
                <w:szCs w:val="16"/>
              </w:rPr>
              <w:t>对方因产品质量</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问题不予付款</w:t>
            </w:r>
          </w:p>
        </w:tc>
        <w:tc>
          <w:tcPr>
            <w:tcW w:w="1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董事会决议</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562" w:hRule="exact"/>
        </w:trPr>
        <w:tc>
          <w:tcPr>
            <w:tcW w:w="29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中国银行股份有限公司青海市分行</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货款</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85,940.00</w:t>
            </w:r>
          </w:p>
        </w:tc>
        <w:tc>
          <w:tcPr>
            <w:tcW w:w="1356"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92" w:right="110" w:hanging="82"/>
              <w:jc w:val="left"/>
              <w:rPr>
                <w:rFonts w:ascii="宋体" w:hAnsi="宋体" w:cs="宋体" w:eastAsia="宋体" w:hint="default"/>
                <w:sz w:val="16"/>
                <w:szCs w:val="16"/>
              </w:rPr>
            </w:pPr>
            <w:r>
              <w:rPr>
                <w:rFonts w:ascii="宋体" w:hAnsi="宋体" w:cs="宋体" w:eastAsia="宋体" w:hint="default"/>
                <w:sz w:val="16"/>
                <w:szCs w:val="16"/>
              </w:rPr>
              <w:t>对方因产品质量</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问题不予付款</w:t>
            </w:r>
          </w:p>
        </w:tc>
        <w:tc>
          <w:tcPr>
            <w:tcW w:w="1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董事会决议</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562" w:hRule="exact"/>
        </w:trPr>
        <w:tc>
          <w:tcPr>
            <w:tcW w:w="29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中国农业银行股份有限公司北京市分行</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货款</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60,000.00</w:t>
            </w:r>
          </w:p>
        </w:tc>
        <w:tc>
          <w:tcPr>
            <w:tcW w:w="1356"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92" w:right="110" w:hanging="82"/>
              <w:jc w:val="left"/>
              <w:rPr>
                <w:rFonts w:ascii="宋体" w:hAnsi="宋体" w:cs="宋体" w:eastAsia="宋体" w:hint="default"/>
                <w:sz w:val="16"/>
                <w:szCs w:val="16"/>
              </w:rPr>
            </w:pPr>
            <w:r>
              <w:rPr>
                <w:rFonts w:ascii="宋体" w:hAnsi="宋体" w:cs="宋体" w:eastAsia="宋体" w:hint="default"/>
                <w:sz w:val="16"/>
                <w:szCs w:val="16"/>
              </w:rPr>
              <w:t>对方因产品质量</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问题不予付款</w:t>
            </w:r>
          </w:p>
        </w:tc>
        <w:tc>
          <w:tcPr>
            <w:tcW w:w="1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4"/>
              <w:jc w:val="center"/>
              <w:rPr>
                <w:rFonts w:ascii="宋体" w:hAnsi="宋体" w:cs="宋体" w:eastAsia="宋体" w:hint="default"/>
                <w:sz w:val="16"/>
                <w:szCs w:val="16"/>
              </w:rPr>
            </w:pPr>
            <w:r>
              <w:rPr>
                <w:rFonts w:ascii="宋体" w:hAnsi="宋体" w:cs="宋体" w:eastAsia="宋体" w:hint="default"/>
                <w:sz w:val="16"/>
                <w:szCs w:val="16"/>
              </w:rPr>
              <w:t>董事会决议</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353" w:hRule="exact"/>
        </w:trPr>
        <w:tc>
          <w:tcPr>
            <w:tcW w:w="29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光量照明（上海）有限公司</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货款</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17,500.00</w:t>
            </w:r>
          </w:p>
        </w:tc>
        <w:tc>
          <w:tcPr>
            <w:tcW w:w="13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350" w:right="0"/>
              <w:jc w:val="left"/>
              <w:rPr>
                <w:rFonts w:ascii="宋体" w:hAnsi="宋体" w:cs="宋体" w:eastAsia="宋体" w:hint="default"/>
                <w:sz w:val="16"/>
                <w:szCs w:val="16"/>
              </w:rPr>
            </w:pPr>
            <w:r>
              <w:rPr>
                <w:rFonts w:ascii="宋体" w:hAnsi="宋体" w:cs="宋体" w:eastAsia="宋体" w:hint="default"/>
                <w:sz w:val="16"/>
                <w:szCs w:val="16"/>
              </w:rPr>
              <w:t>公司注销</w:t>
            </w:r>
          </w:p>
        </w:tc>
        <w:tc>
          <w:tcPr>
            <w:tcW w:w="1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2"/>
              <w:jc w:val="center"/>
              <w:rPr>
                <w:rFonts w:ascii="宋体" w:hAnsi="宋体" w:cs="宋体" w:eastAsia="宋体" w:hint="default"/>
                <w:sz w:val="16"/>
                <w:szCs w:val="16"/>
              </w:rPr>
            </w:pPr>
            <w:r>
              <w:rPr>
                <w:rFonts w:ascii="宋体" w:hAnsi="宋体" w:cs="宋体" w:eastAsia="宋体" w:hint="default"/>
                <w:sz w:val="16"/>
                <w:szCs w:val="16"/>
              </w:rPr>
              <w:t>董事会决议</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5"/>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365" w:hRule="exact"/>
        </w:trPr>
        <w:tc>
          <w:tcPr>
            <w:tcW w:w="29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958" w:type="dxa"/>
            <w:tcBorders>
              <w:top w:val="dotted" w:sz="4" w:space="0" w:color="000000"/>
              <w:left w:val="dotted" w:sz="4" w:space="0" w:color="000000"/>
              <w:bottom w:val="single" w:sz="12" w:space="0" w:color="000000"/>
              <w:right w:val="dotted" w:sz="4" w:space="0" w:color="000000"/>
            </w:tcBorders>
          </w:tcPr>
          <w:p>
            <w:pPr/>
          </w:p>
        </w:tc>
        <w:tc>
          <w:tcPr>
            <w:tcW w:w="1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5,406,209.54</w:t>
            </w:r>
          </w:p>
        </w:tc>
        <w:tc>
          <w:tcPr>
            <w:tcW w:w="1356" w:type="dxa"/>
            <w:tcBorders>
              <w:top w:val="dotted" w:sz="4" w:space="0" w:color="000000"/>
              <w:left w:val="dotted" w:sz="4" w:space="0" w:color="000000"/>
              <w:bottom w:val="single" w:sz="12" w:space="0" w:color="000000"/>
              <w:right w:val="dotted" w:sz="4" w:space="0" w:color="000000"/>
            </w:tcBorders>
          </w:tcPr>
          <w:p>
            <w:pPr/>
          </w:p>
        </w:tc>
        <w:tc>
          <w:tcPr>
            <w:tcW w:w="1172" w:type="dxa"/>
            <w:tcBorders>
              <w:top w:val="dotted" w:sz="4" w:space="0" w:color="000000"/>
              <w:left w:val="dotted" w:sz="4" w:space="0" w:color="000000"/>
              <w:bottom w:val="single" w:sz="12" w:space="0" w:color="000000"/>
              <w:right w:val="dotted" w:sz="4" w:space="0" w:color="000000"/>
            </w:tcBorders>
          </w:tcPr>
          <w:p>
            <w:pPr/>
          </w:p>
        </w:tc>
        <w:tc>
          <w:tcPr>
            <w:tcW w:w="90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6"/>
          <w:szCs w:val="26"/>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5</w:t>
      </w:r>
      <w:r>
        <w:rPr/>
        <w:t>、</w:t>
        <w:tab/>
      </w:r>
      <w:r>
        <w:rPr>
          <w:spacing w:val="-1"/>
        </w:rPr>
        <w:t>按欠款方归集的期末余额前五名的应收账款情况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526"/>
        <w:gridCol w:w="1676"/>
        <w:gridCol w:w="1505"/>
        <w:gridCol w:w="1498"/>
      </w:tblGrid>
      <w:tr>
        <w:trPr>
          <w:trHeight w:val="365" w:hRule="exact"/>
        </w:trPr>
        <w:tc>
          <w:tcPr>
            <w:tcW w:w="352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16"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467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5"/>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562" w:hRule="exact"/>
        </w:trPr>
        <w:tc>
          <w:tcPr>
            <w:tcW w:w="3526" w:type="dxa"/>
            <w:vMerge/>
            <w:tcBorders>
              <w:left w:val="nil" w:sz="6" w:space="0" w:color="auto"/>
              <w:bottom w:val="dotted" w:sz="4" w:space="0" w:color="000000"/>
              <w:right w:val="dotted" w:sz="4" w:space="0" w:color="000000"/>
            </w:tcBorders>
          </w:tcPr>
          <w:p>
            <w:pP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508"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386" w:right="104" w:hanging="279"/>
              <w:jc w:val="left"/>
              <w:rPr>
                <w:rFonts w:ascii="Times New Roman" w:hAnsi="Times New Roman" w:cs="Times New Roman" w:eastAsia="Times New Roman" w:hint="default"/>
                <w:sz w:val="16"/>
                <w:szCs w:val="16"/>
              </w:rPr>
            </w:pPr>
            <w:r>
              <w:rPr>
                <w:rFonts w:ascii="宋体" w:hAnsi="宋体" w:cs="宋体" w:eastAsia="宋体" w:hint="default"/>
                <w:sz w:val="16"/>
                <w:szCs w:val="16"/>
              </w:rPr>
              <w:t>占应收账款合计数</w:t>
            </w:r>
            <w:r>
              <w:rPr>
                <w:rFonts w:ascii="宋体" w:hAnsi="宋体" w:cs="宋体" w:eastAsia="宋体" w:hint="default"/>
                <w:w w:val="100"/>
                <w:sz w:val="16"/>
                <w:szCs w:val="16"/>
              </w:rPr>
              <w:t> </w:t>
            </w:r>
            <w:r>
              <w:rPr>
                <w:rFonts w:ascii="宋体" w:hAnsi="宋体" w:cs="宋体" w:eastAsia="宋体" w:hint="default"/>
                <w:sz w:val="16"/>
                <w:szCs w:val="16"/>
              </w:rPr>
              <w:t>的比例</w:t>
            </w:r>
            <w:r>
              <w:rPr>
                <w:rFonts w:ascii="Times New Roman" w:hAnsi="Times New Roman" w:cs="Times New Roman" w:eastAsia="Times New Roman" w:hint="default"/>
                <w:sz w:val="16"/>
                <w:szCs w:val="16"/>
              </w:rPr>
              <w:t>(%)</w:t>
            </w:r>
          </w:p>
        </w:tc>
        <w:tc>
          <w:tcPr>
            <w:tcW w:w="14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420"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353"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1</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210,696,492.10</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6.36</w:t>
            </w:r>
          </w:p>
        </w:tc>
        <w:tc>
          <w:tcPr>
            <w:tcW w:w="14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12,659,982.63</w:t>
            </w:r>
          </w:p>
        </w:tc>
      </w:tr>
      <w:tr>
        <w:trPr>
          <w:trHeight w:val="353"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中软信息系统工程有限公司</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2"/>
                <w:sz w:val="16"/>
              </w:rPr>
              <w:t>115,956,403.00</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3.50</w:t>
            </w:r>
          </w:p>
        </w:tc>
        <w:tc>
          <w:tcPr>
            <w:tcW w:w="14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2,777,070.15</w:t>
            </w:r>
          </w:p>
        </w:tc>
      </w:tr>
      <w:tr>
        <w:trPr>
          <w:trHeight w:val="353"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2</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2"/>
              <w:jc w:val="right"/>
              <w:rPr>
                <w:rFonts w:ascii="Times New Roman" w:hAnsi="Times New Roman" w:cs="Times New Roman" w:eastAsia="Times New Roman" w:hint="default"/>
                <w:sz w:val="16"/>
                <w:szCs w:val="16"/>
              </w:rPr>
            </w:pPr>
            <w:r>
              <w:rPr>
                <w:rFonts w:ascii="Times New Roman"/>
                <w:spacing w:val="-2"/>
                <w:sz w:val="16"/>
              </w:rPr>
              <w:t>96,997,211.85</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2.93</w:t>
            </w:r>
          </w:p>
        </w:tc>
        <w:tc>
          <w:tcPr>
            <w:tcW w:w="14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4,849,860.59</w:t>
            </w:r>
          </w:p>
        </w:tc>
      </w:tr>
      <w:tr>
        <w:trPr>
          <w:trHeight w:val="355"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3</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2"/>
                <w:sz w:val="16"/>
              </w:rPr>
              <w:t>77,045,604.80</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2.32</w:t>
            </w:r>
          </w:p>
        </w:tc>
        <w:tc>
          <w:tcPr>
            <w:tcW w:w="14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3,852,280.24</w:t>
            </w:r>
          </w:p>
        </w:tc>
      </w:tr>
      <w:tr>
        <w:trPr>
          <w:trHeight w:val="353"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4</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68,554,663.34</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2.07</w:t>
            </w:r>
          </w:p>
        </w:tc>
        <w:tc>
          <w:tcPr>
            <w:tcW w:w="14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5,377,028.33</w:t>
            </w:r>
          </w:p>
        </w:tc>
      </w:tr>
      <w:tr>
        <w:trPr>
          <w:trHeight w:val="365" w:hRule="exact"/>
        </w:trPr>
        <w:tc>
          <w:tcPr>
            <w:tcW w:w="35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7"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6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569,250,375.09</w:t>
            </w:r>
          </w:p>
        </w:tc>
        <w:tc>
          <w:tcPr>
            <w:tcW w:w="15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17.18</w:t>
            </w:r>
          </w:p>
        </w:tc>
        <w:tc>
          <w:tcPr>
            <w:tcW w:w="149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29,516,221.94</w:t>
            </w:r>
          </w:p>
        </w:tc>
      </w:tr>
    </w:tbl>
    <w:p>
      <w:pPr>
        <w:spacing w:line="240" w:lineRule="auto" w:before="7"/>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6</w:t>
      </w:r>
      <w:r>
        <w:rPr/>
        <w:t>、</w:t>
        <w:tab/>
      </w:r>
      <w:r>
        <w:rPr>
          <w:spacing w:val="-1"/>
        </w:rPr>
        <w:t>因金融资产转移而终止确认的应收账款</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948"/>
        <w:gridCol w:w="1558"/>
        <w:gridCol w:w="2129"/>
        <w:gridCol w:w="1570"/>
      </w:tblGrid>
      <w:tr>
        <w:trPr>
          <w:trHeight w:val="492" w:hRule="exact"/>
        </w:trPr>
        <w:tc>
          <w:tcPr>
            <w:tcW w:w="29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6"/>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292" w:right="0"/>
              <w:jc w:val="left"/>
              <w:rPr>
                <w:rFonts w:ascii="宋体" w:hAnsi="宋体" w:cs="宋体" w:eastAsia="宋体" w:hint="default"/>
                <w:sz w:val="16"/>
                <w:szCs w:val="16"/>
              </w:rPr>
            </w:pPr>
            <w:r>
              <w:rPr>
                <w:rFonts w:ascii="宋体" w:hAnsi="宋体" w:cs="宋体" w:eastAsia="宋体" w:hint="default"/>
                <w:sz w:val="16"/>
                <w:szCs w:val="16"/>
              </w:rPr>
              <w:t>终止确认金额</w:t>
            </w:r>
          </w:p>
        </w:tc>
        <w:tc>
          <w:tcPr>
            <w:tcW w:w="21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338" w:right="0"/>
              <w:jc w:val="left"/>
              <w:rPr>
                <w:rFonts w:ascii="宋体" w:hAnsi="宋体" w:cs="宋体" w:eastAsia="宋体" w:hint="default"/>
                <w:sz w:val="16"/>
                <w:szCs w:val="16"/>
              </w:rPr>
            </w:pPr>
            <w:r>
              <w:rPr>
                <w:rFonts w:ascii="宋体" w:hAnsi="宋体" w:cs="宋体" w:eastAsia="宋体" w:hint="default"/>
                <w:sz w:val="16"/>
                <w:szCs w:val="16"/>
              </w:rPr>
              <w:t>金融资产转移的方式</w:t>
            </w:r>
          </w:p>
        </w:tc>
        <w:tc>
          <w:tcPr>
            <w:tcW w:w="157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377" w:right="144" w:hanging="240"/>
              <w:jc w:val="left"/>
              <w:rPr>
                <w:rFonts w:ascii="宋体" w:hAnsi="宋体" w:cs="宋体" w:eastAsia="宋体" w:hint="default"/>
                <w:sz w:val="16"/>
                <w:szCs w:val="16"/>
              </w:rPr>
            </w:pPr>
            <w:r>
              <w:rPr>
                <w:rFonts w:ascii="宋体" w:hAnsi="宋体" w:cs="宋体" w:eastAsia="宋体" w:hint="default"/>
                <w:spacing w:val="-1"/>
                <w:sz w:val="16"/>
                <w:szCs w:val="16"/>
              </w:rPr>
              <w:t>与终止确认相关的</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利得或损失</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2"/>
                <w:sz w:val="16"/>
              </w:rPr>
              <w:t>44,750,809.20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2"/>
                <w:sz w:val="16"/>
              </w:rPr>
              <w:t>-2,392,711.96</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8"/>
              <w:ind w:left="122" w:right="0"/>
              <w:jc w:val="left"/>
              <w:rPr>
                <w:rFonts w:ascii="Times New Roman" w:hAnsi="Times New Roman" w:cs="Times New Roman" w:eastAsia="Times New Roman" w:hint="default"/>
                <w:sz w:val="16"/>
                <w:szCs w:val="16"/>
              </w:rPr>
            </w:pPr>
            <w:r>
              <w:rPr>
                <w:rFonts w:ascii="Times New Roman"/>
                <w:sz w:val="16"/>
              </w:rPr>
              <w:t>Flextronics Logistics Poland Sp. z</w:t>
            </w:r>
            <w:r>
              <w:rPr>
                <w:rFonts w:ascii="Times New Roman"/>
                <w:spacing w:val="-24"/>
                <w:sz w:val="16"/>
              </w:rPr>
              <w:t> </w:t>
            </w:r>
            <w:r>
              <w:rPr>
                <w:rFonts w:ascii="Times New Roman"/>
                <w:sz w:val="16"/>
              </w:rPr>
              <w:t>o.o.</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2"/>
                <w:sz w:val="16"/>
              </w:rPr>
              <w:t>27,353,451.71</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-887,906.50</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5</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2"/>
                <w:sz w:val="16"/>
              </w:rPr>
              <w:t>20,342,602.00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-840,853.82</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2"/>
                <w:sz w:val="16"/>
              </w:rPr>
              <w:t>19,966,945.85</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-1,068,230.22</w:t>
            </w:r>
          </w:p>
        </w:tc>
      </w:tr>
      <w:tr>
        <w:trPr>
          <w:trHeight w:val="434"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tabs>
                <w:tab w:pos="853" w:val="left" w:leader="none"/>
                <w:tab w:pos="1247" w:val="left" w:leader="none"/>
                <w:tab w:pos="2021" w:val="left" w:leader="none"/>
              </w:tabs>
              <w:spacing w:line="240" w:lineRule="auto" w:before="30"/>
              <w:ind w:left="122" w:right="102"/>
              <w:jc w:val="left"/>
              <w:rPr>
                <w:rFonts w:ascii="Times New Roman" w:hAnsi="Times New Roman" w:cs="Times New Roman" w:eastAsia="Times New Roman" w:hint="default"/>
                <w:sz w:val="16"/>
                <w:szCs w:val="16"/>
              </w:rPr>
            </w:pPr>
            <w:r>
              <w:rPr>
                <w:rFonts w:ascii="Times New Roman"/>
                <w:spacing w:val="-1"/>
                <w:sz w:val="16"/>
              </w:rPr>
              <w:t>Procter</w:t>
              <w:tab/>
            </w:r>
            <w:r>
              <w:rPr>
                <w:rFonts w:ascii="Times New Roman"/>
                <w:sz w:val="16"/>
              </w:rPr>
              <w:t>&amp;</w:t>
              <w:tab/>
            </w:r>
            <w:r>
              <w:rPr>
                <w:rFonts w:ascii="Times New Roman"/>
                <w:spacing w:val="-1"/>
                <w:sz w:val="16"/>
              </w:rPr>
              <w:t>Gamble</w:t>
              <w:tab/>
            </w:r>
            <w:r>
              <w:rPr>
                <w:rFonts w:ascii="Times New Roman"/>
                <w:spacing w:val="-2"/>
                <w:sz w:val="16"/>
              </w:rPr>
              <w:t>International</w:t>
            </w:r>
            <w:r>
              <w:rPr>
                <w:rFonts w:ascii="Times New Roman"/>
                <w:spacing w:val="-24"/>
                <w:sz w:val="16"/>
              </w:rPr>
              <w:t> </w:t>
            </w:r>
            <w:r>
              <w:rPr>
                <w:rFonts w:ascii="Times New Roman"/>
                <w:spacing w:val="-24"/>
                <w:sz w:val="16"/>
              </w:rPr>
            </w:r>
            <w:r>
              <w:rPr>
                <w:rFonts w:ascii="Times New Roman"/>
                <w:sz w:val="16"/>
              </w:rPr>
              <w:t>Operations</w:t>
            </w:r>
            <w:r>
              <w:rPr>
                <w:rFonts w:ascii="Times New Roman"/>
                <w:spacing w:val="-5"/>
                <w:sz w:val="16"/>
              </w:rPr>
              <w:t> </w:t>
            </w:r>
            <w:r>
              <w:rPr>
                <w:rFonts w:ascii="Times New Roman"/>
                <w:sz w:val="16"/>
              </w:rPr>
              <w:t>SA</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101"/>
              <w:jc w:val="right"/>
              <w:rPr>
                <w:rFonts w:ascii="Times New Roman" w:hAnsi="Times New Roman" w:cs="Times New Roman" w:eastAsia="Times New Roman" w:hint="default"/>
                <w:sz w:val="16"/>
                <w:szCs w:val="16"/>
              </w:rPr>
            </w:pPr>
            <w:r>
              <w:rPr>
                <w:rFonts w:ascii="Times New Roman"/>
                <w:spacing w:val="-2"/>
                <w:sz w:val="16"/>
              </w:rPr>
              <w:t>18,630,792.49</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2"/>
              <w:ind w:right="107"/>
              <w:jc w:val="right"/>
              <w:rPr>
                <w:rFonts w:ascii="Times New Roman" w:hAnsi="Times New Roman" w:cs="Times New Roman" w:eastAsia="Times New Roman" w:hint="default"/>
                <w:sz w:val="16"/>
                <w:szCs w:val="16"/>
              </w:rPr>
            </w:pPr>
            <w:r>
              <w:rPr>
                <w:rFonts w:ascii="Times New Roman"/>
                <w:spacing w:val="-1"/>
                <w:sz w:val="16"/>
              </w:rPr>
              <w:t>-604,764.69</w:t>
            </w:r>
          </w:p>
        </w:tc>
      </w:tr>
      <w:tr>
        <w:trPr>
          <w:trHeight w:val="434"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0"/>
              <w:ind w:left="122" w:right="97"/>
              <w:jc w:val="left"/>
              <w:rPr>
                <w:rFonts w:ascii="Times New Roman" w:hAnsi="Times New Roman" w:cs="Times New Roman" w:eastAsia="Times New Roman" w:hint="default"/>
                <w:sz w:val="16"/>
                <w:szCs w:val="16"/>
              </w:rPr>
            </w:pPr>
            <w:r>
              <w:rPr>
                <w:rFonts w:ascii="Times New Roman"/>
                <w:sz w:val="16"/>
              </w:rPr>
              <w:t>PENAC </w:t>
            </w:r>
            <w:r>
              <w:rPr>
                <w:rFonts w:ascii="Times New Roman"/>
                <w:spacing w:val="-3"/>
                <w:sz w:val="16"/>
              </w:rPr>
              <w:t>NORTH </w:t>
            </w:r>
            <w:r>
              <w:rPr>
                <w:rFonts w:ascii="Times New Roman"/>
                <w:sz w:val="16"/>
              </w:rPr>
              <w:t>MAERICA</w:t>
            </w:r>
            <w:r>
              <w:rPr>
                <w:rFonts w:ascii="Times New Roman"/>
                <w:spacing w:val="31"/>
                <w:sz w:val="16"/>
              </w:rPr>
              <w:t> </w:t>
            </w:r>
            <w:r>
              <w:rPr>
                <w:rFonts w:ascii="Times New Roman"/>
                <w:spacing w:val="-4"/>
                <w:sz w:val="16"/>
              </w:rPr>
              <w:t>SUPPLY</w:t>
            </w:r>
            <w:r>
              <w:rPr>
                <w:rFonts w:ascii="Times New Roman"/>
                <w:w w:val="100"/>
                <w:sz w:val="16"/>
              </w:rPr>
              <w:t> </w:t>
            </w:r>
            <w:r>
              <w:rPr>
                <w:rFonts w:ascii="Times New Roman"/>
                <w:sz w:val="16"/>
              </w:rPr>
              <w:t>CENTER</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101"/>
              <w:jc w:val="right"/>
              <w:rPr>
                <w:rFonts w:ascii="Times New Roman" w:hAnsi="Times New Roman" w:cs="Times New Roman" w:eastAsia="Times New Roman" w:hint="default"/>
                <w:sz w:val="16"/>
                <w:szCs w:val="16"/>
              </w:rPr>
            </w:pPr>
            <w:r>
              <w:rPr>
                <w:rFonts w:ascii="Times New Roman"/>
                <w:spacing w:val="-2"/>
                <w:sz w:val="16"/>
              </w:rPr>
              <w:t>13,240,531.42</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2"/>
              <w:ind w:right="107"/>
              <w:jc w:val="right"/>
              <w:rPr>
                <w:rFonts w:ascii="Times New Roman" w:hAnsi="Times New Roman" w:cs="Times New Roman" w:eastAsia="Times New Roman" w:hint="default"/>
                <w:sz w:val="16"/>
                <w:szCs w:val="16"/>
              </w:rPr>
            </w:pPr>
            <w:r>
              <w:rPr>
                <w:rFonts w:ascii="Times New Roman"/>
                <w:spacing w:val="-1"/>
                <w:sz w:val="16"/>
              </w:rPr>
              <w:t>-429,794.16</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2"/>
                <w:sz w:val="16"/>
              </w:rPr>
              <w:t>12,404,618.56</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-663,243.40</w:t>
            </w:r>
          </w:p>
        </w:tc>
      </w:tr>
      <w:tr>
        <w:trPr>
          <w:trHeight w:val="351"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1</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6"/>
                <w:szCs w:val="16"/>
              </w:rPr>
            </w:pPr>
            <w:r>
              <w:rPr>
                <w:rFonts w:ascii="Times New Roman"/>
                <w:spacing w:val="-2"/>
                <w:sz w:val="16"/>
              </w:rPr>
              <w:t>12,000,000.00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6"/>
                <w:szCs w:val="16"/>
              </w:rPr>
            </w:pPr>
            <w:r>
              <w:rPr>
                <w:rFonts w:ascii="Times New Roman"/>
                <w:spacing w:val="-1"/>
                <w:sz w:val="16"/>
              </w:rPr>
              <w:t>-645,500.00</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2"/>
                <w:sz w:val="16"/>
              </w:rPr>
              <w:t>11,815,580.00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-488,392.56</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9</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2"/>
                <w:sz w:val="16"/>
              </w:rPr>
              <w:t>10,421,096.00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-430,752.09</w:t>
            </w:r>
          </w:p>
        </w:tc>
      </w:tr>
      <w:tr>
        <w:trPr>
          <w:trHeight w:val="434"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8"/>
              <w:ind w:left="122" w:right="105"/>
              <w:jc w:val="left"/>
              <w:rPr>
                <w:rFonts w:ascii="Times New Roman" w:hAnsi="Times New Roman" w:cs="Times New Roman" w:eastAsia="Times New Roman" w:hint="default"/>
                <w:sz w:val="16"/>
                <w:szCs w:val="16"/>
              </w:rPr>
            </w:pPr>
            <w:r>
              <w:rPr>
                <w:rFonts w:ascii="Times New Roman"/>
                <w:sz w:val="16"/>
              </w:rPr>
              <w:t>PHILIPS ELECTRONICS</w:t>
            </w:r>
            <w:r>
              <w:rPr>
                <w:rFonts w:ascii="Times New Roman"/>
                <w:spacing w:val="35"/>
                <w:sz w:val="16"/>
              </w:rPr>
              <w:t> </w:t>
            </w:r>
            <w:r>
              <w:rPr>
                <w:rFonts w:ascii="Times New Roman"/>
                <w:sz w:val="16"/>
              </w:rPr>
              <w:t>(ZHUHAI)</w:t>
            </w:r>
            <w:r>
              <w:rPr>
                <w:rFonts w:ascii="Times New Roman"/>
                <w:w w:val="100"/>
                <w:sz w:val="16"/>
              </w:rPr>
              <w:t> </w:t>
            </w:r>
            <w:r>
              <w:rPr>
                <w:rFonts w:ascii="Times New Roman"/>
                <w:spacing w:val="-3"/>
                <w:sz w:val="16"/>
              </w:rPr>
              <w:t>COMPANY</w:t>
            </w:r>
            <w:r>
              <w:rPr>
                <w:rFonts w:ascii="Times New Roman"/>
                <w:sz w:val="16"/>
              </w:rPr>
              <w:t> </w:t>
            </w:r>
            <w:r>
              <w:rPr>
                <w:rFonts w:ascii="Times New Roman"/>
                <w:spacing w:val="-4"/>
                <w:sz w:val="16"/>
              </w:rPr>
              <w:t>LTD.</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101"/>
              <w:jc w:val="right"/>
              <w:rPr>
                <w:rFonts w:ascii="Times New Roman" w:hAnsi="Times New Roman" w:cs="Times New Roman" w:eastAsia="Times New Roman" w:hint="default"/>
                <w:sz w:val="16"/>
                <w:szCs w:val="16"/>
              </w:rPr>
            </w:pPr>
            <w:r>
              <w:rPr>
                <w:rFonts w:ascii="Times New Roman"/>
                <w:spacing w:val="-1"/>
                <w:sz w:val="16"/>
              </w:rPr>
              <w:t>6,905,432.50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2"/>
              <w:ind w:right="107"/>
              <w:jc w:val="right"/>
              <w:rPr>
                <w:rFonts w:ascii="Times New Roman" w:hAnsi="Times New Roman" w:cs="Times New Roman" w:eastAsia="Times New Roman" w:hint="default"/>
                <w:sz w:val="16"/>
                <w:szCs w:val="16"/>
              </w:rPr>
            </w:pPr>
            <w:r>
              <w:rPr>
                <w:rFonts w:ascii="Times New Roman"/>
                <w:spacing w:val="-1"/>
                <w:sz w:val="16"/>
              </w:rPr>
              <w:t>-224,153.74</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6,840,000.00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-282,728.83</w:t>
            </w:r>
          </w:p>
        </w:tc>
      </w:tr>
      <w:tr>
        <w:trPr>
          <w:trHeight w:val="360" w:hRule="exact"/>
        </w:trPr>
        <w:tc>
          <w:tcPr>
            <w:tcW w:w="29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pacing w:val="-6"/>
                <w:sz w:val="16"/>
                <w:szCs w:val="16"/>
              </w:rPr>
              <w:t>11</w:t>
            </w:r>
            <w:r>
              <w:rPr>
                <w:rFonts w:ascii="Times New Roman" w:hAnsi="Times New Roman" w:cs="Times New Roman" w:eastAsia="Times New Roman" w:hint="default"/>
                <w:sz w:val="16"/>
                <w:szCs w:val="16"/>
              </w:rPr>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6,220,751.80</w:t>
            </w:r>
          </w:p>
        </w:tc>
        <w:tc>
          <w:tcPr>
            <w:tcW w:w="2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-332,607.78</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2948"/>
        <w:gridCol w:w="1558"/>
        <w:gridCol w:w="2129"/>
        <w:gridCol w:w="1570"/>
      </w:tblGrid>
      <w:tr>
        <w:trPr>
          <w:trHeight w:val="492" w:hRule="exact"/>
        </w:trPr>
        <w:tc>
          <w:tcPr>
            <w:tcW w:w="29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6"/>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292" w:right="0"/>
              <w:jc w:val="left"/>
              <w:rPr>
                <w:rFonts w:ascii="宋体" w:hAnsi="宋体" w:cs="宋体" w:eastAsia="宋体" w:hint="default"/>
                <w:sz w:val="16"/>
                <w:szCs w:val="16"/>
              </w:rPr>
            </w:pPr>
            <w:r>
              <w:rPr>
                <w:rFonts w:ascii="宋体" w:hAnsi="宋体" w:cs="宋体" w:eastAsia="宋体" w:hint="default"/>
                <w:sz w:val="16"/>
                <w:szCs w:val="16"/>
              </w:rPr>
              <w:t>终止确认金额</w:t>
            </w:r>
          </w:p>
        </w:tc>
        <w:tc>
          <w:tcPr>
            <w:tcW w:w="21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338" w:right="0"/>
              <w:jc w:val="left"/>
              <w:rPr>
                <w:rFonts w:ascii="宋体" w:hAnsi="宋体" w:cs="宋体" w:eastAsia="宋体" w:hint="default"/>
                <w:sz w:val="16"/>
                <w:szCs w:val="16"/>
              </w:rPr>
            </w:pPr>
            <w:r>
              <w:rPr>
                <w:rFonts w:ascii="宋体" w:hAnsi="宋体" w:cs="宋体" w:eastAsia="宋体" w:hint="default"/>
                <w:sz w:val="16"/>
                <w:szCs w:val="16"/>
              </w:rPr>
              <w:t>金融资产转移的方式</w:t>
            </w:r>
          </w:p>
        </w:tc>
        <w:tc>
          <w:tcPr>
            <w:tcW w:w="1570" w:type="dxa"/>
            <w:tcBorders>
              <w:top w:val="single" w:sz="12" w:space="0" w:color="000000"/>
              <w:left w:val="dotted" w:sz="4" w:space="0" w:color="000000"/>
              <w:bottom w:val="dotted" w:sz="4" w:space="0" w:color="000000"/>
              <w:right w:val="nil" w:sz="6" w:space="0" w:color="auto"/>
            </w:tcBorders>
          </w:tcPr>
          <w:p>
            <w:pPr>
              <w:pStyle w:val="TableParagraph"/>
              <w:spacing w:line="206" w:lineRule="exact" w:before="25"/>
              <w:ind w:left="377" w:right="144" w:hanging="240"/>
              <w:jc w:val="left"/>
              <w:rPr>
                <w:rFonts w:ascii="宋体" w:hAnsi="宋体" w:cs="宋体" w:eastAsia="宋体" w:hint="default"/>
                <w:sz w:val="16"/>
                <w:szCs w:val="16"/>
              </w:rPr>
            </w:pPr>
            <w:r>
              <w:rPr>
                <w:rFonts w:ascii="宋体" w:hAnsi="宋体" w:cs="宋体" w:eastAsia="宋体" w:hint="default"/>
                <w:spacing w:val="-1"/>
                <w:sz w:val="16"/>
                <w:szCs w:val="16"/>
              </w:rPr>
              <w:t>与终止确认相关的</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利得或损失</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6,142,500.00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-253,897.93</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44</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6,000,000.00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-322,750.00</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45</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6,000,000.00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-322,750.00</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6,000,000.00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-322,750.00</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5,813,787.90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-310,848.45</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14</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5,670,126.00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-234,372.54</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15</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5,026,825.65</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-268,771.58</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6"/>
                <w:szCs w:val="16"/>
              </w:rPr>
            </w:pPr>
            <w:r>
              <w:rPr>
                <w:rFonts w:ascii="Times New Roman"/>
                <w:spacing w:val="-1"/>
                <w:sz w:val="16"/>
              </w:rPr>
              <w:t>4,675,579.68</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6"/>
                <w:szCs w:val="16"/>
              </w:rPr>
            </w:pPr>
            <w:r>
              <w:rPr>
                <w:rFonts w:ascii="Times New Roman"/>
                <w:spacing w:val="-1"/>
                <w:sz w:val="16"/>
              </w:rPr>
              <w:t>-249,991.35</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4,577,865.30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-244,766.81</w:t>
            </w:r>
          </w:p>
        </w:tc>
      </w:tr>
      <w:tr>
        <w:trPr>
          <w:trHeight w:val="351"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4,520,000.00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-186,832.50</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19</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4,250,547.42</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-227,265.96</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4,248,090.00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-175,593.21</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21</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3,446,992.20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-184,301.91</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3,300,000.00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-177,512.50</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8"/>
              <w:ind w:left="122" w:right="0"/>
              <w:jc w:val="left"/>
              <w:rPr>
                <w:rFonts w:ascii="Times New Roman" w:hAnsi="Times New Roman" w:cs="Times New Roman" w:eastAsia="Times New Roman" w:hint="default"/>
                <w:sz w:val="16"/>
                <w:szCs w:val="16"/>
              </w:rPr>
            </w:pPr>
            <w:r>
              <w:rPr>
                <w:rFonts w:ascii="Times New Roman"/>
                <w:sz w:val="16"/>
              </w:rPr>
              <w:t>Philips Consumer Lifestyle</w:t>
            </w:r>
            <w:r>
              <w:rPr>
                <w:rFonts w:ascii="Times New Roman"/>
                <w:spacing w:val="-13"/>
                <w:sz w:val="16"/>
              </w:rPr>
              <w:t> </w:t>
            </w:r>
            <w:r>
              <w:rPr>
                <w:rFonts w:ascii="Times New Roman"/>
                <w:sz w:val="16"/>
              </w:rPr>
              <w:t>BV</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3,040,129.90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2"/>
                <w:sz w:val="16"/>
              </w:rPr>
              <w:t>-98,684.11</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3,000,000.00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-161,375.00</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2,856,577.26</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-152,733.92</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桂林长海发展有限责任公司</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2,242,000.00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2"/>
                <w:sz w:val="16"/>
              </w:rPr>
              <w:t>-119,874.04</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49</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2,200,000.00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2"/>
                <w:sz w:val="16"/>
              </w:rPr>
              <w:t>-118,341.67</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6"/>
                <w:szCs w:val="16"/>
              </w:rPr>
            </w:pPr>
            <w:r>
              <w:rPr>
                <w:rFonts w:ascii="Times New Roman"/>
                <w:spacing w:val="-1"/>
                <w:sz w:val="16"/>
              </w:rPr>
              <w:t>2,126,931.64</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6"/>
                <w:szCs w:val="16"/>
              </w:rPr>
            </w:pPr>
            <w:r>
              <w:rPr>
                <w:rFonts w:ascii="Times New Roman"/>
                <w:spacing w:val="-2"/>
                <w:sz w:val="16"/>
              </w:rPr>
              <w:t>-113,721.62</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9"/>
              <w:ind w:right="101"/>
              <w:jc w:val="right"/>
              <w:rPr>
                <w:rFonts w:ascii="Times New Roman" w:hAnsi="Times New Roman" w:cs="Times New Roman" w:eastAsia="Times New Roman" w:hint="default"/>
                <w:sz w:val="16"/>
                <w:szCs w:val="16"/>
              </w:rPr>
            </w:pPr>
            <w:r>
              <w:rPr>
                <w:rFonts w:ascii="Times New Roman"/>
                <w:spacing w:val="-1"/>
                <w:sz w:val="16"/>
              </w:rPr>
              <w:t>2,000,000.00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6"/>
                <w:szCs w:val="16"/>
              </w:rPr>
            </w:pPr>
            <w:r>
              <w:rPr>
                <w:rFonts w:ascii="Times New Roman"/>
                <w:spacing w:val="-1"/>
                <w:sz w:val="16"/>
              </w:rPr>
              <w:t>-107,583.33</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51</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2,000,000.00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-107,583.33</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2,000,000.00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-107,583.33</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2,000,000.00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-107,583.33</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24</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6"/>
                <w:szCs w:val="16"/>
              </w:rPr>
            </w:pPr>
            <w:r>
              <w:rPr>
                <w:rFonts w:ascii="Times New Roman"/>
                <w:spacing w:val="-1"/>
                <w:sz w:val="16"/>
              </w:rPr>
              <w:t>1,934,312.18</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6"/>
                <w:szCs w:val="16"/>
              </w:rPr>
            </w:pPr>
            <w:r>
              <w:rPr>
                <w:rFonts w:ascii="Times New Roman"/>
                <w:spacing w:val="-1"/>
                <w:sz w:val="16"/>
              </w:rPr>
              <w:t>-103,422.75</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25</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1,803,151.50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-96,409.92</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1,776,885.80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-95,005.56</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1,679,447.40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-89,795.78</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1,524,242.50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-81,497.37</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29</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1,512,106.20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-80,848.47</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54</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1,500,000.00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-80,687.50</w:t>
            </w:r>
          </w:p>
        </w:tc>
      </w:tr>
      <w:tr>
        <w:trPr>
          <w:trHeight w:val="351"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30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9"/>
              <w:ind w:right="101"/>
              <w:jc w:val="right"/>
              <w:rPr>
                <w:rFonts w:ascii="Times New Roman" w:hAnsi="Times New Roman" w:cs="Times New Roman" w:eastAsia="Times New Roman" w:hint="default"/>
                <w:sz w:val="16"/>
                <w:szCs w:val="16"/>
              </w:rPr>
            </w:pPr>
            <w:r>
              <w:rPr>
                <w:rFonts w:ascii="Times New Roman"/>
                <w:spacing w:val="-1"/>
                <w:sz w:val="16"/>
              </w:rPr>
              <w:t>1,487,334.20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6"/>
                <w:szCs w:val="16"/>
              </w:rPr>
            </w:pPr>
            <w:r>
              <w:rPr>
                <w:rFonts w:ascii="Times New Roman"/>
                <w:spacing w:val="-1"/>
                <w:sz w:val="16"/>
              </w:rPr>
              <w:t>-79,523.98</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南京熊猫汉达科技有限公司</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1,448,050.50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-77,423.58</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31</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1,389,540.90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-74,295.22</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32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1,272,521.14</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-68,038.47</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33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1,191,344.88</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-63,698.18</w:t>
            </w:r>
          </w:p>
        </w:tc>
      </w:tr>
      <w:tr>
        <w:trPr>
          <w:trHeight w:val="360" w:hRule="exact"/>
        </w:trPr>
        <w:tc>
          <w:tcPr>
            <w:tcW w:w="29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34</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6"/>
                <w:szCs w:val="16"/>
              </w:rPr>
            </w:pPr>
            <w:r>
              <w:rPr>
                <w:rFonts w:ascii="Times New Roman"/>
                <w:spacing w:val="-1"/>
                <w:sz w:val="16"/>
              </w:rPr>
              <w:t>1,135,336.00</w:t>
            </w:r>
          </w:p>
        </w:tc>
        <w:tc>
          <w:tcPr>
            <w:tcW w:w="2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6"/>
                <w:szCs w:val="16"/>
              </w:rPr>
            </w:pPr>
            <w:r>
              <w:rPr>
                <w:rFonts w:ascii="Times New Roman"/>
                <w:spacing w:val="-1"/>
                <w:sz w:val="16"/>
              </w:rPr>
              <w:t>-60,703.53</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2948"/>
        <w:gridCol w:w="1558"/>
        <w:gridCol w:w="2129"/>
        <w:gridCol w:w="1570"/>
      </w:tblGrid>
      <w:tr>
        <w:trPr>
          <w:trHeight w:val="492" w:hRule="exact"/>
        </w:trPr>
        <w:tc>
          <w:tcPr>
            <w:tcW w:w="29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6"/>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292" w:right="0"/>
              <w:jc w:val="left"/>
              <w:rPr>
                <w:rFonts w:ascii="宋体" w:hAnsi="宋体" w:cs="宋体" w:eastAsia="宋体" w:hint="default"/>
                <w:sz w:val="16"/>
                <w:szCs w:val="16"/>
              </w:rPr>
            </w:pPr>
            <w:r>
              <w:rPr>
                <w:rFonts w:ascii="宋体" w:hAnsi="宋体" w:cs="宋体" w:eastAsia="宋体" w:hint="default"/>
                <w:sz w:val="16"/>
                <w:szCs w:val="16"/>
              </w:rPr>
              <w:t>终止确认金额</w:t>
            </w:r>
          </w:p>
        </w:tc>
        <w:tc>
          <w:tcPr>
            <w:tcW w:w="21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338" w:right="0"/>
              <w:jc w:val="left"/>
              <w:rPr>
                <w:rFonts w:ascii="宋体" w:hAnsi="宋体" w:cs="宋体" w:eastAsia="宋体" w:hint="default"/>
                <w:sz w:val="16"/>
                <w:szCs w:val="16"/>
              </w:rPr>
            </w:pPr>
            <w:r>
              <w:rPr>
                <w:rFonts w:ascii="宋体" w:hAnsi="宋体" w:cs="宋体" w:eastAsia="宋体" w:hint="default"/>
                <w:sz w:val="16"/>
                <w:szCs w:val="16"/>
              </w:rPr>
              <w:t>金融资产转移的方式</w:t>
            </w:r>
          </w:p>
        </w:tc>
        <w:tc>
          <w:tcPr>
            <w:tcW w:w="1570" w:type="dxa"/>
            <w:tcBorders>
              <w:top w:val="single" w:sz="12" w:space="0" w:color="000000"/>
              <w:left w:val="dotted" w:sz="4" w:space="0" w:color="000000"/>
              <w:bottom w:val="dotted" w:sz="4" w:space="0" w:color="000000"/>
              <w:right w:val="nil" w:sz="6" w:space="0" w:color="auto"/>
            </w:tcBorders>
          </w:tcPr>
          <w:p>
            <w:pPr>
              <w:pStyle w:val="TableParagraph"/>
              <w:spacing w:line="206" w:lineRule="exact" w:before="25"/>
              <w:ind w:left="377" w:right="144" w:hanging="240"/>
              <w:jc w:val="left"/>
              <w:rPr>
                <w:rFonts w:ascii="宋体" w:hAnsi="宋体" w:cs="宋体" w:eastAsia="宋体" w:hint="default"/>
                <w:sz w:val="16"/>
                <w:szCs w:val="16"/>
              </w:rPr>
            </w:pPr>
            <w:r>
              <w:rPr>
                <w:rFonts w:ascii="宋体" w:hAnsi="宋体" w:cs="宋体" w:eastAsia="宋体" w:hint="default"/>
                <w:spacing w:val="-1"/>
                <w:sz w:val="16"/>
                <w:szCs w:val="16"/>
              </w:rPr>
              <w:t>与终止确认相关的</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利得或损失</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35</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1,128,436.49</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-60,334.63</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36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0"/>
              <w:jc w:val="right"/>
              <w:rPr>
                <w:rFonts w:ascii="Times New Roman" w:hAnsi="Times New Roman" w:cs="Times New Roman" w:eastAsia="Times New Roman" w:hint="default"/>
                <w:sz w:val="16"/>
                <w:szCs w:val="16"/>
              </w:rPr>
            </w:pPr>
            <w:r>
              <w:rPr>
                <w:rFonts w:ascii="Times New Roman"/>
                <w:spacing w:val="-1"/>
                <w:sz w:val="16"/>
              </w:rPr>
              <w:t>960,518.20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-51,356.47</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8"/>
              <w:ind w:left="122" w:right="0"/>
              <w:jc w:val="left"/>
              <w:rPr>
                <w:rFonts w:ascii="Times New Roman" w:hAnsi="Times New Roman" w:cs="Times New Roman" w:eastAsia="Times New Roman" w:hint="default"/>
                <w:sz w:val="16"/>
                <w:szCs w:val="16"/>
              </w:rPr>
            </w:pPr>
            <w:r>
              <w:rPr>
                <w:rFonts w:ascii="Times New Roman"/>
                <w:sz w:val="16"/>
              </w:rPr>
              <w:t>P&amp;G</w:t>
            </w:r>
            <w:r>
              <w:rPr>
                <w:rFonts w:ascii="Times New Roman"/>
                <w:spacing w:val="-4"/>
                <w:sz w:val="16"/>
              </w:rPr>
              <w:t> </w:t>
            </w:r>
            <w:r>
              <w:rPr>
                <w:rFonts w:ascii="Times New Roman"/>
                <w:sz w:val="16"/>
              </w:rPr>
              <w:t>Poland</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0"/>
              <w:jc w:val="right"/>
              <w:rPr>
                <w:rFonts w:ascii="Times New Roman" w:hAnsi="Times New Roman" w:cs="Times New Roman" w:eastAsia="Times New Roman" w:hint="default"/>
                <w:sz w:val="16"/>
                <w:szCs w:val="16"/>
              </w:rPr>
            </w:pPr>
            <w:r>
              <w:rPr>
                <w:rFonts w:ascii="Times New Roman"/>
                <w:spacing w:val="-1"/>
                <w:sz w:val="16"/>
              </w:rPr>
              <w:t>906,669.30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-29,430.93</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37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0"/>
              <w:jc w:val="right"/>
              <w:rPr>
                <w:rFonts w:ascii="Times New Roman" w:hAnsi="Times New Roman" w:cs="Times New Roman" w:eastAsia="Times New Roman" w:hint="default"/>
                <w:sz w:val="16"/>
                <w:szCs w:val="16"/>
              </w:rPr>
            </w:pPr>
            <w:r>
              <w:rPr>
                <w:rFonts w:ascii="Times New Roman"/>
                <w:spacing w:val="-1"/>
                <w:sz w:val="16"/>
              </w:rPr>
              <w:t>812,382.00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-43,436.00</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38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0"/>
              <w:jc w:val="right"/>
              <w:rPr>
                <w:rFonts w:ascii="Times New Roman" w:hAnsi="Times New Roman" w:cs="Times New Roman" w:eastAsia="Times New Roman" w:hint="default"/>
                <w:sz w:val="16"/>
                <w:szCs w:val="16"/>
              </w:rPr>
            </w:pPr>
            <w:r>
              <w:rPr>
                <w:rFonts w:ascii="Times New Roman"/>
                <w:spacing w:val="-1"/>
                <w:sz w:val="16"/>
              </w:rPr>
              <w:t>700,841.14</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-37,472.19</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39</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0"/>
              <w:jc w:val="right"/>
              <w:rPr>
                <w:rFonts w:ascii="Times New Roman" w:hAnsi="Times New Roman" w:cs="Times New Roman" w:eastAsia="Times New Roman" w:hint="default"/>
                <w:sz w:val="16"/>
                <w:szCs w:val="16"/>
              </w:rPr>
            </w:pPr>
            <w:r>
              <w:rPr>
                <w:rFonts w:ascii="Times New Roman"/>
                <w:spacing w:val="-1"/>
                <w:sz w:val="16"/>
              </w:rPr>
              <w:t>669,680.00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-35,806.09</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0"/>
              <w:jc w:val="right"/>
              <w:rPr>
                <w:rFonts w:ascii="Times New Roman" w:hAnsi="Times New Roman" w:cs="Times New Roman" w:eastAsia="Times New Roman" w:hint="default"/>
                <w:sz w:val="16"/>
                <w:szCs w:val="16"/>
              </w:rPr>
            </w:pPr>
            <w:r>
              <w:rPr>
                <w:rFonts w:ascii="Times New Roman"/>
                <w:spacing w:val="-1"/>
                <w:sz w:val="16"/>
              </w:rPr>
              <w:t>493,276.00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-26,374.21</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41</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6"/>
                <w:szCs w:val="16"/>
              </w:rPr>
            </w:pPr>
            <w:r>
              <w:rPr>
                <w:rFonts w:ascii="Times New Roman"/>
                <w:spacing w:val="-1"/>
                <w:sz w:val="16"/>
              </w:rPr>
              <w:t>423,380.00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6"/>
                <w:szCs w:val="16"/>
              </w:rPr>
            </w:pPr>
            <w:r>
              <w:rPr>
                <w:rFonts w:ascii="Times New Roman"/>
                <w:spacing w:val="-1"/>
                <w:sz w:val="16"/>
              </w:rPr>
              <w:t>-22,637.05</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0"/>
              <w:jc w:val="right"/>
              <w:rPr>
                <w:rFonts w:ascii="Times New Roman" w:hAnsi="Times New Roman" w:cs="Times New Roman" w:eastAsia="Times New Roman" w:hint="default"/>
                <w:sz w:val="16"/>
                <w:szCs w:val="16"/>
              </w:rPr>
            </w:pPr>
            <w:r>
              <w:rPr>
                <w:rFonts w:ascii="Times New Roman"/>
                <w:spacing w:val="-1"/>
                <w:sz w:val="16"/>
              </w:rPr>
              <w:t>175,968.00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-9,408.56</w:t>
            </w:r>
          </w:p>
        </w:tc>
      </w:tr>
      <w:tr>
        <w:trPr>
          <w:trHeight w:val="435"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0"/>
              <w:ind w:left="122" w:right="103"/>
              <w:jc w:val="left"/>
              <w:rPr>
                <w:rFonts w:ascii="Times New Roman" w:hAnsi="Times New Roman" w:cs="Times New Roman" w:eastAsia="Times New Roman" w:hint="default"/>
                <w:sz w:val="16"/>
                <w:szCs w:val="16"/>
              </w:rPr>
            </w:pPr>
            <w:r>
              <w:rPr>
                <w:rFonts w:ascii="Times New Roman"/>
                <w:sz w:val="16"/>
              </w:rPr>
              <w:t>Procter and Gamble Service </w:t>
            </w:r>
            <w:r>
              <w:rPr>
                <w:rFonts w:ascii="Times New Roman"/>
                <w:spacing w:val="27"/>
                <w:sz w:val="16"/>
              </w:rPr>
              <w:t> </w:t>
            </w:r>
            <w:r>
              <w:rPr>
                <w:rFonts w:ascii="Times New Roman"/>
                <w:sz w:val="16"/>
              </w:rPr>
              <w:t>GmbH</w:t>
            </w:r>
            <w:r>
              <w:rPr>
                <w:rFonts w:ascii="Times New Roman"/>
                <w:w w:val="100"/>
                <w:sz w:val="16"/>
              </w:rPr>
              <w:t> </w:t>
            </w:r>
            <w:r>
              <w:rPr>
                <w:rFonts w:ascii="Times New Roman"/>
                <w:spacing w:val="-4"/>
                <w:sz w:val="16"/>
              </w:rPr>
              <w:t>CAPA</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100"/>
              <w:jc w:val="right"/>
              <w:rPr>
                <w:rFonts w:ascii="Times New Roman" w:hAnsi="Times New Roman" w:cs="Times New Roman" w:eastAsia="Times New Roman" w:hint="default"/>
                <w:sz w:val="16"/>
                <w:szCs w:val="16"/>
              </w:rPr>
            </w:pPr>
            <w:r>
              <w:rPr>
                <w:rFonts w:ascii="Times New Roman"/>
                <w:spacing w:val="-1"/>
                <w:sz w:val="16"/>
              </w:rPr>
              <w:t>41,253.50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2"/>
              <w:ind w:right="107"/>
              <w:jc w:val="right"/>
              <w:rPr>
                <w:rFonts w:ascii="Times New Roman" w:hAnsi="Times New Roman" w:cs="Times New Roman" w:eastAsia="Times New Roman" w:hint="default"/>
                <w:sz w:val="16"/>
                <w:szCs w:val="16"/>
              </w:rPr>
            </w:pPr>
            <w:r>
              <w:rPr>
                <w:rFonts w:ascii="Times New Roman"/>
                <w:spacing w:val="-2"/>
                <w:sz w:val="16"/>
              </w:rPr>
              <w:t>-1,339.11</w:t>
            </w:r>
          </w:p>
        </w:tc>
      </w:tr>
      <w:tr>
        <w:trPr>
          <w:trHeight w:val="434"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tabs>
                <w:tab w:pos="1446" w:val="left" w:leader="none"/>
              </w:tabs>
              <w:spacing w:line="240" w:lineRule="auto" w:before="30"/>
              <w:ind w:left="122" w:right="104"/>
              <w:jc w:val="left"/>
              <w:rPr>
                <w:rFonts w:ascii="Times New Roman" w:hAnsi="Times New Roman" w:cs="Times New Roman" w:eastAsia="Times New Roman" w:hint="default"/>
                <w:sz w:val="16"/>
                <w:szCs w:val="16"/>
              </w:rPr>
            </w:pPr>
            <w:r>
              <w:rPr>
                <w:rFonts w:ascii="Times New Roman"/>
                <w:spacing w:val="-1"/>
                <w:sz w:val="16"/>
              </w:rPr>
              <w:t>SHARP</w:t>
              <w:tab/>
            </w:r>
            <w:r>
              <w:rPr>
                <w:rFonts w:ascii="Times New Roman"/>
                <w:spacing w:val="-2"/>
                <w:sz w:val="16"/>
              </w:rPr>
              <w:t>MANUFACTURING</w:t>
            </w:r>
            <w:r>
              <w:rPr>
                <w:rFonts w:ascii="Times New Roman"/>
                <w:spacing w:val="-34"/>
                <w:sz w:val="16"/>
              </w:rPr>
              <w:t> </w:t>
            </w:r>
            <w:r>
              <w:rPr>
                <w:rFonts w:ascii="Times New Roman"/>
                <w:spacing w:val="-34"/>
                <w:sz w:val="16"/>
              </w:rPr>
            </w:r>
            <w:r>
              <w:rPr>
                <w:rFonts w:ascii="Times New Roman"/>
                <w:spacing w:val="-3"/>
                <w:sz w:val="16"/>
              </w:rPr>
              <w:t>CORPORATION </w:t>
            </w:r>
            <w:r>
              <w:rPr>
                <w:rFonts w:ascii="Times New Roman"/>
                <w:sz w:val="16"/>
              </w:rPr>
              <w:t>(M)</w:t>
            </w:r>
            <w:r>
              <w:rPr>
                <w:rFonts w:ascii="Times New Roman"/>
                <w:spacing w:val="9"/>
                <w:sz w:val="16"/>
              </w:rPr>
              <w:t> </w:t>
            </w:r>
            <w:r>
              <w:rPr>
                <w:rFonts w:ascii="Times New Roman"/>
                <w:sz w:val="16"/>
              </w:rPr>
              <w:t>SDN,BHD.</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100"/>
              <w:jc w:val="right"/>
              <w:rPr>
                <w:rFonts w:ascii="Times New Roman" w:hAnsi="Times New Roman" w:cs="Times New Roman" w:eastAsia="Times New Roman" w:hint="default"/>
                <w:sz w:val="16"/>
                <w:szCs w:val="16"/>
              </w:rPr>
            </w:pPr>
            <w:r>
              <w:rPr>
                <w:rFonts w:ascii="Times New Roman"/>
                <w:spacing w:val="-1"/>
                <w:sz w:val="16"/>
              </w:rPr>
              <w:t>32,428.28</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无追索权的应收账款保理</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2"/>
              <w:ind w:right="107"/>
              <w:jc w:val="right"/>
              <w:rPr>
                <w:rFonts w:ascii="Times New Roman" w:hAnsi="Times New Roman" w:cs="Times New Roman" w:eastAsia="Times New Roman" w:hint="default"/>
                <w:sz w:val="16"/>
                <w:szCs w:val="16"/>
              </w:rPr>
            </w:pPr>
            <w:r>
              <w:rPr>
                <w:rFonts w:ascii="Times New Roman"/>
                <w:spacing w:val="-1"/>
                <w:sz w:val="16"/>
              </w:rPr>
              <w:t>-1,052.64</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4,856,256.00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-174,332.15</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44</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4,838,400.00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-173,691.15</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4,700,000.00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-168,722.80</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55</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3,455,000.00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-124,029.21</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1</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2"/>
                <w:sz w:val="16"/>
              </w:rPr>
              <w:t>3,113,640.00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2"/>
                <w:sz w:val="16"/>
              </w:rPr>
              <w:t>-111,774.91</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49</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2,918,000.00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-104,751.73</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6"/>
                <w:szCs w:val="16"/>
              </w:rPr>
            </w:pPr>
            <w:r>
              <w:rPr>
                <w:rFonts w:ascii="Times New Roman"/>
                <w:spacing w:val="-1"/>
                <w:sz w:val="16"/>
              </w:rPr>
              <w:t>2,352,000.00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6"/>
                <w:szCs w:val="16"/>
              </w:rPr>
            </w:pPr>
            <w:r>
              <w:rPr>
                <w:rFonts w:ascii="Times New Roman"/>
                <w:spacing w:val="-1"/>
                <w:sz w:val="16"/>
              </w:rPr>
              <w:t>-84,433.20</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1,875,000.00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-67,309.63</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1,384,600.00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-49,705.02</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59</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9"/>
              <w:ind w:right="101"/>
              <w:jc w:val="right"/>
              <w:rPr>
                <w:rFonts w:ascii="Times New Roman" w:hAnsi="Times New Roman" w:cs="Times New Roman" w:eastAsia="Times New Roman" w:hint="default"/>
                <w:sz w:val="16"/>
                <w:szCs w:val="16"/>
              </w:rPr>
            </w:pPr>
            <w:r>
              <w:rPr>
                <w:rFonts w:ascii="Times New Roman"/>
                <w:spacing w:val="-1"/>
                <w:sz w:val="16"/>
              </w:rPr>
              <w:t>1,340,000.00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6"/>
                <w:szCs w:val="16"/>
              </w:rPr>
            </w:pPr>
            <w:r>
              <w:rPr>
                <w:rFonts w:ascii="Times New Roman"/>
                <w:spacing w:val="-1"/>
                <w:sz w:val="16"/>
              </w:rPr>
              <w:t>-48,103.95</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武汉华风电子工程有限公司</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0"/>
              <w:jc w:val="right"/>
              <w:rPr>
                <w:rFonts w:ascii="Times New Roman" w:hAnsi="Times New Roman" w:cs="Times New Roman" w:eastAsia="Times New Roman" w:hint="default"/>
                <w:sz w:val="16"/>
                <w:szCs w:val="16"/>
              </w:rPr>
            </w:pPr>
            <w:r>
              <w:rPr>
                <w:rFonts w:ascii="Times New Roman"/>
                <w:spacing w:val="-1"/>
                <w:sz w:val="16"/>
              </w:rPr>
              <w:t>466,000.00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-16,728.69</w:t>
            </w:r>
          </w:p>
        </w:tc>
      </w:tr>
      <w:tr>
        <w:trPr>
          <w:trHeight w:val="35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52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6"/>
                <w:szCs w:val="16"/>
              </w:rPr>
            </w:pPr>
            <w:r>
              <w:rPr>
                <w:rFonts w:ascii="Times New Roman"/>
                <w:spacing w:val="-1"/>
                <w:sz w:val="16"/>
              </w:rPr>
              <w:t>456,000.00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6"/>
                <w:szCs w:val="16"/>
              </w:rPr>
            </w:pPr>
            <w:r>
              <w:rPr>
                <w:rFonts w:ascii="Times New Roman"/>
                <w:spacing w:val="-1"/>
                <w:sz w:val="16"/>
              </w:rPr>
              <w:t>-16,369.70</w:t>
            </w:r>
          </w:p>
        </w:tc>
      </w:tr>
      <w:tr>
        <w:trPr>
          <w:trHeight w:val="348"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47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right="100"/>
              <w:jc w:val="right"/>
              <w:rPr>
                <w:rFonts w:ascii="Times New Roman" w:hAnsi="Times New Roman" w:cs="Times New Roman" w:eastAsia="Times New Roman" w:hint="default"/>
                <w:sz w:val="16"/>
                <w:szCs w:val="16"/>
              </w:rPr>
            </w:pPr>
            <w:r>
              <w:rPr>
                <w:rFonts w:ascii="Times New Roman"/>
                <w:spacing w:val="-1"/>
                <w:sz w:val="16"/>
              </w:rPr>
              <w:t>183,500.00</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应收账款转让</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6"/>
                <w:szCs w:val="16"/>
              </w:rPr>
            </w:pPr>
            <w:r>
              <w:rPr>
                <w:rFonts w:ascii="Times New Roman"/>
                <w:spacing w:val="-1"/>
                <w:sz w:val="16"/>
              </w:rPr>
              <w:t>-6,587.37</w:t>
            </w:r>
          </w:p>
        </w:tc>
      </w:tr>
      <w:tr>
        <w:trPr>
          <w:trHeight w:val="360" w:hRule="exact"/>
        </w:trPr>
        <w:tc>
          <w:tcPr>
            <w:tcW w:w="29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8"/>
              <w:ind w:right="101"/>
              <w:jc w:val="right"/>
              <w:rPr>
                <w:rFonts w:ascii="Times New Roman" w:hAnsi="Times New Roman" w:cs="Times New Roman" w:eastAsia="Times New Roman" w:hint="default"/>
                <w:sz w:val="16"/>
                <w:szCs w:val="16"/>
              </w:rPr>
            </w:pPr>
            <w:r>
              <w:rPr>
                <w:rFonts w:ascii="Times New Roman"/>
                <w:spacing w:val="-1"/>
                <w:sz w:val="16"/>
              </w:rPr>
              <w:t>361,968,066.59</w:t>
            </w:r>
          </w:p>
        </w:tc>
        <w:tc>
          <w:tcPr>
            <w:tcW w:w="2129" w:type="dxa"/>
            <w:tcBorders>
              <w:top w:val="dotted" w:sz="4" w:space="0" w:color="000000"/>
              <w:left w:val="dotted" w:sz="4" w:space="0" w:color="000000"/>
              <w:bottom w:val="single" w:sz="12" w:space="0" w:color="000000"/>
              <w:right w:val="dotted" w:sz="4" w:space="0" w:color="000000"/>
            </w:tcBorders>
          </w:tcPr>
          <w:p>
            <w:pPr/>
          </w:p>
        </w:tc>
        <w:tc>
          <w:tcPr>
            <w:tcW w:w="15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8"/>
              <w:ind w:right="108"/>
              <w:jc w:val="right"/>
              <w:rPr>
                <w:rFonts w:ascii="Times New Roman" w:hAnsi="Times New Roman" w:cs="Times New Roman" w:eastAsia="Times New Roman" w:hint="default"/>
                <w:sz w:val="16"/>
                <w:szCs w:val="16"/>
              </w:rPr>
            </w:pPr>
            <w:r>
              <w:rPr>
                <w:rFonts w:ascii="Times New Roman"/>
                <w:spacing w:val="-1"/>
                <w:sz w:val="16"/>
              </w:rPr>
              <w:t>-16,485,645.87</w:t>
            </w:r>
          </w:p>
        </w:tc>
      </w:tr>
    </w:tbl>
    <w:p>
      <w:pPr>
        <w:spacing w:line="240" w:lineRule="auto" w:before="8"/>
        <w:rPr>
          <w:rFonts w:ascii="Times New Roman" w:hAnsi="Times New Roman" w:cs="Times New Roman" w:eastAsia="Times New Roman" w:hint="default"/>
          <w:sz w:val="26"/>
          <w:szCs w:val="26"/>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应收款项融资</w:t>
      </w:r>
      <w:r>
        <w:rPr>
          <w:b w:val="0"/>
          <w:bCs w:val="0"/>
        </w:rPr>
      </w:r>
    </w:p>
    <w:p>
      <w:pPr>
        <w:pStyle w:val="Heading5"/>
        <w:tabs>
          <w:tab w:pos="1397" w:val="left" w:leader="none"/>
        </w:tabs>
        <w:spacing w:line="240" w:lineRule="auto" w:before="69"/>
        <w:ind w:left="846" w:right="3683"/>
        <w:jc w:val="left"/>
        <w:rPr>
          <w:b w:val="0"/>
          <w:bCs w:val="0"/>
        </w:rPr>
      </w:pPr>
      <w:r>
        <w:rPr>
          <w:rFonts w:ascii="Times New Roman" w:hAnsi="Times New Roman" w:cs="Times New Roman" w:eastAsia="Times New Roman" w:hint="default"/>
        </w:rPr>
        <w:t>1</w:t>
      </w:r>
      <w:r>
        <w:rPr/>
        <w:t>、</w:t>
        <w:tab/>
        <w:t>应收款项融资情况</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4727"/>
        <w:gridCol w:w="3478"/>
      </w:tblGrid>
      <w:tr>
        <w:trPr>
          <w:trHeight w:val="377" w:hRule="exact"/>
        </w:trPr>
        <w:tc>
          <w:tcPr>
            <w:tcW w:w="472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6"/>
              <w:ind w:right="2189"/>
              <w:jc w:val="right"/>
              <w:rPr>
                <w:rFonts w:ascii="宋体" w:hAnsi="宋体" w:cs="宋体" w:eastAsia="宋体" w:hint="default"/>
                <w:sz w:val="16"/>
                <w:szCs w:val="16"/>
              </w:rPr>
            </w:pPr>
            <w:r>
              <w:rPr>
                <w:rFonts w:ascii="宋体" w:hAnsi="宋体" w:cs="宋体" w:eastAsia="宋体" w:hint="default"/>
                <w:sz w:val="16"/>
                <w:szCs w:val="16"/>
              </w:rPr>
              <w:t>项目</w:t>
            </w:r>
          </w:p>
        </w:tc>
        <w:tc>
          <w:tcPr>
            <w:tcW w:w="347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6"/>
              <w:ind w:right="5"/>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65" w:hRule="exact"/>
        </w:trPr>
        <w:tc>
          <w:tcPr>
            <w:tcW w:w="47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4"/>
              <w:ind w:left="122"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3478" w:type="dxa"/>
            <w:tcBorders>
              <w:top w:val="dotted" w:sz="4" w:space="0" w:color="000000"/>
              <w:left w:val="dotted" w:sz="4" w:space="0" w:color="000000"/>
              <w:bottom w:val="dotted" w:sz="4" w:space="0" w:color="000000"/>
              <w:right w:val="nil" w:sz="6" w:space="0" w:color="auto"/>
            </w:tcBorders>
          </w:tcPr>
          <w:p>
            <w:pPr/>
          </w:p>
        </w:tc>
      </w:tr>
      <w:tr>
        <w:trPr>
          <w:trHeight w:val="368" w:hRule="exact"/>
        </w:trPr>
        <w:tc>
          <w:tcPr>
            <w:tcW w:w="47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34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5,619,108.20</w:t>
            </w:r>
          </w:p>
        </w:tc>
      </w:tr>
      <w:tr>
        <w:trPr>
          <w:trHeight w:val="377" w:hRule="exact"/>
        </w:trPr>
        <w:tc>
          <w:tcPr>
            <w:tcW w:w="47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4"/>
              <w:ind w:right="2189"/>
              <w:jc w:val="right"/>
              <w:rPr>
                <w:rFonts w:ascii="宋体" w:hAnsi="宋体" w:cs="宋体" w:eastAsia="宋体" w:hint="default"/>
                <w:sz w:val="16"/>
                <w:szCs w:val="16"/>
              </w:rPr>
            </w:pPr>
            <w:r>
              <w:rPr>
                <w:rFonts w:ascii="宋体" w:hAnsi="宋体" w:cs="宋体" w:eastAsia="宋体" w:hint="default"/>
                <w:sz w:val="16"/>
                <w:szCs w:val="16"/>
              </w:rPr>
              <w:t>合计</w:t>
            </w:r>
          </w:p>
        </w:tc>
        <w:tc>
          <w:tcPr>
            <w:tcW w:w="347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3"/>
              <w:ind w:right="107"/>
              <w:jc w:val="right"/>
              <w:rPr>
                <w:rFonts w:ascii="Times New Roman" w:hAnsi="Times New Roman" w:cs="Times New Roman" w:eastAsia="Times New Roman" w:hint="default"/>
                <w:sz w:val="16"/>
                <w:szCs w:val="16"/>
              </w:rPr>
            </w:pPr>
            <w:r>
              <w:rPr>
                <w:rFonts w:ascii="Times New Roman"/>
                <w:spacing w:val="-1"/>
                <w:sz w:val="16"/>
              </w:rPr>
              <w:t>5,619,108.20</w:t>
            </w:r>
          </w:p>
        </w:tc>
      </w:tr>
    </w:tbl>
    <w:p>
      <w:pPr>
        <w:pStyle w:val="BodyText"/>
        <w:spacing w:line="259" w:lineRule="auto" w:before="9"/>
        <w:ind w:right="1468"/>
        <w:jc w:val="left"/>
      </w:pPr>
      <w:r>
        <w:rPr>
          <w:spacing w:val="-5"/>
          <w:w w:val="100"/>
        </w:rPr>
        <w:t>说明：本公司所属企业柏怡电子有限公司管理应收账款的业务模式属于以收取</w:t>
      </w:r>
      <w:r>
        <w:rPr>
          <w:spacing w:val="-83"/>
          <w:w w:val="100"/>
        </w:rPr>
        <w:t> </w:t>
      </w:r>
      <w:r>
        <w:rPr>
          <w:spacing w:val="-83"/>
          <w:w w:val="100"/>
        </w:rPr>
      </w:r>
      <w:r>
        <w:rPr>
          <w:spacing w:val="-5"/>
          <w:w w:val="100"/>
        </w:rPr>
        <w:t>合同现金流量和出售金融资产为目标的业务模式，应收账款主要以无追索权保</w:t>
      </w:r>
      <w:r>
        <w:rPr>
          <w:spacing w:val="-84"/>
          <w:w w:val="100"/>
        </w:rPr>
        <w:t> </w:t>
      </w:r>
      <w:r>
        <w:rPr>
          <w:spacing w:val="-84"/>
          <w:w w:val="100"/>
        </w:rPr>
      </w:r>
      <w:r>
        <w:rPr>
          <w:spacing w:val="-5"/>
        </w:rPr>
        <w:t>理形式进行转让，考虑该类业务发生较为频繁、涉及金额较大，于本期末公司</w:t>
      </w:r>
      <w:r>
        <w:rPr>
          <w:spacing w:val="-48"/>
        </w:rPr>
        <w:t> </w:t>
      </w:r>
      <w:r>
        <w:rPr>
          <w:spacing w:val="-48"/>
        </w:rPr>
      </w:r>
      <w:r>
        <w:rPr>
          <w:spacing w:val="-2"/>
        </w:rPr>
        <w:t>将应收账款分类为</w:t>
      </w:r>
      <w:r>
        <w:rPr>
          <w:rFonts w:ascii="Times New Roman" w:hAnsi="Times New Roman" w:cs="Times New Roman" w:eastAsia="Times New Roman" w:hint="default"/>
          <w:spacing w:val="-2"/>
        </w:rPr>
        <w:t>“</w:t>
      </w:r>
      <w:r>
        <w:rPr>
          <w:spacing w:val="-2"/>
        </w:rPr>
        <w:t>以公允价值计量且其变动计入其他综合收益的金融资产</w:t>
      </w:r>
      <w:r>
        <w:rPr>
          <w:rFonts w:ascii="Times New Roman" w:hAnsi="Times New Roman" w:cs="Times New Roman" w:eastAsia="Times New Roman" w:hint="default"/>
          <w:spacing w:val="-2"/>
        </w:rPr>
        <w:t>”</w:t>
      </w:r>
      <w:r>
        <w:rPr>
          <w:spacing w:val="-2"/>
        </w:rPr>
        <w:t>，</w:t>
      </w:r>
      <w:r>
        <w:rPr>
          <w:spacing w:val="-43"/>
        </w:rPr>
        <w:t> </w:t>
      </w:r>
      <w:r>
        <w:rPr/>
        <w:t>将其余额在资产负债表中列报为</w:t>
      </w:r>
      <w:r>
        <w:rPr>
          <w:rFonts w:ascii="Times New Roman" w:hAnsi="Times New Roman" w:cs="Times New Roman" w:eastAsia="Times New Roman" w:hint="default"/>
        </w:rPr>
        <w:t>“</w:t>
      </w:r>
      <w:r>
        <w:rPr/>
        <w:t>应收款项融资</w:t>
      </w:r>
      <w:r>
        <w:rPr>
          <w:rFonts w:ascii="Times New Roman" w:hAnsi="Times New Roman" w:cs="Times New Roman" w:eastAsia="Times New Roman" w:hint="default"/>
        </w:rPr>
        <w:t>”</w:t>
      </w:r>
      <w:r>
        <w:rPr/>
        <w:t>。</w:t>
      </w:r>
    </w:p>
    <w:p>
      <w:pPr>
        <w:spacing w:after="0" w:line="259" w:lineRule="auto"/>
        <w:jc w:val="left"/>
        <w:sectPr>
          <w:pgSz w:w="11910" w:h="16840"/>
          <w:pgMar w:header="753" w:footer="997" w:top="1500" w:bottom="1180" w:left="1660" w:right="0"/>
        </w:sectPr>
      </w:pPr>
    </w:p>
    <w:p>
      <w:pPr>
        <w:spacing w:line="240" w:lineRule="auto" w:before="12"/>
        <w:rPr>
          <w:rFonts w:ascii="宋体" w:hAnsi="宋体" w:cs="宋体" w:eastAsia="宋体" w:hint="default"/>
          <w:sz w:val="22"/>
          <w:szCs w:val="22"/>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应收款项融资本期增减变动及公允价值变动情况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989"/>
        <w:gridCol w:w="1177"/>
        <w:gridCol w:w="1274"/>
        <w:gridCol w:w="1275"/>
        <w:gridCol w:w="1097"/>
        <w:gridCol w:w="1184"/>
        <w:gridCol w:w="1210"/>
      </w:tblGrid>
      <w:tr>
        <w:trPr>
          <w:trHeight w:val="780" w:hRule="exact"/>
        </w:trPr>
        <w:tc>
          <w:tcPr>
            <w:tcW w:w="9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6"/>
                <w:szCs w:val="16"/>
              </w:rPr>
            </w:pPr>
            <w:r>
              <w:rPr>
                <w:rFonts w:ascii="宋体" w:hAnsi="宋体" w:cs="宋体" w:eastAsia="宋体" w:hint="default"/>
                <w:sz w:val="16"/>
                <w:szCs w:val="16"/>
              </w:rPr>
              <w:t>项目</w:t>
            </w:r>
          </w:p>
        </w:tc>
        <w:tc>
          <w:tcPr>
            <w:tcW w:w="11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61"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1" w:right="0"/>
              <w:jc w:val="left"/>
              <w:rPr>
                <w:rFonts w:ascii="宋体" w:hAnsi="宋体" w:cs="宋体" w:eastAsia="宋体" w:hint="default"/>
                <w:sz w:val="16"/>
                <w:szCs w:val="16"/>
              </w:rPr>
            </w:pPr>
            <w:r>
              <w:rPr>
                <w:rFonts w:ascii="宋体" w:hAnsi="宋体" w:cs="宋体" w:eastAsia="宋体" w:hint="default"/>
                <w:sz w:val="16"/>
                <w:szCs w:val="16"/>
              </w:rPr>
              <w:t>本期新增</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16"/>
                <w:szCs w:val="16"/>
              </w:rPr>
            </w:pPr>
            <w:r>
              <w:rPr>
                <w:rFonts w:ascii="宋体" w:hAnsi="宋体" w:cs="宋体" w:eastAsia="宋体" w:hint="default"/>
                <w:sz w:val="16"/>
                <w:szCs w:val="16"/>
              </w:rPr>
              <w:t>本期终止确认</w:t>
            </w:r>
          </w:p>
        </w:tc>
        <w:tc>
          <w:tcPr>
            <w:tcW w:w="10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3" w:right="0"/>
              <w:jc w:val="left"/>
              <w:rPr>
                <w:rFonts w:ascii="宋体" w:hAnsi="宋体" w:cs="宋体" w:eastAsia="宋体" w:hint="default"/>
                <w:sz w:val="16"/>
                <w:szCs w:val="16"/>
              </w:rPr>
            </w:pPr>
            <w:r>
              <w:rPr>
                <w:rFonts w:ascii="宋体" w:hAnsi="宋体" w:cs="宋体" w:eastAsia="宋体" w:hint="default"/>
                <w:sz w:val="16"/>
                <w:szCs w:val="16"/>
              </w:rPr>
              <w:t>其他变动</w:t>
            </w:r>
          </w:p>
        </w:tc>
        <w:tc>
          <w:tcPr>
            <w:tcW w:w="11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66"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210" w:type="dxa"/>
            <w:tcBorders>
              <w:top w:val="single" w:sz="12" w:space="0" w:color="000000"/>
              <w:left w:val="dotted" w:sz="4" w:space="0" w:color="000000"/>
              <w:bottom w:val="dotted" w:sz="4" w:space="0" w:color="000000"/>
              <w:right w:val="nil" w:sz="6" w:space="0" w:color="auto"/>
            </w:tcBorders>
          </w:tcPr>
          <w:p>
            <w:pPr>
              <w:pStyle w:val="TableParagraph"/>
              <w:spacing w:line="206" w:lineRule="exact" w:before="68"/>
              <w:ind w:left="117" w:right="122"/>
              <w:jc w:val="both"/>
              <w:rPr>
                <w:rFonts w:ascii="宋体" w:hAnsi="宋体" w:cs="宋体" w:eastAsia="宋体" w:hint="default"/>
                <w:sz w:val="16"/>
                <w:szCs w:val="16"/>
              </w:rPr>
            </w:pPr>
            <w:r>
              <w:rPr>
                <w:rFonts w:ascii="宋体" w:hAnsi="宋体" w:cs="宋体" w:eastAsia="宋体" w:hint="default"/>
                <w:sz w:val="16"/>
                <w:szCs w:val="16"/>
              </w:rPr>
              <w:t>累计在其他综</w:t>
            </w:r>
            <w:r>
              <w:rPr>
                <w:rFonts w:ascii="宋体" w:hAnsi="宋体" w:cs="宋体" w:eastAsia="宋体" w:hint="default"/>
                <w:w w:val="100"/>
                <w:sz w:val="16"/>
                <w:szCs w:val="16"/>
              </w:rPr>
              <w:t> </w:t>
            </w:r>
            <w:r>
              <w:rPr>
                <w:rFonts w:ascii="宋体" w:hAnsi="宋体" w:cs="宋体" w:eastAsia="宋体" w:hint="default"/>
                <w:sz w:val="16"/>
                <w:szCs w:val="16"/>
              </w:rPr>
              <w:t>合收益中确认</w:t>
            </w:r>
            <w:r>
              <w:rPr>
                <w:rFonts w:ascii="宋体" w:hAnsi="宋体" w:cs="宋体" w:eastAsia="宋体" w:hint="default"/>
                <w:w w:val="100"/>
                <w:sz w:val="16"/>
                <w:szCs w:val="16"/>
              </w:rPr>
              <w:t> </w:t>
            </w:r>
            <w:r>
              <w:rPr>
                <w:rFonts w:ascii="宋体" w:hAnsi="宋体" w:cs="宋体" w:eastAsia="宋体" w:hint="default"/>
                <w:sz w:val="16"/>
                <w:szCs w:val="16"/>
              </w:rPr>
              <w:t>的损失准备</w:t>
            </w:r>
          </w:p>
        </w:tc>
      </w:tr>
      <w:tr>
        <w:trPr>
          <w:trHeight w:val="353" w:hRule="exact"/>
        </w:trPr>
        <w:tc>
          <w:tcPr>
            <w:tcW w:w="9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28" w:right="0"/>
              <w:jc w:val="left"/>
              <w:rPr>
                <w:rFonts w:ascii="Times New Roman" w:hAnsi="Times New Roman" w:cs="Times New Roman" w:eastAsia="Times New Roman" w:hint="default"/>
                <w:sz w:val="16"/>
                <w:szCs w:val="16"/>
              </w:rPr>
            </w:pPr>
            <w:r>
              <w:rPr>
                <w:rFonts w:ascii="Times New Roman"/>
                <w:sz w:val="16"/>
              </w:rPr>
              <w:t>5,152,116.83</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42" w:right="0"/>
              <w:jc w:val="left"/>
              <w:rPr>
                <w:rFonts w:ascii="Times New Roman" w:hAnsi="Times New Roman" w:cs="Times New Roman" w:eastAsia="Times New Roman" w:hint="default"/>
                <w:sz w:val="16"/>
                <w:szCs w:val="16"/>
              </w:rPr>
            </w:pPr>
            <w:r>
              <w:rPr>
                <w:rFonts w:ascii="Times New Roman"/>
                <w:sz w:val="16"/>
              </w:rPr>
              <w:t>29,606,755.74</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29,261,090.54</w:t>
            </w:r>
          </w:p>
        </w:tc>
        <w:tc>
          <w:tcPr>
            <w:tcW w:w="10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63" w:right="0"/>
              <w:jc w:val="left"/>
              <w:rPr>
                <w:rFonts w:ascii="Times New Roman" w:hAnsi="Times New Roman" w:cs="Times New Roman" w:eastAsia="Times New Roman" w:hint="default"/>
                <w:sz w:val="16"/>
                <w:szCs w:val="16"/>
              </w:rPr>
            </w:pPr>
            <w:r>
              <w:rPr>
                <w:rFonts w:ascii="Times New Roman"/>
                <w:sz w:val="16"/>
              </w:rPr>
              <w:t>121,326.17</w:t>
            </w:r>
          </w:p>
        </w:tc>
        <w:tc>
          <w:tcPr>
            <w:tcW w:w="11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30" w:right="0"/>
              <w:jc w:val="left"/>
              <w:rPr>
                <w:rFonts w:ascii="Times New Roman" w:hAnsi="Times New Roman" w:cs="Times New Roman" w:eastAsia="Times New Roman" w:hint="default"/>
                <w:sz w:val="16"/>
                <w:szCs w:val="16"/>
              </w:rPr>
            </w:pPr>
            <w:r>
              <w:rPr>
                <w:rFonts w:ascii="Times New Roman"/>
                <w:sz w:val="16"/>
              </w:rPr>
              <w:t>5,619,108.20</w:t>
            </w: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9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34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1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left="228" w:right="0"/>
              <w:jc w:val="left"/>
              <w:rPr>
                <w:rFonts w:ascii="Times New Roman" w:hAnsi="Times New Roman" w:cs="Times New Roman" w:eastAsia="Times New Roman" w:hint="default"/>
                <w:sz w:val="16"/>
                <w:szCs w:val="16"/>
              </w:rPr>
            </w:pPr>
            <w:r>
              <w:rPr>
                <w:rFonts w:ascii="Times New Roman"/>
                <w:sz w:val="16"/>
              </w:rPr>
              <w:t>5,152,116.83</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left="242" w:right="0"/>
              <w:jc w:val="left"/>
              <w:rPr>
                <w:rFonts w:ascii="Times New Roman" w:hAnsi="Times New Roman" w:cs="Times New Roman" w:eastAsia="Times New Roman" w:hint="default"/>
                <w:sz w:val="16"/>
                <w:szCs w:val="16"/>
              </w:rPr>
            </w:pPr>
            <w:r>
              <w:rPr>
                <w:rFonts w:ascii="Times New Roman"/>
                <w:sz w:val="16"/>
              </w:rPr>
              <w:t>29,606,755.74</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2"/>
                <w:sz w:val="16"/>
              </w:rPr>
              <w:t>29,261,090.54</w:t>
            </w:r>
          </w:p>
        </w:tc>
        <w:tc>
          <w:tcPr>
            <w:tcW w:w="10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left="263" w:right="0"/>
              <w:jc w:val="left"/>
              <w:rPr>
                <w:rFonts w:ascii="Times New Roman" w:hAnsi="Times New Roman" w:cs="Times New Roman" w:eastAsia="Times New Roman" w:hint="default"/>
                <w:sz w:val="16"/>
                <w:szCs w:val="16"/>
              </w:rPr>
            </w:pPr>
            <w:r>
              <w:rPr>
                <w:rFonts w:ascii="Times New Roman"/>
                <w:sz w:val="16"/>
              </w:rPr>
              <w:t>121,326.17</w:t>
            </w:r>
          </w:p>
        </w:tc>
        <w:tc>
          <w:tcPr>
            <w:tcW w:w="11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left="230" w:right="0"/>
              <w:jc w:val="left"/>
              <w:rPr>
                <w:rFonts w:ascii="Times New Roman" w:hAnsi="Times New Roman" w:cs="Times New Roman" w:eastAsia="Times New Roman" w:hint="default"/>
                <w:sz w:val="16"/>
                <w:szCs w:val="16"/>
              </w:rPr>
            </w:pPr>
            <w:r>
              <w:rPr>
                <w:rFonts w:ascii="Times New Roman"/>
                <w:sz w:val="16"/>
              </w:rPr>
              <w:t>5,619,108.20</w:t>
            </w:r>
          </w:p>
        </w:tc>
        <w:tc>
          <w:tcPr>
            <w:tcW w:w="121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27"/>
          <w:szCs w:val="27"/>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tab/>
      </w:r>
      <w:r>
        <w:rPr/>
        <w:t>预付款项</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预付款项按账龄列示</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851"/>
        <w:gridCol w:w="1860"/>
        <w:gridCol w:w="1349"/>
        <w:gridCol w:w="1793"/>
        <w:gridCol w:w="1351"/>
      </w:tblGrid>
      <w:tr>
        <w:trPr>
          <w:trHeight w:val="302" w:hRule="exact"/>
        </w:trPr>
        <w:tc>
          <w:tcPr>
            <w:tcW w:w="1851"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320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14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93" w:hRule="exact"/>
        </w:trPr>
        <w:tc>
          <w:tcPr>
            <w:tcW w:w="1851" w:type="dxa"/>
            <w:vMerge/>
            <w:tcBorders>
              <w:left w:val="nil" w:sz="6" w:space="0" w:color="auto"/>
              <w:bottom w:val="dotted" w:sz="4" w:space="0" w:color="000000"/>
              <w:right w:val="dotted" w:sz="4" w:space="0" w:color="000000"/>
            </w:tcBorders>
          </w:tcPr>
          <w:p>
            <w:pPr/>
          </w:p>
        </w:tc>
        <w:tc>
          <w:tcPr>
            <w:tcW w:w="18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left="602"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left="386"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7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left="571"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38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296" w:hRule="exact"/>
        </w:trPr>
        <w:tc>
          <w:tcPr>
            <w:tcW w:w="18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18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1,167,797,276.90</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2"/>
              <w:jc w:val="right"/>
              <w:rPr>
                <w:rFonts w:ascii="Times New Roman" w:hAnsi="Times New Roman" w:cs="Times New Roman" w:eastAsia="Times New Roman" w:hint="default"/>
                <w:sz w:val="16"/>
                <w:szCs w:val="16"/>
              </w:rPr>
            </w:pPr>
            <w:r>
              <w:rPr>
                <w:rFonts w:ascii="Times New Roman"/>
                <w:spacing w:val="-1"/>
                <w:sz w:val="16"/>
              </w:rPr>
              <w:t>96.39</w:t>
            </w:r>
          </w:p>
        </w:tc>
        <w:tc>
          <w:tcPr>
            <w:tcW w:w="17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1"/>
              <w:jc w:val="right"/>
              <w:rPr>
                <w:rFonts w:ascii="Times New Roman" w:hAnsi="Times New Roman" w:cs="Times New Roman" w:eastAsia="Times New Roman" w:hint="default"/>
                <w:sz w:val="16"/>
                <w:szCs w:val="16"/>
              </w:rPr>
            </w:pPr>
            <w:r>
              <w:rPr>
                <w:rFonts w:ascii="Times New Roman"/>
                <w:spacing w:val="-1"/>
                <w:sz w:val="16"/>
              </w:rPr>
              <w:t>209,273,036.35</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6"/>
                <w:szCs w:val="16"/>
              </w:rPr>
            </w:pPr>
            <w:r>
              <w:rPr>
                <w:rFonts w:ascii="Times New Roman"/>
                <w:spacing w:val="-1"/>
                <w:sz w:val="16"/>
              </w:rPr>
              <w:t>95.41</w:t>
            </w:r>
          </w:p>
        </w:tc>
      </w:tr>
      <w:tr>
        <w:trPr>
          <w:trHeight w:val="293" w:hRule="exact"/>
        </w:trPr>
        <w:tc>
          <w:tcPr>
            <w:tcW w:w="18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18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2"/>
                <w:sz w:val="16"/>
              </w:rPr>
              <w:t>36,185,258.39</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spacing w:val="-1"/>
                <w:sz w:val="16"/>
              </w:rPr>
              <w:t>2.99</w:t>
            </w:r>
          </w:p>
        </w:tc>
        <w:tc>
          <w:tcPr>
            <w:tcW w:w="17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3,134,375.72</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6"/>
                <w:szCs w:val="16"/>
              </w:rPr>
            </w:pPr>
            <w:r>
              <w:rPr>
                <w:rFonts w:ascii="Times New Roman"/>
                <w:spacing w:val="-1"/>
                <w:sz w:val="16"/>
              </w:rPr>
              <w:t>1.43</w:t>
            </w:r>
          </w:p>
        </w:tc>
      </w:tr>
      <w:tr>
        <w:trPr>
          <w:trHeight w:val="293" w:hRule="exact"/>
        </w:trPr>
        <w:tc>
          <w:tcPr>
            <w:tcW w:w="18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18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1,819,650.23</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spacing w:val="-1"/>
                <w:sz w:val="16"/>
              </w:rPr>
              <w:t>0.15</w:t>
            </w:r>
          </w:p>
        </w:tc>
        <w:tc>
          <w:tcPr>
            <w:tcW w:w="17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2,185,924.16</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6"/>
                <w:szCs w:val="16"/>
              </w:rPr>
            </w:pPr>
            <w:r>
              <w:rPr>
                <w:rFonts w:ascii="Times New Roman"/>
                <w:spacing w:val="-1"/>
                <w:sz w:val="16"/>
              </w:rPr>
              <w:t>1.00</w:t>
            </w:r>
          </w:p>
        </w:tc>
      </w:tr>
      <w:tr>
        <w:trPr>
          <w:trHeight w:val="293" w:hRule="exact"/>
        </w:trPr>
        <w:tc>
          <w:tcPr>
            <w:tcW w:w="18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18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5,692,968.66</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spacing w:val="-1"/>
                <w:sz w:val="16"/>
              </w:rPr>
              <w:t>0.47</w:t>
            </w:r>
          </w:p>
        </w:tc>
        <w:tc>
          <w:tcPr>
            <w:tcW w:w="17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4,757,384.32</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6"/>
                <w:szCs w:val="16"/>
              </w:rPr>
            </w:pPr>
            <w:r>
              <w:rPr>
                <w:rFonts w:ascii="Times New Roman"/>
                <w:spacing w:val="-1"/>
                <w:sz w:val="16"/>
              </w:rPr>
              <w:t>2.16</w:t>
            </w:r>
          </w:p>
        </w:tc>
      </w:tr>
      <w:tr>
        <w:trPr>
          <w:trHeight w:val="302" w:hRule="exact"/>
        </w:trPr>
        <w:tc>
          <w:tcPr>
            <w:tcW w:w="18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spacing w:val="-2"/>
                <w:sz w:val="16"/>
              </w:rPr>
              <w:t>1,211,495,154.18</w:t>
            </w:r>
          </w:p>
        </w:tc>
        <w:tc>
          <w:tcPr>
            <w:tcW w:w="13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7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219,350,720.55</w:t>
            </w:r>
          </w:p>
        </w:tc>
        <w:tc>
          <w:tcPr>
            <w:tcW w:w="135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6"/>
                <w:szCs w:val="16"/>
              </w:rPr>
            </w:pPr>
            <w:r>
              <w:rPr>
                <w:rFonts w:ascii="Times New Roman"/>
                <w:spacing w:val="-1"/>
                <w:sz w:val="16"/>
              </w:rPr>
              <w:t>100.00</w:t>
            </w:r>
          </w:p>
        </w:tc>
      </w:tr>
    </w:tbl>
    <w:p>
      <w:pPr>
        <w:spacing w:line="240" w:lineRule="auto" w:before="9"/>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按预付对象归集的期末余额前五名的预付款情况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709"/>
        <w:gridCol w:w="2247"/>
        <w:gridCol w:w="2249"/>
      </w:tblGrid>
      <w:tr>
        <w:trPr>
          <w:trHeight w:val="571" w:hRule="exact"/>
        </w:trPr>
        <w:tc>
          <w:tcPr>
            <w:tcW w:w="37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22" w:right="0"/>
              <w:jc w:val="center"/>
              <w:rPr>
                <w:rFonts w:ascii="宋体" w:hAnsi="宋体" w:cs="宋体" w:eastAsia="宋体" w:hint="default"/>
                <w:sz w:val="16"/>
                <w:szCs w:val="16"/>
              </w:rPr>
            </w:pPr>
            <w:r>
              <w:rPr>
                <w:rFonts w:ascii="宋体" w:hAnsi="宋体" w:cs="宋体" w:eastAsia="宋体" w:hint="default"/>
                <w:sz w:val="16"/>
                <w:szCs w:val="16"/>
              </w:rPr>
              <w:t>预付对象</w:t>
            </w:r>
          </w:p>
        </w:tc>
        <w:tc>
          <w:tcPr>
            <w:tcW w:w="224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249" w:type="dxa"/>
            <w:tcBorders>
              <w:top w:val="single" w:sz="12" w:space="0" w:color="000000"/>
              <w:left w:val="dotted" w:sz="4" w:space="0" w:color="000000"/>
              <w:bottom w:val="dotted" w:sz="4" w:space="0" w:color="000000"/>
              <w:right w:val="nil" w:sz="6" w:space="0" w:color="auto"/>
            </w:tcBorders>
          </w:tcPr>
          <w:p>
            <w:pPr>
              <w:pStyle w:val="TableParagraph"/>
              <w:spacing w:line="206" w:lineRule="exact" w:before="65"/>
              <w:ind w:left="756" w:right="164" w:hanging="601"/>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占预付款项期末余额合计数</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的比例</w:t>
            </w:r>
            <w:r>
              <w:rPr>
                <w:rFonts w:ascii="Times New Roman" w:hAnsi="Times New Roman" w:cs="Times New Roman" w:eastAsia="Times New Roman" w:hint="default"/>
                <w:sz w:val="16"/>
                <w:szCs w:val="16"/>
              </w:rPr>
              <w:t>(%)</w:t>
            </w:r>
          </w:p>
        </w:tc>
      </w:tr>
      <w:tr>
        <w:trPr>
          <w:trHeight w:val="353" w:hRule="exact"/>
        </w:trPr>
        <w:tc>
          <w:tcPr>
            <w:tcW w:w="3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天津飞腾信息技术有限公司</w:t>
            </w: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942,317,836.19</w:t>
            </w:r>
          </w:p>
        </w:tc>
        <w:tc>
          <w:tcPr>
            <w:tcW w:w="2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77.78</w:t>
            </w:r>
          </w:p>
        </w:tc>
      </w:tr>
      <w:tr>
        <w:trPr>
          <w:trHeight w:val="353" w:hRule="exact"/>
        </w:trPr>
        <w:tc>
          <w:tcPr>
            <w:tcW w:w="3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48,209,962.42</w:t>
            </w:r>
          </w:p>
        </w:tc>
        <w:tc>
          <w:tcPr>
            <w:tcW w:w="2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3.98</w:t>
            </w:r>
          </w:p>
        </w:tc>
      </w:tr>
      <w:tr>
        <w:trPr>
          <w:trHeight w:val="355" w:hRule="exact"/>
        </w:trPr>
        <w:tc>
          <w:tcPr>
            <w:tcW w:w="3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北京智芯微电子科技有限公司</w:t>
            </w: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33,355,973.00</w:t>
            </w:r>
          </w:p>
        </w:tc>
        <w:tc>
          <w:tcPr>
            <w:tcW w:w="2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2.75</w:t>
            </w:r>
          </w:p>
        </w:tc>
      </w:tr>
      <w:tr>
        <w:trPr>
          <w:trHeight w:val="353" w:hRule="exact"/>
        </w:trPr>
        <w:tc>
          <w:tcPr>
            <w:tcW w:w="3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24,930,000.00</w:t>
            </w:r>
          </w:p>
        </w:tc>
        <w:tc>
          <w:tcPr>
            <w:tcW w:w="2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2.06</w:t>
            </w:r>
          </w:p>
        </w:tc>
      </w:tr>
      <w:tr>
        <w:trPr>
          <w:trHeight w:val="353" w:hRule="exact"/>
        </w:trPr>
        <w:tc>
          <w:tcPr>
            <w:tcW w:w="3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深圳前海启智教育科技有限公司</w:t>
            </w: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13,398,443.00</w:t>
            </w:r>
          </w:p>
        </w:tc>
        <w:tc>
          <w:tcPr>
            <w:tcW w:w="2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1.11</w:t>
            </w:r>
          </w:p>
        </w:tc>
      </w:tr>
      <w:tr>
        <w:trPr>
          <w:trHeight w:val="365" w:hRule="exact"/>
        </w:trPr>
        <w:tc>
          <w:tcPr>
            <w:tcW w:w="37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2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2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1,062,212,214.61</w:t>
            </w:r>
          </w:p>
        </w:tc>
        <w:tc>
          <w:tcPr>
            <w:tcW w:w="22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87.68</w:t>
            </w:r>
          </w:p>
        </w:tc>
      </w:tr>
    </w:tbl>
    <w:p>
      <w:pPr>
        <w:spacing w:line="240" w:lineRule="auto" w:before="6"/>
        <w:rPr>
          <w:rFonts w:ascii="宋体" w:hAnsi="宋体" w:cs="宋体" w:eastAsia="宋体" w:hint="default"/>
          <w:b/>
          <w:bCs/>
          <w:sz w:val="27"/>
          <w:szCs w:val="27"/>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tab/>
      </w:r>
      <w:r>
        <w:rPr/>
        <w:t>其他应收款</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629"/>
        <w:gridCol w:w="2300"/>
        <w:gridCol w:w="2276"/>
      </w:tblGrid>
      <w:tr>
        <w:trPr>
          <w:trHeight w:val="365" w:hRule="exact"/>
        </w:trPr>
        <w:tc>
          <w:tcPr>
            <w:tcW w:w="36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right="1639"/>
              <w:jc w:val="right"/>
              <w:rPr>
                <w:rFonts w:ascii="宋体" w:hAnsi="宋体" w:cs="宋体" w:eastAsia="宋体" w:hint="default"/>
                <w:sz w:val="16"/>
                <w:szCs w:val="16"/>
              </w:rPr>
            </w:pPr>
            <w:r>
              <w:rPr>
                <w:rFonts w:ascii="宋体" w:hAnsi="宋体" w:cs="宋体" w:eastAsia="宋体" w:hint="default"/>
                <w:sz w:val="16"/>
                <w:szCs w:val="16"/>
              </w:rPr>
              <w:t>项目</w:t>
            </w:r>
          </w:p>
        </w:tc>
        <w:tc>
          <w:tcPr>
            <w:tcW w:w="23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27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65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36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23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688,956.39</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677,799.76</w:t>
            </w:r>
          </w:p>
        </w:tc>
      </w:tr>
      <w:tr>
        <w:trPr>
          <w:trHeight w:val="353" w:hRule="exact"/>
        </w:trPr>
        <w:tc>
          <w:tcPr>
            <w:tcW w:w="36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应收股利</w:t>
            </w:r>
          </w:p>
        </w:tc>
        <w:tc>
          <w:tcPr>
            <w:tcW w:w="23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14,000,000.00</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14,000,000.00</w:t>
            </w:r>
          </w:p>
        </w:tc>
      </w:tr>
      <w:tr>
        <w:trPr>
          <w:trHeight w:val="355" w:hRule="exact"/>
        </w:trPr>
        <w:tc>
          <w:tcPr>
            <w:tcW w:w="36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其他应收款项</w:t>
            </w:r>
          </w:p>
        </w:tc>
        <w:tc>
          <w:tcPr>
            <w:tcW w:w="23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76,146,563.89</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49,539,062.36</w:t>
            </w:r>
          </w:p>
        </w:tc>
      </w:tr>
      <w:tr>
        <w:trPr>
          <w:trHeight w:val="362" w:hRule="exact"/>
        </w:trPr>
        <w:tc>
          <w:tcPr>
            <w:tcW w:w="36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639"/>
              <w:jc w:val="right"/>
              <w:rPr>
                <w:rFonts w:ascii="宋体" w:hAnsi="宋体" w:cs="宋体" w:eastAsia="宋体" w:hint="default"/>
                <w:sz w:val="16"/>
                <w:szCs w:val="16"/>
              </w:rPr>
            </w:pPr>
            <w:r>
              <w:rPr>
                <w:rFonts w:ascii="宋体" w:hAnsi="宋体" w:cs="宋体" w:eastAsia="宋体" w:hint="default"/>
                <w:sz w:val="16"/>
                <w:szCs w:val="16"/>
              </w:rPr>
              <w:t>合计</w:t>
            </w:r>
          </w:p>
        </w:tc>
        <w:tc>
          <w:tcPr>
            <w:tcW w:w="23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90,835,520.28</w:t>
            </w:r>
          </w:p>
        </w:tc>
        <w:tc>
          <w:tcPr>
            <w:tcW w:w="22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64,216,862.12</w:t>
            </w:r>
          </w:p>
        </w:tc>
      </w:tr>
    </w:tbl>
    <w:p>
      <w:pPr>
        <w:spacing w:line="240" w:lineRule="auto" w:before="9"/>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1</w:t>
      </w:r>
      <w:r>
        <w:rPr/>
        <w:t>、</w:t>
        <w:tab/>
        <w:t>应收利息</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696"/>
        <w:gridCol w:w="2681"/>
        <w:gridCol w:w="2828"/>
      </w:tblGrid>
      <w:tr>
        <w:trPr>
          <w:trHeight w:val="362" w:hRule="exact"/>
        </w:trPr>
        <w:tc>
          <w:tcPr>
            <w:tcW w:w="269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right="1172"/>
              <w:jc w:val="right"/>
              <w:rPr>
                <w:rFonts w:ascii="宋体" w:hAnsi="宋体" w:cs="宋体" w:eastAsia="宋体" w:hint="default"/>
                <w:sz w:val="16"/>
                <w:szCs w:val="16"/>
              </w:rPr>
            </w:pPr>
            <w:r>
              <w:rPr>
                <w:rFonts w:ascii="宋体" w:hAnsi="宋体" w:cs="宋体" w:eastAsia="宋体" w:hint="default"/>
                <w:sz w:val="16"/>
                <w:szCs w:val="16"/>
              </w:rPr>
              <w:t>项目</w:t>
            </w:r>
          </w:p>
        </w:tc>
        <w:tc>
          <w:tcPr>
            <w:tcW w:w="26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8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926"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5" w:hRule="exact"/>
        </w:trPr>
        <w:tc>
          <w:tcPr>
            <w:tcW w:w="26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债券投资</w:t>
            </w:r>
          </w:p>
        </w:tc>
        <w:tc>
          <w:tcPr>
            <w:tcW w:w="2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688,956.39</w:t>
            </w:r>
          </w:p>
        </w:tc>
        <w:tc>
          <w:tcPr>
            <w:tcW w:w="28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677,799.76</w:t>
            </w:r>
          </w:p>
        </w:tc>
      </w:tr>
      <w:tr>
        <w:trPr>
          <w:trHeight w:val="353" w:hRule="exact"/>
        </w:trPr>
        <w:tc>
          <w:tcPr>
            <w:tcW w:w="26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2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688,956.39</w:t>
            </w:r>
          </w:p>
        </w:tc>
        <w:tc>
          <w:tcPr>
            <w:tcW w:w="28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677,799.76</w:t>
            </w:r>
          </w:p>
        </w:tc>
      </w:tr>
      <w:tr>
        <w:trPr>
          <w:trHeight w:val="353" w:hRule="exact"/>
        </w:trPr>
        <w:tc>
          <w:tcPr>
            <w:tcW w:w="26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减：坏账准备</w:t>
            </w:r>
          </w:p>
        </w:tc>
        <w:tc>
          <w:tcPr>
            <w:tcW w:w="2681" w:type="dxa"/>
            <w:tcBorders>
              <w:top w:val="dotted" w:sz="4" w:space="0" w:color="000000"/>
              <w:left w:val="dotted" w:sz="4" w:space="0" w:color="000000"/>
              <w:bottom w:val="dotted" w:sz="4" w:space="0" w:color="000000"/>
              <w:right w:val="dotted" w:sz="4" w:space="0" w:color="000000"/>
            </w:tcBorders>
          </w:tcPr>
          <w:p>
            <w:pPr/>
          </w:p>
        </w:tc>
        <w:tc>
          <w:tcPr>
            <w:tcW w:w="2828"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269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172"/>
              <w:jc w:val="right"/>
              <w:rPr>
                <w:rFonts w:ascii="宋体" w:hAnsi="宋体" w:cs="宋体" w:eastAsia="宋体" w:hint="default"/>
                <w:sz w:val="16"/>
                <w:szCs w:val="16"/>
              </w:rPr>
            </w:pPr>
            <w:r>
              <w:rPr>
                <w:rFonts w:ascii="宋体" w:hAnsi="宋体" w:cs="宋体" w:eastAsia="宋体" w:hint="default"/>
                <w:sz w:val="16"/>
                <w:szCs w:val="16"/>
              </w:rPr>
              <w:t>合计</w:t>
            </w:r>
          </w:p>
        </w:tc>
        <w:tc>
          <w:tcPr>
            <w:tcW w:w="26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688,956.39</w:t>
            </w:r>
          </w:p>
        </w:tc>
        <w:tc>
          <w:tcPr>
            <w:tcW w:w="28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677,799.76</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t>应收股利</w:t>
      </w:r>
      <w:r>
        <w:rPr>
          <w:b w:val="0"/>
          <w:bCs w:val="0"/>
        </w:rPr>
      </w:r>
    </w:p>
    <w:p>
      <w:pPr>
        <w:pStyle w:val="BodyText"/>
        <w:spacing w:line="240" w:lineRule="auto" w:before="110"/>
        <w:ind w:right="3683"/>
        <w:jc w:val="left"/>
      </w:pPr>
      <w:r>
        <w:rPr/>
        <w:t>（</w:t>
      </w:r>
      <w:r>
        <w:rPr>
          <w:rFonts w:ascii="Times New Roman" w:hAnsi="Times New Roman" w:cs="Times New Roman" w:eastAsia="Times New Roman" w:hint="default"/>
        </w:rPr>
        <w:t>1</w:t>
      </w:r>
      <w:r>
        <w:rPr/>
        <w:t>）应收股利明细</w:t>
      </w:r>
    </w:p>
    <w:tbl>
      <w:tblPr>
        <w:tblW w:w="0" w:type="auto"/>
        <w:jc w:val="left"/>
        <w:tblInd w:w="721" w:type="dxa"/>
        <w:tblLayout w:type="fixed"/>
        <w:tblCellMar>
          <w:top w:w="0" w:type="dxa"/>
          <w:left w:w="0" w:type="dxa"/>
          <w:bottom w:w="0" w:type="dxa"/>
          <w:right w:w="0" w:type="dxa"/>
        </w:tblCellMar>
        <w:tblLook w:val="01E0"/>
      </w:tblPr>
      <w:tblGrid>
        <w:gridCol w:w="3322"/>
        <w:gridCol w:w="2441"/>
        <w:gridCol w:w="2441"/>
      </w:tblGrid>
      <w:tr>
        <w:trPr>
          <w:trHeight w:val="365" w:hRule="exact"/>
        </w:trPr>
        <w:tc>
          <w:tcPr>
            <w:tcW w:w="332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866" w:right="0"/>
              <w:jc w:val="left"/>
              <w:rPr>
                <w:rFonts w:ascii="宋体" w:hAnsi="宋体" w:cs="宋体" w:eastAsia="宋体" w:hint="default"/>
                <w:sz w:val="16"/>
                <w:szCs w:val="16"/>
              </w:rPr>
            </w:pPr>
            <w:r>
              <w:rPr>
                <w:rFonts w:ascii="宋体" w:hAnsi="宋体" w:cs="宋体" w:eastAsia="宋体" w:hint="default"/>
                <w:sz w:val="16"/>
                <w:szCs w:val="16"/>
              </w:rPr>
              <w:t>项目（或被投资单位）</w:t>
            </w:r>
          </w:p>
        </w:tc>
        <w:tc>
          <w:tcPr>
            <w:tcW w:w="24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73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3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东方证券股份有限公司</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14,000,000.00</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14,000,000.00</w:t>
            </w:r>
          </w:p>
        </w:tc>
      </w:tr>
      <w:tr>
        <w:trPr>
          <w:trHeight w:val="353" w:hRule="exact"/>
        </w:trPr>
        <w:tc>
          <w:tcPr>
            <w:tcW w:w="3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14,000,000.00</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14,000,000.00</w:t>
            </w:r>
          </w:p>
        </w:tc>
      </w:tr>
      <w:tr>
        <w:trPr>
          <w:trHeight w:val="355" w:hRule="exact"/>
        </w:trPr>
        <w:tc>
          <w:tcPr>
            <w:tcW w:w="3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减：坏账准备</w:t>
            </w:r>
          </w:p>
        </w:tc>
        <w:tc>
          <w:tcPr>
            <w:tcW w:w="2441" w:type="dxa"/>
            <w:tcBorders>
              <w:top w:val="dotted" w:sz="4" w:space="0" w:color="000000"/>
              <w:left w:val="dotted" w:sz="4" w:space="0" w:color="000000"/>
              <w:bottom w:val="dotted" w:sz="4" w:space="0" w:color="000000"/>
              <w:right w:val="dotted" w:sz="4" w:space="0" w:color="000000"/>
            </w:tcBorders>
          </w:tcPr>
          <w:p>
            <w:pPr/>
          </w:p>
        </w:tc>
        <w:tc>
          <w:tcPr>
            <w:tcW w:w="2441"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33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4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14,000,000.00</w:t>
            </w:r>
          </w:p>
        </w:tc>
        <w:tc>
          <w:tcPr>
            <w:tcW w:w="24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14,000,000.00</w:t>
            </w:r>
          </w:p>
        </w:tc>
      </w:tr>
    </w:tbl>
    <w:p>
      <w:pPr>
        <w:spacing w:line="240" w:lineRule="auto" w:before="9"/>
        <w:rPr>
          <w:rFonts w:ascii="宋体" w:hAnsi="宋体" w:cs="宋体" w:eastAsia="宋体" w:hint="default"/>
          <w:sz w:val="27"/>
          <w:szCs w:val="27"/>
        </w:rPr>
      </w:pPr>
    </w:p>
    <w:p>
      <w:pPr>
        <w:pStyle w:val="BodyText"/>
        <w:spacing w:line="240" w:lineRule="auto"/>
        <w:ind w:right="3683"/>
        <w:jc w:val="left"/>
      </w:pPr>
      <w:r>
        <w:rPr/>
        <w:t>（</w:t>
      </w:r>
      <w:r>
        <w:rPr>
          <w:rFonts w:ascii="Times New Roman" w:hAnsi="Times New Roman" w:cs="Times New Roman" w:eastAsia="Times New Roman" w:hint="default"/>
        </w:rPr>
        <w:t>2</w:t>
      </w:r>
      <w:r>
        <w:rPr/>
        <w:t>）重要的账龄超过一年的应收股利</w:t>
      </w:r>
    </w:p>
    <w:tbl>
      <w:tblPr>
        <w:tblW w:w="0" w:type="auto"/>
        <w:jc w:val="left"/>
        <w:tblInd w:w="721" w:type="dxa"/>
        <w:tblLayout w:type="fixed"/>
        <w:tblCellMar>
          <w:top w:w="0" w:type="dxa"/>
          <w:left w:w="0" w:type="dxa"/>
          <w:bottom w:w="0" w:type="dxa"/>
          <w:right w:w="0" w:type="dxa"/>
        </w:tblCellMar>
        <w:tblLook w:val="01E0"/>
      </w:tblPr>
      <w:tblGrid>
        <w:gridCol w:w="2204"/>
        <w:gridCol w:w="1315"/>
        <w:gridCol w:w="1472"/>
        <w:gridCol w:w="1469"/>
        <w:gridCol w:w="1745"/>
      </w:tblGrid>
      <w:tr>
        <w:trPr>
          <w:trHeight w:val="572" w:hRule="exact"/>
        </w:trPr>
        <w:tc>
          <w:tcPr>
            <w:tcW w:w="220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415"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项目</w:t>
            </w:r>
            <w:r>
              <w:rPr>
                <w:rFonts w:ascii="Times New Roman" w:hAnsi="Times New Roman" w:cs="Times New Roman" w:eastAsia="Times New Roman" w:hint="default"/>
                <w:sz w:val="16"/>
                <w:szCs w:val="16"/>
              </w:rPr>
              <w:t>(</w:t>
            </w:r>
            <w:r>
              <w:rPr>
                <w:rFonts w:ascii="宋体" w:hAnsi="宋体" w:cs="宋体" w:eastAsia="宋体" w:hint="default"/>
                <w:sz w:val="16"/>
                <w:szCs w:val="16"/>
              </w:rPr>
              <w:t>或被投资单位</w:t>
            </w:r>
            <w:r>
              <w:rPr>
                <w:rFonts w:ascii="Times New Roman" w:hAnsi="Times New Roman" w:cs="Times New Roman" w:eastAsia="Times New Roman" w:hint="default"/>
                <w:sz w:val="16"/>
                <w:szCs w:val="16"/>
              </w:rPr>
              <w:t>)</w:t>
            </w:r>
          </w:p>
        </w:tc>
        <w:tc>
          <w:tcPr>
            <w:tcW w:w="131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331"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4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账龄</w:t>
            </w:r>
          </w:p>
        </w:tc>
        <w:tc>
          <w:tcPr>
            <w:tcW w:w="14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47" w:right="0"/>
              <w:jc w:val="left"/>
              <w:rPr>
                <w:rFonts w:ascii="宋体" w:hAnsi="宋体" w:cs="宋体" w:eastAsia="宋体" w:hint="default"/>
                <w:sz w:val="16"/>
                <w:szCs w:val="16"/>
              </w:rPr>
            </w:pPr>
            <w:r>
              <w:rPr>
                <w:rFonts w:ascii="宋体" w:hAnsi="宋体" w:cs="宋体" w:eastAsia="宋体" w:hint="default"/>
                <w:sz w:val="16"/>
                <w:szCs w:val="16"/>
              </w:rPr>
              <w:t>未收回的原因</w:t>
            </w:r>
          </w:p>
        </w:tc>
        <w:tc>
          <w:tcPr>
            <w:tcW w:w="1745" w:type="dxa"/>
            <w:tcBorders>
              <w:top w:val="single" w:sz="12" w:space="0" w:color="000000"/>
              <w:left w:val="dotted" w:sz="4" w:space="0" w:color="000000"/>
              <w:bottom w:val="dotted" w:sz="4" w:space="0" w:color="000000"/>
              <w:right w:val="nil" w:sz="6" w:space="0" w:color="auto"/>
            </w:tcBorders>
          </w:tcPr>
          <w:p>
            <w:pPr>
              <w:pStyle w:val="TableParagraph"/>
              <w:spacing w:line="206" w:lineRule="exact" w:before="65"/>
              <w:ind w:left="626" w:right="149" w:hanging="481"/>
              <w:jc w:val="left"/>
              <w:rPr>
                <w:rFonts w:ascii="宋体" w:hAnsi="宋体" w:cs="宋体" w:eastAsia="宋体" w:hint="default"/>
                <w:sz w:val="16"/>
                <w:szCs w:val="16"/>
              </w:rPr>
            </w:pPr>
            <w:r>
              <w:rPr>
                <w:rFonts w:ascii="宋体" w:hAnsi="宋体" w:cs="宋体" w:eastAsia="宋体" w:hint="default"/>
                <w:sz w:val="16"/>
                <w:szCs w:val="16"/>
              </w:rPr>
              <w:t>是否发生减值及其判</w:t>
            </w:r>
            <w:r>
              <w:rPr>
                <w:rFonts w:ascii="宋体" w:hAnsi="宋体" w:cs="宋体" w:eastAsia="宋体" w:hint="default"/>
                <w:w w:val="100"/>
                <w:sz w:val="16"/>
                <w:szCs w:val="16"/>
              </w:rPr>
              <w:t> </w:t>
            </w:r>
            <w:r>
              <w:rPr>
                <w:rFonts w:ascii="宋体" w:hAnsi="宋体" w:cs="宋体" w:eastAsia="宋体" w:hint="default"/>
                <w:sz w:val="16"/>
                <w:szCs w:val="16"/>
              </w:rPr>
              <w:t>断依据</w:t>
            </w:r>
          </w:p>
        </w:tc>
      </w:tr>
      <w:tr>
        <w:trPr>
          <w:trHeight w:val="353" w:hRule="exact"/>
        </w:trPr>
        <w:tc>
          <w:tcPr>
            <w:tcW w:w="22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东方证券股份有限公司</w:t>
            </w:r>
          </w:p>
        </w:tc>
        <w:tc>
          <w:tcPr>
            <w:tcW w:w="13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83" w:right="0"/>
              <w:jc w:val="left"/>
              <w:rPr>
                <w:rFonts w:ascii="Times New Roman" w:hAnsi="Times New Roman" w:cs="Times New Roman" w:eastAsia="Times New Roman" w:hint="default"/>
                <w:sz w:val="16"/>
                <w:szCs w:val="16"/>
              </w:rPr>
            </w:pPr>
            <w:r>
              <w:rPr>
                <w:rFonts w:ascii="Times New Roman"/>
                <w:sz w:val="16"/>
              </w:rPr>
              <w:t>14,000,000.00</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1-2 </w:t>
            </w:r>
            <w:r>
              <w:rPr>
                <w:rFonts w:ascii="宋体" w:hAnsi="宋体" w:cs="宋体" w:eastAsia="宋体" w:hint="default"/>
                <w:sz w:val="16"/>
                <w:szCs w:val="16"/>
              </w:rPr>
              <w:t>年</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0" w:right="0"/>
              <w:jc w:val="left"/>
              <w:rPr>
                <w:rFonts w:ascii="宋体" w:hAnsi="宋体" w:cs="宋体" w:eastAsia="宋体" w:hint="default"/>
                <w:sz w:val="16"/>
                <w:szCs w:val="16"/>
              </w:rPr>
            </w:pPr>
            <w:r>
              <w:rPr>
                <w:rFonts w:ascii="宋体" w:hAnsi="宋体" w:cs="宋体" w:eastAsia="宋体" w:hint="default"/>
                <w:sz w:val="16"/>
                <w:szCs w:val="16"/>
              </w:rPr>
              <w:t>证券账户变更</w:t>
            </w:r>
          </w:p>
        </w:tc>
        <w:tc>
          <w:tcPr>
            <w:tcW w:w="17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365" w:hRule="exact"/>
        </w:trPr>
        <w:tc>
          <w:tcPr>
            <w:tcW w:w="22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283" w:right="0"/>
              <w:jc w:val="left"/>
              <w:rPr>
                <w:rFonts w:ascii="Times New Roman" w:hAnsi="Times New Roman" w:cs="Times New Roman" w:eastAsia="Times New Roman" w:hint="default"/>
                <w:sz w:val="16"/>
                <w:szCs w:val="16"/>
              </w:rPr>
            </w:pPr>
            <w:r>
              <w:rPr>
                <w:rFonts w:ascii="Times New Roman"/>
                <w:sz w:val="16"/>
              </w:rPr>
              <w:t>14,000,000.00</w:t>
            </w:r>
          </w:p>
        </w:tc>
        <w:tc>
          <w:tcPr>
            <w:tcW w:w="1472" w:type="dxa"/>
            <w:tcBorders>
              <w:top w:val="dotted" w:sz="4" w:space="0" w:color="000000"/>
              <w:left w:val="dotted" w:sz="4" w:space="0" w:color="000000"/>
              <w:bottom w:val="single" w:sz="12" w:space="0" w:color="000000"/>
              <w:right w:val="dotted" w:sz="4" w:space="0" w:color="000000"/>
            </w:tcBorders>
          </w:tcPr>
          <w:p>
            <w:pPr/>
          </w:p>
        </w:tc>
        <w:tc>
          <w:tcPr>
            <w:tcW w:w="1469" w:type="dxa"/>
            <w:tcBorders>
              <w:top w:val="dotted" w:sz="4" w:space="0" w:color="000000"/>
              <w:left w:val="dotted" w:sz="4" w:space="0" w:color="000000"/>
              <w:bottom w:val="single" w:sz="12" w:space="0" w:color="000000"/>
              <w:right w:val="dotted" w:sz="4" w:space="0" w:color="000000"/>
            </w:tcBorders>
          </w:tcPr>
          <w:p>
            <w:pPr/>
          </w:p>
        </w:tc>
        <w:tc>
          <w:tcPr>
            <w:tcW w:w="174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3</w:t>
      </w:r>
      <w:r>
        <w:rPr/>
        <w:t>、</w:t>
        <w:tab/>
        <w:t>其他应收款项</w:t>
      </w:r>
      <w:r>
        <w:rPr>
          <w:b w:val="0"/>
          <w:bCs w:val="0"/>
        </w:rPr>
      </w:r>
    </w:p>
    <w:p>
      <w:pPr>
        <w:pStyle w:val="BodyText"/>
        <w:spacing w:line="240" w:lineRule="auto" w:before="110"/>
        <w:ind w:right="3683"/>
        <w:jc w:val="left"/>
      </w:pPr>
      <w:r>
        <w:rPr/>
        <w:t>（</w:t>
      </w:r>
      <w:r>
        <w:rPr>
          <w:rFonts w:ascii="Times New Roman" w:hAnsi="Times New Roman" w:cs="Times New Roman" w:eastAsia="Times New Roman" w:hint="default"/>
        </w:rPr>
        <w:t>1</w:t>
      </w:r>
      <w:r>
        <w:rPr/>
        <w:t>）按账龄披露</w:t>
      </w:r>
    </w:p>
    <w:tbl>
      <w:tblPr>
        <w:tblW w:w="0" w:type="auto"/>
        <w:jc w:val="left"/>
        <w:tblInd w:w="721" w:type="dxa"/>
        <w:tblLayout w:type="fixed"/>
        <w:tblCellMar>
          <w:top w:w="0" w:type="dxa"/>
          <w:left w:w="0" w:type="dxa"/>
          <w:bottom w:w="0" w:type="dxa"/>
          <w:right w:w="0" w:type="dxa"/>
        </w:tblCellMar>
        <w:tblLook w:val="01E0"/>
      </w:tblPr>
      <w:tblGrid>
        <w:gridCol w:w="3622"/>
        <w:gridCol w:w="2292"/>
        <w:gridCol w:w="2290"/>
      </w:tblGrid>
      <w:tr>
        <w:trPr>
          <w:trHeight w:val="362" w:hRule="exact"/>
        </w:trPr>
        <w:tc>
          <w:tcPr>
            <w:tcW w:w="362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22"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22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29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657"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5"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2"/>
                <w:sz w:val="16"/>
              </w:rPr>
              <w:t>69,050,410.94</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40,274,228.80</w:t>
            </w:r>
          </w:p>
        </w:tc>
      </w:tr>
      <w:tr>
        <w:trPr>
          <w:trHeight w:val="353"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其中：在合同规定的收款账期内的应收款项组合</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37,637,204.54</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21,462,709.00</w:t>
            </w:r>
          </w:p>
        </w:tc>
      </w:tr>
      <w:tr>
        <w:trPr>
          <w:trHeight w:val="353"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31,413,206.40</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18,811,519.80</w:t>
            </w:r>
          </w:p>
        </w:tc>
      </w:tr>
      <w:tr>
        <w:trPr>
          <w:trHeight w:val="353"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 </w:t>
            </w:r>
            <w:r>
              <w:rPr>
                <w:rFonts w:ascii="宋体" w:hAnsi="宋体" w:cs="宋体" w:eastAsia="宋体" w:hint="default"/>
                <w:sz w:val="16"/>
                <w:szCs w:val="16"/>
              </w:rPr>
              <w:t>年以内小计</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2"/>
                <w:sz w:val="16"/>
              </w:rPr>
              <w:t>69,050,410.94</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40,274,228.80</w:t>
            </w:r>
          </w:p>
        </w:tc>
      </w:tr>
      <w:tr>
        <w:trPr>
          <w:trHeight w:val="355"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4,618,881.80</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7,600,621.20</w:t>
            </w:r>
          </w:p>
        </w:tc>
      </w:tr>
      <w:tr>
        <w:trPr>
          <w:trHeight w:val="353"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4,878,029.27</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1,626,672.43</w:t>
            </w:r>
          </w:p>
        </w:tc>
      </w:tr>
      <w:tr>
        <w:trPr>
          <w:trHeight w:val="353"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1"/>
                <w:sz w:val="16"/>
              </w:rPr>
              <w:t>743,032.27</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5,111,623.02</w:t>
            </w:r>
          </w:p>
        </w:tc>
      </w:tr>
      <w:tr>
        <w:trPr>
          <w:trHeight w:val="355"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3,989,931.24</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907,652.81</w:t>
            </w:r>
          </w:p>
        </w:tc>
      </w:tr>
      <w:tr>
        <w:trPr>
          <w:trHeight w:val="353"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10,267,243.91</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17,680,123.07</w:t>
            </w:r>
          </w:p>
        </w:tc>
      </w:tr>
      <w:tr>
        <w:trPr>
          <w:trHeight w:val="353"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93,547,529.43</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73,200,921.33</w:t>
            </w:r>
          </w:p>
        </w:tc>
      </w:tr>
      <w:tr>
        <w:trPr>
          <w:trHeight w:val="353"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减：坏账准备</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2"/>
                <w:sz w:val="16"/>
              </w:rPr>
              <w:t>17,400,965.54</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23,661,858.97</w:t>
            </w:r>
          </w:p>
        </w:tc>
      </w:tr>
      <w:tr>
        <w:trPr>
          <w:trHeight w:val="365" w:hRule="exact"/>
        </w:trPr>
        <w:tc>
          <w:tcPr>
            <w:tcW w:w="36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2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2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2"/>
                <w:sz w:val="16"/>
              </w:rPr>
              <w:t>76,146,563.89</w:t>
            </w:r>
          </w:p>
        </w:tc>
        <w:tc>
          <w:tcPr>
            <w:tcW w:w="229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49,539,062.36</w:t>
            </w:r>
          </w:p>
        </w:tc>
      </w:tr>
    </w:tbl>
    <w:p>
      <w:pPr>
        <w:spacing w:line="240" w:lineRule="auto" w:before="6"/>
        <w:rPr>
          <w:rFonts w:ascii="宋体" w:hAnsi="宋体" w:cs="宋体" w:eastAsia="宋体" w:hint="default"/>
          <w:sz w:val="27"/>
          <w:szCs w:val="27"/>
        </w:rPr>
      </w:pPr>
    </w:p>
    <w:p>
      <w:pPr>
        <w:pStyle w:val="BodyText"/>
        <w:spacing w:line="240" w:lineRule="auto"/>
        <w:ind w:right="3683"/>
        <w:jc w:val="left"/>
      </w:pPr>
      <w:r>
        <w:rPr/>
        <w:t>（</w:t>
      </w:r>
      <w:r>
        <w:rPr>
          <w:rFonts w:ascii="Times New Roman" w:hAnsi="Times New Roman" w:cs="Times New Roman" w:eastAsia="Times New Roman" w:hint="default"/>
        </w:rPr>
        <w:t>2</w:t>
      </w:r>
      <w:r>
        <w:rPr/>
        <w:t>）按分类披露</w:t>
      </w:r>
    </w:p>
    <w:tbl>
      <w:tblPr>
        <w:tblW w:w="0" w:type="auto"/>
        <w:jc w:val="left"/>
        <w:tblInd w:w="721" w:type="dxa"/>
        <w:tblLayout w:type="fixed"/>
        <w:tblCellMar>
          <w:top w:w="0" w:type="dxa"/>
          <w:left w:w="0" w:type="dxa"/>
          <w:bottom w:w="0" w:type="dxa"/>
          <w:right w:w="0" w:type="dxa"/>
        </w:tblCellMar>
        <w:tblLook w:val="01E0"/>
      </w:tblPr>
      <w:tblGrid>
        <w:gridCol w:w="2041"/>
        <w:gridCol w:w="1421"/>
        <w:gridCol w:w="984"/>
        <w:gridCol w:w="1267"/>
        <w:gridCol w:w="1225"/>
        <w:gridCol w:w="1267"/>
      </w:tblGrid>
      <w:tr>
        <w:trPr>
          <w:trHeight w:val="365" w:hRule="exact"/>
        </w:trPr>
        <w:tc>
          <w:tcPr>
            <w:tcW w:w="204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6164"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2041" w:type="dxa"/>
            <w:vMerge/>
            <w:tcBorders>
              <w:left w:val="nil" w:sz="6" w:space="0" w:color="auto"/>
              <w:right w:val="dotted" w:sz="4" w:space="0" w:color="000000"/>
            </w:tcBorders>
          </w:tcPr>
          <w:p>
            <w:pPr/>
          </w:p>
        </w:tc>
        <w:tc>
          <w:tcPr>
            <w:tcW w:w="240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49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267" w:type="dxa"/>
            <w:vMerge w:val="restart"/>
            <w:tcBorders>
              <w:top w:val="dotted" w:sz="4" w:space="0" w:color="000000"/>
              <w:left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4"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355" w:hRule="exact"/>
        </w:trPr>
        <w:tc>
          <w:tcPr>
            <w:tcW w:w="2041" w:type="dxa"/>
            <w:vMerge/>
            <w:tcBorders>
              <w:left w:val="nil" w:sz="6" w:space="0" w:color="auto"/>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4"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9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91"/>
              <w:jc w:val="right"/>
              <w:rPr>
                <w:rFonts w:ascii="宋体" w:hAnsi="宋体" w:cs="宋体" w:eastAsia="宋体"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2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23"/>
              <w:jc w:val="right"/>
              <w:rPr>
                <w:rFonts w:ascii="宋体" w:hAnsi="宋体" w:cs="宋体" w:eastAsia="宋体" w:hint="default"/>
                <w:sz w:val="16"/>
                <w:szCs w:val="16"/>
              </w:rPr>
            </w:pPr>
            <w:r>
              <w:rPr>
                <w:rFonts w:ascii="宋体" w:hAnsi="宋体" w:cs="宋体" w:eastAsia="宋体" w:hint="default"/>
                <w:spacing w:val="-2"/>
                <w:sz w:val="16"/>
                <w:szCs w:val="16"/>
              </w:rPr>
              <w:t>计提比例（</w:t>
            </w:r>
            <w:r>
              <w:rPr>
                <w:rFonts w:ascii="Times New Roman" w:hAnsi="Times New Roman" w:cs="Times New Roman" w:eastAsia="Times New Roman" w:hint="default"/>
                <w:spacing w:val="-2"/>
                <w:sz w:val="16"/>
                <w:szCs w:val="16"/>
              </w:rPr>
              <w:t>%</w:t>
            </w:r>
            <w:r>
              <w:rPr>
                <w:rFonts w:ascii="宋体" w:hAnsi="宋体" w:cs="宋体" w:eastAsia="宋体" w:hint="default"/>
                <w:spacing w:val="-2"/>
                <w:sz w:val="16"/>
                <w:szCs w:val="16"/>
              </w:rPr>
              <w:t>）</w:t>
            </w:r>
          </w:p>
        </w:tc>
        <w:tc>
          <w:tcPr>
            <w:tcW w:w="1267" w:type="dxa"/>
            <w:vMerge/>
            <w:tcBorders>
              <w:left w:val="dotted" w:sz="4" w:space="0" w:color="000000"/>
              <w:bottom w:val="dotted" w:sz="4" w:space="0" w:color="000000"/>
              <w:right w:val="nil" w:sz="6" w:space="0" w:color="auto"/>
            </w:tcBorders>
          </w:tcPr>
          <w:p>
            <w:pPr/>
          </w:p>
        </w:tc>
      </w:tr>
      <w:tr>
        <w:trPr>
          <w:trHeight w:val="353" w:hRule="exact"/>
        </w:trPr>
        <w:tc>
          <w:tcPr>
            <w:tcW w:w="20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按单项计提坏账准备</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1"/>
                <w:sz w:val="16"/>
              </w:rPr>
              <w:t>6,237,592.63</w:t>
            </w:r>
          </w:p>
        </w:tc>
        <w:tc>
          <w:tcPr>
            <w:tcW w:w="9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6.67</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6,237,592.63</w:t>
            </w:r>
          </w:p>
        </w:tc>
        <w:tc>
          <w:tcPr>
            <w:tcW w:w="12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267"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0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按组合计提坏账准备</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2"/>
                <w:sz w:val="16"/>
              </w:rPr>
              <w:t>87,309,936.80</w:t>
            </w:r>
          </w:p>
        </w:tc>
        <w:tc>
          <w:tcPr>
            <w:tcW w:w="9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93.33</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11,163,372.91</w:t>
            </w:r>
          </w:p>
        </w:tc>
        <w:tc>
          <w:tcPr>
            <w:tcW w:w="12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12.79</w:t>
            </w:r>
          </w:p>
        </w:tc>
        <w:tc>
          <w:tcPr>
            <w:tcW w:w="12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232" w:right="0"/>
              <w:jc w:val="left"/>
              <w:rPr>
                <w:rFonts w:ascii="Times New Roman" w:hAnsi="Times New Roman" w:cs="Times New Roman" w:eastAsia="Times New Roman" w:hint="default"/>
                <w:sz w:val="16"/>
                <w:szCs w:val="16"/>
              </w:rPr>
            </w:pPr>
            <w:r>
              <w:rPr>
                <w:rFonts w:ascii="Times New Roman"/>
                <w:sz w:val="16"/>
              </w:rPr>
              <w:t>76,146,563.89</w:t>
            </w:r>
          </w:p>
        </w:tc>
      </w:tr>
      <w:tr>
        <w:trPr>
          <w:trHeight w:val="365" w:hRule="exact"/>
        </w:trPr>
        <w:tc>
          <w:tcPr>
            <w:tcW w:w="20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其中：</w:t>
            </w:r>
          </w:p>
        </w:tc>
        <w:tc>
          <w:tcPr>
            <w:tcW w:w="1421" w:type="dxa"/>
            <w:tcBorders>
              <w:top w:val="dotted" w:sz="4" w:space="0" w:color="000000"/>
              <w:left w:val="dotted" w:sz="4" w:space="0" w:color="000000"/>
              <w:bottom w:val="single" w:sz="12" w:space="0" w:color="000000"/>
              <w:right w:val="dotted" w:sz="4" w:space="0" w:color="000000"/>
            </w:tcBorders>
          </w:tcPr>
          <w:p>
            <w:pPr/>
          </w:p>
        </w:tc>
        <w:tc>
          <w:tcPr>
            <w:tcW w:w="984" w:type="dxa"/>
            <w:tcBorders>
              <w:top w:val="dotted" w:sz="4" w:space="0" w:color="000000"/>
              <w:left w:val="dotted" w:sz="4" w:space="0" w:color="000000"/>
              <w:bottom w:val="single" w:sz="12" w:space="0" w:color="000000"/>
              <w:right w:val="dotted" w:sz="4" w:space="0" w:color="000000"/>
            </w:tcBorders>
          </w:tcPr>
          <w:p>
            <w:pPr/>
          </w:p>
        </w:tc>
        <w:tc>
          <w:tcPr>
            <w:tcW w:w="1267" w:type="dxa"/>
            <w:tcBorders>
              <w:top w:val="dotted" w:sz="4" w:space="0" w:color="000000"/>
              <w:left w:val="dotted" w:sz="4" w:space="0" w:color="000000"/>
              <w:bottom w:val="single" w:sz="12" w:space="0" w:color="000000"/>
              <w:right w:val="dotted" w:sz="4" w:space="0" w:color="000000"/>
            </w:tcBorders>
          </w:tcPr>
          <w:p>
            <w:pPr/>
          </w:p>
        </w:tc>
        <w:tc>
          <w:tcPr>
            <w:tcW w:w="1225" w:type="dxa"/>
            <w:tcBorders>
              <w:top w:val="dotted" w:sz="4" w:space="0" w:color="000000"/>
              <w:left w:val="dotted" w:sz="4" w:space="0" w:color="000000"/>
              <w:bottom w:val="single" w:sz="12" w:space="0" w:color="000000"/>
              <w:right w:val="dotted" w:sz="4" w:space="0" w:color="000000"/>
            </w:tcBorders>
          </w:tcPr>
          <w:p>
            <w:pPr/>
          </w:p>
        </w:tc>
        <w:tc>
          <w:tcPr>
            <w:tcW w:w="1267"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53" w:footer="997" w:top="1500" w:bottom="1180" w:left="1660" w:right="0"/>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2041"/>
        <w:gridCol w:w="1421"/>
        <w:gridCol w:w="984"/>
        <w:gridCol w:w="1267"/>
        <w:gridCol w:w="1225"/>
        <w:gridCol w:w="1267"/>
      </w:tblGrid>
      <w:tr>
        <w:trPr>
          <w:trHeight w:val="363" w:hRule="exact"/>
        </w:trPr>
        <w:tc>
          <w:tcPr>
            <w:tcW w:w="204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6164"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5" w:hRule="exact"/>
        </w:trPr>
        <w:tc>
          <w:tcPr>
            <w:tcW w:w="2041" w:type="dxa"/>
            <w:vMerge/>
            <w:tcBorders>
              <w:left w:val="nil" w:sz="6" w:space="0" w:color="auto"/>
              <w:right w:val="dotted" w:sz="4" w:space="0" w:color="000000"/>
            </w:tcBorders>
          </w:tcPr>
          <w:p>
            <w:pPr/>
          </w:p>
        </w:tc>
        <w:tc>
          <w:tcPr>
            <w:tcW w:w="240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49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267" w:type="dxa"/>
            <w:vMerge w:val="restart"/>
            <w:tcBorders>
              <w:top w:val="dotted" w:sz="4" w:space="0" w:color="000000"/>
              <w:left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4"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353" w:hRule="exact"/>
        </w:trPr>
        <w:tc>
          <w:tcPr>
            <w:tcW w:w="2041" w:type="dxa"/>
            <w:vMerge/>
            <w:tcBorders>
              <w:left w:val="nil" w:sz="6" w:space="0" w:color="auto"/>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4"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9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91"/>
              <w:jc w:val="right"/>
              <w:rPr>
                <w:rFonts w:ascii="宋体" w:hAnsi="宋体" w:cs="宋体" w:eastAsia="宋体"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2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23"/>
              <w:jc w:val="right"/>
              <w:rPr>
                <w:rFonts w:ascii="宋体" w:hAnsi="宋体" w:cs="宋体" w:eastAsia="宋体" w:hint="default"/>
                <w:sz w:val="16"/>
                <w:szCs w:val="16"/>
              </w:rPr>
            </w:pPr>
            <w:r>
              <w:rPr>
                <w:rFonts w:ascii="宋体" w:hAnsi="宋体" w:cs="宋体" w:eastAsia="宋体" w:hint="default"/>
                <w:spacing w:val="-2"/>
                <w:sz w:val="16"/>
                <w:szCs w:val="16"/>
              </w:rPr>
              <w:t>计提比例（</w:t>
            </w:r>
            <w:r>
              <w:rPr>
                <w:rFonts w:ascii="Times New Roman" w:hAnsi="Times New Roman" w:cs="Times New Roman" w:eastAsia="Times New Roman" w:hint="default"/>
                <w:spacing w:val="-2"/>
                <w:sz w:val="16"/>
                <w:szCs w:val="16"/>
              </w:rPr>
              <w:t>%</w:t>
            </w:r>
            <w:r>
              <w:rPr>
                <w:rFonts w:ascii="宋体" w:hAnsi="宋体" w:cs="宋体" w:eastAsia="宋体" w:hint="default"/>
                <w:spacing w:val="-2"/>
                <w:sz w:val="16"/>
                <w:szCs w:val="16"/>
              </w:rPr>
              <w:t>）</w:t>
            </w:r>
          </w:p>
        </w:tc>
        <w:tc>
          <w:tcPr>
            <w:tcW w:w="1267" w:type="dxa"/>
            <w:vMerge/>
            <w:tcBorders>
              <w:left w:val="dotted" w:sz="4" w:space="0" w:color="000000"/>
              <w:bottom w:val="dotted" w:sz="4" w:space="0" w:color="000000"/>
              <w:right w:val="nil" w:sz="6" w:space="0" w:color="auto"/>
            </w:tcBorders>
          </w:tcPr>
          <w:p>
            <w:pPr/>
          </w:p>
        </w:tc>
      </w:tr>
      <w:tr>
        <w:trPr>
          <w:trHeight w:val="562" w:hRule="exact"/>
        </w:trPr>
        <w:tc>
          <w:tcPr>
            <w:tcW w:w="2041"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0"/>
              <w:jc w:val="left"/>
              <w:rPr>
                <w:rFonts w:ascii="宋体" w:hAnsi="宋体" w:cs="宋体" w:eastAsia="宋体" w:hint="default"/>
                <w:sz w:val="16"/>
                <w:szCs w:val="16"/>
              </w:rPr>
            </w:pPr>
            <w:r>
              <w:rPr>
                <w:rFonts w:ascii="宋体" w:hAnsi="宋体" w:cs="宋体" w:eastAsia="宋体" w:hint="default"/>
                <w:spacing w:val="2"/>
                <w:sz w:val="16"/>
                <w:szCs w:val="16"/>
              </w:rPr>
              <w:t>在合同规定的收款账期内</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的应收款项组合</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37,637,204.54</w:t>
            </w:r>
          </w:p>
        </w:tc>
        <w:tc>
          <w:tcPr>
            <w:tcW w:w="9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43.11</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25"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2"/>
                <w:sz w:val="16"/>
              </w:rPr>
              <w:t>37,637,204.54</w:t>
            </w:r>
          </w:p>
        </w:tc>
      </w:tr>
      <w:tr>
        <w:trPr>
          <w:trHeight w:val="353" w:hRule="exact"/>
        </w:trPr>
        <w:tc>
          <w:tcPr>
            <w:tcW w:w="20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2"/>
                <w:sz w:val="16"/>
              </w:rPr>
              <w:t>49,672,732.26</w:t>
            </w:r>
          </w:p>
        </w:tc>
        <w:tc>
          <w:tcPr>
            <w:tcW w:w="9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56.89</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11,163,372.91</w:t>
            </w:r>
          </w:p>
        </w:tc>
        <w:tc>
          <w:tcPr>
            <w:tcW w:w="12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22.47</w:t>
            </w:r>
          </w:p>
        </w:tc>
        <w:tc>
          <w:tcPr>
            <w:tcW w:w="12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38,509,359.35</w:t>
            </w:r>
          </w:p>
        </w:tc>
      </w:tr>
      <w:tr>
        <w:trPr>
          <w:trHeight w:val="365" w:hRule="exact"/>
        </w:trPr>
        <w:tc>
          <w:tcPr>
            <w:tcW w:w="20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2"/>
                <w:sz w:val="16"/>
              </w:rPr>
              <w:t>93,547,529.43</w:t>
            </w:r>
          </w:p>
        </w:tc>
        <w:tc>
          <w:tcPr>
            <w:tcW w:w="9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17,400,965.54</w:t>
            </w:r>
          </w:p>
        </w:tc>
        <w:tc>
          <w:tcPr>
            <w:tcW w:w="1225" w:type="dxa"/>
            <w:tcBorders>
              <w:top w:val="dotted" w:sz="4" w:space="0" w:color="000000"/>
              <w:left w:val="dotted" w:sz="4" w:space="0" w:color="000000"/>
              <w:bottom w:val="single" w:sz="12" w:space="0" w:color="000000"/>
              <w:right w:val="dotted" w:sz="4" w:space="0" w:color="000000"/>
            </w:tcBorders>
          </w:tcPr>
          <w:p>
            <w:pPr/>
          </w:p>
        </w:tc>
        <w:tc>
          <w:tcPr>
            <w:tcW w:w="126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76,146,563.89</w:t>
            </w:r>
          </w:p>
        </w:tc>
      </w:tr>
    </w:tbl>
    <w:p>
      <w:pPr>
        <w:spacing w:line="240" w:lineRule="auto" w:before="11"/>
        <w:rPr>
          <w:rFonts w:ascii="宋体" w:hAnsi="宋体" w:cs="宋体" w:eastAsia="宋体"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2125"/>
        <w:gridCol w:w="1454"/>
        <w:gridCol w:w="934"/>
        <w:gridCol w:w="1195"/>
        <w:gridCol w:w="1292"/>
        <w:gridCol w:w="1205"/>
      </w:tblGrid>
      <w:tr>
        <w:trPr>
          <w:trHeight w:val="365" w:hRule="exact"/>
        </w:trPr>
        <w:tc>
          <w:tcPr>
            <w:tcW w:w="212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6080"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right="3"/>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2125" w:type="dxa"/>
            <w:vMerge/>
            <w:tcBorders>
              <w:left w:val="nil" w:sz="6" w:space="0" w:color="auto"/>
              <w:right w:val="dotted" w:sz="4" w:space="0" w:color="000000"/>
            </w:tcBorders>
          </w:tcPr>
          <w:p>
            <w:pPr/>
          </w:p>
        </w:tc>
        <w:tc>
          <w:tcPr>
            <w:tcW w:w="238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48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3"/>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205" w:type="dxa"/>
            <w:vMerge w:val="restart"/>
            <w:tcBorders>
              <w:top w:val="dotted" w:sz="4" w:space="0" w:color="000000"/>
              <w:left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76"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355" w:hRule="exact"/>
        </w:trPr>
        <w:tc>
          <w:tcPr>
            <w:tcW w:w="2125" w:type="dxa"/>
            <w:vMerge/>
            <w:tcBorders>
              <w:left w:val="nil" w:sz="6" w:space="0" w:color="auto"/>
              <w:bottom w:val="dotted" w:sz="4" w:space="0" w:color="000000"/>
              <w:right w:val="dotted" w:sz="4" w:space="0" w:color="000000"/>
            </w:tcBorders>
          </w:tcPr>
          <w:p>
            <w:pPr/>
          </w:p>
        </w:tc>
        <w:tc>
          <w:tcPr>
            <w:tcW w:w="1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43"/>
              <w:jc w:val="right"/>
              <w:rPr>
                <w:rFonts w:ascii="宋体" w:hAnsi="宋体" w:cs="宋体" w:eastAsia="宋体"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2"/>
              <w:jc w:val="center"/>
              <w:rPr>
                <w:rFonts w:ascii="宋体" w:hAnsi="宋体" w:cs="宋体" w:eastAsia="宋体" w:hint="default"/>
                <w:sz w:val="16"/>
                <w:szCs w:val="16"/>
              </w:rPr>
            </w:pPr>
            <w:r>
              <w:rPr>
                <w:rFonts w:ascii="宋体" w:hAnsi="宋体" w:cs="宋体" w:eastAsia="宋体" w:hint="default"/>
                <w:sz w:val="16"/>
                <w:szCs w:val="16"/>
              </w:rPr>
              <w:t>金额</w:t>
            </w:r>
          </w:p>
        </w:tc>
        <w:tc>
          <w:tcPr>
            <w:tcW w:w="1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84"/>
              <w:jc w:val="right"/>
              <w:rPr>
                <w:rFonts w:ascii="宋体" w:hAnsi="宋体" w:cs="宋体" w:eastAsia="宋体" w:hint="default"/>
                <w:sz w:val="16"/>
                <w:szCs w:val="16"/>
              </w:rPr>
            </w:pPr>
            <w:r>
              <w:rPr>
                <w:rFonts w:ascii="宋体" w:hAnsi="宋体" w:cs="宋体" w:eastAsia="宋体" w:hint="default"/>
                <w:spacing w:val="-1"/>
                <w:sz w:val="16"/>
                <w:szCs w:val="16"/>
              </w:rPr>
              <w:t>计提比例（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205" w:type="dxa"/>
            <w:vMerge/>
            <w:tcBorders>
              <w:left w:val="dotted" w:sz="4" w:space="0" w:color="000000"/>
              <w:bottom w:val="dotted" w:sz="4" w:space="0" w:color="000000"/>
              <w:right w:val="nil" w:sz="6" w:space="0" w:color="auto"/>
            </w:tcBorders>
          </w:tcPr>
          <w:p>
            <w:pPr/>
          </w:p>
        </w:tc>
      </w:tr>
      <w:tr>
        <w:trPr>
          <w:trHeight w:val="560" w:hRule="exact"/>
        </w:trPr>
        <w:tc>
          <w:tcPr>
            <w:tcW w:w="21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100"/>
              <w:jc w:val="left"/>
              <w:rPr>
                <w:rFonts w:ascii="宋体" w:hAnsi="宋体" w:cs="宋体" w:eastAsia="宋体" w:hint="default"/>
                <w:sz w:val="16"/>
                <w:szCs w:val="16"/>
              </w:rPr>
            </w:pPr>
            <w:r>
              <w:rPr>
                <w:rFonts w:ascii="宋体" w:hAnsi="宋体" w:cs="宋体" w:eastAsia="宋体" w:hint="default"/>
                <w:spacing w:val="9"/>
                <w:sz w:val="16"/>
                <w:szCs w:val="16"/>
              </w:rPr>
              <w:t>单项金额重大并单独计提</w:t>
            </w:r>
            <w:r>
              <w:rPr>
                <w:rFonts w:ascii="宋体" w:hAnsi="宋体" w:cs="宋体" w:eastAsia="宋体" w:hint="default"/>
                <w:spacing w:val="-52"/>
                <w:sz w:val="16"/>
                <w:szCs w:val="16"/>
              </w:rPr>
              <w:t> </w:t>
            </w:r>
            <w:r>
              <w:rPr>
                <w:rFonts w:ascii="宋体" w:hAnsi="宋体" w:cs="宋体" w:eastAsia="宋体" w:hint="default"/>
                <w:spacing w:val="-52"/>
                <w:sz w:val="16"/>
                <w:szCs w:val="16"/>
              </w:rPr>
            </w:r>
            <w:r>
              <w:rPr>
                <w:rFonts w:ascii="宋体" w:hAnsi="宋体" w:cs="宋体" w:eastAsia="宋体" w:hint="default"/>
                <w:sz w:val="16"/>
                <w:szCs w:val="16"/>
              </w:rPr>
              <w:t>坏账准备的其他应收款项</w:t>
            </w:r>
          </w:p>
        </w:tc>
        <w:tc>
          <w:tcPr>
            <w:tcW w:w="1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4,583,849.40</w:t>
            </w:r>
          </w:p>
        </w:tc>
        <w:tc>
          <w:tcPr>
            <w:tcW w:w="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6.26</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4,583,849.40</w:t>
            </w:r>
          </w:p>
        </w:tc>
        <w:tc>
          <w:tcPr>
            <w:tcW w:w="1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205" w:type="dxa"/>
            <w:tcBorders>
              <w:top w:val="dotted" w:sz="4" w:space="0" w:color="000000"/>
              <w:left w:val="dotted" w:sz="4" w:space="0" w:color="000000"/>
              <w:bottom w:val="dotted" w:sz="4" w:space="0" w:color="000000"/>
              <w:right w:val="nil" w:sz="6" w:space="0" w:color="auto"/>
            </w:tcBorders>
          </w:tcPr>
          <w:p>
            <w:pPr/>
          </w:p>
        </w:tc>
      </w:tr>
      <w:tr>
        <w:trPr>
          <w:trHeight w:val="562" w:hRule="exact"/>
        </w:trPr>
        <w:tc>
          <w:tcPr>
            <w:tcW w:w="212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0"/>
              <w:jc w:val="left"/>
              <w:rPr>
                <w:rFonts w:ascii="宋体" w:hAnsi="宋体" w:cs="宋体" w:eastAsia="宋体" w:hint="default"/>
                <w:sz w:val="16"/>
                <w:szCs w:val="16"/>
              </w:rPr>
            </w:pPr>
            <w:r>
              <w:rPr>
                <w:rFonts w:ascii="宋体" w:hAnsi="宋体" w:cs="宋体" w:eastAsia="宋体" w:hint="default"/>
                <w:spacing w:val="9"/>
                <w:sz w:val="16"/>
                <w:szCs w:val="16"/>
              </w:rPr>
              <w:t>按信用风险特征组合计提</w:t>
            </w:r>
            <w:r>
              <w:rPr>
                <w:rFonts w:ascii="宋体" w:hAnsi="宋体" w:cs="宋体" w:eastAsia="宋体" w:hint="default"/>
                <w:spacing w:val="-52"/>
                <w:sz w:val="16"/>
                <w:szCs w:val="16"/>
              </w:rPr>
              <w:t> </w:t>
            </w:r>
            <w:r>
              <w:rPr>
                <w:rFonts w:ascii="宋体" w:hAnsi="宋体" w:cs="宋体" w:eastAsia="宋体" w:hint="default"/>
                <w:spacing w:val="-52"/>
                <w:sz w:val="16"/>
                <w:szCs w:val="16"/>
              </w:rPr>
            </w:r>
            <w:r>
              <w:rPr>
                <w:rFonts w:ascii="宋体" w:hAnsi="宋体" w:cs="宋体" w:eastAsia="宋体" w:hint="default"/>
                <w:sz w:val="16"/>
                <w:szCs w:val="16"/>
              </w:rPr>
              <w:t>坏账准备的其他应收款项</w:t>
            </w:r>
          </w:p>
        </w:tc>
        <w:tc>
          <w:tcPr>
            <w:tcW w:w="1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66,963,328.70</w:t>
            </w:r>
          </w:p>
        </w:tc>
        <w:tc>
          <w:tcPr>
            <w:tcW w:w="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91.48</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17,424,266.34</w:t>
            </w:r>
          </w:p>
        </w:tc>
        <w:tc>
          <w:tcPr>
            <w:tcW w:w="1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26.02</w:t>
            </w: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49,539,062.36</w:t>
            </w:r>
          </w:p>
        </w:tc>
      </w:tr>
      <w:tr>
        <w:trPr>
          <w:trHeight w:val="768" w:hRule="exact"/>
        </w:trPr>
        <w:tc>
          <w:tcPr>
            <w:tcW w:w="2125"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45"/>
              <w:ind w:left="122" w:right="100"/>
              <w:jc w:val="both"/>
              <w:rPr>
                <w:rFonts w:ascii="宋体" w:hAnsi="宋体" w:cs="宋体" w:eastAsia="宋体" w:hint="default"/>
                <w:sz w:val="16"/>
                <w:szCs w:val="16"/>
              </w:rPr>
            </w:pPr>
            <w:r>
              <w:rPr>
                <w:rFonts w:ascii="宋体" w:hAnsi="宋体" w:cs="宋体" w:eastAsia="宋体" w:hint="default"/>
                <w:spacing w:val="9"/>
                <w:sz w:val="16"/>
                <w:szCs w:val="16"/>
              </w:rPr>
              <w:t>单项金额不重大但单独计</w:t>
            </w:r>
            <w:r>
              <w:rPr>
                <w:rFonts w:ascii="宋体" w:hAnsi="宋体" w:cs="宋体" w:eastAsia="宋体" w:hint="default"/>
                <w:spacing w:val="-52"/>
                <w:sz w:val="16"/>
                <w:szCs w:val="16"/>
              </w:rPr>
              <w:t> </w:t>
            </w:r>
            <w:r>
              <w:rPr>
                <w:rFonts w:ascii="宋体" w:hAnsi="宋体" w:cs="宋体" w:eastAsia="宋体" w:hint="default"/>
                <w:spacing w:val="-52"/>
                <w:sz w:val="16"/>
                <w:szCs w:val="16"/>
              </w:rPr>
            </w:r>
            <w:r>
              <w:rPr>
                <w:rFonts w:ascii="宋体" w:hAnsi="宋体" w:cs="宋体" w:eastAsia="宋体" w:hint="default"/>
                <w:spacing w:val="9"/>
                <w:sz w:val="16"/>
                <w:szCs w:val="16"/>
              </w:rPr>
              <w:t>提坏账准备的其他应收款</w:t>
            </w:r>
            <w:r>
              <w:rPr>
                <w:rFonts w:ascii="宋体" w:hAnsi="宋体" w:cs="宋体" w:eastAsia="宋体" w:hint="default"/>
                <w:spacing w:val="-52"/>
                <w:sz w:val="16"/>
                <w:szCs w:val="16"/>
              </w:rPr>
              <w:t> </w:t>
            </w:r>
            <w:r>
              <w:rPr>
                <w:rFonts w:ascii="宋体" w:hAnsi="宋体" w:cs="宋体" w:eastAsia="宋体" w:hint="default"/>
                <w:spacing w:val="-52"/>
                <w:sz w:val="16"/>
                <w:szCs w:val="16"/>
              </w:rPr>
            </w:r>
            <w:r>
              <w:rPr>
                <w:rFonts w:ascii="宋体" w:hAnsi="宋体" w:cs="宋体" w:eastAsia="宋体" w:hint="default"/>
                <w:sz w:val="16"/>
                <w:szCs w:val="16"/>
              </w:rPr>
              <w:t>项</w:t>
            </w:r>
          </w:p>
        </w:tc>
        <w:tc>
          <w:tcPr>
            <w:tcW w:w="1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1,653,743.23</w:t>
            </w:r>
          </w:p>
        </w:tc>
        <w:tc>
          <w:tcPr>
            <w:tcW w:w="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2.26</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1,653,743.23</w:t>
            </w:r>
          </w:p>
        </w:tc>
        <w:tc>
          <w:tcPr>
            <w:tcW w:w="1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205"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21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73,200,921.33</w:t>
            </w:r>
          </w:p>
        </w:tc>
        <w:tc>
          <w:tcPr>
            <w:tcW w:w="9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1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2"/>
                <w:sz w:val="16"/>
              </w:rPr>
              <w:t>23,661,858.97</w:t>
            </w:r>
          </w:p>
        </w:tc>
        <w:tc>
          <w:tcPr>
            <w:tcW w:w="1292" w:type="dxa"/>
            <w:tcBorders>
              <w:top w:val="dotted" w:sz="4" w:space="0" w:color="000000"/>
              <w:left w:val="dotted" w:sz="4" w:space="0" w:color="000000"/>
              <w:bottom w:val="single" w:sz="12" w:space="0" w:color="000000"/>
              <w:right w:val="dotted" w:sz="4" w:space="0" w:color="000000"/>
            </w:tcBorders>
          </w:tcPr>
          <w:p>
            <w:pPr/>
          </w:p>
        </w:tc>
        <w:tc>
          <w:tcPr>
            <w:tcW w:w="12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49,539,062.36</w:t>
            </w:r>
          </w:p>
        </w:tc>
      </w:tr>
    </w:tbl>
    <w:p>
      <w:pPr>
        <w:spacing w:line="240" w:lineRule="auto" w:before="5"/>
        <w:rPr>
          <w:rFonts w:ascii="宋体" w:hAnsi="宋体" w:cs="宋体" w:eastAsia="宋体" w:hint="default"/>
          <w:sz w:val="26"/>
          <w:szCs w:val="26"/>
        </w:rPr>
      </w:pPr>
    </w:p>
    <w:p>
      <w:pPr>
        <w:pStyle w:val="BodyText"/>
        <w:spacing w:line="240" w:lineRule="auto"/>
        <w:ind w:right="3683"/>
        <w:jc w:val="left"/>
      </w:pPr>
      <w:r>
        <w:rPr/>
        <w:t>按单项计提坏账准备：</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1757"/>
        <w:gridCol w:w="1493"/>
        <w:gridCol w:w="1647"/>
        <w:gridCol w:w="1658"/>
        <w:gridCol w:w="1649"/>
      </w:tblGrid>
      <w:tr>
        <w:trPr>
          <w:trHeight w:val="365" w:hRule="exact"/>
        </w:trPr>
        <w:tc>
          <w:tcPr>
            <w:tcW w:w="1757"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644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1757" w:type="dxa"/>
            <w:vMerge/>
            <w:tcBorders>
              <w:left w:val="nil" w:sz="6" w:space="0" w:color="auto"/>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419"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6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496"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76" w:right="0"/>
              <w:jc w:val="left"/>
              <w:rPr>
                <w:rFonts w:ascii="宋体" w:hAnsi="宋体" w:cs="宋体" w:eastAsia="宋体" w:hint="default"/>
                <w:sz w:val="16"/>
                <w:szCs w:val="16"/>
              </w:rPr>
            </w:pPr>
            <w:r>
              <w:rPr>
                <w:rFonts w:ascii="宋体" w:hAnsi="宋体" w:cs="宋体" w:eastAsia="宋体" w:hint="default"/>
                <w:sz w:val="16"/>
                <w:szCs w:val="16"/>
              </w:rPr>
              <w:t>计提比例（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497" w:right="0"/>
              <w:jc w:val="left"/>
              <w:rPr>
                <w:rFonts w:ascii="宋体" w:hAnsi="宋体" w:cs="宋体" w:eastAsia="宋体" w:hint="default"/>
                <w:sz w:val="16"/>
                <w:szCs w:val="16"/>
              </w:rPr>
            </w:pPr>
            <w:r>
              <w:rPr>
                <w:rFonts w:ascii="宋体" w:hAnsi="宋体" w:cs="宋体" w:eastAsia="宋体" w:hint="default"/>
                <w:sz w:val="16"/>
                <w:szCs w:val="16"/>
              </w:rPr>
              <w:t>计提理由</w:t>
            </w:r>
          </w:p>
        </w:tc>
      </w:tr>
      <w:tr>
        <w:trPr>
          <w:trHeight w:val="562"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0"/>
              <w:jc w:val="left"/>
              <w:rPr>
                <w:rFonts w:ascii="宋体" w:hAnsi="宋体" w:cs="宋体" w:eastAsia="宋体" w:hint="default"/>
                <w:sz w:val="16"/>
                <w:szCs w:val="16"/>
              </w:rPr>
            </w:pPr>
            <w:r>
              <w:rPr>
                <w:rFonts w:ascii="宋体" w:hAnsi="宋体" w:cs="宋体" w:eastAsia="宋体" w:hint="default"/>
                <w:spacing w:val="7"/>
                <w:sz w:val="16"/>
                <w:szCs w:val="16"/>
              </w:rPr>
              <w:t>北京科迪迅通科技有</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z w:val="16"/>
                <w:szCs w:val="16"/>
              </w:rPr>
              <w:t>限公司</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4,583,849.40</w:t>
            </w:r>
          </w:p>
        </w:tc>
        <w:tc>
          <w:tcPr>
            <w:tcW w:w="16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4,583,849.40</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562"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27"/>
              <w:jc w:val="left"/>
              <w:rPr>
                <w:rFonts w:ascii="宋体" w:hAnsi="宋体" w:cs="宋体" w:eastAsia="宋体" w:hint="default"/>
                <w:sz w:val="16"/>
                <w:szCs w:val="16"/>
              </w:rPr>
            </w:pPr>
            <w:r>
              <w:rPr>
                <w:rFonts w:ascii="宋体" w:hAnsi="宋体" w:cs="宋体" w:eastAsia="宋体" w:hint="default"/>
                <w:spacing w:val="-1"/>
                <w:sz w:val="16"/>
                <w:szCs w:val="16"/>
              </w:rPr>
              <w:t>瀚斯宝丽商贸（上海）</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z w:val="16"/>
                <w:szCs w:val="16"/>
              </w:rPr>
              <w:t>有限公司</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649,592.77</w:t>
            </w:r>
          </w:p>
        </w:tc>
        <w:tc>
          <w:tcPr>
            <w:tcW w:w="16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649,592.77</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559"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0"/>
              <w:jc w:val="left"/>
              <w:rPr>
                <w:rFonts w:ascii="宋体" w:hAnsi="宋体" w:cs="宋体" w:eastAsia="宋体" w:hint="default"/>
                <w:sz w:val="16"/>
                <w:szCs w:val="16"/>
              </w:rPr>
            </w:pPr>
            <w:r>
              <w:rPr>
                <w:rFonts w:ascii="宋体" w:hAnsi="宋体" w:cs="宋体" w:eastAsia="宋体" w:hint="default"/>
                <w:spacing w:val="7"/>
                <w:sz w:val="16"/>
                <w:szCs w:val="16"/>
              </w:rPr>
              <w:t>合肥赛捷信息科技有</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z w:val="16"/>
                <w:szCs w:val="16"/>
              </w:rPr>
              <w:t>限公司</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520,000.00</w:t>
            </w:r>
          </w:p>
        </w:tc>
        <w:tc>
          <w:tcPr>
            <w:tcW w:w="16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520,000.00</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562"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0"/>
              <w:jc w:val="left"/>
              <w:rPr>
                <w:rFonts w:ascii="宋体" w:hAnsi="宋体" w:cs="宋体" w:eastAsia="宋体" w:hint="default"/>
                <w:sz w:val="16"/>
                <w:szCs w:val="16"/>
              </w:rPr>
            </w:pPr>
            <w:r>
              <w:rPr>
                <w:rFonts w:ascii="宋体" w:hAnsi="宋体" w:cs="宋体" w:eastAsia="宋体" w:hint="default"/>
                <w:spacing w:val="7"/>
                <w:sz w:val="16"/>
                <w:szCs w:val="16"/>
              </w:rPr>
              <w:t>深圳市华鹏飞运输有</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z w:val="16"/>
                <w:szCs w:val="16"/>
              </w:rPr>
              <w:t>限公司</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249,737.00</w:t>
            </w:r>
          </w:p>
        </w:tc>
        <w:tc>
          <w:tcPr>
            <w:tcW w:w="16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249,737.00</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55"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其他小额单位款项</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234,413.46</w:t>
            </w:r>
          </w:p>
        </w:tc>
        <w:tc>
          <w:tcPr>
            <w:tcW w:w="16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234,413.46</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362" w:hRule="exact"/>
        </w:trPr>
        <w:tc>
          <w:tcPr>
            <w:tcW w:w="17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6,237,592.63</w:t>
            </w:r>
          </w:p>
        </w:tc>
        <w:tc>
          <w:tcPr>
            <w:tcW w:w="16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6,237,592.63</w:t>
            </w:r>
          </w:p>
        </w:tc>
        <w:tc>
          <w:tcPr>
            <w:tcW w:w="1658" w:type="dxa"/>
            <w:tcBorders>
              <w:top w:val="dotted" w:sz="4" w:space="0" w:color="000000"/>
              <w:left w:val="dotted" w:sz="4" w:space="0" w:color="000000"/>
              <w:bottom w:val="single" w:sz="12" w:space="0" w:color="000000"/>
              <w:right w:val="dotted" w:sz="4" w:space="0" w:color="000000"/>
            </w:tcBorders>
          </w:tcPr>
          <w:p>
            <w:pPr/>
          </w:p>
        </w:tc>
        <w:tc>
          <w:tcPr>
            <w:tcW w:w="164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26"/>
          <w:szCs w:val="26"/>
        </w:rPr>
      </w:pPr>
    </w:p>
    <w:p>
      <w:pPr>
        <w:pStyle w:val="BodyText"/>
        <w:spacing w:line="348" w:lineRule="auto"/>
        <w:ind w:right="6448"/>
        <w:jc w:val="left"/>
      </w:pPr>
      <w:r>
        <w:rPr/>
        <w:pict>
          <v:shape style="position:absolute;margin-left:119.059998pt;margin-top:37.013676pt;width:412.4pt;height:101.3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5"/>
                    <w:gridCol w:w="2088"/>
                    <w:gridCol w:w="2086"/>
                    <w:gridCol w:w="2105"/>
                  </w:tblGrid>
                  <w:tr>
                    <w:trPr>
                      <w:trHeight w:val="365" w:hRule="exact"/>
                    </w:trPr>
                    <w:tc>
                      <w:tcPr>
                        <w:tcW w:w="1925"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627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1925" w:type="dxa"/>
                        <w:vMerge/>
                        <w:tcBorders>
                          <w:left w:val="nil" w:sz="6" w:space="0" w:color="auto"/>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559" w:right="0"/>
                          <w:jc w:val="left"/>
                          <w:rPr>
                            <w:rFonts w:ascii="宋体" w:hAnsi="宋体" w:cs="宋体" w:eastAsia="宋体" w:hint="default"/>
                            <w:sz w:val="16"/>
                            <w:szCs w:val="16"/>
                          </w:rPr>
                        </w:pPr>
                        <w:r>
                          <w:rPr>
                            <w:rFonts w:ascii="宋体" w:hAnsi="宋体" w:cs="宋体" w:eastAsia="宋体" w:hint="default"/>
                            <w:sz w:val="16"/>
                            <w:szCs w:val="16"/>
                          </w:rPr>
                          <w:t>其他应收款项</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21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499" w:right="0"/>
                          <w:jc w:val="left"/>
                          <w:rPr>
                            <w:rFonts w:ascii="宋体" w:hAnsi="宋体" w:cs="宋体" w:eastAsia="宋体" w:hint="default"/>
                            <w:sz w:val="16"/>
                            <w:szCs w:val="16"/>
                          </w:rPr>
                        </w:pPr>
                        <w:r>
                          <w:rPr>
                            <w:rFonts w:ascii="宋体" w:hAnsi="宋体" w:cs="宋体" w:eastAsia="宋体" w:hint="default"/>
                            <w:sz w:val="16"/>
                            <w:szCs w:val="16"/>
                          </w:rPr>
                          <w:t>计提比例（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562"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92"/>
                          <w:jc w:val="left"/>
                          <w:rPr>
                            <w:rFonts w:ascii="宋体" w:hAnsi="宋体" w:cs="宋体" w:eastAsia="宋体" w:hint="default"/>
                            <w:sz w:val="16"/>
                            <w:szCs w:val="16"/>
                          </w:rPr>
                        </w:pPr>
                        <w:r>
                          <w:rPr>
                            <w:rFonts w:ascii="宋体" w:hAnsi="宋体" w:cs="宋体" w:eastAsia="宋体" w:hint="default"/>
                            <w:spacing w:val="8"/>
                            <w:sz w:val="16"/>
                            <w:szCs w:val="16"/>
                          </w:rPr>
                          <w:t>在合同规定的收款账期</w:t>
                        </w:r>
                        <w:r>
                          <w:rPr>
                            <w:rFonts w:ascii="宋体" w:hAnsi="宋体" w:cs="宋体" w:eastAsia="宋体" w:hint="default"/>
                            <w:spacing w:val="-63"/>
                            <w:sz w:val="16"/>
                            <w:szCs w:val="16"/>
                          </w:rPr>
                          <w:t> </w:t>
                        </w:r>
                        <w:r>
                          <w:rPr>
                            <w:rFonts w:ascii="宋体" w:hAnsi="宋体" w:cs="宋体" w:eastAsia="宋体" w:hint="default"/>
                            <w:sz w:val="16"/>
                            <w:szCs w:val="16"/>
                          </w:rPr>
                          <w:t>内的应收款项组合</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37,637,204.54</w:t>
                        </w:r>
                      </w:p>
                    </w:tc>
                    <w:tc>
                      <w:tcPr>
                        <w:tcW w:w="2086" w:type="dxa"/>
                        <w:tcBorders>
                          <w:top w:val="dotted" w:sz="4" w:space="0" w:color="000000"/>
                          <w:left w:val="dotted" w:sz="4" w:space="0" w:color="000000"/>
                          <w:bottom w:val="dotted" w:sz="4" w:space="0" w:color="000000"/>
                          <w:right w:val="dotted" w:sz="4" w:space="0" w:color="000000"/>
                        </w:tcBorders>
                      </w:tcPr>
                      <w:p>
                        <w:pPr/>
                      </w:p>
                    </w:tc>
                    <w:tc>
                      <w:tcPr>
                        <w:tcW w:w="2105"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49,672,732.26</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2"/>
                            <w:sz w:val="16"/>
                          </w:rPr>
                          <w:t>11,163,372.91</w:t>
                        </w:r>
                      </w:p>
                    </w:tc>
                    <w:tc>
                      <w:tcPr>
                        <w:tcW w:w="21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22.47</w:t>
                        </w:r>
                      </w:p>
                    </w:tc>
                  </w:tr>
                  <w:tr>
                    <w:trPr>
                      <w:trHeight w:val="365" w:hRule="exact"/>
                    </w:trPr>
                    <w:tc>
                      <w:tcPr>
                        <w:tcW w:w="19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其中：</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20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31,413,206.40</w:t>
                        </w:r>
                      </w:p>
                    </w:tc>
                    <w:tc>
                      <w:tcPr>
                        <w:tcW w:w="20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98"/>
                          <w:jc w:val="right"/>
                          <w:rPr>
                            <w:rFonts w:ascii="Times New Roman" w:hAnsi="Times New Roman" w:cs="Times New Roman" w:eastAsia="Times New Roman" w:hint="default"/>
                            <w:sz w:val="16"/>
                            <w:szCs w:val="16"/>
                          </w:rPr>
                        </w:pPr>
                        <w:r>
                          <w:rPr>
                            <w:rFonts w:ascii="Times New Roman"/>
                            <w:spacing w:val="-1"/>
                            <w:sz w:val="16"/>
                          </w:rPr>
                          <w:t>1,570,660.32</w:t>
                        </w:r>
                      </w:p>
                    </w:tc>
                    <w:tc>
                      <w:tcPr>
                        <w:tcW w:w="21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5.00</w:t>
                        </w:r>
                      </w:p>
                    </w:tc>
                  </w:tr>
                </w:tbl>
                <w:p>
                  <w:pPr/>
                </w:p>
              </w:txbxContent>
            </v:textbox>
            <w10:wrap type="none"/>
          </v:shape>
        </w:pict>
      </w:r>
      <w:r>
        <w:rPr>
          <w:spacing w:val="-2"/>
        </w:rPr>
        <w:t>按组合计提坏账准备：</w:t>
      </w:r>
      <w:r>
        <w:rPr>
          <w:spacing w:val="-85"/>
        </w:rPr>
        <w:t> </w:t>
      </w:r>
      <w:r>
        <w:rPr>
          <w:spacing w:val="-85"/>
        </w:rPr>
      </w:r>
      <w:r>
        <w:rPr/>
        <w:t>组合计提项目：</w:t>
      </w:r>
    </w:p>
    <w:p>
      <w:pPr>
        <w:spacing w:after="0" w:line="348" w:lineRule="auto"/>
        <w:jc w:val="left"/>
        <w:sectPr>
          <w:pgSz w:w="11910" w:h="16840"/>
          <w:pgMar w:header="753" w:footer="997" w:top="1500" w:bottom="1180" w:left="1660" w:right="0"/>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1925"/>
        <w:gridCol w:w="2088"/>
        <w:gridCol w:w="2086"/>
        <w:gridCol w:w="2105"/>
      </w:tblGrid>
      <w:tr>
        <w:trPr>
          <w:trHeight w:val="363" w:hRule="exact"/>
        </w:trPr>
        <w:tc>
          <w:tcPr>
            <w:tcW w:w="1925"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627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5" w:hRule="exact"/>
        </w:trPr>
        <w:tc>
          <w:tcPr>
            <w:tcW w:w="1925" w:type="dxa"/>
            <w:vMerge/>
            <w:tcBorders>
              <w:left w:val="nil" w:sz="6" w:space="0" w:color="auto"/>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559" w:right="0"/>
              <w:jc w:val="left"/>
              <w:rPr>
                <w:rFonts w:ascii="宋体" w:hAnsi="宋体" w:cs="宋体" w:eastAsia="宋体" w:hint="default"/>
                <w:sz w:val="16"/>
                <w:szCs w:val="16"/>
              </w:rPr>
            </w:pPr>
            <w:r>
              <w:rPr>
                <w:rFonts w:ascii="宋体" w:hAnsi="宋体" w:cs="宋体" w:eastAsia="宋体" w:hint="default"/>
                <w:sz w:val="16"/>
                <w:szCs w:val="16"/>
              </w:rPr>
              <w:t>其他应收款项</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21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499" w:right="0"/>
              <w:jc w:val="left"/>
              <w:rPr>
                <w:rFonts w:ascii="宋体" w:hAnsi="宋体" w:cs="宋体" w:eastAsia="宋体" w:hint="default"/>
                <w:sz w:val="16"/>
                <w:szCs w:val="16"/>
              </w:rPr>
            </w:pPr>
            <w:r>
              <w:rPr>
                <w:rFonts w:ascii="宋体" w:hAnsi="宋体" w:cs="宋体" w:eastAsia="宋体" w:hint="default"/>
                <w:sz w:val="16"/>
                <w:szCs w:val="16"/>
              </w:rPr>
              <w:t>计提比例（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353"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60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4,618,881.80</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1"/>
                <w:sz w:val="16"/>
              </w:rPr>
              <w:t>461,888.18</w:t>
            </w:r>
          </w:p>
        </w:tc>
        <w:tc>
          <w:tcPr>
            <w:tcW w:w="21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10.00</w:t>
            </w:r>
          </w:p>
        </w:tc>
      </w:tr>
      <w:tr>
        <w:trPr>
          <w:trHeight w:val="353"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60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4,878,029.27</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1"/>
                <w:sz w:val="16"/>
              </w:rPr>
              <w:t>1,463,408.78</w:t>
            </w:r>
          </w:p>
        </w:tc>
        <w:tc>
          <w:tcPr>
            <w:tcW w:w="21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30.00</w:t>
            </w:r>
          </w:p>
        </w:tc>
      </w:tr>
      <w:tr>
        <w:trPr>
          <w:trHeight w:val="355"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60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743,032.27</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98"/>
              <w:jc w:val="right"/>
              <w:rPr>
                <w:rFonts w:ascii="Times New Roman" w:hAnsi="Times New Roman" w:cs="Times New Roman" w:eastAsia="Times New Roman" w:hint="default"/>
                <w:sz w:val="16"/>
                <w:szCs w:val="16"/>
              </w:rPr>
            </w:pPr>
            <w:r>
              <w:rPr>
                <w:rFonts w:ascii="Times New Roman"/>
                <w:spacing w:val="-1"/>
                <w:sz w:val="16"/>
              </w:rPr>
              <w:t>445,819.36</w:t>
            </w:r>
          </w:p>
        </w:tc>
        <w:tc>
          <w:tcPr>
            <w:tcW w:w="21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60.00</w:t>
            </w:r>
          </w:p>
        </w:tc>
      </w:tr>
      <w:tr>
        <w:trPr>
          <w:trHeight w:val="353"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60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3,989,931.24</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1"/>
                <w:sz w:val="16"/>
              </w:rPr>
              <w:t>3,191,944.99</w:t>
            </w:r>
          </w:p>
        </w:tc>
        <w:tc>
          <w:tcPr>
            <w:tcW w:w="21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80.00</w:t>
            </w:r>
          </w:p>
        </w:tc>
      </w:tr>
      <w:tr>
        <w:trPr>
          <w:trHeight w:val="353" w:hRule="exact"/>
        </w:trPr>
        <w:tc>
          <w:tcPr>
            <w:tcW w:w="1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60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4,029,651.28</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1"/>
                <w:sz w:val="16"/>
              </w:rPr>
              <w:t>4,029,651.28</w:t>
            </w:r>
          </w:p>
        </w:tc>
        <w:tc>
          <w:tcPr>
            <w:tcW w:w="21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100.00</w:t>
            </w:r>
          </w:p>
        </w:tc>
      </w:tr>
      <w:tr>
        <w:trPr>
          <w:trHeight w:val="365" w:hRule="exact"/>
        </w:trPr>
        <w:tc>
          <w:tcPr>
            <w:tcW w:w="19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0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87,309,936.80</w:t>
            </w:r>
          </w:p>
        </w:tc>
        <w:tc>
          <w:tcPr>
            <w:tcW w:w="20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98"/>
              <w:jc w:val="right"/>
              <w:rPr>
                <w:rFonts w:ascii="Times New Roman" w:hAnsi="Times New Roman" w:cs="Times New Roman" w:eastAsia="Times New Roman" w:hint="default"/>
                <w:sz w:val="16"/>
                <w:szCs w:val="16"/>
              </w:rPr>
            </w:pPr>
            <w:r>
              <w:rPr>
                <w:rFonts w:ascii="Times New Roman"/>
                <w:spacing w:val="-2"/>
                <w:sz w:val="16"/>
              </w:rPr>
              <w:t>11,163,372.91</w:t>
            </w:r>
          </w:p>
        </w:tc>
        <w:tc>
          <w:tcPr>
            <w:tcW w:w="210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6"/>
          <w:szCs w:val="26"/>
        </w:rPr>
      </w:pPr>
    </w:p>
    <w:p>
      <w:pPr>
        <w:pStyle w:val="BodyText"/>
        <w:spacing w:line="343" w:lineRule="auto"/>
        <w:ind w:right="1786"/>
        <w:jc w:val="both"/>
      </w:pPr>
      <w:r>
        <w:rPr/>
        <w:pict>
          <v:shape style="position:absolute;margin-left:119.059998pt;margin-top:77.093651pt;width:412.4pt;height:126.2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9"/>
                    <w:gridCol w:w="4126"/>
                  </w:tblGrid>
                  <w:tr>
                    <w:trPr>
                      <w:trHeight w:val="365" w:hRule="exact"/>
                    </w:trPr>
                    <w:tc>
                      <w:tcPr>
                        <w:tcW w:w="40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21"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41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1216"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其他应收款计提比例</w:t>
                        </w:r>
                        <w:r>
                          <w:rPr>
                            <w:rFonts w:ascii="Times New Roman" w:hAnsi="Times New Roman" w:cs="Times New Roman" w:eastAsia="Times New Roman" w:hint="default"/>
                            <w:sz w:val="16"/>
                            <w:szCs w:val="16"/>
                          </w:rPr>
                          <w:t>(%)</w:t>
                        </w:r>
                      </w:p>
                    </w:tc>
                  </w:tr>
                  <w:tr>
                    <w:trPr>
                      <w:trHeight w:val="353" w:hRule="exact"/>
                    </w:trPr>
                    <w:tc>
                      <w:tcPr>
                        <w:tcW w:w="4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年以内（含</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r>
                      </w:p>
                    </w:tc>
                    <w:tc>
                      <w:tcPr>
                        <w:tcW w:w="41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5.00</w:t>
                        </w:r>
                      </w:p>
                    </w:tc>
                  </w:tr>
                  <w:tr>
                    <w:trPr>
                      <w:trHeight w:val="353" w:hRule="exact"/>
                    </w:trPr>
                    <w:tc>
                      <w:tcPr>
                        <w:tcW w:w="4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1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10.00</w:t>
                        </w:r>
                      </w:p>
                    </w:tc>
                  </w:tr>
                  <w:tr>
                    <w:trPr>
                      <w:trHeight w:val="355" w:hRule="exact"/>
                    </w:trPr>
                    <w:tc>
                      <w:tcPr>
                        <w:tcW w:w="4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1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30.00</w:t>
                        </w:r>
                      </w:p>
                    </w:tc>
                  </w:tr>
                  <w:tr>
                    <w:trPr>
                      <w:trHeight w:val="353" w:hRule="exact"/>
                    </w:trPr>
                    <w:tc>
                      <w:tcPr>
                        <w:tcW w:w="4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1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60.00</w:t>
                        </w:r>
                      </w:p>
                    </w:tc>
                  </w:tr>
                  <w:tr>
                    <w:trPr>
                      <w:trHeight w:val="353" w:hRule="exact"/>
                    </w:trPr>
                    <w:tc>
                      <w:tcPr>
                        <w:tcW w:w="4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1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80.00</w:t>
                        </w:r>
                      </w:p>
                    </w:tc>
                  </w:tr>
                  <w:tr>
                    <w:trPr>
                      <w:trHeight w:val="365" w:hRule="exact"/>
                    </w:trPr>
                    <w:tc>
                      <w:tcPr>
                        <w:tcW w:w="40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41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100.00</w:t>
                        </w:r>
                      </w:p>
                    </w:tc>
                  </w:tr>
                </w:tbl>
                <w:p>
                  <w:pPr/>
                </w:p>
              </w:txbxContent>
            </v:textbox>
            <w10:wrap type="none"/>
          </v:shape>
        </w:pict>
      </w:r>
      <w:r>
        <w:rPr>
          <w:spacing w:val="-5"/>
        </w:rPr>
        <w:t>说明：公司将其他应收款按类似信用风险特征进行组合，划分为在合同规定的</w:t>
      </w:r>
      <w:r>
        <w:rPr>
          <w:spacing w:val="-47"/>
        </w:rPr>
        <w:t> </w:t>
      </w:r>
      <w:r>
        <w:rPr>
          <w:spacing w:val="-47"/>
        </w:rPr>
      </w:r>
      <w:r>
        <w:rPr>
          <w:spacing w:val="-5"/>
          <w:w w:val="100"/>
        </w:rPr>
        <w:t>收款账期内的其他应收款组合和账龄组合。在合同规定的收款账期内的其他应</w:t>
      </w:r>
      <w:r>
        <w:rPr>
          <w:spacing w:val="-85"/>
          <w:w w:val="100"/>
        </w:rPr>
        <w:t> </w:t>
      </w:r>
      <w:r>
        <w:rPr>
          <w:spacing w:val="-85"/>
          <w:w w:val="100"/>
        </w:rPr>
      </w:r>
      <w:r>
        <w:rPr>
          <w:spacing w:val="-3"/>
        </w:rPr>
        <w:t>收款组合预期发生减值损失的风险很低，坏账计提比例为</w:t>
      </w:r>
      <w:r>
        <w:rPr>
          <w:spacing w:val="-15"/>
        </w:rPr>
        <w:t> </w:t>
      </w:r>
      <w:r>
        <w:rPr>
          <w:rFonts w:ascii="Times New Roman" w:hAnsi="Times New Roman" w:cs="Times New Roman" w:eastAsia="Times New Roman" w:hint="default"/>
          <w:spacing w:val="-5"/>
        </w:rPr>
        <w:t>0.00%</w:t>
      </w:r>
      <w:r>
        <w:rPr>
          <w:spacing w:val="-5"/>
        </w:rPr>
        <w:t>；账龄组合按</w:t>
      </w:r>
      <w:r>
        <w:rPr>
          <w:spacing w:val="-90"/>
        </w:rPr>
        <w:t> </w:t>
      </w:r>
      <w:r>
        <w:rPr>
          <w:spacing w:val="-90"/>
        </w:rPr>
      </w:r>
      <w:r>
        <w:rPr/>
        <w:t>以下比例计提坏账准备：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3683"/>
        <w:jc w:val="left"/>
      </w:pPr>
      <w:r>
        <w:rPr/>
        <w:t>（</w:t>
      </w:r>
      <w:r>
        <w:rPr>
          <w:rFonts w:ascii="Times New Roman" w:hAnsi="Times New Roman" w:cs="Times New Roman" w:eastAsia="Times New Roman" w:hint="default"/>
        </w:rPr>
        <w:t>3</w:t>
      </w:r>
      <w:r>
        <w:rPr/>
        <w:t>）坏账准备计提情况</w:t>
      </w:r>
    </w:p>
    <w:tbl>
      <w:tblPr>
        <w:tblW w:w="0" w:type="auto"/>
        <w:jc w:val="left"/>
        <w:tblInd w:w="721" w:type="dxa"/>
        <w:tblLayout w:type="fixed"/>
        <w:tblCellMar>
          <w:top w:w="0" w:type="dxa"/>
          <w:left w:w="0" w:type="dxa"/>
          <w:bottom w:w="0" w:type="dxa"/>
          <w:right w:w="0" w:type="dxa"/>
        </w:tblCellMar>
        <w:tblLook w:val="01E0"/>
      </w:tblPr>
      <w:tblGrid>
        <w:gridCol w:w="2379"/>
        <w:gridCol w:w="1502"/>
        <w:gridCol w:w="1493"/>
        <w:gridCol w:w="1357"/>
        <w:gridCol w:w="1474"/>
      </w:tblGrid>
      <w:tr>
        <w:trPr>
          <w:trHeight w:val="365" w:hRule="exact"/>
        </w:trPr>
        <w:tc>
          <w:tcPr>
            <w:tcW w:w="237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5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424" w:right="0"/>
              <w:jc w:val="left"/>
              <w:rPr>
                <w:rFonts w:ascii="宋体" w:hAnsi="宋体" w:cs="宋体" w:eastAsia="宋体" w:hint="default"/>
                <w:sz w:val="16"/>
                <w:szCs w:val="16"/>
              </w:rPr>
            </w:pPr>
            <w:r>
              <w:rPr>
                <w:rFonts w:ascii="宋体" w:hAnsi="宋体" w:cs="宋体" w:eastAsia="宋体" w:hint="default"/>
                <w:sz w:val="16"/>
                <w:szCs w:val="16"/>
              </w:rPr>
              <w:t>第一阶段</w:t>
            </w:r>
          </w:p>
        </w:tc>
        <w:tc>
          <w:tcPr>
            <w:tcW w:w="14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420" w:right="0"/>
              <w:jc w:val="left"/>
              <w:rPr>
                <w:rFonts w:ascii="宋体" w:hAnsi="宋体" w:cs="宋体" w:eastAsia="宋体" w:hint="default"/>
                <w:sz w:val="16"/>
                <w:szCs w:val="16"/>
              </w:rPr>
            </w:pPr>
            <w:r>
              <w:rPr>
                <w:rFonts w:ascii="宋体" w:hAnsi="宋体" w:cs="宋体" w:eastAsia="宋体" w:hint="default"/>
                <w:sz w:val="16"/>
                <w:szCs w:val="16"/>
              </w:rPr>
              <w:t>第二阶段</w:t>
            </w:r>
          </w:p>
        </w:tc>
        <w:tc>
          <w:tcPr>
            <w:tcW w:w="13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350" w:right="0"/>
              <w:jc w:val="left"/>
              <w:rPr>
                <w:rFonts w:ascii="宋体" w:hAnsi="宋体" w:cs="宋体" w:eastAsia="宋体" w:hint="default"/>
                <w:sz w:val="16"/>
                <w:szCs w:val="16"/>
              </w:rPr>
            </w:pPr>
            <w:r>
              <w:rPr>
                <w:rFonts w:ascii="宋体" w:hAnsi="宋体" w:cs="宋体" w:eastAsia="宋体" w:hint="default"/>
                <w:sz w:val="16"/>
                <w:szCs w:val="16"/>
              </w:rPr>
              <w:t>第三阶段</w:t>
            </w:r>
          </w:p>
        </w:tc>
        <w:tc>
          <w:tcPr>
            <w:tcW w:w="1474"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768" w:hRule="exact"/>
        </w:trPr>
        <w:tc>
          <w:tcPr>
            <w:tcW w:w="2379" w:type="dxa"/>
            <w:vMerge/>
            <w:tcBorders>
              <w:left w:val="nil" w:sz="6" w:space="0" w:color="auto"/>
              <w:bottom w:val="dotted" w:sz="4" w:space="0" w:color="000000"/>
              <w:right w:val="dotted" w:sz="4" w:space="0" w:color="000000"/>
            </w:tcBorders>
          </w:tcPr>
          <w:p>
            <w:pPr/>
          </w:p>
        </w:tc>
        <w:tc>
          <w:tcPr>
            <w:tcW w:w="15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06" w:lineRule="exact"/>
              <w:ind w:left="424" w:right="142" w:hanging="279"/>
              <w:jc w:val="left"/>
              <w:rPr>
                <w:rFonts w:ascii="宋体" w:hAnsi="宋体" w:cs="宋体" w:eastAsia="宋体" w:hint="default"/>
                <w:sz w:val="16"/>
                <w:szCs w:val="16"/>
              </w:rPr>
            </w:pPr>
            <w:r>
              <w:rPr>
                <w:rFonts w:ascii="宋体" w:hAnsi="宋体" w:cs="宋体" w:eastAsia="宋体" w:hint="default"/>
                <w:sz w:val="16"/>
                <w:szCs w:val="16"/>
              </w:rPr>
              <w:t>未来</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个月预期</w:t>
            </w:r>
            <w:r>
              <w:rPr>
                <w:rFonts w:ascii="宋体" w:hAnsi="宋体" w:cs="宋体" w:eastAsia="宋体" w:hint="default"/>
                <w:w w:val="100"/>
                <w:sz w:val="16"/>
                <w:szCs w:val="16"/>
              </w:rPr>
              <w:t> </w:t>
            </w:r>
            <w:r>
              <w:rPr>
                <w:rFonts w:ascii="宋体" w:hAnsi="宋体" w:cs="宋体" w:eastAsia="宋体" w:hint="default"/>
                <w:sz w:val="16"/>
                <w:szCs w:val="16"/>
              </w:rPr>
              <w:t>信用损失</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53" w:right="151" w:hanging="1"/>
              <w:jc w:val="center"/>
              <w:rPr>
                <w:rFonts w:ascii="Times New Roman" w:hAnsi="Times New Roman" w:cs="Times New Roman" w:eastAsia="Times New Roman" w:hint="default"/>
                <w:sz w:val="16"/>
                <w:szCs w:val="16"/>
              </w:rPr>
            </w:pPr>
            <w:r>
              <w:rPr>
                <w:rFonts w:ascii="宋体" w:hAnsi="宋体" w:cs="宋体" w:eastAsia="宋体" w:hint="default"/>
                <w:sz w:val="16"/>
                <w:szCs w:val="16"/>
              </w:rPr>
              <w:t>整个存续期预期</w:t>
            </w:r>
            <w:r>
              <w:rPr>
                <w:rFonts w:ascii="宋体" w:hAnsi="宋体" w:cs="宋体" w:eastAsia="宋体" w:hint="default"/>
                <w:w w:val="100"/>
                <w:sz w:val="16"/>
                <w:szCs w:val="16"/>
              </w:rPr>
              <w:t> </w:t>
            </w:r>
            <w:r>
              <w:rPr>
                <w:rFonts w:ascii="宋体" w:hAnsi="宋体" w:cs="宋体" w:eastAsia="宋体" w:hint="default"/>
                <w:sz w:val="16"/>
                <w:szCs w:val="16"/>
              </w:rPr>
              <w:t>信用损失</w:t>
            </w:r>
            <w:r>
              <w:rPr>
                <w:rFonts w:ascii="Times New Roman" w:hAnsi="Times New Roman" w:cs="Times New Roman" w:eastAsia="Times New Roman" w:hint="default"/>
                <w:sz w:val="16"/>
                <w:szCs w:val="16"/>
              </w:rPr>
              <w:t>(</w:t>
            </w:r>
            <w:r>
              <w:rPr>
                <w:rFonts w:ascii="宋体" w:hAnsi="宋体" w:cs="宋体" w:eastAsia="宋体" w:hint="default"/>
                <w:sz w:val="16"/>
                <w:szCs w:val="16"/>
              </w:rPr>
              <w:t>未发生</w:t>
            </w:r>
            <w:r>
              <w:rPr>
                <w:rFonts w:ascii="宋体" w:hAnsi="宋体" w:cs="宋体" w:eastAsia="宋体" w:hint="default"/>
                <w:w w:val="100"/>
                <w:sz w:val="16"/>
                <w:szCs w:val="16"/>
              </w:rPr>
              <w:t> </w:t>
            </w:r>
            <w:r>
              <w:rPr>
                <w:rFonts w:ascii="宋体" w:hAnsi="宋体" w:cs="宋体" w:eastAsia="宋体" w:hint="default"/>
                <w:sz w:val="16"/>
                <w:szCs w:val="16"/>
              </w:rPr>
              <w:t>信用减值</w:t>
            </w:r>
            <w:r>
              <w:rPr>
                <w:rFonts w:ascii="Times New Roman" w:hAnsi="Times New Roman" w:cs="Times New Roman" w:eastAsia="Times New Roman" w:hint="default"/>
                <w:sz w:val="16"/>
                <w:szCs w:val="16"/>
              </w:rPr>
              <w:t>)</w:t>
            </w:r>
          </w:p>
        </w:tc>
        <w:tc>
          <w:tcPr>
            <w:tcW w:w="1357"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10" w:right="111"/>
              <w:jc w:val="center"/>
              <w:rPr>
                <w:rFonts w:ascii="Times New Roman" w:hAnsi="Times New Roman" w:cs="Times New Roman" w:eastAsia="Times New Roman" w:hint="default"/>
                <w:sz w:val="16"/>
                <w:szCs w:val="16"/>
              </w:rPr>
            </w:pPr>
            <w:r>
              <w:rPr>
                <w:rFonts w:ascii="宋体" w:hAnsi="宋体" w:cs="宋体" w:eastAsia="宋体" w:hint="default"/>
                <w:sz w:val="16"/>
                <w:szCs w:val="16"/>
              </w:rPr>
              <w:t>整个存续期预期</w:t>
            </w:r>
            <w:r>
              <w:rPr>
                <w:rFonts w:ascii="宋体" w:hAnsi="宋体" w:cs="宋体" w:eastAsia="宋体" w:hint="default"/>
                <w:w w:val="100"/>
                <w:sz w:val="16"/>
                <w:szCs w:val="16"/>
              </w:rPr>
              <w:t> </w:t>
            </w:r>
            <w:r>
              <w:rPr>
                <w:rFonts w:ascii="宋体" w:hAnsi="宋体" w:cs="宋体" w:eastAsia="宋体" w:hint="default"/>
                <w:sz w:val="16"/>
                <w:szCs w:val="16"/>
              </w:rPr>
              <w:t>信用损失</w:t>
            </w:r>
            <w:r>
              <w:rPr>
                <w:rFonts w:ascii="Times New Roman" w:hAnsi="Times New Roman" w:cs="Times New Roman" w:eastAsia="Times New Roman" w:hint="default"/>
                <w:sz w:val="16"/>
                <w:szCs w:val="16"/>
              </w:rPr>
              <w:t>(</w:t>
            </w:r>
            <w:r>
              <w:rPr>
                <w:rFonts w:ascii="宋体" w:hAnsi="宋体" w:cs="宋体" w:eastAsia="宋体" w:hint="default"/>
                <w:sz w:val="16"/>
                <w:szCs w:val="16"/>
              </w:rPr>
              <w:t>已发</w:t>
            </w:r>
            <w:r>
              <w:rPr>
                <w:rFonts w:ascii="宋体" w:hAnsi="宋体" w:cs="宋体" w:eastAsia="宋体" w:hint="default"/>
                <w:spacing w:val="-3"/>
                <w:w w:val="100"/>
                <w:sz w:val="16"/>
                <w:szCs w:val="16"/>
              </w:rPr>
              <w:t> </w:t>
            </w:r>
            <w:r>
              <w:rPr>
                <w:rFonts w:ascii="宋体" w:hAnsi="宋体" w:cs="宋体" w:eastAsia="宋体" w:hint="default"/>
                <w:sz w:val="16"/>
                <w:szCs w:val="16"/>
              </w:rPr>
              <w:t>生信用减值</w:t>
            </w:r>
            <w:r>
              <w:rPr>
                <w:rFonts w:ascii="Times New Roman" w:hAnsi="Times New Roman" w:cs="Times New Roman" w:eastAsia="Times New Roman" w:hint="default"/>
                <w:sz w:val="16"/>
                <w:szCs w:val="16"/>
              </w:rPr>
              <w:t>)</w:t>
            </w:r>
          </w:p>
        </w:tc>
        <w:tc>
          <w:tcPr>
            <w:tcW w:w="1474" w:type="dxa"/>
            <w:vMerge/>
            <w:tcBorders>
              <w:left w:val="dotted" w:sz="4" w:space="0" w:color="000000"/>
              <w:bottom w:val="dotted" w:sz="4" w:space="0" w:color="000000"/>
              <w:right w:val="nil" w:sz="6" w:space="0" w:color="auto"/>
            </w:tcBorders>
          </w:tcPr>
          <w:p>
            <w:pPr/>
          </w:p>
        </w:tc>
      </w:tr>
      <w:tr>
        <w:trPr>
          <w:trHeight w:val="353"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5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17,424,266.34</w:t>
            </w:r>
          </w:p>
        </w:tc>
        <w:tc>
          <w:tcPr>
            <w:tcW w:w="1493"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400" w:right="0"/>
              <w:jc w:val="left"/>
              <w:rPr>
                <w:rFonts w:ascii="Times New Roman" w:hAnsi="Times New Roman" w:cs="Times New Roman" w:eastAsia="Times New Roman" w:hint="default"/>
                <w:sz w:val="16"/>
                <w:szCs w:val="16"/>
              </w:rPr>
            </w:pPr>
            <w:r>
              <w:rPr>
                <w:rFonts w:ascii="Times New Roman"/>
                <w:sz w:val="16"/>
              </w:rPr>
              <w:t>6,237,592.63</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23,661,858.97</w:t>
            </w:r>
          </w:p>
        </w:tc>
      </w:tr>
      <w:tr>
        <w:trPr>
          <w:trHeight w:val="355"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年初余额在本期</w:t>
            </w:r>
          </w:p>
        </w:tc>
        <w:tc>
          <w:tcPr>
            <w:tcW w:w="1502"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转入第二阶段</w:t>
            </w:r>
          </w:p>
        </w:tc>
        <w:tc>
          <w:tcPr>
            <w:tcW w:w="1502"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转入第三阶段</w:t>
            </w:r>
          </w:p>
        </w:tc>
        <w:tc>
          <w:tcPr>
            <w:tcW w:w="1502"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转回第二阶段</w:t>
            </w:r>
          </w:p>
        </w:tc>
        <w:tc>
          <w:tcPr>
            <w:tcW w:w="1502"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转回第一阶段</w:t>
            </w:r>
          </w:p>
        </w:tc>
        <w:tc>
          <w:tcPr>
            <w:tcW w:w="1502"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宋体" w:hAnsi="宋体" w:cs="宋体" w:eastAsia="宋体" w:hint="default"/>
                <w:sz w:val="16"/>
                <w:szCs w:val="16"/>
              </w:rPr>
              <w:t>本期计提</w:t>
            </w:r>
          </w:p>
        </w:tc>
        <w:tc>
          <w:tcPr>
            <w:tcW w:w="15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0"/>
              <w:jc w:val="right"/>
              <w:rPr>
                <w:rFonts w:ascii="Times New Roman" w:hAnsi="Times New Roman" w:cs="Times New Roman" w:eastAsia="Times New Roman" w:hint="default"/>
                <w:sz w:val="16"/>
                <w:szCs w:val="16"/>
              </w:rPr>
            </w:pPr>
            <w:r>
              <w:rPr>
                <w:rFonts w:ascii="Times New Roman"/>
                <w:spacing w:val="-1"/>
                <w:sz w:val="16"/>
              </w:rPr>
              <w:t>1,739,106.57</w:t>
            </w:r>
          </w:p>
        </w:tc>
        <w:tc>
          <w:tcPr>
            <w:tcW w:w="1493"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6"/>
                <w:szCs w:val="16"/>
              </w:rPr>
            </w:pPr>
            <w:r>
              <w:rPr>
                <w:rFonts w:ascii="Times New Roman"/>
                <w:spacing w:val="-1"/>
                <w:sz w:val="16"/>
              </w:rPr>
              <w:t>1,739,106.57</w:t>
            </w:r>
          </w:p>
        </w:tc>
      </w:tr>
      <w:tr>
        <w:trPr>
          <w:trHeight w:val="353"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本期转回</w:t>
            </w:r>
          </w:p>
        </w:tc>
        <w:tc>
          <w:tcPr>
            <w:tcW w:w="1502"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本期转销</w:t>
            </w:r>
          </w:p>
        </w:tc>
        <w:tc>
          <w:tcPr>
            <w:tcW w:w="1502"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本期核销</w:t>
            </w:r>
          </w:p>
        </w:tc>
        <w:tc>
          <w:tcPr>
            <w:tcW w:w="15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8,000,000.00</w:t>
            </w:r>
          </w:p>
        </w:tc>
        <w:tc>
          <w:tcPr>
            <w:tcW w:w="1493"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8,000,000.00</w:t>
            </w:r>
          </w:p>
        </w:tc>
      </w:tr>
      <w:tr>
        <w:trPr>
          <w:trHeight w:val="353"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其他变动</w:t>
            </w:r>
          </w:p>
        </w:tc>
        <w:tc>
          <w:tcPr>
            <w:tcW w:w="1502"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23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5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11,163,372.91</w:t>
            </w:r>
          </w:p>
        </w:tc>
        <w:tc>
          <w:tcPr>
            <w:tcW w:w="1493" w:type="dxa"/>
            <w:tcBorders>
              <w:top w:val="dotted" w:sz="4" w:space="0" w:color="000000"/>
              <w:left w:val="dotted" w:sz="4" w:space="0" w:color="000000"/>
              <w:bottom w:val="single" w:sz="12" w:space="0" w:color="000000"/>
              <w:right w:val="dotted" w:sz="4" w:space="0" w:color="000000"/>
            </w:tcBorders>
          </w:tcPr>
          <w:p>
            <w:pPr/>
          </w:p>
        </w:tc>
        <w:tc>
          <w:tcPr>
            <w:tcW w:w="13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left="400" w:right="0"/>
              <w:jc w:val="left"/>
              <w:rPr>
                <w:rFonts w:ascii="Times New Roman" w:hAnsi="Times New Roman" w:cs="Times New Roman" w:eastAsia="Times New Roman" w:hint="default"/>
                <w:sz w:val="16"/>
                <w:szCs w:val="16"/>
              </w:rPr>
            </w:pPr>
            <w:r>
              <w:rPr>
                <w:rFonts w:ascii="Times New Roman"/>
                <w:sz w:val="16"/>
              </w:rPr>
              <w:t>6,237,592.63</w:t>
            </w:r>
          </w:p>
        </w:tc>
        <w:tc>
          <w:tcPr>
            <w:tcW w:w="14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17,400,965.54</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2"/>
        <w:rPr>
          <w:rFonts w:ascii="宋体" w:hAnsi="宋体" w:cs="宋体" w:eastAsia="宋体" w:hint="default"/>
          <w:sz w:val="22"/>
          <w:szCs w:val="22"/>
        </w:rPr>
      </w:pPr>
    </w:p>
    <w:p>
      <w:pPr>
        <w:pStyle w:val="BodyText"/>
        <w:spacing w:line="240" w:lineRule="auto"/>
        <w:ind w:right="3683"/>
        <w:jc w:val="left"/>
      </w:pPr>
      <w:r>
        <w:rPr/>
        <w:t>其他应收款项账面余额变动如下：</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336"/>
        <w:gridCol w:w="1471"/>
        <w:gridCol w:w="1464"/>
        <w:gridCol w:w="1813"/>
        <w:gridCol w:w="1320"/>
      </w:tblGrid>
      <w:tr>
        <w:trPr>
          <w:trHeight w:val="365" w:hRule="exact"/>
        </w:trPr>
        <w:tc>
          <w:tcPr>
            <w:tcW w:w="233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14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407" w:right="0"/>
              <w:jc w:val="left"/>
              <w:rPr>
                <w:rFonts w:ascii="宋体" w:hAnsi="宋体" w:cs="宋体" w:eastAsia="宋体" w:hint="default"/>
                <w:sz w:val="16"/>
                <w:szCs w:val="16"/>
              </w:rPr>
            </w:pPr>
            <w:r>
              <w:rPr>
                <w:rFonts w:ascii="宋体" w:hAnsi="宋体" w:cs="宋体" w:eastAsia="宋体" w:hint="default"/>
                <w:sz w:val="16"/>
                <w:szCs w:val="16"/>
              </w:rPr>
              <w:t>第一阶段</w:t>
            </w:r>
          </w:p>
        </w:tc>
        <w:tc>
          <w:tcPr>
            <w:tcW w:w="14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406" w:right="0"/>
              <w:jc w:val="left"/>
              <w:rPr>
                <w:rFonts w:ascii="宋体" w:hAnsi="宋体" w:cs="宋体" w:eastAsia="宋体" w:hint="default"/>
                <w:sz w:val="16"/>
                <w:szCs w:val="16"/>
              </w:rPr>
            </w:pPr>
            <w:r>
              <w:rPr>
                <w:rFonts w:ascii="宋体" w:hAnsi="宋体" w:cs="宋体" w:eastAsia="宋体" w:hint="default"/>
                <w:sz w:val="16"/>
                <w:szCs w:val="16"/>
              </w:rPr>
              <w:t>第二阶段</w:t>
            </w:r>
          </w:p>
        </w:tc>
        <w:tc>
          <w:tcPr>
            <w:tcW w:w="18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578" w:right="0"/>
              <w:jc w:val="left"/>
              <w:rPr>
                <w:rFonts w:ascii="宋体" w:hAnsi="宋体" w:cs="宋体" w:eastAsia="宋体" w:hint="default"/>
                <w:sz w:val="16"/>
                <w:szCs w:val="16"/>
              </w:rPr>
            </w:pPr>
            <w:r>
              <w:rPr>
                <w:rFonts w:ascii="宋体" w:hAnsi="宋体" w:cs="宋体" w:eastAsia="宋体" w:hint="default"/>
                <w:sz w:val="16"/>
                <w:szCs w:val="16"/>
              </w:rPr>
              <w:t>第三阶段</w:t>
            </w:r>
          </w:p>
        </w:tc>
        <w:tc>
          <w:tcPr>
            <w:tcW w:w="1320"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768" w:hRule="exact"/>
        </w:trPr>
        <w:tc>
          <w:tcPr>
            <w:tcW w:w="2336" w:type="dxa"/>
            <w:vMerge/>
            <w:tcBorders>
              <w:left w:val="nil" w:sz="6" w:space="0" w:color="auto"/>
              <w:bottom w:val="dotted" w:sz="4" w:space="0" w:color="000000"/>
              <w:right w:val="dotted" w:sz="4" w:space="0" w:color="000000"/>
            </w:tcBorders>
          </w:tcPr>
          <w:p>
            <w:pP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06" w:lineRule="exact"/>
              <w:ind w:left="407" w:right="127" w:hanging="279"/>
              <w:jc w:val="left"/>
              <w:rPr>
                <w:rFonts w:ascii="宋体" w:hAnsi="宋体" w:cs="宋体" w:eastAsia="宋体" w:hint="default"/>
                <w:sz w:val="16"/>
                <w:szCs w:val="16"/>
              </w:rPr>
            </w:pPr>
            <w:r>
              <w:rPr>
                <w:rFonts w:ascii="宋体" w:hAnsi="宋体" w:cs="宋体" w:eastAsia="宋体" w:hint="default"/>
                <w:sz w:val="16"/>
                <w:szCs w:val="16"/>
              </w:rPr>
              <w:t>未来</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个月预期</w:t>
            </w:r>
            <w:r>
              <w:rPr>
                <w:rFonts w:ascii="宋体" w:hAnsi="宋体" w:cs="宋体" w:eastAsia="宋体" w:hint="default"/>
                <w:w w:val="100"/>
                <w:sz w:val="16"/>
                <w:szCs w:val="16"/>
              </w:rPr>
              <w:t> </w:t>
            </w:r>
            <w:r>
              <w:rPr>
                <w:rFonts w:ascii="宋体" w:hAnsi="宋体" w:cs="宋体" w:eastAsia="宋体" w:hint="default"/>
                <w:sz w:val="16"/>
                <w:szCs w:val="16"/>
              </w:rPr>
              <w:t>信用损失</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39" w:right="137" w:hanging="1"/>
              <w:jc w:val="center"/>
              <w:rPr>
                <w:rFonts w:ascii="Times New Roman" w:hAnsi="Times New Roman" w:cs="Times New Roman" w:eastAsia="Times New Roman" w:hint="default"/>
                <w:sz w:val="16"/>
                <w:szCs w:val="16"/>
              </w:rPr>
            </w:pPr>
            <w:r>
              <w:rPr>
                <w:rFonts w:ascii="宋体" w:hAnsi="宋体" w:cs="宋体" w:eastAsia="宋体" w:hint="default"/>
                <w:sz w:val="16"/>
                <w:szCs w:val="16"/>
              </w:rPr>
              <w:t>整个存续期预期</w:t>
            </w:r>
            <w:r>
              <w:rPr>
                <w:rFonts w:ascii="宋体" w:hAnsi="宋体" w:cs="宋体" w:eastAsia="宋体" w:hint="default"/>
                <w:w w:val="100"/>
                <w:sz w:val="16"/>
                <w:szCs w:val="16"/>
              </w:rPr>
              <w:t> </w:t>
            </w:r>
            <w:r>
              <w:rPr>
                <w:rFonts w:ascii="宋体" w:hAnsi="宋体" w:cs="宋体" w:eastAsia="宋体" w:hint="default"/>
                <w:sz w:val="16"/>
                <w:szCs w:val="16"/>
              </w:rPr>
              <w:t>信用损失</w:t>
            </w:r>
            <w:r>
              <w:rPr>
                <w:rFonts w:ascii="Times New Roman" w:hAnsi="Times New Roman" w:cs="Times New Roman" w:eastAsia="Times New Roman" w:hint="default"/>
                <w:sz w:val="16"/>
                <w:szCs w:val="16"/>
              </w:rPr>
              <w:t>(</w:t>
            </w:r>
            <w:r>
              <w:rPr>
                <w:rFonts w:ascii="宋体" w:hAnsi="宋体" w:cs="宋体" w:eastAsia="宋体" w:hint="default"/>
                <w:sz w:val="16"/>
                <w:szCs w:val="16"/>
              </w:rPr>
              <w:t>未发生</w:t>
            </w:r>
            <w:r>
              <w:rPr>
                <w:rFonts w:ascii="宋体" w:hAnsi="宋体" w:cs="宋体" w:eastAsia="宋体" w:hint="default"/>
                <w:w w:val="100"/>
                <w:sz w:val="16"/>
                <w:szCs w:val="16"/>
              </w:rPr>
              <w:t> </w:t>
            </w:r>
            <w:r>
              <w:rPr>
                <w:rFonts w:ascii="宋体" w:hAnsi="宋体" w:cs="宋体" w:eastAsia="宋体" w:hint="default"/>
                <w:sz w:val="16"/>
                <w:szCs w:val="16"/>
              </w:rPr>
              <w:t>信用减值</w:t>
            </w:r>
            <w:r>
              <w:rPr>
                <w:rFonts w:ascii="Times New Roman" w:hAnsi="Times New Roman" w:cs="Times New Roman" w:eastAsia="Times New Roman" w:hint="default"/>
                <w:sz w:val="16"/>
                <w:szCs w:val="16"/>
              </w:rPr>
              <w:t>)</w:t>
            </w:r>
          </w:p>
        </w:tc>
        <w:tc>
          <w:tcPr>
            <w:tcW w:w="18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06" w:lineRule="exact"/>
              <w:ind w:left="127" w:right="124" w:firstLine="52"/>
              <w:jc w:val="left"/>
              <w:rPr>
                <w:rFonts w:ascii="Times New Roman" w:hAnsi="Times New Roman" w:cs="Times New Roman" w:eastAsia="Times New Roman" w:hint="default"/>
                <w:sz w:val="16"/>
                <w:szCs w:val="16"/>
              </w:rPr>
            </w:pPr>
            <w:r>
              <w:rPr>
                <w:rFonts w:ascii="宋体" w:hAnsi="宋体" w:cs="宋体" w:eastAsia="宋体" w:hint="default"/>
                <w:sz w:val="16"/>
                <w:szCs w:val="16"/>
              </w:rPr>
              <w:t>整个存续期预期信用</w:t>
            </w:r>
            <w:r>
              <w:rPr>
                <w:rFonts w:ascii="宋体" w:hAnsi="宋体" w:cs="宋体" w:eastAsia="宋体" w:hint="default"/>
                <w:w w:val="100"/>
                <w:sz w:val="16"/>
                <w:szCs w:val="16"/>
              </w:rPr>
              <w:t> </w:t>
            </w:r>
            <w:r>
              <w:rPr>
                <w:rFonts w:ascii="宋体" w:hAnsi="宋体" w:cs="宋体" w:eastAsia="宋体" w:hint="default"/>
                <w:sz w:val="16"/>
                <w:szCs w:val="16"/>
              </w:rPr>
              <w:t>损失</w:t>
            </w:r>
            <w:r>
              <w:rPr>
                <w:rFonts w:ascii="Times New Roman" w:hAnsi="Times New Roman" w:cs="Times New Roman" w:eastAsia="Times New Roman" w:hint="default"/>
                <w:sz w:val="16"/>
                <w:szCs w:val="16"/>
              </w:rPr>
              <w:t>(</w:t>
            </w:r>
            <w:r>
              <w:rPr>
                <w:rFonts w:ascii="宋体" w:hAnsi="宋体" w:cs="宋体" w:eastAsia="宋体" w:hint="default"/>
                <w:sz w:val="16"/>
                <w:szCs w:val="16"/>
              </w:rPr>
              <w:t>已发生信用减值</w:t>
            </w:r>
            <w:r>
              <w:rPr>
                <w:rFonts w:ascii="Times New Roman" w:hAnsi="Times New Roman" w:cs="Times New Roman" w:eastAsia="Times New Roman" w:hint="default"/>
                <w:sz w:val="16"/>
                <w:szCs w:val="16"/>
              </w:rPr>
              <w:t>)</w:t>
            </w:r>
          </w:p>
        </w:tc>
        <w:tc>
          <w:tcPr>
            <w:tcW w:w="1320" w:type="dxa"/>
            <w:vMerge/>
            <w:tcBorders>
              <w:left w:val="dotted" w:sz="4" w:space="0" w:color="000000"/>
              <w:bottom w:val="dotted" w:sz="4" w:space="0" w:color="000000"/>
              <w:right w:val="nil" w:sz="6" w:space="0" w:color="auto"/>
            </w:tcBorders>
          </w:tcPr>
          <w:p>
            <w:pPr/>
          </w:p>
        </w:tc>
      </w:tr>
      <w:tr>
        <w:trPr>
          <w:trHeight w:val="355" w:hRule="exact"/>
        </w:trPr>
        <w:tc>
          <w:tcPr>
            <w:tcW w:w="23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439" w:right="0"/>
              <w:jc w:val="left"/>
              <w:rPr>
                <w:rFonts w:ascii="Times New Roman" w:hAnsi="Times New Roman" w:cs="Times New Roman" w:eastAsia="Times New Roman" w:hint="default"/>
                <w:sz w:val="16"/>
                <w:szCs w:val="16"/>
              </w:rPr>
            </w:pPr>
            <w:r>
              <w:rPr>
                <w:rFonts w:ascii="Times New Roman"/>
                <w:sz w:val="16"/>
              </w:rPr>
              <w:t>66,963,328.70</w:t>
            </w:r>
          </w:p>
        </w:tc>
        <w:tc>
          <w:tcPr>
            <w:tcW w:w="1464" w:type="dxa"/>
            <w:tcBorders>
              <w:top w:val="dotted" w:sz="4" w:space="0" w:color="000000"/>
              <w:left w:val="dotted" w:sz="4" w:space="0" w:color="000000"/>
              <w:bottom w:val="dotted" w:sz="4" w:space="0" w:color="000000"/>
              <w:right w:val="dotted" w:sz="4" w:space="0" w:color="000000"/>
            </w:tcBorders>
          </w:tcPr>
          <w:p>
            <w:pPr/>
          </w:p>
        </w:tc>
        <w:tc>
          <w:tcPr>
            <w:tcW w:w="18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6,237,592.63</w:t>
            </w: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left="285" w:right="0"/>
              <w:jc w:val="left"/>
              <w:rPr>
                <w:rFonts w:ascii="Times New Roman" w:hAnsi="Times New Roman" w:cs="Times New Roman" w:eastAsia="Times New Roman" w:hint="default"/>
                <w:sz w:val="16"/>
                <w:szCs w:val="16"/>
              </w:rPr>
            </w:pPr>
            <w:r>
              <w:rPr>
                <w:rFonts w:ascii="Times New Roman"/>
                <w:sz w:val="16"/>
              </w:rPr>
              <w:t>73,200,921.33</w:t>
            </w:r>
          </w:p>
        </w:tc>
      </w:tr>
      <w:tr>
        <w:trPr>
          <w:trHeight w:val="353" w:hRule="exact"/>
        </w:trPr>
        <w:tc>
          <w:tcPr>
            <w:tcW w:w="23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年初余额在本期</w:t>
            </w:r>
          </w:p>
        </w:tc>
        <w:tc>
          <w:tcPr>
            <w:tcW w:w="1471"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dotted" w:sz="4" w:space="0" w:color="000000"/>
            </w:tcBorders>
          </w:tcPr>
          <w:p>
            <w:pPr/>
          </w:p>
        </w:tc>
        <w:tc>
          <w:tcPr>
            <w:tcW w:w="1813"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3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转入第二阶段</w:t>
            </w:r>
          </w:p>
        </w:tc>
        <w:tc>
          <w:tcPr>
            <w:tcW w:w="1471"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dotted" w:sz="4" w:space="0" w:color="000000"/>
            </w:tcBorders>
          </w:tcPr>
          <w:p>
            <w:pPr/>
          </w:p>
        </w:tc>
        <w:tc>
          <w:tcPr>
            <w:tcW w:w="1813"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3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转入第三阶段</w:t>
            </w:r>
          </w:p>
        </w:tc>
        <w:tc>
          <w:tcPr>
            <w:tcW w:w="1471"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dotted" w:sz="4" w:space="0" w:color="000000"/>
            </w:tcBorders>
          </w:tcPr>
          <w:p>
            <w:pPr/>
          </w:p>
        </w:tc>
        <w:tc>
          <w:tcPr>
            <w:tcW w:w="1813"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23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转回第二阶段</w:t>
            </w:r>
          </w:p>
        </w:tc>
        <w:tc>
          <w:tcPr>
            <w:tcW w:w="1471"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dotted" w:sz="4" w:space="0" w:color="000000"/>
            </w:tcBorders>
          </w:tcPr>
          <w:p>
            <w:pPr/>
          </w:p>
        </w:tc>
        <w:tc>
          <w:tcPr>
            <w:tcW w:w="1813"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3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转回第一阶段</w:t>
            </w:r>
          </w:p>
        </w:tc>
        <w:tc>
          <w:tcPr>
            <w:tcW w:w="1471"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dotted" w:sz="4" w:space="0" w:color="000000"/>
            </w:tcBorders>
          </w:tcPr>
          <w:p>
            <w:pPr/>
          </w:p>
        </w:tc>
        <w:tc>
          <w:tcPr>
            <w:tcW w:w="1813"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3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本期新增</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439" w:right="0"/>
              <w:jc w:val="left"/>
              <w:rPr>
                <w:rFonts w:ascii="Times New Roman" w:hAnsi="Times New Roman" w:cs="Times New Roman" w:eastAsia="Times New Roman" w:hint="default"/>
                <w:sz w:val="16"/>
                <w:szCs w:val="16"/>
              </w:rPr>
            </w:pPr>
            <w:r>
              <w:rPr>
                <w:rFonts w:ascii="Times New Roman"/>
                <w:sz w:val="16"/>
              </w:rPr>
              <w:t>28,346,608.10</w:t>
            </w:r>
          </w:p>
        </w:tc>
        <w:tc>
          <w:tcPr>
            <w:tcW w:w="1464" w:type="dxa"/>
            <w:tcBorders>
              <w:top w:val="dotted" w:sz="4" w:space="0" w:color="000000"/>
              <w:left w:val="dotted" w:sz="4" w:space="0" w:color="000000"/>
              <w:bottom w:val="dotted" w:sz="4" w:space="0" w:color="000000"/>
              <w:right w:val="dotted" w:sz="4" w:space="0" w:color="000000"/>
            </w:tcBorders>
          </w:tcPr>
          <w:p>
            <w:pPr/>
          </w:p>
        </w:tc>
        <w:tc>
          <w:tcPr>
            <w:tcW w:w="1813"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left="285" w:right="0"/>
              <w:jc w:val="left"/>
              <w:rPr>
                <w:rFonts w:ascii="Times New Roman" w:hAnsi="Times New Roman" w:cs="Times New Roman" w:eastAsia="Times New Roman" w:hint="default"/>
                <w:sz w:val="16"/>
                <w:szCs w:val="16"/>
              </w:rPr>
            </w:pPr>
            <w:r>
              <w:rPr>
                <w:rFonts w:ascii="Times New Roman"/>
                <w:sz w:val="16"/>
              </w:rPr>
              <w:t>28,346,608.10</w:t>
            </w:r>
          </w:p>
        </w:tc>
      </w:tr>
      <w:tr>
        <w:trPr>
          <w:trHeight w:val="355" w:hRule="exact"/>
        </w:trPr>
        <w:tc>
          <w:tcPr>
            <w:tcW w:w="23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本期直接减记</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464" w:type="dxa"/>
            <w:tcBorders>
              <w:top w:val="dotted" w:sz="4" w:space="0" w:color="000000"/>
              <w:left w:val="dotted" w:sz="4" w:space="0" w:color="000000"/>
              <w:bottom w:val="dotted" w:sz="4" w:space="0" w:color="000000"/>
              <w:right w:val="dotted" w:sz="4" w:space="0" w:color="000000"/>
            </w:tcBorders>
          </w:tcPr>
          <w:p>
            <w:pPr/>
          </w:p>
        </w:tc>
        <w:tc>
          <w:tcPr>
            <w:tcW w:w="1813"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3"/>
              <w:ind w:right="29"/>
              <w:jc w:val="right"/>
              <w:rPr>
                <w:rFonts w:ascii="宋体" w:hAnsi="宋体" w:cs="宋体" w:eastAsia="宋体" w:hint="default"/>
                <w:sz w:val="16"/>
                <w:szCs w:val="16"/>
              </w:rPr>
            </w:pPr>
            <w:r>
              <w:rPr>
                <w:rFonts w:ascii="宋体"/>
                <w:w w:val="100"/>
                <w:sz w:val="16"/>
              </w:rPr>
              <w:t> </w:t>
            </w:r>
          </w:p>
        </w:tc>
      </w:tr>
      <w:tr>
        <w:trPr>
          <w:trHeight w:val="353" w:hRule="exact"/>
        </w:trPr>
        <w:tc>
          <w:tcPr>
            <w:tcW w:w="23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本期终止确认</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8,000,000.00</w:t>
            </w:r>
          </w:p>
        </w:tc>
        <w:tc>
          <w:tcPr>
            <w:tcW w:w="1464" w:type="dxa"/>
            <w:tcBorders>
              <w:top w:val="dotted" w:sz="4" w:space="0" w:color="000000"/>
              <w:left w:val="dotted" w:sz="4" w:space="0" w:color="000000"/>
              <w:bottom w:val="dotted" w:sz="4" w:space="0" w:color="000000"/>
              <w:right w:val="dotted" w:sz="4" w:space="0" w:color="000000"/>
            </w:tcBorders>
          </w:tcPr>
          <w:p>
            <w:pPr/>
          </w:p>
        </w:tc>
        <w:tc>
          <w:tcPr>
            <w:tcW w:w="1813"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8,000,000.00</w:t>
            </w:r>
          </w:p>
        </w:tc>
      </w:tr>
      <w:tr>
        <w:trPr>
          <w:trHeight w:val="353" w:hRule="exact"/>
        </w:trPr>
        <w:tc>
          <w:tcPr>
            <w:tcW w:w="23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其他变动</w:t>
            </w:r>
          </w:p>
        </w:tc>
        <w:tc>
          <w:tcPr>
            <w:tcW w:w="1471"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dotted" w:sz="4" w:space="0" w:color="000000"/>
            </w:tcBorders>
          </w:tcPr>
          <w:p>
            <w:pPr/>
          </w:p>
        </w:tc>
        <w:tc>
          <w:tcPr>
            <w:tcW w:w="1813"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233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4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left="439" w:right="0"/>
              <w:jc w:val="left"/>
              <w:rPr>
                <w:rFonts w:ascii="Times New Roman" w:hAnsi="Times New Roman" w:cs="Times New Roman" w:eastAsia="Times New Roman" w:hint="default"/>
                <w:sz w:val="16"/>
                <w:szCs w:val="16"/>
              </w:rPr>
            </w:pPr>
            <w:r>
              <w:rPr>
                <w:rFonts w:ascii="Times New Roman"/>
                <w:sz w:val="16"/>
              </w:rPr>
              <w:t>87,309,936.80</w:t>
            </w:r>
          </w:p>
        </w:tc>
        <w:tc>
          <w:tcPr>
            <w:tcW w:w="1464" w:type="dxa"/>
            <w:tcBorders>
              <w:top w:val="dotted" w:sz="4" w:space="0" w:color="000000"/>
              <w:left w:val="dotted" w:sz="4" w:space="0" w:color="000000"/>
              <w:bottom w:val="single" w:sz="12" w:space="0" w:color="000000"/>
              <w:right w:val="dotted" w:sz="4" w:space="0" w:color="000000"/>
            </w:tcBorders>
          </w:tcPr>
          <w:p>
            <w:pPr/>
          </w:p>
        </w:tc>
        <w:tc>
          <w:tcPr>
            <w:tcW w:w="18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6,237,592.63</w:t>
            </w:r>
          </w:p>
        </w:tc>
        <w:tc>
          <w:tcPr>
            <w:tcW w:w="13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left="285" w:right="0"/>
              <w:jc w:val="left"/>
              <w:rPr>
                <w:rFonts w:ascii="Times New Roman" w:hAnsi="Times New Roman" w:cs="Times New Roman" w:eastAsia="Times New Roman" w:hint="default"/>
                <w:sz w:val="16"/>
                <w:szCs w:val="16"/>
              </w:rPr>
            </w:pPr>
            <w:r>
              <w:rPr>
                <w:rFonts w:ascii="Times New Roman"/>
                <w:sz w:val="16"/>
              </w:rPr>
              <w:t>93,547,529.43</w:t>
            </w:r>
          </w:p>
        </w:tc>
      </w:tr>
    </w:tbl>
    <w:p>
      <w:pPr>
        <w:spacing w:line="240" w:lineRule="auto" w:before="5"/>
        <w:rPr>
          <w:rFonts w:ascii="宋体" w:hAnsi="宋体" w:cs="宋体" w:eastAsia="宋体" w:hint="default"/>
          <w:sz w:val="26"/>
          <w:szCs w:val="26"/>
        </w:rPr>
      </w:pPr>
    </w:p>
    <w:p>
      <w:pPr>
        <w:pStyle w:val="BodyText"/>
        <w:spacing w:line="240" w:lineRule="auto"/>
        <w:ind w:right="3683"/>
        <w:jc w:val="left"/>
      </w:pPr>
      <w:r>
        <w:rPr/>
        <w:t>（</w:t>
      </w:r>
      <w:r>
        <w:rPr>
          <w:rFonts w:ascii="Times New Roman" w:hAnsi="Times New Roman" w:cs="Times New Roman" w:eastAsia="Times New Roman" w:hint="default"/>
        </w:rPr>
        <w:t>4</w:t>
      </w:r>
      <w:r>
        <w:rPr/>
        <w:t>）本期计提、转回或收回的坏账准备情况</w:t>
      </w:r>
    </w:p>
    <w:tbl>
      <w:tblPr>
        <w:tblW w:w="0" w:type="auto"/>
        <w:jc w:val="left"/>
        <w:tblInd w:w="721" w:type="dxa"/>
        <w:tblLayout w:type="fixed"/>
        <w:tblCellMar>
          <w:top w:w="0" w:type="dxa"/>
          <w:left w:w="0" w:type="dxa"/>
          <w:bottom w:w="0" w:type="dxa"/>
          <w:right w:w="0" w:type="dxa"/>
        </w:tblCellMar>
        <w:tblLook w:val="01E0"/>
      </w:tblPr>
      <w:tblGrid>
        <w:gridCol w:w="1102"/>
        <w:gridCol w:w="1277"/>
        <w:gridCol w:w="1169"/>
        <w:gridCol w:w="1217"/>
        <w:gridCol w:w="1018"/>
        <w:gridCol w:w="1109"/>
        <w:gridCol w:w="1313"/>
      </w:tblGrid>
      <w:tr>
        <w:trPr>
          <w:trHeight w:val="365" w:hRule="exact"/>
        </w:trPr>
        <w:tc>
          <w:tcPr>
            <w:tcW w:w="1102"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1277"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53"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169"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3344"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本期变动金额</w:t>
            </w:r>
          </w:p>
        </w:tc>
        <w:tc>
          <w:tcPr>
            <w:tcW w:w="1313" w:type="dxa"/>
            <w:vMerge w:val="restart"/>
            <w:tcBorders>
              <w:top w:val="single" w:sz="12" w:space="0" w:color="000000"/>
              <w:left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28"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1102" w:type="dxa"/>
            <w:vMerge/>
            <w:tcBorders>
              <w:left w:val="nil" w:sz="6" w:space="0" w:color="auto"/>
              <w:bottom w:val="dotted" w:sz="4" w:space="0" w:color="000000"/>
              <w:right w:val="dotted" w:sz="4" w:space="0" w:color="000000"/>
            </w:tcBorders>
          </w:tcPr>
          <w:p>
            <w:pPr/>
          </w:p>
        </w:tc>
        <w:tc>
          <w:tcPr>
            <w:tcW w:w="1277" w:type="dxa"/>
            <w:vMerge/>
            <w:tcBorders>
              <w:left w:val="dotted" w:sz="4" w:space="0" w:color="000000"/>
              <w:bottom w:val="dotted" w:sz="4" w:space="0" w:color="000000"/>
              <w:right w:val="dotted" w:sz="4" w:space="0" w:color="000000"/>
            </w:tcBorders>
          </w:tcPr>
          <w:p>
            <w:pPr/>
          </w:p>
        </w:tc>
        <w:tc>
          <w:tcPr>
            <w:tcW w:w="1169" w:type="dxa"/>
            <w:vMerge/>
            <w:tcBorders>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计提</w:t>
            </w:r>
          </w:p>
        </w:tc>
        <w:tc>
          <w:tcPr>
            <w:tcW w:w="10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收回或转回</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转销或核销</w:t>
            </w:r>
          </w:p>
        </w:tc>
        <w:tc>
          <w:tcPr>
            <w:tcW w:w="1313" w:type="dxa"/>
            <w:vMerge/>
            <w:tcBorders>
              <w:left w:val="dotted" w:sz="4" w:space="0" w:color="000000"/>
              <w:bottom w:val="dotted" w:sz="4" w:space="0" w:color="000000"/>
              <w:right w:val="nil" w:sz="6" w:space="0" w:color="auto"/>
            </w:tcBorders>
          </w:tcPr>
          <w:p>
            <w:pPr/>
          </w:p>
        </w:tc>
      </w:tr>
      <w:tr>
        <w:trPr>
          <w:trHeight w:val="562" w:hRule="exact"/>
        </w:trPr>
        <w:tc>
          <w:tcPr>
            <w:tcW w:w="1102"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84"/>
              <w:jc w:val="left"/>
              <w:rPr>
                <w:rFonts w:ascii="宋体" w:hAnsi="宋体" w:cs="宋体" w:eastAsia="宋体" w:hint="default"/>
                <w:sz w:val="16"/>
                <w:szCs w:val="16"/>
              </w:rPr>
            </w:pPr>
            <w:r>
              <w:rPr>
                <w:rFonts w:ascii="宋体" w:hAnsi="宋体" w:cs="宋体" w:eastAsia="宋体" w:hint="default"/>
                <w:spacing w:val="12"/>
                <w:sz w:val="16"/>
                <w:szCs w:val="16"/>
              </w:rPr>
              <w:t>按单项计提</w:t>
            </w:r>
            <w:r>
              <w:rPr>
                <w:rFonts w:ascii="宋体" w:hAnsi="宋体" w:cs="宋体" w:eastAsia="宋体" w:hint="default"/>
                <w:spacing w:val="-72"/>
                <w:sz w:val="16"/>
                <w:szCs w:val="16"/>
              </w:rPr>
              <w:t> </w:t>
            </w:r>
            <w:r>
              <w:rPr>
                <w:rFonts w:ascii="宋体" w:hAnsi="宋体" w:cs="宋体" w:eastAsia="宋体" w:hint="default"/>
                <w:sz w:val="16"/>
                <w:szCs w:val="16"/>
              </w:rPr>
              <w:t>坏账准备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6,237,592.63</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3" w:right="0"/>
              <w:jc w:val="center"/>
              <w:rPr>
                <w:rFonts w:ascii="Times New Roman" w:hAnsi="Times New Roman" w:cs="Times New Roman" w:eastAsia="Times New Roman" w:hint="default"/>
                <w:sz w:val="16"/>
                <w:szCs w:val="16"/>
              </w:rPr>
            </w:pPr>
            <w:r>
              <w:rPr>
                <w:rFonts w:ascii="Times New Roman"/>
                <w:sz w:val="16"/>
              </w:rPr>
              <w:t>6,237,592.63</w:t>
            </w:r>
          </w:p>
        </w:tc>
        <w:tc>
          <w:tcPr>
            <w:tcW w:w="1217" w:type="dxa"/>
            <w:tcBorders>
              <w:top w:val="dotted" w:sz="4" w:space="0" w:color="000000"/>
              <w:left w:val="dotted" w:sz="4" w:space="0" w:color="000000"/>
              <w:bottom w:val="dotted" w:sz="4" w:space="0" w:color="000000"/>
              <w:right w:val="dotted" w:sz="4" w:space="0" w:color="000000"/>
            </w:tcBorders>
          </w:tcPr>
          <w:p>
            <w:pPr/>
          </w:p>
        </w:tc>
        <w:tc>
          <w:tcPr>
            <w:tcW w:w="1018" w:type="dxa"/>
            <w:tcBorders>
              <w:top w:val="dotted" w:sz="4" w:space="0" w:color="000000"/>
              <w:left w:val="dotted" w:sz="4" w:space="0" w:color="000000"/>
              <w:bottom w:val="dotted" w:sz="4" w:space="0" w:color="000000"/>
              <w:right w:val="dotted" w:sz="4" w:space="0" w:color="000000"/>
            </w:tcBorders>
          </w:tcPr>
          <w:p>
            <w:pPr/>
          </w:p>
        </w:tc>
        <w:tc>
          <w:tcPr>
            <w:tcW w:w="110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6,237,592.63</w:t>
            </w:r>
          </w:p>
        </w:tc>
      </w:tr>
      <w:tr>
        <w:trPr>
          <w:trHeight w:val="562" w:hRule="exact"/>
        </w:trPr>
        <w:tc>
          <w:tcPr>
            <w:tcW w:w="1102"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84"/>
              <w:jc w:val="left"/>
              <w:rPr>
                <w:rFonts w:ascii="宋体" w:hAnsi="宋体" w:cs="宋体" w:eastAsia="宋体" w:hint="default"/>
                <w:sz w:val="16"/>
                <w:szCs w:val="16"/>
              </w:rPr>
            </w:pPr>
            <w:r>
              <w:rPr>
                <w:rFonts w:ascii="宋体" w:hAnsi="宋体" w:cs="宋体" w:eastAsia="宋体" w:hint="default"/>
                <w:spacing w:val="12"/>
                <w:sz w:val="16"/>
                <w:szCs w:val="16"/>
              </w:rPr>
              <w:t>按组合计提</w:t>
            </w:r>
            <w:r>
              <w:rPr>
                <w:rFonts w:ascii="宋体" w:hAnsi="宋体" w:cs="宋体" w:eastAsia="宋体" w:hint="default"/>
                <w:spacing w:val="-73"/>
                <w:sz w:val="16"/>
                <w:szCs w:val="16"/>
              </w:rPr>
              <w:t> </w:t>
            </w:r>
            <w:r>
              <w:rPr>
                <w:rFonts w:ascii="宋体" w:hAnsi="宋体" w:cs="宋体" w:eastAsia="宋体" w:hint="default"/>
                <w:sz w:val="16"/>
                <w:szCs w:val="16"/>
              </w:rPr>
              <w:t>坏账准备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17,424,266.34</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4" w:right="0"/>
              <w:jc w:val="center"/>
              <w:rPr>
                <w:rFonts w:ascii="Times New Roman" w:hAnsi="Times New Roman" w:cs="Times New Roman" w:eastAsia="Times New Roman" w:hint="default"/>
                <w:sz w:val="16"/>
                <w:szCs w:val="16"/>
              </w:rPr>
            </w:pPr>
            <w:r>
              <w:rPr>
                <w:rFonts w:ascii="Times New Roman"/>
                <w:sz w:val="16"/>
              </w:rPr>
              <w:t>17,424,266.34</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1,739,106.57</w:t>
            </w:r>
          </w:p>
        </w:tc>
        <w:tc>
          <w:tcPr>
            <w:tcW w:w="1018" w:type="dxa"/>
            <w:tcBorders>
              <w:top w:val="dotted" w:sz="4" w:space="0" w:color="000000"/>
              <w:left w:val="dotted" w:sz="4" w:space="0" w:color="000000"/>
              <w:bottom w:val="dotted" w:sz="4" w:space="0" w:color="000000"/>
              <w:right w:val="dotted" w:sz="4" w:space="0" w:color="000000"/>
            </w:tcBorders>
          </w:tcPr>
          <w:p>
            <w:pP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2" w:right="0"/>
              <w:jc w:val="center"/>
              <w:rPr>
                <w:rFonts w:ascii="Times New Roman" w:hAnsi="Times New Roman" w:cs="Times New Roman" w:eastAsia="Times New Roman" w:hint="default"/>
                <w:sz w:val="16"/>
                <w:szCs w:val="16"/>
              </w:rPr>
            </w:pPr>
            <w:r>
              <w:rPr>
                <w:rFonts w:ascii="Times New Roman"/>
                <w:sz w:val="16"/>
              </w:rPr>
              <w:t>8,000,000.00</w:t>
            </w:r>
          </w:p>
        </w:tc>
        <w:tc>
          <w:tcPr>
            <w:tcW w:w="13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2"/>
                <w:sz w:val="16"/>
              </w:rPr>
              <w:t>11,163,372.91</w:t>
            </w:r>
          </w:p>
        </w:tc>
      </w:tr>
      <w:tr>
        <w:trPr>
          <w:trHeight w:val="362" w:hRule="exact"/>
        </w:trPr>
        <w:tc>
          <w:tcPr>
            <w:tcW w:w="110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2"/>
                <w:sz w:val="16"/>
              </w:rPr>
              <w:t>23,661,858.97</w:t>
            </w:r>
          </w:p>
        </w:tc>
        <w:tc>
          <w:tcPr>
            <w:tcW w:w="11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34" w:right="0"/>
              <w:jc w:val="center"/>
              <w:rPr>
                <w:rFonts w:ascii="Times New Roman" w:hAnsi="Times New Roman" w:cs="Times New Roman" w:eastAsia="Times New Roman" w:hint="default"/>
                <w:sz w:val="16"/>
                <w:szCs w:val="16"/>
              </w:rPr>
            </w:pPr>
            <w:r>
              <w:rPr>
                <w:rFonts w:ascii="Times New Roman"/>
                <w:sz w:val="16"/>
              </w:rPr>
              <w:t>23,661,858.97</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1,739,106.57</w:t>
            </w:r>
          </w:p>
        </w:tc>
        <w:tc>
          <w:tcPr>
            <w:tcW w:w="1018" w:type="dxa"/>
            <w:tcBorders>
              <w:top w:val="dotted" w:sz="4" w:space="0" w:color="000000"/>
              <w:left w:val="dotted" w:sz="4" w:space="0" w:color="000000"/>
              <w:bottom w:val="single" w:sz="12" w:space="0" w:color="000000"/>
              <w:right w:val="dotted" w:sz="4" w:space="0" w:color="000000"/>
            </w:tcBorders>
          </w:tcPr>
          <w:p>
            <w:pPr/>
          </w:p>
        </w:tc>
        <w:tc>
          <w:tcPr>
            <w:tcW w:w="11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52" w:right="0"/>
              <w:jc w:val="center"/>
              <w:rPr>
                <w:rFonts w:ascii="Times New Roman" w:hAnsi="Times New Roman" w:cs="Times New Roman" w:eastAsia="Times New Roman" w:hint="default"/>
                <w:sz w:val="16"/>
                <w:szCs w:val="16"/>
              </w:rPr>
            </w:pPr>
            <w:r>
              <w:rPr>
                <w:rFonts w:ascii="Times New Roman"/>
                <w:sz w:val="16"/>
              </w:rPr>
              <w:t>8,000,000.00</w:t>
            </w:r>
          </w:p>
        </w:tc>
        <w:tc>
          <w:tcPr>
            <w:tcW w:w="13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17,400,965.54</w:t>
            </w:r>
          </w:p>
        </w:tc>
      </w:tr>
    </w:tbl>
    <w:p>
      <w:pPr>
        <w:spacing w:line="240" w:lineRule="auto" w:before="9"/>
        <w:rPr>
          <w:rFonts w:ascii="宋体" w:hAnsi="宋体" w:cs="宋体" w:eastAsia="宋体" w:hint="default"/>
          <w:sz w:val="27"/>
          <w:szCs w:val="27"/>
        </w:rPr>
      </w:pPr>
    </w:p>
    <w:p>
      <w:pPr>
        <w:pStyle w:val="BodyText"/>
        <w:spacing w:line="240" w:lineRule="auto"/>
        <w:ind w:right="3683"/>
        <w:jc w:val="left"/>
      </w:pPr>
      <w:r>
        <w:rPr/>
        <w:t>（</w:t>
      </w:r>
      <w:r>
        <w:rPr>
          <w:rFonts w:ascii="Times New Roman" w:hAnsi="Times New Roman" w:cs="Times New Roman" w:eastAsia="Times New Roman" w:hint="default"/>
        </w:rPr>
        <w:t>5</w:t>
      </w:r>
      <w:r>
        <w:rPr/>
        <w:t>）本期实际核销的其他应收款项情况</w:t>
      </w:r>
    </w:p>
    <w:tbl>
      <w:tblPr>
        <w:tblW w:w="0" w:type="auto"/>
        <w:jc w:val="left"/>
        <w:tblInd w:w="721" w:type="dxa"/>
        <w:tblLayout w:type="fixed"/>
        <w:tblCellMar>
          <w:top w:w="0" w:type="dxa"/>
          <w:left w:w="0" w:type="dxa"/>
          <w:bottom w:w="0" w:type="dxa"/>
          <w:right w:w="0" w:type="dxa"/>
        </w:tblCellMar>
        <w:tblLook w:val="01E0"/>
      </w:tblPr>
      <w:tblGrid>
        <w:gridCol w:w="4259"/>
        <w:gridCol w:w="3946"/>
      </w:tblGrid>
      <w:tr>
        <w:trPr>
          <w:trHeight w:val="362" w:hRule="exact"/>
        </w:trPr>
        <w:tc>
          <w:tcPr>
            <w:tcW w:w="42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9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3"/>
              <w:jc w:val="center"/>
              <w:rPr>
                <w:rFonts w:ascii="宋体" w:hAnsi="宋体" w:cs="宋体" w:eastAsia="宋体" w:hint="default"/>
                <w:sz w:val="16"/>
                <w:szCs w:val="16"/>
              </w:rPr>
            </w:pPr>
            <w:r>
              <w:rPr>
                <w:rFonts w:ascii="宋体" w:hAnsi="宋体" w:cs="宋体" w:eastAsia="宋体" w:hint="default"/>
                <w:sz w:val="16"/>
                <w:szCs w:val="16"/>
              </w:rPr>
              <w:t>核销金额</w:t>
            </w:r>
          </w:p>
        </w:tc>
      </w:tr>
      <w:tr>
        <w:trPr>
          <w:trHeight w:val="365" w:hRule="exact"/>
        </w:trPr>
        <w:tc>
          <w:tcPr>
            <w:tcW w:w="42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实际核销的其他应收款项</w:t>
            </w:r>
          </w:p>
        </w:tc>
        <w:tc>
          <w:tcPr>
            <w:tcW w:w="39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8,000,000.00</w:t>
            </w:r>
          </w:p>
        </w:tc>
      </w:tr>
    </w:tbl>
    <w:p>
      <w:pPr>
        <w:spacing w:line="240" w:lineRule="auto" w:before="8"/>
        <w:rPr>
          <w:rFonts w:ascii="宋体" w:hAnsi="宋体" w:cs="宋体" w:eastAsia="宋体" w:hint="default"/>
          <w:sz w:val="5"/>
          <w:szCs w:val="5"/>
        </w:rPr>
      </w:pPr>
    </w:p>
    <w:p>
      <w:pPr>
        <w:pStyle w:val="BodyText"/>
        <w:spacing w:line="240" w:lineRule="auto"/>
        <w:ind w:right="3683"/>
        <w:jc w:val="left"/>
      </w:pPr>
      <w:r>
        <w:rPr/>
        <w:t>其中重要的其他应收款项核销情况：</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494"/>
        <w:gridCol w:w="1044"/>
        <w:gridCol w:w="1349"/>
        <w:gridCol w:w="1188"/>
        <w:gridCol w:w="910"/>
        <w:gridCol w:w="1219"/>
      </w:tblGrid>
      <w:tr>
        <w:trPr>
          <w:trHeight w:val="571" w:hRule="exact"/>
        </w:trPr>
        <w:tc>
          <w:tcPr>
            <w:tcW w:w="24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044"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65"/>
              <w:ind w:left="275" w:right="113" w:hanging="159"/>
              <w:jc w:val="left"/>
              <w:rPr>
                <w:rFonts w:ascii="宋体" w:hAnsi="宋体" w:cs="宋体" w:eastAsia="宋体" w:hint="default"/>
                <w:sz w:val="16"/>
                <w:szCs w:val="16"/>
              </w:rPr>
            </w:pPr>
            <w:r>
              <w:rPr>
                <w:rFonts w:ascii="宋体" w:hAnsi="宋体" w:cs="宋体" w:eastAsia="宋体" w:hint="default"/>
                <w:sz w:val="16"/>
                <w:szCs w:val="16"/>
              </w:rPr>
              <w:t>其他应收款</w:t>
            </w:r>
            <w:r>
              <w:rPr>
                <w:rFonts w:ascii="宋体" w:hAnsi="宋体" w:cs="宋体" w:eastAsia="宋体" w:hint="default"/>
                <w:w w:val="100"/>
                <w:sz w:val="16"/>
                <w:szCs w:val="16"/>
              </w:rPr>
              <w:t> </w:t>
            </w:r>
            <w:r>
              <w:rPr>
                <w:rFonts w:ascii="宋体" w:hAnsi="宋体" w:cs="宋体" w:eastAsia="宋体" w:hint="default"/>
                <w:sz w:val="16"/>
                <w:szCs w:val="16"/>
              </w:rPr>
              <w:t>项性质</w:t>
            </w:r>
          </w:p>
        </w:tc>
        <w:tc>
          <w:tcPr>
            <w:tcW w:w="13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347" w:right="0"/>
              <w:jc w:val="left"/>
              <w:rPr>
                <w:rFonts w:ascii="宋体" w:hAnsi="宋体" w:cs="宋体" w:eastAsia="宋体" w:hint="default"/>
                <w:sz w:val="16"/>
                <w:szCs w:val="16"/>
              </w:rPr>
            </w:pPr>
            <w:r>
              <w:rPr>
                <w:rFonts w:ascii="宋体" w:hAnsi="宋体" w:cs="宋体" w:eastAsia="宋体" w:hint="default"/>
                <w:sz w:val="16"/>
                <w:szCs w:val="16"/>
              </w:rPr>
              <w:t>核销金额</w:t>
            </w:r>
          </w:p>
        </w:tc>
        <w:tc>
          <w:tcPr>
            <w:tcW w:w="11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68" w:right="0"/>
              <w:jc w:val="left"/>
              <w:rPr>
                <w:rFonts w:ascii="宋体" w:hAnsi="宋体" w:cs="宋体" w:eastAsia="宋体" w:hint="default"/>
                <w:sz w:val="16"/>
                <w:szCs w:val="16"/>
              </w:rPr>
            </w:pPr>
            <w:r>
              <w:rPr>
                <w:rFonts w:ascii="宋体" w:hAnsi="宋体" w:cs="宋体" w:eastAsia="宋体" w:hint="default"/>
                <w:sz w:val="16"/>
                <w:szCs w:val="16"/>
              </w:rPr>
              <w:t>核销原因</w:t>
            </w:r>
          </w:p>
        </w:tc>
        <w:tc>
          <w:tcPr>
            <w:tcW w:w="910"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65"/>
              <w:ind w:left="208" w:right="125" w:hanging="80"/>
              <w:jc w:val="left"/>
              <w:rPr>
                <w:rFonts w:ascii="宋体" w:hAnsi="宋体" w:cs="宋体" w:eastAsia="宋体" w:hint="default"/>
                <w:sz w:val="16"/>
                <w:szCs w:val="16"/>
              </w:rPr>
            </w:pPr>
            <w:r>
              <w:rPr>
                <w:rFonts w:ascii="宋体" w:hAnsi="宋体" w:cs="宋体" w:eastAsia="宋体" w:hint="default"/>
                <w:sz w:val="16"/>
                <w:szCs w:val="16"/>
              </w:rPr>
              <w:t>履行的核</w:t>
            </w:r>
            <w:r>
              <w:rPr>
                <w:rFonts w:ascii="宋体" w:hAnsi="宋体" w:cs="宋体" w:eastAsia="宋体" w:hint="default"/>
                <w:spacing w:val="-77"/>
                <w:sz w:val="16"/>
                <w:szCs w:val="16"/>
              </w:rPr>
              <w:t> </w:t>
            </w:r>
            <w:r>
              <w:rPr>
                <w:rFonts w:ascii="宋体" w:hAnsi="宋体" w:cs="宋体" w:eastAsia="宋体" w:hint="default"/>
                <w:sz w:val="16"/>
                <w:szCs w:val="16"/>
              </w:rPr>
              <w:t>销程序</w:t>
            </w:r>
          </w:p>
        </w:tc>
        <w:tc>
          <w:tcPr>
            <w:tcW w:w="1219" w:type="dxa"/>
            <w:tcBorders>
              <w:top w:val="single" w:sz="12" w:space="0" w:color="000000"/>
              <w:left w:val="dotted" w:sz="4" w:space="0" w:color="000000"/>
              <w:bottom w:val="dotted" w:sz="4" w:space="0" w:color="000000"/>
              <w:right w:val="nil" w:sz="6" w:space="0" w:color="auto"/>
            </w:tcBorders>
          </w:tcPr>
          <w:p>
            <w:pPr>
              <w:pStyle w:val="TableParagraph"/>
              <w:spacing w:line="206" w:lineRule="exact" w:before="65"/>
              <w:ind w:left="203" w:right="125" w:hanging="80"/>
              <w:jc w:val="left"/>
              <w:rPr>
                <w:rFonts w:ascii="宋体" w:hAnsi="宋体" w:cs="宋体" w:eastAsia="宋体" w:hint="default"/>
                <w:sz w:val="16"/>
                <w:szCs w:val="16"/>
              </w:rPr>
            </w:pPr>
            <w:r>
              <w:rPr>
                <w:rFonts w:ascii="宋体" w:hAnsi="宋体" w:cs="宋体" w:eastAsia="宋体" w:hint="default"/>
                <w:sz w:val="16"/>
                <w:szCs w:val="16"/>
              </w:rPr>
              <w:t>款项是否因关</w:t>
            </w:r>
            <w:r>
              <w:rPr>
                <w:rFonts w:ascii="宋体" w:hAnsi="宋体" w:cs="宋体" w:eastAsia="宋体" w:hint="default"/>
                <w:w w:val="100"/>
                <w:sz w:val="16"/>
                <w:szCs w:val="16"/>
              </w:rPr>
              <w:t> </w:t>
            </w:r>
            <w:r>
              <w:rPr>
                <w:rFonts w:ascii="宋体" w:hAnsi="宋体" w:cs="宋体" w:eastAsia="宋体" w:hint="default"/>
                <w:sz w:val="16"/>
                <w:szCs w:val="16"/>
              </w:rPr>
              <w:t>联交易产生</w:t>
            </w:r>
          </w:p>
        </w:tc>
      </w:tr>
      <w:tr>
        <w:trPr>
          <w:trHeight w:val="562" w:hRule="exact"/>
        </w:trPr>
        <w:tc>
          <w:tcPr>
            <w:tcW w:w="24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6" w:right="0"/>
              <w:jc w:val="left"/>
              <w:rPr>
                <w:rFonts w:ascii="Times New Roman" w:hAnsi="Times New Roman" w:cs="Times New Roman" w:eastAsia="Times New Roman" w:hint="default"/>
                <w:sz w:val="16"/>
                <w:szCs w:val="16"/>
              </w:rPr>
            </w:pPr>
            <w:r>
              <w:rPr>
                <w:rFonts w:ascii="Times New Roman"/>
                <w:sz w:val="16"/>
              </w:rPr>
              <w:t>8,000,000.00</w:t>
            </w:r>
          </w:p>
        </w:tc>
        <w:tc>
          <w:tcPr>
            <w:tcW w:w="1188"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03" w:right="99"/>
              <w:jc w:val="left"/>
              <w:rPr>
                <w:rFonts w:ascii="宋体" w:hAnsi="宋体" w:cs="宋体" w:eastAsia="宋体" w:hint="default"/>
                <w:sz w:val="16"/>
                <w:szCs w:val="16"/>
              </w:rPr>
            </w:pPr>
            <w:r>
              <w:rPr>
                <w:rFonts w:ascii="宋体" w:hAnsi="宋体" w:cs="宋体" w:eastAsia="宋体" w:hint="default"/>
                <w:sz w:val="16"/>
                <w:szCs w:val="16"/>
              </w:rPr>
              <w:t>原代持股份无</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偿划转</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03" w:right="86"/>
              <w:jc w:val="left"/>
              <w:rPr>
                <w:rFonts w:ascii="宋体" w:hAnsi="宋体" w:cs="宋体" w:eastAsia="宋体" w:hint="default"/>
                <w:sz w:val="16"/>
                <w:szCs w:val="16"/>
              </w:rPr>
            </w:pPr>
            <w:r>
              <w:rPr>
                <w:rFonts w:ascii="宋体" w:hAnsi="宋体" w:cs="宋体" w:eastAsia="宋体" w:hint="default"/>
                <w:spacing w:val="11"/>
                <w:sz w:val="16"/>
                <w:szCs w:val="16"/>
              </w:rPr>
              <w:t>董事会决</w:t>
            </w:r>
            <w:r>
              <w:rPr>
                <w:rFonts w:ascii="宋体" w:hAnsi="宋体" w:cs="宋体" w:eastAsia="宋体" w:hint="default"/>
                <w:spacing w:val="-73"/>
                <w:sz w:val="16"/>
                <w:szCs w:val="16"/>
              </w:rPr>
              <w:t> </w:t>
            </w:r>
            <w:r>
              <w:rPr>
                <w:rFonts w:ascii="宋体" w:hAnsi="宋体" w:cs="宋体" w:eastAsia="宋体" w:hint="default"/>
                <w:sz w:val="16"/>
                <w:szCs w:val="16"/>
              </w:rPr>
              <w:t>议</w:t>
            </w:r>
          </w:p>
        </w:tc>
        <w:tc>
          <w:tcPr>
            <w:tcW w:w="12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w w:val="100"/>
                <w:sz w:val="16"/>
                <w:szCs w:val="16"/>
              </w:rPr>
              <w:t>是</w:t>
            </w:r>
          </w:p>
        </w:tc>
      </w:tr>
      <w:tr>
        <w:trPr>
          <w:trHeight w:val="363" w:hRule="exact"/>
        </w:trPr>
        <w:tc>
          <w:tcPr>
            <w:tcW w:w="24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044" w:type="dxa"/>
            <w:tcBorders>
              <w:top w:val="dotted" w:sz="4" w:space="0" w:color="000000"/>
              <w:left w:val="dotted" w:sz="4" w:space="0" w:color="000000"/>
              <w:bottom w:val="single" w:sz="12" w:space="0" w:color="000000"/>
              <w:right w:val="dotted" w:sz="4" w:space="0" w:color="000000"/>
            </w:tcBorders>
          </w:tcPr>
          <w:p>
            <w:pPr/>
          </w:p>
        </w:tc>
        <w:tc>
          <w:tcPr>
            <w:tcW w:w="13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9"/>
              <w:ind w:left="396" w:right="0"/>
              <w:jc w:val="left"/>
              <w:rPr>
                <w:rFonts w:ascii="Times New Roman" w:hAnsi="Times New Roman" w:cs="Times New Roman" w:eastAsia="Times New Roman" w:hint="default"/>
                <w:sz w:val="16"/>
                <w:szCs w:val="16"/>
              </w:rPr>
            </w:pPr>
            <w:r>
              <w:rPr>
                <w:rFonts w:ascii="Times New Roman"/>
                <w:sz w:val="16"/>
              </w:rPr>
              <w:t>8,000,000.00</w:t>
            </w:r>
          </w:p>
        </w:tc>
        <w:tc>
          <w:tcPr>
            <w:tcW w:w="1188" w:type="dxa"/>
            <w:tcBorders>
              <w:top w:val="dotted" w:sz="4" w:space="0" w:color="000000"/>
              <w:left w:val="dotted" w:sz="4" w:space="0" w:color="000000"/>
              <w:bottom w:val="single" w:sz="12" w:space="0" w:color="000000"/>
              <w:right w:val="dotted" w:sz="4" w:space="0" w:color="000000"/>
            </w:tcBorders>
          </w:tcPr>
          <w:p>
            <w:pPr/>
          </w:p>
        </w:tc>
        <w:tc>
          <w:tcPr>
            <w:tcW w:w="910" w:type="dxa"/>
            <w:tcBorders>
              <w:top w:val="dotted" w:sz="4" w:space="0" w:color="000000"/>
              <w:left w:val="dotted" w:sz="4" w:space="0" w:color="000000"/>
              <w:bottom w:val="single" w:sz="12" w:space="0" w:color="000000"/>
              <w:right w:val="dotted" w:sz="4" w:space="0" w:color="000000"/>
            </w:tcBorders>
          </w:tcPr>
          <w:p>
            <w:pPr/>
          </w:p>
        </w:tc>
        <w:tc>
          <w:tcPr>
            <w:tcW w:w="121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26"/>
          <w:szCs w:val="26"/>
        </w:rPr>
      </w:pPr>
    </w:p>
    <w:p>
      <w:pPr>
        <w:pStyle w:val="BodyText"/>
        <w:spacing w:line="240" w:lineRule="auto"/>
        <w:ind w:right="3683"/>
        <w:jc w:val="left"/>
      </w:pPr>
      <w:r>
        <w:rPr/>
        <w:t>（</w:t>
      </w:r>
      <w:r>
        <w:rPr>
          <w:rFonts w:ascii="Times New Roman" w:hAnsi="Times New Roman" w:cs="Times New Roman" w:eastAsia="Times New Roman" w:hint="default"/>
        </w:rPr>
        <w:t>6</w:t>
      </w:r>
      <w:r>
        <w:rPr/>
        <w:t>）按款项性质分类情况</w:t>
      </w:r>
    </w:p>
    <w:tbl>
      <w:tblPr>
        <w:tblW w:w="0" w:type="auto"/>
        <w:jc w:val="left"/>
        <w:tblInd w:w="721" w:type="dxa"/>
        <w:tblLayout w:type="fixed"/>
        <w:tblCellMar>
          <w:top w:w="0" w:type="dxa"/>
          <w:left w:w="0" w:type="dxa"/>
          <w:bottom w:w="0" w:type="dxa"/>
          <w:right w:w="0" w:type="dxa"/>
        </w:tblCellMar>
        <w:tblLook w:val="01E0"/>
      </w:tblPr>
      <w:tblGrid>
        <w:gridCol w:w="2542"/>
        <w:gridCol w:w="2832"/>
        <w:gridCol w:w="2830"/>
      </w:tblGrid>
      <w:tr>
        <w:trPr>
          <w:trHeight w:val="362" w:hRule="exact"/>
        </w:trPr>
        <w:tc>
          <w:tcPr>
            <w:tcW w:w="254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21" w:right="0"/>
              <w:jc w:val="center"/>
              <w:rPr>
                <w:rFonts w:ascii="宋体" w:hAnsi="宋体" w:cs="宋体" w:eastAsia="宋体" w:hint="default"/>
                <w:sz w:val="16"/>
                <w:szCs w:val="16"/>
              </w:rPr>
            </w:pPr>
            <w:r>
              <w:rPr>
                <w:rFonts w:ascii="宋体" w:hAnsi="宋体" w:cs="宋体" w:eastAsia="宋体" w:hint="default"/>
                <w:sz w:val="16"/>
                <w:szCs w:val="16"/>
              </w:rPr>
              <w:t>款项性质</w:t>
            </w:r>
          </w:p>
        </w:tc>
        <w:tc>
          <w:tcPr>
            <w:tcW w:w="28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931" w:right="0"/>
              <w:jc w:val="left"/>
              <w:rPr>
                <w:rFonts w:ascii="宋体" w:hAnsi="宋体" w:cs="宋体" w:eastAsia="宋体" w:hint="default"/>
                <w:sz w:val="16"/>
                <w:szCs w:val="16"/>
              </w:rPr>
            </w:pPr>
            <w:r>
              <w:rPr>
                <w:rFonts w:ascii="宋体" w:hAnsi="宋体" w:cs="宋体" w:eastAsia="宋体" w:hint="default"/>
                <w:sz w:val="16"/>
                <w:szCs w:val="16"/>
              </w:rPr>
              <w:t>期末账面余额</w:t>
            </w:r>
          </w:p>
        </w:tc>
        <w:tc>
          <w:tcPr>
            <w:tcW w:w="28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770" w:right="0"/>
              <w:jc w:val="left"/>
              <w:rPr>
                <w:rFonts w:ascii="宋体" w:hAnsi="宋体" w:cs="宋体" w:eastAsia="宋体" w:hint="default"/>
                <w:sz w:val="16"/>
                <w:szCs w:val="16"/>
              </w:rPr>
            </w:pPr>
            <w:r>
              <w:rPr>
                <w:rFonts w:ascii="宋体" w:hAnsi="宋体" w:cs="宋体" w:eastAsia="宋体" w:hint="default"/>
                <w:sz w:val="16"/>
                <w:szCs w:val="16"/>
              </w:rPr>
              <w:t>上年年末账面余额</w:t>
            </w:r>
          </w:p>
        </w:tc>
      </w:tr>
      <w:tr>
        <w:trPr>
          <w:trHeight w:val="355"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52,196,717.58</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40,746,875.64</w:t>
            </w:r>
          </w:p>
        </w:tc>
      </w:tr>
      <w:tr>
        <w:trPr>
          <w:trHeight w:val="362" w:hRule="exact"/>
        </w:trPr>
        <w:tc>
          <w:tcPr>
            <w:tcW w:w="25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保证金、押金</w:t>
            </w:r>
          </w:p>
        </w:tc>
        <w:tc>
          <w:tcPr>
            <w:tcW w:w="2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24,184,786.99</w:t>
            </w:r>
          </w:p>
        </w:tc>
        <w:tc>
          <w:tcPr>
            <w:tcW w:w="28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15,307,079.84</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sz w:val="18"/>
          <w:szCs w:val="18"/>
        </w:rPr>
      </w:pPr>
    </w:p>
    <w:tbl>
      <w:tblPr>
        <w:tblW w:w="0" w:type="auto"/>
        <w:jc w:val="left"/>
        <w:tblInd w:w="821" w:type="dxa"/>
        <w:tblLayout w:type="fixed"/>
        <w:tblCellMar>
          <w:top w:w="0" w:type="dxa"/>
          <w:left w:w="0" w:type="dxa"/>
          <w:bottom w:w="0" w:type="dxa"/>
          <w:right w:w="0" w:type="dxa"/>
        </w:tblCellMar>
        <w:tblLook w:val="01E0"/>
      </w:tblPr>
      <w:tblGrid>
        <w:gridCol w:w="2542"/>
        <w:gridCol w:w="2832"/>
        <w:gridCol w:w="2830"/>
      </w:tblGrid>
      <w:tr>
        <w:trPr>
          <w:trHeight w:val="363" w:hRule="exact"/>
        </w:trPr>
        <w:tc>
          <w:tcPr>
            <w:tcW w:w="254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4"/>
              <w:ind w:left="21" w:right="0"/>
              <w:jc w:val="center"/>
              <w:rPr>
                <w:rFonts w:ascii="宋体" w:hAnsi="宋体" w:cs="宋体" w:eastAsia="宋体" w:hint="default"/>
                <w:sz w:val="16"/>
                <w:szCs w:val="16"/>
              </w:rPr>
            </w:pPr>
            <w:r>
              <w:rPr>
                <w:rFonts w:ascii="宋体" w:hAnsi="宋体" w:cs="宋体" w:eastAsia="宋体" w:hint="default"/>
                <w:sz w:val="16"/>
                <w:szCs w:val="16"/>
              </w:rPr>
              <w:t>款项性质</w:t>
            </w:r>
          </w:p>
        </w:tc>
        <w:tc>
          <w:tcPr>
            <w:tcW w:w="28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4"/>
              <w:ind w:left="931" w:right="0"/>
              <w:jc w:val="left"/>
              <w:rPr>
                <w:rFonts w:ascii="宋体" w:hAnsi="宋体" w:cs="宋体" w:eastAsia="宋体" w:hint="default"/>
                <w:sz w:val="16"/>
                <w:szCs w:val="16"/>
              </w:rPr>
            </w:pPr>
            <w:r>
              <w:rPr>
                <w:rFonts w:ascii="宋体" w:hAnsi="宋体" w:cs="宋体" w:eastAsia="宋体" w:hint="default"/>
                <w:sz w:val="16"/>
                <w:szCs w:val="16"/>
              </w:rPr>
              <w:t>期末账面余额</w:t>
            </w:r>
          </w:p>
        </w:tc>
        <w:tc>
          <w:tcPr>
            <w:tcW w:w="28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left="770" w:right="0"/>
              <w:jc w:val="left"/>
              <w:rPr>
                <w:rFonts w:ascii="宋体" w:hAnsi="宋体" w:cs="宋体" w:eastAsia="宋体" w:hint="default"/>
                <w:sz w:val="16"/>
                <w:szCs w:val="16"/>
              </w:rPr>
            </w:pPr>
            <w:r>
              <w:rPr>
                <w:rFonts w:ascii="宋体" w:hAnsi="宋体" w:cs="宋体" w:eastAsia="宋体" w:hint="default"/>
                <w:sz w:val="16"/>
                <w:szCs w:val="16"/>
              </w:rPr>
              <w:t>上年年末账面余额</w:t>
            </w:r>
          </w:p>
        </w:tc>
      </w:tr>
      <w:tr>
        <w:trPr>
          <w:trHeight w:val="355"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备用金</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5,445,569.20</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10,504,853.97</w:t>
            </w:r>
          </w:p>
        </w:tc>
      </w:tr>
      <w:tr>
        <w:trPr>
          <w:trHeight w:val="353"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代垫款</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3,529,365.76</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2,872,314.69</w:t>
            </w:r>
          </w:p>
        </w:tc>
      </w:tr>
      <w:tr>
        <w:trPr>
          <w:trHeight w:val="353"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出口退税</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981,332.38</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1,111,290.32</w:t>
            </w:r>
          </w:p>
        </w:tc>
      </w:tr>
      <w:tr>
        <w:trPr>
          <w:trHeight w:val="355"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7,209,757.52</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2,658,506.87</w:t>
            </w:r>
          </w:p>
        </w:tc>
      </w:tr>
      <w:tr>
        <w:trPr>
          <w:trHeight w:val="362" w:hRule="exact"/>
        </w:trPr>
        <w:tc>
          <w:tcPr>
            <w:tcW w:w="25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93,547,529.43</w:t>
            </w:r>
          </w:p>
        </w:tc>
        <w:tc>
          <w:tcPr>
            <w:tcW w:w="28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73,200,921.33</w:t>
            </w:r>
          </w:p>
        </w:tc>
      </w:tr>
    </w:tbl>
    <w:p>
      <w:pPr>
        <w:spacing w:line="240" w:lineRule="auto" w:before="7"/>
        <w:rPr>
          <w:rFonts w:ascii="宋体" w:hAnsi="宋体" w:cs="宋体" w:eastAsia="宋体" w:hint="default"/>
          <w:sz w:val="26"/>
          <w:szCs w:val="26"/>
        </w:rPr>
      </w:pPr>
    </w:p>
    <w:p>
      <w:pPr>
        <w:pStyle w:val="BodyText"/>
        <w:spacing w:line="240" w:lineRule="auto"/>
        <w:ind w:left="1514" w:right="0"/>
        <w:jc w:val="left"/>
      </w:pPr>
      <w:r>
        <w:rPr/>
        <w:t>（</w:t>
      </w:r>
      <w:r>
        <w:rPr>
          <w:rFonts w:ascii="Times New Roman" w:hAnsi="Times New Roman" w:cs="Times New Roman" w:eastAsia="Times New Roman" w:hint="default"/>
        </w:rPr>
        <w:t>7</w:t>
      </w:r>
      <w:r>
        <w:rPr/>
        <w:t>）按欠款方归集的期末余额前五名的其他应收款项情况</w:t>
      </w:r>
    </w:p>
    <w:tbl>
      <w:tblPr>
        <w:tblW w:w="0" w:type="auto"/>
        <w:jc w:val="left"/>
        <w:tblInd w:w="821" w:type="dxa"/>
        <w:tblLayout w:type="fixed"/>
        <w:tblCellMar>
          <w:top w:w="0" w:type="dxa"/>
          <w:left w:w="0" w:type="dxa"/>
          <w:bottom w:w="0" w:type="dxa"/>
          <w:right w:w="0" w:type="dxa"/>
        </w:tblCellMar>
        <w:tblLook w:val="01E0"/>
      </w:tblPr>
      <w:tblGrid>
        <w:gridCol w:w="2362"/>
        <w:gridCol w:w="1128"/>
        <w:gridCol w:w="1138"/>
        <w:gridCol w:w="974"/>
        <w:gridCol w:w="1325"/>
        <w:gridCol w:w="1277"/>
      </w:tblGrid>
      <w:tr>
        <w:trPr>
          <w:trHeight w:val="778" w:hRule="exact"/>
        </w:trPr>
        <w:tc>
          <w:tcPr>
            <w:tcW w:w="236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1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6"/>
                <w:szCs w:val="16"/>
              </w:rPr>
            </w:pPr>
            <w:r>
              <w:rPr>
                <w:rFonts w:ascii="宋体" w:hAnsi="宋体" w:cs="宋体" w:eastAsia="宋体" w:hint="default"/>
                <w:sz w:val="16"/>
                <w:szCs w:val="16"/>
              </w:rPr>
              <w:t>款项性质</w:t>
            </w:r>
          </w:p>
        </w:tc>
        <w:tc>
          <w:tcPr>
            <w:tcW w:w="11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9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1325"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65"/>
              <w:ind w:left="136" w:right="135" w:firstLine="40"/>
              <w:jc w:val="both"/>
              <w:rPr>
                <w:rFonts w:ascii="Times New Roman" w:hAnsi="Times New Roman" w:cs="Times New Roman" w:eastAsia="Times New Roman" w:hint="default"/>
                <w:sz w:val="16"/>
                <w:szCs w:val="16"/>
              </w:rPr>
            </w:pPr>
            <w:r>
              <w:rPr>
                <w:rFonts w:ascii="宋体" w:hAnsi="宋体" w:cs="宋体" w:eastAsia="宋体" w:hint="default"/>
                <w:sz w:val="16"/>
                <w:szCs w:val="16"/>
              </w:rPr>
              <w:t>占其他应收款</w:t>
            </w:r>
            <w:r>
              <w:rPr>
                <w:rFonts w:ascii="宋体" w:hAnsi="宋体" w:cs="宋体" w:eastAsia="宋体" w:hint="default"/>
                <w:w w:val="100"/>
                <w:sz w:val="16"/>
                <w:szCs w:val="16"/>
              </w:rPr>
              <w:t> </w:t>
            </w:r>
            <w:r>
              <w:rPr>
                <w:rFonts w:ascii="宋体" w:hAnsi="宋体" w:cs="宋体" w:eastAsia="宋体" w:hint="default"/>
                <w:sz w:val="16"/>
                <w:szCs w:val="16"/>
              </w:rPr>
              <w:t>项期末余额合</w:t>
            </w:r>
            <w:r>
              <w:rPr>
                <w:rFonts w:ascii="宋体" w:hAnsi="宋体" w:cs="宋体" w:eastAsia="宋体" w:hint="default"/>
                <w:w w:val="100"/>
                <w:sz w:val="16"/>
                <w:szCs w:val="16"/>
              </w:rPr>
              <w:t> </w:t>
            </w:r>
            <w:r>
              <w:rPr>
                <w:rFonts w:ascii="宋体" w:hAnsi="宋体" w:cs="宋体" w:eastAsia="宋体" w:hint="default"/>
                <w:sz w:val="16"/>
                <w:szCs w:val="16"/>
              </w:rPr>
              <w:t>计数的比例</w:t>
            </w:r>
            <w:r>
              <w:rPr>
                <w:rFonts w:ascii="Times New Roman" w:hAnsi="Times New Roman" w:cs="Times New Roman" w:eastAsia="Times New Roman" w:hint="default"/>
                <w:sz w:val="16"/>
                <w:szCs w:val="16"/>
              </w:rPr>
              <w:t>(%)</w:t>
            </w:r>
          </w:p>
        </w:tc>
        <w:tc>
          <w:tcPr>
            <w:tcW w:w="12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06" w:lineRule="exact"/>
              <w:ind w:left="472" w:right="154" w:hanging="320"/>
              <w:jc w:val="left"/>
              <w:rPr>
                <w:rFonts w:ascii="宋体" w:hAnsi="宋体" w:cs="宋体" w:eastAsia="宋体" w:hint="default"/>
                <w:sz w:val="16"/>
                <w:szCs w:val="16"/>
              </w:rPr>
            </w:pPr>
            <w:r>
              <w:rPr>
                <w:rFonts w:ascii="宋体" w:hAnsi="宋体" w:cs="宋体" w:eastAsia="宋体" w:hint="default"/>
                <w:sz w:val="16"/>
                <w:szCs w:val="16"/>
              </w:rPr>
              <w:t>坏账准备期末</w:t>
            </w:r>
            <w:r>
              <w:rPr>
                <w:rFonts w:ascii="宋体" w:hAnsi="宋体" w:cs="宋体" w:eastAsia="宋体" w:hint="default"/>
                <w:w w:val="100"/>
                <w:sz w:val="16"/>
                <w:szCs w:val="16"/>
              </w:rPr>
              <w:t> </w:t>
            </w:r>
            <w:r>
              <w:rPr>
                <w:rFonts w:ascii="宋体" w:hAnsi="宋体" w:cs="宋体" w:eastAsia="宋体" w:hint="default"/>
                <w:sz w:val="16"/>
                <w:szCs w:val="16"/>
              </w:rPr>
              <w:t>余额</w:t>
            </w:r>
          </w:p>
        </w:tc>
      </w:tr>
      <w:tr>
        <w:trPr>
          <w:trHeight w:val="353"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华为技术有限公司</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5,540,871.97</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5.92</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北京科迪迅通科技有限公司</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4,583,849.40</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4.90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4,583,849.40</w:t>
            </w:r>
          </w:p>
        </w:tc>
      </w:tr>
      <w:tr>
        <w:trPr>
          <w:trHeight w:val="353"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株洲天易建设发展有限公司</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pacing w:val="-9"/>
                <w:sz w:val="16"/>
                <w:szCs w:val="16"/>
              </w:rPr>
              <w:t>保证金、押金</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3,941,981.58</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4.21</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美国加洲</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KFI</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技术公司</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3,486,000.00</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3.73</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京华信托投资公司破产管理人</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3,367,036.64</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3.60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2,693,629.31</w:t>
            </w:r>
          </w:p>
        </w:tc>
      </w:tr>
      <w:tr>
        <w:trPr>
          <w:trHeight w:val="362" w:hRule="exact"/>
        </w:trPr>
        <w:tc>
          <w:tcPr>
            <w:tcW w:w="23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128" w:type="dxa"/>
            <w:tcBorders>
              <w:top w:val="dotted" w:sz="4" w:space="0" w:color="000000"/>
              <w:left w:val="dotted" w:sz="4" w:space="0" w:color="000000"/>
              <w:bottom w:val="single" w:sz="12" w:space="0" w:color="000000"/>
              <w:right w:val="dotted" w:sz="4" w:space="0" w:color="000000"/>
            </w:tcBorders>
          </w:tcPr>
          <w:p>
            <w:pPr/>
          </w:p>
        </w:tc>
        <w:tc>
          <w:tcPr>
            <w:tcW w:w="11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20,919,739.59</w:t>
            </w:r>
          </w:p>
        </w:tc>
        <w:tc>
          <w:tcPr>
            <w:tcW w:w="974" w:type="dxa"/>
            <w:tcBorders>
              <w:top w:val="dotted" w:sz="4" w:space="0" w:color="000000"/>
              <w:left w:val="dotted" w:sz="4" w:space="0" w:color="000000"/>
              <w:bottom w:val="single" w:sz="12" w:space="0" w:color="000000"/>
              <w:right w:val="dotted" w:sz="4" w:space="0" w:color="000000"/>
            </w:tcBorders>
          </w:tcPr>
          <w:p>
            <w:pPr/>
          </w:p>
        </w:tc>
        <w:tc>
          <w:tcPr>
            <w:tcW w:w="13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22.36</w:t>
            </w: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7,277,478.71</w:t>
            </w:r>
          </w:p>
        </w:tc>
      </w:tr>
    </w:tbl>
    <w:p>
      <w:pPr>
        <w:spacing w:line="240" w:lineRule="auto" w:before="9"/>
        <w:rPr>
          <w:rFonts w:ascii="宋体" w:hAnsi="宋体" w:cs="宋体" w:eastAsia="宋体" w:hint="default"/>
          <w:sz w:val="27"/>
          <w:szCs w:val="27"/>
        </w:rPr>
      </w:pPr>
    </w:p>
    <w:p>
      <w:pPr>
        <w:pStyle w:val="Heading5"/>
        <w:tabs>
          <w:tab w:pos="950" w:val="left" w:leader="none"/>
        </w:tabs>
        <w:spacing w:line="240" w:lineRule="auto"/>
        <w:ind w:left="238" w:right="0"/>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tab/>
      </w:r>
      <w:r>
        <w:rPr/>
        <w:t>存货</w:t>
      </w:r>
      <w:r>
        <w:rPr>
          <w:b w:val="0"/>
          <w:bCs w:val="0"/>
        </w:rPr>
      </w:r>
    </w:p>
    <w:p>
      <w:pPr>
        <w:pStyle w:val="Heading5"/>
        <w:tabs>
          <w:tab w:pos="1497" w:val="left" w:leader="none"/>
        </w:tabs>
        <w:spacing w:line="240" w:lineRule="auto" w:before="107"/>
        <w:ind w:left="946" w:right="0"/>
        <w:jc w:val="left"/>
        <w:rPr>
          <w:b w:val="0"/>
          <w:bCs w:val="0"/>
        </w:rPr>
      </w:pPr>
      <w:r>
        <w:rPr>
          <w:rFonts w:ascii="Times New Roman" w:hAnsi="Times New Roman" w:cs="Times New Roman" w:eastAsia="Times New Roman" w:hint="default"/>
        </w:rPr>
        <w:t>1</w:t>
      </w:r>
      <w:r>
        <w:rPr/>
        <w:t>、</w:t>
        <w:tab/>
        <w:t>存货分类</w:t>
      </w:r>
      <w:r>
        <w:rPr>
          <w:b w:val="0"/>
          <w:bCs w:val="0"/>
        </w:rPr>
      </w:r>
    </w:p>
    <w:tbl>
      <w:tblPr>
        <w:tblW w:w="0" w:type="auto"/>
        <w:jc w:val="left"/>
        <w:tblInd w:w="101" w:type="dxa"/>
        <w:tblLayout w:type="fixed"/>
        <w:tblCellMar>
          <w:top w:w="0" w:type="dxa"/>
          <w:left w:w="0" w:type="dxa"/>
          <w:bottom w:w="0" w:type="dxa"/>
          <w:right w:w="0" w:type="dxa"/>
        </w:tblCellMar>
        <w:tblLook w:val="01E0"/>
      </w:tblPr>
      <w:tblGrid>
        <w:gridCol w:w="1205"/>
        <w:gridCol w:w="1337"/>
        <w:gridCol w:w="1217"/>
        <w:gridCol w:w="1335"/>
        <w:gridCol w:w="1337"/>
        <w:gridCol w:w="1217"/>
        <w:gridCol w:w="1334"/>
      </w:tblGrid>
      <w:tr>
        <w:trPr>
          <w:trHeight w:val="365" w:hRule="exact"/>
        </w:trPr>
        <w:tc>
          <w:tcPr>
            <w:tcW w:w="120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2"/>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88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88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1"/>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557" w:hRule="exact"/>
        </w:trPr>
        <w:tc>
          <w:tcPr>
            <w:tcW w:w="1205" w:type="dxa"/>
            <w:vMerge/>
            <w:tcBorders>
              <w:left w:val="nil" w:sz="6" w:space="0" w:color="auto"/>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343"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right="120"/>
              <w:jc w:val="right"/>
              <w:rPr>
                <w:rFonts w:ascii="宋体" w:hAnsi="宋体" w:cs="宋体" w:eastAsia="宋体" w:hint="default"/>
                <w:sz w:val="16"/>
                <w:szCs w:val="16"/>
              </w:rPr>
            </w:pPr>
            <w:r>
              <w:rPr>
                <w:rFonts w:ascii="宋体" w:hAnsi="宋体" w:cs="宋体" w:eastAsia="宋体" w:hint="default"/>
                <w:spacing w:val="-1"/>
                <w:sz w:val="16"/>
                <w:szCs w:val="16"/>
              </w:rPr>
              <w:t>存货跌价准备</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340"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343"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存货跌价准备</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340"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1044"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原材料</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686,167,262.70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111,718,522.96</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574,448,739.74</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670,681,481.76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81" w:right="0"/>
              <w:jc w:val="center"/>
              <w:rPr>
                <w:rFonts w:ascii="Times New Roman" w:hAnsi="Times New Roman" w:cs="Times New Roman" w:eastAsia="Times New Roman" w:hint="default"/>
                <w:sz w:val="16"/>
                <w:szCs w:val="16"/>
              </w:rPr>
            </w:pPr>
            <w:r>
              <w:rPr>
                <w:rFonts w:ascii="Times New Roman"/>
                <w:sz w:val="16"/>
              </w:rPr>
              <w:t>78,423,590.31</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592,257,891.45</w:t>
            </w:r>
          </w:p>
        </w:tc>
      </w:tr>
      <w:tr>
        <w:trPr>
          <w:trHeight w:val="353"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周转材料</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305,833.03</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305,833.03</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299,495.55</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299,495.55</w:t>
            </w:r>
          </w:p>
        </w:tc>
      </w:tr>
      <w:tr>
        <w:trPr>
          <w:trHeight w:val="353"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委托加工物资</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586,726.20</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586,726.20</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334"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在产品</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804,237,494.66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2,203,818.44</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802,033,676.22</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633,361,041.07</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60" w:right="0"/>
              <w:jc w:val="center"/>
              <w:rPr>
                <w:rFonts w:ascii="Times New Roman" w:hAnsi="Times New Roman" w:cs="Times New Roman" w:eastAsia="Times New Roman" w:hint="default"/>
                <w:sz w:val="16"/>
                <w:szCs w:val="16"/>
              </w:rPr>
            </w:pPr>
            <w:r>
              <w:rPr>
                <w:rFonts w:ascii="Times New Roman"/>
                <w:sz w:val="16"/>
              </w:rPr>
              <w:t>1,534,684.57</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631,826,356.50</w:t>
            </w:r>
          </w:p>
        </w:tc>
      </w:tr>
      <w:tr>
        <w:trPr>
          <w:trHeight w:val="355"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库存商品</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2,335,895,060.20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71,230,542.27</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2,264,664,517.93</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803,271,983.48</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86" w:right="0"/>
              <w:jc w:val="center"/>
              <w:rPr>
                <w:rFonts w:ascii="Times New Roman" w:hAnsi="Times New Roman" w:cs="Times New Roman" w:eastAsia="Times New Roman" w:hint="default"/>
                <w:sz w:val="16"/>
                <w:szCs w:val="16"/>
              </w:rPr>
            </w:pPr>
            <w:r>
              <w:rPr>
                <w:rFonts w:ascii="Times New Roman"/>
                <w:sz w:val="16"/>
              </w:rPr>
              <w:t>43,482,869.11</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759,789,114.37</w:t>
            </w:r>
          </w:p>
        </w:tc>
      </w:tr>
      <w:tr>
        <w:trPr>
          <w:trHeight w:val="365" w:hRule="exact"/>
        </w:trPr>
        <w:tc>
          <w:tcPr>
            <w:tcW w:w="12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3,827,192,376.79</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185,152,883.67</w:t>
            </w:r>
          </w:p>
        </w:tc>
        <w:tc>
          <w:tcPr>
            <w:tcW w:w="13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3,642,039,493.12</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2,107,614,001.86</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6"/>
                <w:szCs w:val="16"/>
              </w:rPr>
            </w:pPr>
            <w:r>
              <w:rPr>
                <w:rFonts w:ascii="Times New Roman"/>
                <w:sz w:val="16"/>
              </w:rPr>
              <w:t>123,441,143.99</w:t>
            </w:r>
          </w:p>
        </w:tc>
        <w:tc>
          <w:tcPr>
            <w:tcW w:w="133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1,984,172,857.87</w:t>
            </w:r>
          </w:p>
        </w:tc>
      </w:tr>
    </w:tbl>
    <w:p>
      <w:pPr>
        <w:spacing w:line="240" w:lineRule="auto" w:before="6"/>
        <w:rPr>
          <w:rFonts w:ascii="宋体" w:hAnsi="宋体" w:cs="宋体" w:eastAsia="宋体" w:hint="default"/>
          <w:b/>
          <w:bCs/>
          <w:sz w:val="27"/>
          <w:szCs w:val="27"/>
        </w:rPr>
      </w:pPr>
    </w:p>
    <w:p>
      <w:pPr>
        <w:pStyle w:val="Heading5"/>
        <w:tabs>
          <w:tab w:pos="1497" w:val="left" w:leader="none"/>
        </w:tabs>
        <w:spacing w:line="240" w:lineRule="auto"/>
        <w:ind w:left="946" w:right="0"/>
        <w:jc w:val="left"/>
        <w:rPr>
          <w:b w:val="0"/>
          <w:bCs w:val="0"/>
        </w:rPr>
      </w:pPr>
      <w:r>
        <w:rPr>
          <w:rFonts w:ascii="Times New Roman" w:hAnsi="Times New Roman" w:cs="Times New Roman" w:eastAsia="Times New Roman" w:hint="default"/>
        </w:rPr>
        <w:t>2</w:t>
      </w:r>
      <w:r>
        <w:rPr/>
        <w:t>、</w:t>
        <w:tab/>
        <w:t>存货跌价准备</w:t>
      </w:r>
      <w:r>
        <w:rPr>
          <w:b w:val="0"/>
          <w:bCs w:val="0"/>
        </w:rPr>
      </w:r>
    </w:p>
    <w:tbl>
      <w:tblPr>
        <w:tblW w:w="0" w:type="auto"/>
        <w:jc w:val="left"/>
        <w:tblInd w:w="821" w:type="dxa"/>
        <w:tblLayout w:type="fixed"/>
        <w:tblCellMar>
          <w:top w:w="0" w:type="dxa"/>
          <w:left w:w="0" w:type="dxa"/>
          <w:bottom w:w="0" w:type="dxa"/>
          <w:right w:w="0" w:type="dxa"/>
        </w:tblCellMar>
        <w:tblLook w:val="01E0"/>
      </w:tblPr>
      <w:tblGrid>
        <w:gridCol w:w="1054"/>
        <w:gridCol w:w="1340"/>
        <w:gridCol w:w="1464"/>
        <w:gridCol w:w="728"/>
        <w:gridCol w:w="1250"/>
        <w:gridCol w:w="1028"/>
        <w:gridCol w:w="1342"/>
      </w:tblGrid>
      <w:tr>
        <w:trPr>
          <w:trHeight w:val="363" w:hRule="exact"/>
        </w:trPr>
        <w:tc>
          <w:tcPr>
            <w:tcW w:w="1054"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40"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8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219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4"/>
              <w:ind w:left="609" w:right="0"/>
              <w:jc w:val="left"/>
              <w:rPr>
                <w:rFonts w:ascii="宋体" w:hAnsi="宋体" w:cs="宋体" w:eastAsia="宋体" w:hint="default"/>
                <w:sz w:val="16"/>
                <w:szCs w:val="16"/>
              </w:rPr>
            </w:pPr>
            <w:r>
              <w:rPr>
                <w:rFonts w:ascii="宋体" w:hAnsi="宋体" w:cs="宋体" w:eastAsia="宋体" w:hint="default"/>
                <w:sz w:val="16"/>
                <w:szCs w:val="16"/>
              </w:rPr>
              <w:t>本期增加金额</w:t>
            </w:r>
          </w:p>
        </w:tc>
        <w:tc>
          <w:tcPr>
            <w:tcW w:w="227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4"/>
              <w:ind w:left="652" w:right="0"/>
              <w:jc w:val="left"/>
              <w:rPr>
                <w:rFonts w:ascii="宋体" w:hAnsi="宋体" w:cs="宋体" w:eastAsia="宋体" w:hint="default"/>
                <w:sz w:val="16"/>
                <w:szCs w:val="16"/>
              </w:rPr>
            </w:pPr>
            <w:r>
              <w:rPr>
                <w:rFonts w:ascii="宋体" w:hAnsi="宋体" w:cs="宋体" w:eastAsia="宋体" w:hint="default"/>
                <w:sz w:val="16"/>
                <w:szCs w:val="16"/>
              </w:rPr>
              <w:t>本期减少金额</w:t>
            </w:r>
          </w:p>
        </w:tc>
        <w:tc>
          <w:tcPr>
            <w:tcW w:w="1342" w:type="dxa"/>
            <w:vMerge w:val="restart"/>
            <w:tcBorders>
              <w:top w:val="single" w:sz="12" w:space="0" w:color="000000"/>
              <w:left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5" w:hRule="exact"/>
        </w:trPr>
        <w:tc>
          <w:tcPr>
            <w:tcW w:w="1054" w:type="dxa"/>
            <w:vMerge/>
            <w:tcBorders>
              <w:left w:val="nil" w:sz="6" w:space="0" w:color="auto"/>
              <w:bottom w:val="dotted" w:sz="4" w:space="0" w:color="000000"/>
              <w:right w:val="dotted" w:sz="4" w:space="0" w:color="000000"/>
            </w:tcBorders>
          </w:tcPr>
          <w:p>
            <w:pPr/>
          </w:p>
        </w:tc>
        <w:tc>
          <w:tcPr>
            <w:tcW w:w="1340" w:type="dxa"/>
            <w:vMerge/>
            <w:tcBorders>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计提</w:t>
            </w:r>
          </w:p>
        </w:tc>
        <w:tc>
          <w:tcPr>
            <w:tcW w:w="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99"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20" w:right="0"/>
              <w:jc w:val="left"/>
              <w:rPr>
                <w:rFonts w:ascii="宋体" w:hAnsi="宋体" w:cs="宋体" w:eastAsia="宋体" w:hint="default"/>
                <w:sz w:val="16"/>
                <w:szCs w:val="16"/>
              </w:rPr>
            </w:pPr>
            <w:r>
              <w:rPr>
                <w:rFonts w:ascii="宋体" w:hAnsi="宋体" w:cs="宋体" w:eastAsia="宋体" w:hint="default"/>
                <w:sz w:val="16"/>
                <w:szCs w:val="16"/>
              </w:rPr>
              <w:t>转回或转销</w:t>
            </w:r>
          </w:p>
        </w:tc>
        <w:tc>
          <w:tcPr>
            <w:tcW w:w="10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342" w:type="dxa"/>
            <w:vMerge/>
            <w:tcBorders>
              <w:left w:val="dotted" w:sz="4" w:space="0" w:color="000000"/>
              <w:bottom w:val="dotted" w:sz="4" w:space="0" w:color="000000"/>
              <w:right w:val="nil" w:sz="6" w:space="0" w:color="auto"/>
            </w:tcBorders>
          </w:tcPr>
          <w:p>
            <w:pPr/>
          </w:p>
        </w:tc>
      </w:tr>
      <w:tr>
        <w:trPr>
          <w:trHeight w:val="353" w:hRule="exact"/>
        </w:trPr>
        <w:tc>
          <w:tcPr>
            <w:tcW w:w="10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原材料</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78,423,590.31</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35,658,097.49</w:t>
            </w:r>
          </w:p>
        </w:tc>
        <w:tc>
          <w:tcPr>
            <w:tcW w:w="72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2,044,685.04</w:t>
            </w:r>
          </w:p>
        </w:tc>
        <w:tc>
          <w:tcPr>
            <w:tcW w:w="10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318,479.80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111,718,522.96</w:t>
            </w:r>
          </w:p>
        </w:tc>
      </w:tr>
      <w:tr>
        <w:trPr>
          <w:trHeight w:val="353" w:hRule="exact"/>
        </w:trPr>
        <w:tc>
          <w:tcPr>
            <w:tcW w:w="10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在产品</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1,534,684.57</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687,689.01</w:t>
            </w:r>
          </w:p>
        </w:tc>
        <w:tc>
          <w:tcPr>
            <w:tcW w:w="72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18,555.14</w:t>
            </w:r>
          </w:p>
        </w:tc>
        <w:tc>
          <w:tcPr>
            <w:tcW w:w="102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2,203,818.44</w:t>
            </w:r>
          </w:p>
        </w:tc>
      </w:tr>
      <w:tr>
        <w:trPr>
          <w:trHeight w:val="355" w:hRule="exact"/>
        </w:trPr>
        <w:tc>
          <w:tcPr>
            <w:tcW w:w="10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库存商品</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2"/>
                <w:sz w:val="16"/>
              </w:rPr>
              <w:t>43,482,869.11</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39,828,861.04</w:t>
            </w:r>
          </w:p>
        </w:tc>
        <w:tc>
          <w:tcPr>
            <w:tcW w:w="72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12,082,384.63</w:t>
            </w:r>
          </w:p>
        </w:tc>
        <w:tc>
          <w:tcPr>
            <w:tcW w:w="10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-1,196.75</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71,230,542.27</w:t>
            </w:r>
          </w:p>
        </w:tc>
      </w:tr>
      <w:tr>
        <w:trPr>
          <w:trHeight w:val="362" w:hRule="exact"/>
        </w:trPr>
        <w:tc>
          <w:tcPr>
            <w:tcW w:w="10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123,441,143.99</w:t>
            </w:r>
          </w:p>
        </w:tc>
        <w:tc>
          <w:tcPr>
            <w:tcW w:w="14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76,174,647.54</w:t>
            </w:r>
          </w:p>
        </w:tc>
        <w:tc>
          <w:tcPr>
            <w:tcW w:w="728"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14,145,624.81</w:t>
            </w:r>
          </w:p>
        </w:tc>
        <w:tc>
          <w:tcPr>
            <w:tcW w:w="10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317,283.05</w:t>
            </w:r>
          </w:p>
        </w:tc>
        <w:tc>
          <w:tcPr>
            <w:tcW w:w="13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185,152,883.67</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560" w:right="0"/>
        </w:sectPr>
      </w:pPr>
    </w:p>
    <w:p>
      <w:pPr>
        <w:spacing w:line="240" w:lineRule="auto" w:before="12"/>
        <w:rPr>
          <w:rFonts w:ascii="宋体" w:hAnsi="宋体" w:cs="宋体" w:eastAsia="宋体" w:hint="default"/>
          <w:b/>
          <w:bCs/>
          <w:sz w:val="22"/>
          <w:szCs w:val="22"/>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tab/>
      </w:r>
      <w:r>
        <w:rPr/>
        <w:t>一年内到期的非流动资产</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850"/>
        <w:gridCol w:w="2177"/>
        <w:gridCol w:w="2177"/>
      </w:tblGrid>
      <w:tr>
        <w:trPr>
          <w:trHeight w:val="365" w:hRule="exact"/>
        </w:trPr>
        <w:tc>
          <w:tcPr>
            <w:tcW w:w="385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6"/>
              <w:ind w:right="1751"/>
              <w:jc w:val="right"/>
              <w:rPr>
                <w:rFonts w:ascii="宋体" w:hAnsi="宋体" w:cs="宋体" w:eastAsia="宋体" w:hint="default"/>
                <w:sz w:val="16"/>
                <w:szCs w:val="16"/>
              </w:rPr>
            </w:pPr>
            <w:r>
              <w:rPr>
                <w:rFonts w:ascii="宋体" w:hAnsi="宋体" w:cs="宋体" w:eastAsia="宋体" w:hint="default"/>
                <w:sz w:val="16"/>
                <w:szCs w:val="16"/>
              </w:rPr>
              <w:t>项目</w:t>
            </w:r>
          </w:p>
        </w:tc>
        <w:tc>
          <w:tcPr>
            <w:tcW w:w="21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1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left="60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38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right="1798"/>
              <w:jc w:val="right"/>
              <w:rPr>
                <w:rFonts w:ascii="宋体" w:hAnsi="宋体" w:cs="宋体" w:eastAsia="宋体" w:hint="default"/>
                <w:sz w:val="16"/>
                <w:szCs w:val="16"/>
              </w:rPr>
            </w:pPr>
            <w:r>
              <w:rPr>
                <w:rFonts w:ascii="宋体" w:hAnsi="宋体" w:cs="宋体" w:eastAsia="宋体" w:hint="default"/>
                <w:spacing w:val="-1"/>
                <w:sz w:val="16"/>
                <w:szCs w:val="16"/>
              </w:rPr>
              <w:t>一年内到期的其他债权投资</w:t>
            </w:r>
          </w:p>
        </w:tc>
        <w:tc>
          <w:tcPr>
            <w:tcW w:w="2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18,968,121.42</w:t>
            </w:r>
          </w:p>
        </w:tc>
        <w:tc>
          <w:tcPr>
            <w:tcW w:w="2177"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385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751"/>
              <w:jc w:val="right"/>
              <w:rPr>
                <w:rFonts w:ascii="宋体" w:hAnsi="宋体" w:cs="宋体" w:eastAsia="宋体" w:hint="default"/>
                <w:sz w:val="16"/>
                <w:szCs w:val="16"/>
              </w:rPr>
            </w:pPr>
            <w:r>
              <w:rPr>
                <w:rFonts w:ascii="宋体" w:hAnsi="宋体" w:cs="宋体" w:eastAsia="宋体" w:hint="default"/>
                <w:sz w:val="16"/>
                <w:szCs w:val="16"/>
              </w:rPr>
              <w:t>合计</w:t>
            </w:r>
          </w:p>
        </w:tc>
        <w:tc>
          <w:tcPr>
            <w:tcW w:w="21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18,968,121.42</w:t>
            </w:r>
          </w:p>
        </w:tc>
        <w:tc>
          <w:tcPr>
            <w:tcW w:w="217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27"/>
          <w:szCs w:val="27"/>
        </w:rPr>
      </w:pPr>
    </w:p>
    <w:p>
      <w:pPr>
        <w:pStyle w:val="BodyText"/>
        <w:spacing w:line="240" w:lineRule="auto"/>
        <w:ind w:left="850" w:right="3683"/>
        <w:jc w:val="left"/>
      </w:pPr>
      <w:r>
        <w:rPr/>
        <w:t>期末重要的债权投资和其他债权投资：</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353"/>
        <w:gridCol w:w="1462"/>
        <w:gridCol w:w="1464"/>
        <w:gridCol w:w="1465"/>
        <w:gridCol w:w="1462"/>
      </w:tblGrid>
      <w:tr>
        <w:trPr>
          <w:trHeight w:val="365" w:hRule="exact"/>
        </w:trPr>
        <w:tc>
          <w:tcPr>
            <w:tcW w:w="2353"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5852"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2353" w:type="dxa"/>
            <w:vMerge/>
            <w:tcBorders>
              <w:left w:val="nil" w:sz="6" w:space="0" w:color="auto"/>
              <w:bottom w:val="dotted" w:sz="4" w:space="0" w:color="000000"/>
              <w:right w:val="dotted" w:sz="4" w:space="0" w:color="000000"/>
            </w:tcBorders>
          </w:tcPr>
          <w:p>
            <w:pP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44" w:right="0"/>
              <w:jc w:val="left"/>
              <w:rPr>
                <w:rFonts w:ascii="宋体" w:hAnsi="宋体" w:cs="宋体" w:eastAsia="宋体" w:hint="default"/>
                <w:sz w:val="16"/>
                <w:szCs w:val="16"/>
              </w:rPr>
            </w:pPr>
            <w:r>
              <w:rPr>
                <w:rFonts w:ascii="宋体" w:hAnsi="宋体" w:cs="宋体" w:eastAsia="宋体" w:hint="default"/>
                <w:sz w:val="16"/>
                <w:szCs w:val="16"/>
              </w:rPr>
              <w:t>面值（</w:t>
            </w:r>
            <w:r>
              <w:rPr>
                <w:rFonts w:ascii="Times New Roman" w:hAnsi="Times New Roman" w:cs="Times New Roman" w:eastAsia="Times New Roman" w:hint="default"/>
                <w:sz w:val="16"/>
                <w:szCs w:val="16"/>
              </w:rPr>
              <w:t>USD</w:t>
            </w:r>
            <w:r>
              <w:rPr>
                <w:rFonts w:ascii="宋体" w:hAnsi="宋体" w:cs="宋体" w:eastAsia="宋体" w:hint="default"/>
                <w:sz w:val="16"/>
                <w:szCs w:val="16"/>
              </w:rPr>
              <w:t>）</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405" w:right="0"/>
              <w:jc w:val="left"/>
              <w:rPr>
                <w:rFonts w:ascii="宋体" w:hAnsi="宋体" w:cs="宋体" w:eastAsia="宋体" w:hint="default"/>
                <w:sz w:val="16"/>
                <w:szCs w:val="16"/>
              </w:rPr>
            </w:pPr>
            <w:r>
              <w:rPr>
                <w:rFonts w:ascii="宋体" w:hAnsi="宋体" w:cs="宋体" w:eastAsia="宋体" w:hint="default"/>
                <w:sz w:val="16"/>
                <w:szCs w:val="16"/>
              </w:rPr>
              <w:t>票面利率</w:t>
            </w:r>
          </w:p>
        </w:tc>
        <w:tc>
          <w:tcPr>
            <w:tcW w:w="14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405" w:right="0"/>
              <w:jc w:val="left"/>
              <w:rPr>
                <w:rFonts w:ascii="宋体" w:hAnsi="宋体" w:cs="宋体" w:eastAsia="宋体" w:hint="default"/>
                <w:sz w:val="16"/>
                <w:szCs w:val="16"/>
              </w:rPr>
            </w:pPr>
            <w:r>
              <w:rPr>
                <w:rFonts w:ascii="宋体" w:hAnsi="宋体" w:cs="宋体" w:eastAsia="宋体" w:hint="default"/>
                <w:sz w:val="16"/>
                <w:szCs w:val="16"/>
              </w:rPr>
              <w:t>实际利率</w:t>
            </w:r>
          </w:p>
        </w:tc>
        <w:tc>
          <w:tcPr>
            <w:tcW w:w="14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7"/>
              <w:jc w:val="center"/>
              <w:rPr>
                <w:rFonts w:ascii="宋体" w:hAnsi="宋体" w:cs="宋体" w:eastAsia="宋体" w:hint="default"/>
                <w:sz w:val="16"/>
                <w:szCs w:val="16"/>
              </w:rPr>
            </w:pPr>
            <w:r>
              <w:rPr>
                <w:rFonts w:ascii="宋体" w:hAnsi="宋体" w:cs="宋体" w:eastAsia="宋体" w:hint="default"/>
                <w:sz w:val="16"/>
                <w:szCs w:val="16"/>
              </w:rPr>
              <w:t>到期日</w:t>
            </w:r>
          </w:p>
        </w:tc>
      </w:tr>
      <w:tr>
        <w:trPr>
          <w:trHeight w:val="350" w:hRule="exact"/>
        </w:trPr>
        <w:tc>
          <w:tcPr>
            <w:tcW w:w="23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22" w:right="0"/>
              <w:jc w:val="left"/>
              <w:rPr>
                <w:rFonts w:ascii="Times New Roman" w:hAnsi="Times New Roman" w:cs="Times New Roman" w:eastAsia="Times New Roman" w:hint="default"/>
                <w:sz w:val="16"/>
                <w:szCs w:val="16"/>
              </w:rPr>
            </w:pPr>
            <w:r>
              <w:rPr>
                <w:rFonts w:ascii="Times New Roman"/>
                <w:sz w:val="16"/>
              </w:rPr>
              <w:t>Bond of Bank of</w:t>
            </w:r>
            <w:r>
              <w:rPr>
                <w:rFonts w:ascii="Times New Roman"/>
                <w:spacing w:val="-12"/>
                <w:sz w:val="16"/>
              </w:rPr>
              <w:t> </w:t>
            </w:r>
            <w:r>
              <w:rPr>
                <w:rFonts w:ascii="Times New Roman"/>
                <w:sz w:val="16"/>
              </w:rPr>
              <w:t>China</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1,400,000.00</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6"/>
                <w:szCs w:val="16"/>
              </w:rPr>
            </w:pPr>
            <w:r>
              <w:rPr>
                <w:rFonts w:ascii="Times New Roman"/>
                <w:spacing w:val="-1"/>
                <w:sz w:val="16"/>
              </w:rPr>
              <w:t>5.550%</w:t>
            </w:r>
          </w:p>
        </w:tc>
        <w:tc>
          <w:tcPr>
            <w:tcW w:w="14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3"/>
              <w:jc w:val="right"/>
              <w:rPr>
                <w:rFonts w:ascii="宋体" w:hAnsi="宋体" w:cs="宋体" w:eastAsia="宋体" w:hint="default"/>
                <w:sz w:val="16"/>
                <w:szCs w:val="16"/>
              </w:rPr>
            </w:pPr>
            <w:r>
              <w:rPr>
                <w:rFonts w:ascii="宋体"/>
                <w:w w:val="100"/>
                <w:sz w:val="16"/>
              </w:rPr>
              <w:t> </w:t>
            </w:r>
          </w:p>
        </w:tc>
        <w:tc>
          <w:tcPr>
            <w:tcW w:w="14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2"/>
              <w:jc w:val="center"/>
              <w:rPr>
                <w:rFonts w:ascii="Times New Roman" w:hAnsi="Times New Roman" w:cs="Times New Roman" w:eastAsia="Times New Roman" w:hint="default"/>
                <w:sz w:val="16"/>
                <w:szCs w:val="16"/>
              </w:rPr>
            </w:pPr>
            <w:r>
              <w:rPr>
                <w:rFonts w:ascii="Times New Roman"/>
                <w:spacing w:val="-3"/>
                <w:sz w:val="16"/>
              </w:rPr>
              <w:t>2020-2-11</w:t>
            </w:r>
            <w:r>
              <w:rPr>
                <w:rFonts w:ascii="Times New Roman"/>
                <w:sz w:val="16"/>
              </w:rPr>
            </w:r>
          </w:p>
        </w:tc>
      </w:tr>
      <w:tr>
        <w:trPr>
          <w:trHeight w:val="348" w:hRule="exact"/>
        </w:trPr>
        <w:tc>
          <w:tcPr>
            <w:tcW w:w="23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22" w:right="0"/>
              <w:jc w:val="left"/>
              <w:rPr>
                <w:rFonts w:ascii="Times New Roman" w:hAnsi="Times New Roman" w:cs="Times New Roman" w:eastAsia="Times New Roman" w:hint="default"/>
                <w:sz w:val="16"/>
                <w:szCs w:val="16"/>
              </w:rPr>
            </w:pPr>
            <w:r>
              <w:rPr>
                <w:rFonts w:ascii="Times New Roman"/>
                <w:sz w:val="16"/>
              </w:rPr>
              <w:t>Bond of Bank of East</w:t>
            </w:r>
            <w:r>
              <w:rPr>
                <w:rFonts w:ascii="Times New Roman"/>
                <w:spacing w:val="-21"/>
                <w:sz w:val="16"/>
              </w:rPr>
              <w:t> </w:t>
            </w:r>
            <w:r>
              <w:rPr>
                <w:rFonts w:ascii="Times New Roman"/>
                <w:sz w:val="16"/>
              </w:rPr>
              <w:t>Asia</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1,300,000.00</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9"/>
              <w:jc w:val="right"/>
              <w:rPr>
                <w:rFonts w:ascii="Times New Roman" w:hAnsi="Times New Roman" w:cs="Times New Roman" w:eastAsia="Times New Roman" w:hint="default"/>
                <w:sz w:val="16"/>
                <w:szCs w:val="16"/>
              </w:rPr>
            </w:pPr>
            <w:r>
              <w:rPr>
                <w:rFonts w:ascii="Times New Roman"/>
                <w:spacing w:val="-1"/>
                <w:sz w:val="16"/>
              </w:rPr>
              <w:t>6.125%</w:t>
            </w:r>
          </w:p>
        </w:tc>
        <w:tc>
          <w:tcPr>
            <w:tcW w:w="14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3"/>
              <w:jc w:val="right"/>
              <w:rPr>
                <w:rFonts w:ascii="宋体" w:hAnsi="宋体" w:cs="宋体" w:eastAsia="宋体" w:hint="default"/>
                <w:sz w:val="16"/>
                <w:szCs w:val="16"/>
              </w:rPr>
            </w:pPr>
            <w:r>
              <w:rPr>
                <w:rFonts w:ascii="宋体"/>
                <w:w w:val="100"/>
                <w:sz w:val="16"/>
              </w:rPr>
              <w:t> </w:t>
            </w:r>
          </w:p>
        </w:tc>
        <w:tc>
          <w:tcPr>
            <w:tcW w:w="14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7"/>
              <w:jc w:val="center"/>
              <w:rPr>
                <w:rFonts w:ascii="Times New Roman" w:hAnsi="Times New Roman" w:cs="Times New Roman" w:eastAsia="Times New Roman" w:hint="default"/>
                <w:sz w:val="16"/>
                <w:szCs w:val="16"/>
              </w:rPr>
            </w:pPr>
            <w:r>
              <w:rPr>
                <w:rFonts w:ascii="Times New Roman"/>
                <w:sz w:val="16"/>
              </w:rPr>
              <w:t>2020-7-16</w:t>
            </w:r>
          </w:p>
        </w:tc>
      </w:tr>
      <w:tr>
        <w:trPr>
          <w:trHeight w:val="365" w:hRule="exact"/>
        </w:trPr>
        <w:tc>
          <w:tcPr>
            <w:tcW w:w="235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2,700,000.00</w:t>
            </w:r>
          </w:p>
        </w:tc>
        <w:tc>
          <w:tcPr>
            <w:tcW w:w="1464" w:type="dxa"/>
            <w:tcBorders>
              <w:top w:val="dotted" w:sz="4" w:space="0" w:color="000000"/>
              <w:left w:val="dotted" w:sz="4" w:space="0" w:color="000000"/>
              <w:bottom w:val="single" w:sz="12" w:space="0" w:color="000000"/>
              <w:right w:val="dotted" w:sz="4" w:space="0" w:color="000000"/>
            </w:tcBorders>
          </w:tcPr>
          <w:p>
            <w:pPr/>
          </w:p>
        </w:tc>
        <w:tc>
          <w:tcPr>
            <w:tcW w:w="1465" w:type="dxa"/>
            <w:tcBorders>
              <w:top w:val="dotted" w:sz="4" w:space="0" w:color="000000"/>
              <w:left w:val="dotted" w:sz="4" w:space="0" w:color="000000"/>
              <w:bottom w:val="single" w:sz="12" w:space="0" w:color="000000"/>
              <w:right w:val="dotted" w:sz="4" w:space="0" w:color="000000"/>
            </w:tcBorders>
          </w:tcPr>
          <w:p>
            <w:pPr/>
          </w:p>
        </w:tc>
        <w:tc>
          <w:tcPr>
            <w:tcW w:w="146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6"/>
          <w:szCs w:val="26"/>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rFonts w:ascii="Times New Roman" w:hAnsi="Times New Roman" w:cs="Times New Roman" w:eastAsia="Times New Roman" w:hint="default"/>
          <w:spacing w:val="47"/>
        </w:rPr>
        <w:t> </w:t>
      </w:r>
      <w:r>
        <w:rPr/>
        <w:t>其他流动资产</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893"/>
        <w:gridCol w:w="2156"/>
        <w:gridCol w:w="2156"/>
      </w:tblGrid>
      <w:tr>
        <w:trPr>
          <w:trHeight w:val="365" w:hRule="exact"/>
        </w:trPr>
        <w:tc>
          <w:tcPr>
            <w:tcW w:w="389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right="1771"/>
              <w:jc w:val="right"/>
              <w:rPr>
                <w:rFonts w:ascii="宋体" w:hAnsi="宋体" w:cs="宋体" w:eastAsia="宋体" w:hint="default"/>
                <w:sz w:val="16"/>
                <w:szCs w:val="16"/>
              </w:rPr>
            </w:pPr>
            <w:r>
              <w:rPr>
                <w:rFonts w:ascii="宋体" w:hAnsi="宋体" w:cs="宋体" w:eastAsia="宋体" w:hint="default"/>
                <w:sz w:val="16"/>
                <w:szCs w:val="16"/>
              </w:rPr>
              <w:t>项目</w:t>
            </w:r>
          </w:p>
        </w:tc>
        <w:tc>
          <w:tcPr>
            <w:tcW w:w="21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15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59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3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待抵扣进项税</w:t>
            </w:r>
          </w:p>
        </w:tc>
        <w:tc>
          <w:tcPr>
            <w:tcW w:w="21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92,171,038.32</w:t>
            </w:r>
          </w:p>
        </w:tc>
        <w:tc>
          <w:tcPr>
            <w:tcW w:w="2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80,346,132.64</w:t>
            </w:r>
          </w:p>
        </w:tc>
      </w:tr>
      <w:tr>
        <w:trPr>
          <w:trHeight w:val="353" w:hRule="exact"/>
        </w:trPr>
        <w:tc>
          <w:tcPr>
            <w:tcW w:w="3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预缴税金</w:t>
            </w:r>
          </w:p>
        </w:tc>
        <w:tc>
          <w:tcPr>
            <w:tcW w:w="21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24,225,903.21</w:t>
            </w:r>
          </w:p>
        </w:tc>
        <w:tc>
          <w:tcPr>
            <w:tcW w:w="2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4,627,327.69</w:t>
            </w:r>
          </w:p>
        </w:tc>
      </w:tr>
      <w:tr>
        <w:trPr>
          <w:trHeight w:val="355" w:hRule="exact"/>
        </w:trPr>
        <w:tc>
          <w:tcPr>
            <w:tcW w:w="3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一年内结转的专项支出</w:t>
            </w:r>
          </w:p>
        </w:tc>
        <w:tc>
          <w:tcPr>
            <w:tcW w:w="21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8,000,000.00</w:t>
            </w:r>
          </w:p>
        </w:tc>
        <w:tc>
          <w:tcPr>
            <w:tcW w:w="2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8,000,000.00</w:t>
            </w:r>
          </w:p>
        </w:tc>
      </w:tr>
      <w:tr>
        <w:trPr>
          <w:trHeight w:val="353" w:hRule="exact"/>
        </w:trPr>
        <w:tc>
          <w:tcPr>
            <w:tcW w:w="3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1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5,523,539.68</w:t>
            </w:r>
          </w:p>
        </w:tc>
        <w:tc>
          <w:tcPr>
            <w:tcW w:w="2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2,351,915.07</w:t>
            </w:r>
          </w:p>
        </w:tc>
      </w:tr>
      <w:tr>
        <w:trPr>
          <w:trHeight w:val="365" w:hRule="exact"/>
        </w:trPr>
        <w:tc>
          <w:tcPr>
            <w:tcW w:w="38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771"/>
              <w:jc w:val="right"/>
              <w:rPr>
                <w:rFonts w:ascii="宋体" w:hAnsi="宋体" w:cs="宋体" w:eastAsia="宋体" w:hint="default"/>
                <w:sz w:val="16"/>
                <w:szCs w:val="16"/>
              </w:rPr>
            </w:pPr>
            <w:r>
              <w:rPr>
                <w:rFonts w:ascii="宋体" w:hAnsi="宋体" w:cs="宋体" w:eastAsia="宋体" w:hint="default"/>
                <w:sz w:val="16"/>
                <w:szCs w:val="16"/>
              </w:rPr>
              <w:t>合计</w:t>
            </w:r>
          </w:p>
        </w:tc>
        <w:tc>
          <w:tcPr>
            <w:tcW w:w="21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129,920,481.21</w:t>
            </w:r>
          </w:p>
        </w:tc>
        <w:tc>
          <w:tcPr>
            <w:tcW w:w="21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95,325,375.40</w:t>
            </w:r>
          </w:p>
        </w:tc>
      </w:tr>
    </w:tbl>
    <w:p>
      <w:pPr>
        <w:spacing w:line="240" w:lineRule="auto" w:before="6"/>
        <w:rPr>
          <w:rFonts w:ascii="宋体" w:hAnsi="宋体" w:cs="宋体" w:eastAsia="宋体" w:hint="default"/>
          <w:b/>
          <w:bCs/>
          <w:sz w:val="5"/>
          <w:szCs w:val="5"/>
        </w:rPr>
      </w:pPr>
    </w:p>
    <w:p>
      <w:pPr>
        <w:pStyle w:val="BodyText"/>
        <w:spacing w:line="350" w:lineRule="auto"/>
        <w:ind w:left="850" w:right="1468"/>
        <w:jc w:val="left"/>
      </w:pPr>
      <w:r>
        <w:rPr>
          <w:spacing w:val="-2"/>
        </w:rPr>
        <w:t>说明：专项支出系本公司为政府补助项目所发生的支出，依照项目预期结转日期分</w:t>
      </w:r>
      <w:r>
        <w:rPr>
          <w:spacing w:val="-35"/>
        </w:rPr>
        <w:t> </w:t>
      </w:r>
      <w:r>
        <w:rPr>
          <w:spacing w:val="-35"/>
        </w:rPr>
      </w:r>
      <w:r>
        <w:rPr/>
        <w:t>别在资产负债表中的</w:t>
      </w:r>
      <w:r>
        <w:rPr>
          <w:rFonts w:ascii="Times New Roman" w:hAnsi="Times New Roman" w:cs="Times New Roman" w:eastAsia="Times New Roman" w:hint="default"/>
        </w:rPr>
        <w:t>“</w:t>
      </w:r>
      <w:r>
        <w:rPr/>
        <w:t>其他流动资产</w:t>
      </w:r>
      <w:r>
        <w:rPr>
          <w:rFonts w:ascii="Times New Roman" w:hAnsi="Times New Roman" w:cs="Times New Roman" w:eastAsia="Times New Roman" w:hint="default"/>
        </w:rPr>
        <w:t>”</w:t>
      </w:r>
      <w:r>
        <w:rPr/>
        <w:t>项目及</w:t>
      </w:r>
      <w:r>
        <w:rPr>
          <w:rFonts w:ascii="Times New Roman" w:hAnsi="Times New Roman" w:cs="Times New Roman" w:eastAsia="Times New Roman" w:hint="default"/>
        </w:rPr>
        <w:t>“</w:t>
      </w:r>
      <w:r>
        <w:rPr/>
        <w:t>其他非流动资产</w:t>
      </w:r>
      <w:r>
        <w:rPr>
          <w:rFonts w:ascii="Times New Roman" w:hAnsi="Times New Roman" w:cs="Times New Roman" w:eastAsia="Times New Roman" w:hint="default"/>
        </w:rPr>
        <w:t>”</w:t>
      </w:r>
      <w:r>
        <w:rPr/>
        <w:t>项目列示。</w:t>
      </w:r>
    </w:p>
    <w:p>
      <w:pPr>
        <w:spacing w:line="240" w:lineRule="auto" w:before="1"/>
        <w:rPr>
          <w:rFonts w:ascii="宋体" w:hAnsi="宋体" w:cs="宋体" w:eastAsia="宋体" w:hint="default"/>
          <w:sz w:val="22"/>
          <w:szCs w:val="22"/>
        </w:rPr>
      </w:pPr>
    </w:p>
    <w:p>
      <w:pPr>
        <w:pStyle w:val="Heading5"/>
        <w:spacing w:line="240" w:lineRule="auto" w:before="0"/>
        <w:ind w:right="3683"/>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rFonts w:ascii="Times New Roman" w:hAnsi="Times New Roman" w:cs="Times New Roman" w:eastAsia="Times New Roman" w:hint="default"/>
          <w:spacing w:val="48"/>
        </w:rPr>
        <w:t> </w:t>
      </w:r>
      <w:r>
        <w:rPr/>
        <w:t>可供出售金融资产</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540"/>
        <w:gridCol w:w="2074"/>
        <w:gridCol w:w="1774"/>
        <w:gridCol w:w="1817"/>
      </w:tblGrid>
      <w:tr>
        <w:trPr>
          <w:trHeight w:val="365" w:hRule="exact"/>
        </w:trPr>
        <w:tc>
          <w:tcPr>
            <w:tcW w:w="2540"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566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2540" w:type="dxa"/>
            <w:vMerge/>
            <w:tcBorders>
              <w:left w:val="nil" w:sz="6" w:space="0" w:color="auto"/>
              <w:bottom w:val="dotted" w:sz="4" w:space="0" w:color="000000"/>
              <w:right w:val="dotted" w:sz="4" w:space="0" w:color="000000"/>
            </w:tcBorders>
          </w:tcPr>
          <w:p>
            <w:pPr/>
          </w:p>
        </w:tc>
        <w:tc>
          <w:tcPr>
            <w:tcW w:w="20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17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561"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581"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355" w:hRule="exact"/>
        </w:trPr>
        <w:tc>
          <w:tcPr>
            <w:tcW w:w="25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可供出售债务工具</w:t>
            </w:r>
          </w:p>
        </w:tc>
        <w:tc>
          <w:tcPr>
            <w:tcW w:w="20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2"/>
                <w:sz w:val="16"/>
              </w:rPr>
              <w:t>28,081,425.01</w:t>
            </w:r>
          </w:p>
        </w:tc>
        <w:tc>
          <w:tcPr>
            <w:tcW w:w="1774" w:type="dxa"/>
            <w:tcBorders>
              <w:top w:val="dotted" w:sz="4" w:space="0" w:color="000000"/>
              <w:left w:val="dotted" w:sz="4" w:space="0" w:color="000000"/>
              <w:bottom w:val="dotted" w:sz="4" w:space="0" w:color="000000"/>
              <w:right w:val="dotted" w:sz="4" w:space="0" w:color="000000"/>
            </w:tcBorders>
          </w:tcPr>
          <w:p>
            <w:pP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28,081,425.01</w:t>
            </w:r>
          </w:p>
        </w:tc>
      </w:tr>
      <w:tr>
        <w:trPr>
          <w:trHeight w:val="353" w:hRule="exact"/>
        </w:trPr>
        <w:tc>
          <w:tcPr>
            <w:tcW w:w="25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可供出售权益工具</w:t>
            </w:r>
          </w:p>
        </w:tc>
        <w:tc>
          <w:tcPr>
            <w:tcW w:w="20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402,719,671.40</w:t>
            </w:r>
          </w:p>
        </w:tc>
        <w:tc>
          <w:tcPr>
            <w:tcW w:w="17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59,297,879.99</w:t>
            </w: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343,421,791.41</w:t>
            </w:r>
          </w:p>
        </w:tc>
      </w:tr>
      <w:tr>
        <w:trPr>
          <w:trHeight w:val="353" w:hRule="exact"/>
        </w:trPr>
        <w:tc>
          <w:tcPr>
            <w:tcW w:w="25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其中：按公允价值计量</w:t>
            </w:r>
          </w:p>
        </w:tc>
        <w:tc>
          <w:tcPr>
            <w:tcW w:w="20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200,988,285.41</w:t>
            </w:r>
          </w:p>
        </w:tc>
        <w:tc>
          <w:tcPr>
            <w:tcW w:w="1774" w:type="dxa"/>
            <w:tcBorders>
              <w:top w:val="dotted" w:sz="4" w:space="0" w:color="000000"/>
              <w:left w:val="dotted" w:sz="4" w:space="0" w:color="000000"/>
              <w:bottom w:val="dotted" w:sz="4" w:space="0" w:color="000000"/>
              <w:right w:val="dotted" w:sz="4" w:space="0" w:color="000000"/>
            </w:tcBorders>
          </w:tcPr>
          <w:p>
            <w:pP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200,988,285.41</w:t>
            </w:r>
          </w:p>
        </w:tc>
      </w:tr>
      <w:tr>
        <w:trPr>
          <w:trHeight w:val="353" w:hRule="exact"/>
        </w:trPr>
        <w:tc>
          <w:tcPr>
            <w:tcW w:w="25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604" w:right="0"/>
              <w:jc w:val="left"/>
              <w:rPr>
                <w:rFonts w:ascii="宋体" w:hAnsi="宋体" w:cs="宋体" w:eastAsia="宋体" w:hint="default"/>
                <w:sz w:val="16"/>
                <w:szCs w:val="16"/>
              </w:rPr>
            </w:pPr>
            <w:r>
              <w:rPr>
                <w:rFonts w:ascii="宋体" w:hAnsi="宋体" w:cs="宋体" w:eastAsia="宋体" w:hint="default"/>
                <w:sz w:val="16"/>
                <w:szCs w:val="16"/>
              </w:rPr>
              <w:t>按成本计量</w:t>
            </w:r>
          </w:p>
        </w:tc>
        <w:tc>
          <w:tcPr>
            <w:tcW w:w="20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201,731,385.99</w:t>
            </w:r>
          </w:p>
        </w:tc>
        <w:tc>
          <w:tcPr>
            <w:tcW w:w="17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59,297,879.99</w:t>
            </w: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142,433,506.00</w:t>
            </w:r>
          </w:p>
        </w:tc>
      </w:tr>
      <w:tr>
        <w:trPr>
          <w:trHeight w:val="365" w:hRule="exact"/>
        </w:trPr>
        <w:tc>
          <w:tcPr>
            <w:tcW w:w="254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0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430,801,096.41</w:t>
            </w:r>
          </w:p>
        </w:tc>
        <w:tc>
          <w:tcPr>
            <w:tcW w:w="17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59,297,879.99</w:t>
            </w:r>
          </w:p>
        </w:tc>
        <w:tc>
          <w:tcPr>
            <w:tcW w:w="18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1"/>
                <w:sz w:val="16"/>
              </w:rPr>
              <w:t>371,503,216.42</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530" w:lineRule="auto" w:before="25"/>
        <w:ind w:left="140" w:right="11818" w:firstLine="0"/>
        <w:jc w:val="left"/>
        <w:rPr>
          <w:rFonts w:ascii="宋体" w:hAnsi="宋体" w:cs="宋体" w:eastAsia="宋体" w:hint="default"/>
          <w:sz w:val="18"/>
          <w:szCs w:val="18"/>
        </w:rPr>
      </w:pPr>
      <w:r>
        <w:rPr/>
        <w:pict>
          <v:group style="position:absolute;margin-left:70.559998pt;margin-top:41.661732pt;width:700.9pt;height:.1pt;mso-position-horizontal-relative:page;mso-position-vertical-relative:paragraph;z-index:-1629592" coordorigin="1411,833" coordsize="14018,2">
            <v:shape style="position:absolute;left:1411;top:833;width:14018;height:2" coordorigin="1411,833" coordsize="14018,0" path="m1411,833l15429,833e" filled="false" stroked="true" strokeweight=".48pt" strokecolor="#000000">
              <v:path arrowok="t"/>
            </v:shape>
            <w10:wrap type="none"/>
          </v:group>
        </w:pict>
      </w:r>
      <w:r>
        <w:rPr>
          <w:rFonts w:ascii="宋体" w:hAnsi="宋体" w:cs="宋体" w:eastAsia="宋体" w:hint="default"/>
          <w:sz w:val="18"/>
          <w:szCs w:val="18"/>
        </w:rPr>
        <w:t>中国长城科技集团股份有限公司 财务报表附注</w:t>
      </w:r>
      <w:r>
        <w:rPr>
          <w:rFonts w:ascii="宋体" w:hAnsi="宋体" w:cs="宋体" w:eastAsia="宋体" w:hint="default"/>
          <w:sz w:val="18"/>
          <w:szCs w:val="18"/>
        </w:rPr>
        <w:t> </w:t>
      </w:r>
    </w:p>
    <w:p>
      <w:pPr>
        <w:spacing w:line="240" w:lineRule="auto" w:before="7"/>
        <w:rPr>
          <w:rFonts w:ascii="宋体" w:hAnsi="宋体" w:cs="宋体" w:eastAsia="宋体" w:hint="default"/>
          <w:sz w:val="10"/>
          <w:szCs w:val="10"/>
        </w:rPr>
      </w:pPr>
    </w:p>
    <w:p>
      <w:pPr>
        <w:pStyle w:val="Heading5"/>
        <w:spacing w:line="240" w:lineRule="auto"/>
        <w:ind w:left="140" w:right="0"/>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rFonts w:ascii="Times New Roman" w:hAnsi="Times New Roman" w:cs="Times New Roman" w:eastAsia="Times New Roman" w:hint="default"/>
          <w:spacing w:val="47"/>
        </w:rPr>
        <w:t> </w:t>
      </w:r>
      <w:r>
        <w:rPr/>
        <w:t>其他债权投资</w:t>
      </w:r>
      <w:r>
        <w:rPr>
          <w:b w:val="0"/>
          <w:bCs w:val="0"/>
        </w:rPr>
      </w:r>
    </w:p>
    <w:p>
      <w:pPr>
        <w:pStyle w:val="Heading5"/>
        <w:tabs>
          <w:tab w:pos="1400" w:val="left" w:leader="none"/>
        </w:tabs>
        <w:spacing w:line="240" w:lineRule="auto" w:before="110"/>
        <w:ind w:left="848" w:right="0"/>
        <w:jc w:val="left"/>
        <w:rPr>
          <w:b w:val="0"/>
          <w:bCs w:val="0"/>
        </w:rPr>
      </w:pPr>
      <w:r>
        <w:rPr>
          <w:rFonts w:ascii="Times New Roman" w:hAnsi="Times New Roman" w:cs="Times New Roman" w:eastAsia="Times New Roman" w:hint="default"/>
        </w:rPr>
        <w:t>1</w:t>
      </w:r>
      <w:r>
        <w:rPr/>
        <w:t>、</w:t>
        <w:tab/>
        <w:t>其他债权投资情况</w:t>
      </w:r>
      <w:r>
        <w:rPr>
          <w:b w:val="0"/>
          <w:bCs w:val="0"/>
        </w:rPr>
      </w:r>
    </w:p>
    <w:tbl>
      <w:tblPr>
        <w:tblW w:w="0" w:type="auto"/>
        <w:jc w:val="left"/>
        <w:tblInd w:w="723" w:type="dxa"/>
        <w:tblLayout w:type="fixed"/>
        <w:tblCellMar>
          <w:top w:w="0" w:type="dxa"/>
          <w:left w:w="0" w:type="dxa"/>
          <w:bottom w:w="0" w:type="dxa"/>
          <w:right w:w="0" w:type="dxa"/>
        </w:tblCellMar>
        <w:tblLook w:val="01E0"/>
      </w:tblPr>
      <w:tblGrid>
        <w:gridCol w:w="1534"/>
        <w:gridCol w:w="1253"/>
        <w:gridCol w:w="703"/>
        <w:gridCol w:w="1385"/>
        <w:gridCol w:w="1027"/>
        <w:gridCol w:w="1253"/>
        <w:gridCol w:w="1232"/>
        <w:gridCol w:w="1253"/>
        <w:gridCol w:w="1440"/>
        <w:gridCol w:w="2045"/>
        <w:gridCol w:w="499"/>
      </w:tblGrid>
      <w:tr>
        <w:trPr>
          <w:trHeight w:val="778" w:hRule="exact"/>
        </w:trPr>
        <w:tc>
          <w:tcPr>
            <w:tcW w:w="15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99"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7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06" w:lineRule="exact"/>
              <w:ind w:left="266" w:right="101" w:hanging="159"/>
              <w:jc w:val="left"/>
              <w:rPr>
                <w:rFonts w:ascii="宋体" w:hAnsi="宋体" w:cs="宋体" w:eastAsia="宋体" w:hint="default"/>
                <w:sz w:val="16"/>
                <w:szCs w:val="16"/>
              </w:rPr>
            </w:pPr>
            <w:r>
              <w:rPr>
                <w:rFonts w:ascii="宋体" w:hAnsi="宋体" w:cs="宋体" w:eastAsia="宋体" w:hint="default"/>
                <w:sz w:val="16"/>
                <w:szCs w:val="16"/>
              </w:rPr>
              <w:t>应计利</w:t>
            </w:r>
            <w:r>
              <w:rPr>
                <w:rFonts w:ascii="宋体" w:hAnsi="宋体" w:cs="宋体" w:eastAsia="宋体" w:hint="default"/>
                <w:spacing w:val="-78"/>
                <w:sz w:val="16"/>
                <w:szCs w:val="16"/>
              </w:rPr>
              <w:t> </w:t>
            </w:r>
            <w:r>
              <w:rPr>
                <w:rFonts w:ascii="宋体" w:hAnsi="宋体" w:cs="宋体" w:eastAsia="宋体" w:hint="default"/>
                <w:sz w:val="16"/>
                <w:szCs w:val="16"/>
              </w:rPr>
              <w:t>息</w:t>
            </w:r>
          </w:p>
        </w:tc>
        <w:tc>
          <w:tcPr>
            <w:tcW w:w="13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06" w:lineRule="exact"/>
              <w:ind w:left="607" w:right="122" w:hanging="480"/>
              <w:jc w:val="left"/>
              <w:rPr>
                <w:rFonts w:ascii="宋体" w:hAnsi="宋体" w:cs="宋体" w:eastAsia="宋体" w:hint="default"/>
                <w:sz w:val="16"/>
                <w:szCs w:val="16"/>
              </w:rPr>
            </w:pPr>
            <w:r>
              <w:rPr>
                <w:rFonts w:ascii="宋体" w:hAnsi="宋体" w:cs="宋体" w:eastAsia="宋体" w:hint="default"/>
                <w:sz w:val="16"/>
                <w:szCs w:val="16"/>
              </w:rPr>
              <w:t>本期公允价值变</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动</w:t>
            </w:r>
          </w:p>
        </w:tc>
        <w:tc>
          <w:tcPr>
            <w:tcW w:w="10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87" w:right="0"/>
              <w:jc w:val="left"/>
              <w:rPr>
                <w:rFonts w:ascii="宋体" w:hAnsi="宋体" w:cs="宋体" w:eastAsia="宋体" w:hint="default"/>
                <w:sz w:val="16"/>
                <w:szCs w:val="16"/>
              </w:rPr>
            </w:pPr>
            <w:r>
              <w:rPr>
                <w:rFonts w:ascii="宋体" w:hAnsi="宋体" w:cs="宋体" w:eastAsia="宋体" w:hint="default"/>
                <w:sz w:val="16"/>
                <w:szCs w:val="16"/>
              </w:rPr>
              <w:t>汇率变动</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65"/>
              <w:ind w:left="141" w:right="137"/>
              <w:jc w:val="center"/>
              <w:rPr>
                <w:rFonts w:ascii="宋体" w:hAnsi="宋体" w:cs="宋体" w:eastAsia="宋体" w:hint="default"/>
                <w:sz w:val="16"/>
                <w:szCs w:val="16"/>
              </w:rPr>
            </w:pPr>
            <w:r>
              <w:rPr>
                <w:rFonts w:ascii="宋体" w:hAnsi="宋体" w:cs="宋体" w:eastAsia="宋体" w:hint="default"/>
                <w:sz w:val="16"/>
                <w:szCs w:val="16"/>
              </w:rPr>
              <w:t>本期转入一年</w:t>
            </w:r>
            <w:r>
              <w:rPr>
                <w:rFonts w:ascii="宋体" w:hAnsi="宋体" w:cs="宋体" w:eastAsia="宋体" w:hint="default"/>
                <w:w w:val="100"/>
                <w:sz w:val="16"/>
                <w:szCs w:val="16"/>
              </w:rPr>
              <w:t> </w:t>
            </w:r>
            <w:r>
              <w:rPr>
                <w:rFonts w:ascii="宋体" w:hAnsi="宋体" w:cs="宋体" w:eastAsia="宋体" w:hint="default"/>
                <w:sz w:val="16"/>
                <w:szCs w:val="16"/>
              </w:rPr>
              <w:t>内到期的非流</w:t>
            </w:r>
            <w:r>
              <w:rPr>
                <w:rFonts w:ascii="宋体" w:hAnsi="宋体" w:cs="宋体" w:eastAsia="宋体" w:hint="default"/>
                <w:w w:val="100"/>
                <w:sz w:val="16"/>
                <w:szCs w:val="16"/>
              </w:rPr>
              <w:t> </w:t>
            </w:r>
            <w:r>
              <w:rPr>
                <w:rFonts w:ascii="宋体" w:hAnsi="宋体" w:cs="宋体" w:eastAsia="宋体" w:hint="default"/>
                <w:sz w:val="16"/>
                <w:szCs w:val="16"/>
              </w:rPr>
              <w:t>动资产</w:t>
            </w:r>
          </w:p>
        </w:tc>
        <w:tc>
          <w:tcPr>
            <w:tcW w:w="12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90"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成本</w:t>
            </w:r>
          </w:p>
        </w:tc>
        <w:tc>
          <w:tcPr>
            <w:tcW w:w="14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06" w:lineRule="exact"/>
              <w:ind w:left="633" w:right="151" w:hanging="480"/>
              <w:jc w:val="left"/>
              <w:rPr>
                <w:rFonts w:ascii="宋体" w:hAnsi="宋体" w:cs="宋体" w:eastAsia="宋体" w:hint="default"/>
                <w:sz w:val="16"/>
                <w:szCs w:val="16"/>
              </w:rPr>
            </w:pPr>
            <w:r>
              <w:rPr>
                <w:rFonts w:ascii="宋体" w:hAnsi="宋体" w:cs="宋体" w:eastAsia="宋体" w:hint="default"/>
                <w:sz w:val="16"/>
                <w:szCs w:val="16"/>
              </w:rPr>
              <w:t>累计公允价值变</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动</w:t>
            </w:r>
          </w:p>
        </w:tc>
        <w:tc>
          <w:tcPr>
            <w:tcW w:w="204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06" w:lineRule="exact"/>
              <w:ind w:left="538" w:right="137" w:hanging="401"/>
              <w:jc w:val="left"/>
              <w:rPr>
                <w:rFonts w:ascii="宋体" w:hAnsi="宋体" w:cs="宋体" w:eastAsia="宋体" w:hint="default"/>
                <w:sz w:val="16"/>
                <w:szCs w:val="16"/>
              </w:rPr>
            </w:pPr>
            <w:r>
              <w:rPr>
                <w:rFonts w:ascii="宋体" w:hAnsi="宋体" w:cs="宋体" w:eastAsia="宋体" w:hint="default"/>
                <w:spacing w:val="-2"/>
                <w:sz w:val="16"/>
                <w:szCs w:val="16"/>
              </w:rPr>
              <w:t>累计在其他综合收益中确</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认的损失准备</w:t>
            </w:r>
          </w:p>
        </w:tc>
        <w:tc>
          <w:tcPr>
            <w:tcW w:w="4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06" w:lineRule="exact"/>
              <w:ind w:left="163" w:right="168"/>
              <w:jc w:val="left"/>
              <w:rPr>
                <w:rFonts w:ascii="宋体" w:hAnsi="宋体" w:cs="宋体" w:eastAsia="宋体" w:hint="default"/>
                <w:sz w:val="16"/>
                <w:szCs w:val="16"/>
              </w:rPr>
            </w:pPr>
            <w:r>
              <w:rPr>
                <w:rFonts w:ascii="宋体" w:hAnsi="宋体" w:cs="宋体" w:eastAsia="宋体" w:hint="default"/>
                <w:sz w:val="16"/>
                <w:szCs w:val="16"/>
              </w:rPr>
              <w:t>备</w:t>
            </w:r>
            <w:r>
              <w:rPr>
                <w:rFonts w:ascii="宋体" w:hAnsi="宋体" w:cs="宋体" w:eastAsia="宋体" w:hint="default"/>
                <w:w w:val="100"/>
                <w:sz w:val="16"/>
                <w:szCs w:val="16"/>
              </w:rPr>
              <w:t> </w:t>
            </w:r>
            <w:r>
              <w:rPr>
                <w:rFonts w:ascii="宋体" w:hAnsi="宋体" w:cs="宋体" w:eastAsia="宋体" w:hint="default"/>
                <w:sz w:val="16"/>
                <w:szCs w:val="16"/>
              </w:rPr>
              <w:t>注</w:t>
            </w:r>
          </w:p>
        </w:tc>
      </w:tr>
      <w:tr>
        <w:trPr>
          <w:trHeight w:val="548" w:hRule="exact"/>
        </w:trPr>
        <w:tc>
          <w:tcPr>
            <w:tcW w:w="1534" w:type="dxa"/>
            <w:tcBorders>
              <w:top w:val="dotted" w:sz="4" w:space="0" w:color="000000"/>
              <w:left w:val="nil" w:sz="6" w:space="0" w:color="auto"/>
              <w:bottom w:val="dotted" w:sz="4" w:space="0" w:color="000000"/>
              <w:right w:val="dotted" w:sz="4" w:space="0" w:color="000000"/>
            </w:tcBorders>
          </w:tcPr>
          <w:p>
            <w:pPr>
              <w:pStyle w:val="TableParagraph"/>
              <w:spacing w:line="261" w:lineRule="auto" w:before="86"/>
              <w:ind w:left="122" w:right="99"/>
              <w:jc w:val="left"/>
              <w:rPr>
                <w:rFonts w:ascii="Times New Roman" w:hAnsi="Times New Roman" w:cs="Times New Roman" w:eastAsia="Times New Roman" w:hint="default"/>
                <w:sz w:val="16"/>
                <w:szCs w:val="16"/>
              </w:rPr>
            </w:pPr>
            <w:r>
              <w:rPr>
                <w:rFonts w:ascii="Times New Roman"/>
                <w:sz w:val="16"/>
              </w:rPr>
              <w:t>Bond of Bank</w:t>
            </w:r>
            <w:r>
              <w:rPr>
                <w:rFonts w:ascii="Times New Roman"/>
                <w:spacing w:val="26"/>
                <w:sz w:val="16"/>
              </w:rPr>
              <w:t> </w:t>
            </w:r>
            <w:r>
              <w:rPr>
                <w:rFonts w:ascii="Times New Roman"/>
                <w:sz w:val="16"/>
              </w:rPr>
              <w:t>of</w:t>
            </w:r>
            <w:r>
              <w:rPr>
                <w:rFonts w:ascii="Times New Roman"/>
                <w:w w:val="100"/>
                <w:sz w:val="16"/>
              </w:rPr>
              <w:t> </w:t>
            </w:r>
            <w:r>
              <w:rPr>
                <w:rFonts w:ascii="Times New Roman"/>
                <w:sz w:val="16"/>
              </w:rPr>
              <w:t>China</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9,792,605.90</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8"/>
              <w:jc w:val="right"/>
              <w:rPr>
                <w:rFonts w:ascii="宋体" w:hAnsi="宋体" w:cs="宋体" w:eastAsia="宋体" w:hint="default"/>
                <w:sz w:val="16"/>
                <w:szCs w:val="16"/>
              </w:rPr>
            </w:pPr>
            <w:r>
              <w:rPr>
                <w:rFonts w:ascii="宋体"/>
                <w:w w:val="100"/>
                <w:sz w:val="16"/>
              </w:rPr>
              <w:t> </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-198,705.79</w:t>
            </w:r>
          </w:p>
        </w:tc>
        <w:tc>
          <w:tcPr>
            <w:tcW w:w="10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94" w:right="0"/>
              <w:jc w:val="left"/>
              <w:rPr>
                <w:rFonts w:ascii="Times New Roman" w:hAnsi="Times New Roman" w:cs="Times New Roman" w:eastAsia="Times New Roman" w:hint="default"/>
                <w:sz w:val="16"/>
                <w:szCs w:val="16"/>
              </w:rPr>
            </w:pPr>
            <w:r>
              <w:rPr>
                <w:rFonts w:ascii="Times New Roman"/>
                <w:sz w:val="16"/>
              </w:rPr>
              <w:t>171,496.75</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300" w:right="0"/>
              <w:jc w:val="left"/>
              <w:rPr>
                <w:rFonts w:ascii="Times New Roman" w:hAnsi="Times New Roman" w:cs="Times New Roman" w:eastAsia="Times New Roman" w:hint="default"/>
                <w:sz w:val="16"/>
                <w:szCs w:val="16"/>
              </w:rPr>
            </w:pPr>
            <w:r>
              <w:rPr>
                <w:rFonts w:ascii="Times New Roman"/>
                <w:sz w:val="16"/>
              </w:rPr>
              <w:t>9,765,396.86</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253" w:type="dxa"/>
            <w:tcBorders>
              <w:top w:val="dotted" w:sz="4" w:space="0" w:color="000000"/>
              <w:left w:val="dotted" w:sz="4" w:space="0" w:color="000000"/>
              <w:bottom w:val="dotted" w:sz="4" w:space="0" w:color="000000"/>
              <w:right w:val="dotted" w:sz="4" w:space="0" w:color="000000"/>
            </w:tcBorders>
          </w:tcPr>
          <w:p>
            <w:pPr/>
          </w:p>
        </w:tc>
        <w:tc>
          <w:tcPr>
            <w:tcW w:w="1440" w:type="dxa"/>
            <w:tcBorders>
              <w:top w:val="dotted" w:sz="4" w:space="0" w:color="000000"/>
              <w:left w:val="dotted" w:sz="4" w:space="0" w:color="000000"/>
              <w:bottom w:val="dotted" w:sz="4" w:space="0" w:color="000000"/>
              <w:right w:val="dotted" w:sz="4" w:space="0" w:color="000000"/>
            </w:tcBorders>
          </w:tcPr>
          <w:p>
            <w:pPr/>
          </w:p>
        </w:tc>
        <w:tc>
          <w:tcPr>
            <w:tcW w:w="2045"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nil" w:sz="6" w:space="0" w:color="auto"/>
            </w:tcBorders>
          </w:tcPr>
          <w:p>
            <w:pPr/>
          </w:p>
        </w:tc>
      </w:tr>
      <w:tr>
        <w:trPr>
          <w:trHeight w:val="545" w:hRule="exact"/>
        </w:trPr>
        <w:tc>
          <w:tcPr>
            <w:tcW w:w="1534" w:type="dxa"/>
            <w:tcBorders>
              <w:top w:val="dotted" w:sz="4" w:space="0" w:color="000000"/>
              <w:left w:val="nil" w:sz="6" w:space="0" w:color="auto"/>
              <w:bottom w:val="dotted" w:sz="4" w:space="0" w:color="000000"/>
              <w:right w:val="dotted" w:sz="4" w:space="0" w:color="000000"/>
            </w:tcBorders>
          </w:tcPr>
          <w:p>
            <w:pPr>
              <w:pStyle w:val="TableParagraph"/>
              <w:spacing w:line="259" w:lineRule="auto" w:before="83"/>
              <w:ind w:left="122" w:right="331"/>
              <w:jc w:val="left"/>
              <w:rPr>
                <w:rFonts w:ascii="Times New Roman" w:hAnsi="Times New Roman" w:cs="Times New Roman" w:eastAsia="Times New Roman" w:hint="default"/>
                <w:sz w:val="16"/>
                <w:szCs w:val="16"/>
              </w:rPr>
            </w:pPr>
            <w:r>
              <w:rPr>
                <w:rFonts w:ascii="Times New Roman"/>
                <w:sz w:val="16"/>
              </w:rPr>
              <w:t>Bond of Bank</w:t>
            </w:r>
            <w:r>
              <w:rPr>
                <w:rFonts w:ascii="Times New Roman"/>
                <w:spacing w:val="-6"/>
                <w:sz w:val="16"/>
              </w:rPr>
              <w:t> </w:t>
            </w:r>
            <w:r>
              <w:rPr>
                <w:rFonts w:ascii="Times New Roman"/>
                <w:sz w:val="16"/>
              </w:rPr>
              <w:t>of</w:t>
            </w:r>
            <w:r>
              <w:rPr>
                <w:rFonts w:ascii="Times New Roman"/>
                <w:w w:val="100"/>
                <w:sz w:val="16"/>
              </w:rPr>
              <w:t> </w:t>
            </w:r>
            <w:r>
              <w:rPr>
                <w:rFonts w:ascii="Times New Roman"/>
                <w:sz w:val="16"/>
              </w:rPr>
              <w:t>East</w:t>
            </w:r>
            <w:r>
              <w:rPr>
                <w:rFonts w:ascii="Times New Roman"/>
                <w:spacing w:val="-11"/>
                <w:sz w:val="16"/>
              </w:rPr>
              <w:t> </w:t>
            </w:r>
            <w:r>
              <w:rPr>
                <w:rFonts w:ascii="Times New Roman"/>
                <w:sz w:val="16"/>
              </w:rPr>
              <w:t>Asia</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9,219,919.49</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right="18"/>
              <w:jc w:val="right"/>
              <w:rPr>
                <w:rFonts w:ascii="宋体" w:hAnsi="宋体" w:cs="宋体" w:eastAsia="宋体" w:hint="default"/>
                <w:sz w:val="16"/>
                <w:szCs w:val="16"/>
              </w:rPr>
            </w:pPr>
            <w:r>
              <w:rPr>
                <w:rFonts w:ascii="宋体"/>
                <w:w w:val="100"/>
                <w:sz w:val="16"/>
              </w:rPr>
              <w:t> </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-178,810.54</w:t>
            </w:r>
          </w:p>
        </w:tc>
        <w:tc>
          <w:tcPr>
            <w:tcW w:w="10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94" w:right="0"/>
              <w:jc w:val="left"/>
              <w:rPr>
                <w:rFonts w:ascii="Times New Roman" w:hAnsi="Times New Roman" w:cs="Times New Roman" w:eastAsia="Times New Roman" w:hint="default"/>
                <w:sz w:val="16"/>
                <w:szCs w:val="16"/>
              </w:rPr>
            </w:pPr>
            <w:r>
              <w:rPr>
                <w:rFonts w:ascii="Times New Roman"/>
                <w:sz w:val="16"/>
              </w:rPr>
              <w:t>161,615.61</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00" w:right="0"/>
              <w:jc w:val="left"/>
              <w:rPr>
                <w:rFonts w:ascii="Times New Roman" w:hAnsi="Times New Roman" w:cs="Times New Roman" w:eastAsia="Times New Roman" w:hint="default"/>
                <w:sz w:val="16"/>
                <w:szCs w:val="16"/>
              </w:rPr>
            </w:pPr>
            <w:r>
              <w:rPr>
                <w:rFonts w:ascii="Times New Roman"/>
                <w:sz w:val="16"/>
              </w:rPr>
              <w:t>9,202,724.56</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253" w:type="dxa"/>
            <w:tcBorders>
              <w:top w:val="dotted" w:sz="4" w:space="0" w:color="000000"/>
              <w:left w:val="dotted" w:sz="4" w:space="0" w:color="000000"/>
              <w:bottom w:val="dotted" w:sz="4" w:space="0" w:color="000000"/>
              <w:right w:val="dotted" w:sz="4" w:space="0" w:color="000000"/>
            </w:tcBorders>
          </w:tcPr>
          <w:p>
            <w:pPr/>
          </w:p>
        </w:tc>
        <w:tc>
          <w:tcPr>
            <w:tcW w:w="1440" w:type="dxa"/>
            <w:tcBorders>
              <w:top w:val="dotted" w:sz="4" w:space="0" w:color="000000"/>
              <w:left w:val="dotted" w:sz="4" w:space="0" w:color="000000"/>
              <w:bottom w:val="dotted" w:sz="4" w:space="0" w:color="000000"/>
              <w:right w:val="dotted" w:sz="4" w:space="0" w:color="000000"/>
            </w:tcBorders>
          </w:tcPr>
          <w:p>
            <w:pPr/>
          </w:p>
        </w:tc>
        <w:tc>
          <w:tcPr>
            <w:tcW w:w="2045"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nil" w:sz="6" w:space="0" w:color="auto"/>
            </w:tcBorders>
          </w:tcPr>
          <w:p>
            <w:pPr/>
          </w:p>
        </w:tc>
      </w:tr>
      <w:tr>
        <w:trPr>
          <w:trHeight w:val="547" w:hRule="exact"/>
        </w:trPr>
        <w:tc>
          <w:tcPr>
            <w:tcW w:w="1534" w:type="dxa"/>
            <w:tcBorders>
              <w:top w:val="dotted" w:sz="4" w:space="0" w:color="000000"/>
              <w:left w:val="nil" w:sz="6" w:space="0" w:color="auto"/>
              <w:bottom w:val="dotted" w:sz="4" w:space="0" w:color="000000"/>
              <w:right w:val="dotted" w:sz="4" w:space="0" w:color="000000"/>
            </w:tcBorders>
          </w:tcPr>
          <w:p>
            <w:pPr>
              <w:pStyle w:val="TableParagraph"/>
              <w:spacing w:line="259" w:lineRule="auto" w:before="86"/>
              <w:ind w:left="122" w:right="424"/>
              <w:jc w:val="left"/>
              <w:rPr>
                <w:rFonts w:ascii="Times New Roman" w:hAnsi="Times New Roman" w:cs="Times New Roman" w:eastAsia="Times New Roman" w:hint="default"/>
                <w:sz w:val="16"/>
                <w:szCs w:val="16"/>
              </w:rPr>
            </w:pPr>
            <w:r>
              <w:rPr>
                <w:rFonts w:ascii="Times New Roman"/>
                <w:sz w:val="16"/>
              </w:rPr>
              <w:t>Bond of</w:t>
            </w:r>
            <w:r>
              <w:rPr>
                <w:rFonts w:ascii="Times New Roman"/>
                <w:spacing w:val="-4"/>
                <w:sz w:val="16"/>
              </w:rPr>
              <w:t> </w:t>
            </w:r>
            <w:r>
              <w:rPr>
                <w:rFonts w:ascii="Times New Roman"/>
                <w:sz w:val="16"/>
              </w:rPr>
              <w:t>HSBC</w:t>
            </w:r>
            <w:r>
              <w:rPr>
                <w:rFonts w:ascii="Times New Roman"/>
                <w:w w:val="100"/>
                <w:sz w:val="16"/>
              </w:rPr>
              <w:t> </w:t>
            </w:r>
            <w:r>
              <w:rPr>
                <w:rFonts w:ascii="Times New Roman"/>
                <w:sz w:val="16"/>
              </w:rPr>
              <w:t>Bank</w:t>
            </w:r>
            <w:r>
              <w:rPr>
                <w:rFonts w:ascii="Times New Roman"/>
                <w:spacing w:val="-1"/>
                <w:sz w:val="16"/>
              </w:rPr>
              <w:t> </w:t>
            </w:r>
            <w:r>
              <w:rPr>
                <w:rFonts w:ascii="Times New Roman"/>
                <w:sz w:val="16"/>
              </w:rPr>
              <w:t>PLC</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9,068,899.62</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8"/>
              <w:jc w:val="right"/>
              <w:rPr>
                <w:rFonts w:ascii="宋体" w:hAnsi="宋体" w:cs="宋体" w:eastAsia="宋体" w:hint="default"/>
                <w:sz w:val="16"/>
                <w:szCs w:val="16"/>
              </w:rPr>
            </w:pPr>
            <w:r>
              <w:rPr>
                <w:rFonts w:ascii="宋体"/>
                <w:w w:val="100"/>
                <w:sz w:val="16"/>
              </w:rPr>
              <w:t> </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20,491.49</w:t>
            </w:r>
          </w:p>
        </w:tc>
        <w:tc>
          <w:tcPr>
            <w:tcW w:w="10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94" w:right="0"/>
              <w:jc w:val="left"/>
              <w:rPr>
                <w:rFonts w:ascii="Times New Roman" w:hAnsi="Times New Roman" w:cs="Times New Roman" w:eastAsia="Times New Roman" w:hint="default"/>
                <w:sz w:val="16"/>
                <w:szCs w:val="16"/>
              </w:rPr>
            </w:pPr>
            <w:r>
              <w:rPr>
                <w:rFonts w:ascii="Times New Roman"/>
                <w:sz w:val="16"/>
              </w:rPr>
              <w:t>162,487.44</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78" w:right="0"/>
              <w:jc w:val="left"/>
              <w:rPr>
                <w:rFonts w:ascii="Times New Roman" w:hAnsi="Times New Roman" w:cs="Times New Roman" w:eastAsia="Times New Roman" w:hint="default"/>
                <w:sz w:val="16"/>
                <w:szCs w:val="16"/>
              </w:rPr>
            </w:pPr>
            <w:r>
              <w:rPr>
                <w:rFonts w:ascii="Times New Roman"/>
                <w:sz w:val="16"/>
              </w:rPr>
              <w:t>9,251,878.55</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8,898,749.46</w:t>
            </w:r>
          </w:p>
        </w:tc>
        <w:tc>
          <w:tcPr>
            <w:tcW w:w="14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-360,272.33</w:t>
            </w:r>
          </w:p>
        </w:tc>
        <w:tc>
          <w:tcPr>
            <w:tcW w:w="2045"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15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28,081,425.01</w:t>
            </w:r>
          </w:p>
        </w:tc>
        <w:tc>
          <w:tcPr>
            <w:tcW w:w="7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13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-357,024.84</w:t>
            </w:r>
          </w:p>
        </w:tc>
        <w:tc>
          <w:tcPr>
            <w:tcW w:w="10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94" w:right="0"/>
              <w:jc w:val="left"/>
              <w:rPr>
                <w:rFonts w:ascii="Times New Roman" w:hAnsi="Times New Roman" w:cs="Times New Roman" w:eastAsia="Times New Roman" w:hint="default"/>
                <w:sz w:val="16"/>
                <w:szCs w:val="16"/>
              </w:rPr>
            </w:pPr>
            <w:r>
              <w:rPr>
                <w:rFonts w:ascii="Times New Roman"/>
                <w:sz w:val="16"/>
              </w:rPr>
              <w:t>495,599.80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220" w:right="0"/>
              <w:jc w:val="left"/>
              <w:rPr>
                <w:rFonts w:ascii="Times New Roman" w:hAnsi="Times New Roman" w:cs="Times New Roman" w:eastAsia="Times New Roman" w:hint="default"/>
                <w:sz w:val="16"/>
                <w:szCs w:val="16"/>
              </w:rPr>
            </w:pPr>
            <w:r>
              <w:rPr>
                <w:rFonts w:ascii="Times New Roman"/>
                <w:sz w:val="16"/>
              </w:rPr>
              <w:t>18,968,121.42</w:t>
            </w:r>
          </w:p>
        </w:tc>
        <w:tc>
          <w:tcPr>
            <w:tcW w:w="12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278" w:right="0"/>
              <w:jc w:val="left"/>
              <w:rPr>
                <w:rFonts w:ascii="Times New Roman" w:hAnsi="Times New Roman" w:cs="Times New Roman" w:eastAsia="Times New Roman" w:hint="default"/>
                <w:sz w:val="16"/>
                <w:szCs w:val="16"/>
              </w:rPr>
            </w:pPr>
            <w:r>
              <w:rPr>
                <w:rFonts w:ascii="Times New Roman"/>
                <w:sz w:val="16"/>
              </w:rPr>
              <w:t>9,251,878.55</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8,898,749.46</w:t>
            </w:r>
          </w:p>
        </w:tc>
        <w:tc>
          <w:tcPr>
            <w:tcW w:w="14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-360,272.33</w:t>
            </w:r>
          </w:p>
        </w:tc>
        <w:tc>
          <w:tcPr>
            <w:tcW w:w="2045" w:type="dxa"/>
            <w:tcBorders>
              <w:top w:val="dotted" w:sz="4" w:space="0" w:color="000000"/>
              <w:left w:val="dotted" w:sz="4" w:space="0" w:color="000000"/>
              <w:bottom w:val="single" w:sz="12" w:space="0" w:color="000000"/>
              <w:right w:val="dotted" w:sz="4" w:space="0" w:color="000000"/>
            </w:tcBorders>
          </w:tcPr>
          <w:p>
            <w:pPr/>
          </w:p>
        </w:tc>
        <w:tc>
          <w:tcPr>
            <w:tcW w:w="49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6244" w:right="6501" w:firstLine="0"/>
        <w:jc w:val="center"/>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56</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36"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34"/>
          <w:footerReference w:type="default" r:id="rId35"/>
          <w:pgSz w:w="16840" w:h="11910" w:orient="landscape"/>
          <w:pgMar w:header="0" w:footer="0" w:top="780" w:bottom="0" w:left="1300" w:right="1040"/>
        </w:sectPr>
      </w:pPr>
    </w:p>
    <w:p>
      <w:pPr>
        <w:spacing w:line="240" w:lineRule="auto" w:before="12"/>
        <w:rPr>
          <w:rFonts w:ascii="宋体" w:hAnsi="宋体" w:cs="宋体" w:eastAsia="宋体" w:hint="default"/>
          <w:sz w:val="22"/>
          <w:szCs w:val="22"/>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期末重要的其他债权投资</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1645"/>
        <w:gridCol w:w="1639"/>
        <w:gridCol w:w="1640"/>
        <w:gridCol w:w="1639"/>
        <w:gridCol w:w="1642"/>
      </w:tblGrid>
      <w:tr>
        <w:trPr>
          <w:trHeight w:val="365" w:hRule="exact"/>
        </w:trPr>
        <w:tc>
          <w:tcPr>
            <w:tcW w:w="1645"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6560"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1645" w:type="dxa"/>
            <w:vMerge/>
            <w:tcBorders>
              <w:left w:val="nil" w:sz="6" w:space="0" w:color="auto"/>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333" w:right="0"/>
              <w:jc w:val="left"/>
              <w:rPr>
                <w:rFonts w:ascii="宋体" w:hAnsi="宋体" w:cs="宋体" w:eastAsia="宋体" w:hint="default"/>
                <w:sz w:val="16"/>
                <w:szCs w:val="16"/>
              </w:rPr>
            </w:pPr>
            <w:r>
              <w:rPr>
                <w:rFonts w:ascii="宋体" w:hAnsi="宋体" w:cs="宋体" w:eastAsia="宋体" w:hint="default"/>
                <w:sz w:val="16"/>
                <w:szCs w:val="16"/>
              </w:rPr>
              <w:t>面值（</w:t>
            </w:r>
            <w:r>
              <w:rPr>
                <w:rFonts w:ascii="Times New Roman" w:hAnsi="Times New Roman" w:cs="Times New Roman" w:eastAsia="Times New Roman" w:hint="default"/>
                <w:sz w:val="16"/>
                <w:szCs w:val="16"/>
              </w:rPr>
              <w:t>USD</w:t>
            </w:r>
            <w:r>
              <w:rPr>
                <w:rFonts w:ascii="宋体" w:hAnsi="宋体" w:cs="宋体" w:eastAsia="宋体" w:hint="default"/>
                <w:sz w:val="16"/>
                <w:szCs w:val="16"/>
              </w:rPr>
              <w:t>）</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494" w:right="0"/>
              <w:jc w:val="left"/>
              <w:rPr>
                <w:rFonts w:ascii="宋体" w:hAnsi="宋体" w:cs="宋体" w:eastAsia="宋体" w:hint="default"/>
                <w:sz w:val="16"/>
                <w:szCs w:val="16"/>
              </w:rPr>
            </w:pPr>
            <w:r>
              <w:rPr>
                <w:rFonts w:ascii="宋体" w:hAnsi="宋体" w:cs="宋体" w:eastAsia="宋体" w:hint="default"/>
                <w:sz w:val="16"/>
                <w:szCs w:val="16"/>
              </w:rPr>
              <w:t>票面利率</w:t>
            </w:r>
          </w:p>
        </w:tc>
        <w:tc>
          <w:tcPr>
            <w:tcW w:w="16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494" w:right="0"/>
              <w:jc w:val="left"/>
              <w:rPr>
                <w:rFonts w:ascii="宋体" w:hAnsi="宋体" w:cs="宋体" w:eastAsia="宋体" w:hint="default"/>
                <w:sz w:val="16"/>
                <w:szCs w:val="16"/>
              </w:rPr>
            </w:pPr>
            <w:r>
              <w:rPr>
                <w:rFonts w:ascii="宋体" w:hAnsi="宋体" w:cs="宋体" w:eastAsia="宋体" w:hint="default"/>
                <w:sz w:val="16"/>
                <w:szCs w:val="16"/>
              </w:rPr>
              <w:t>实际利率</w:t>
            </w:r>
          </w:p>
        </w:tc>
        <w:tc>
          <w:tcPr>
            <w:tcW w:w="16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1"/>
              <w:jc w:val="center"/>
              <w:rPr>
                <w:rFonts w:ascii="宋体" w:hAnsi="宋体" w:cs="宋体" w:eastAsia="宋体" w:hint="default"/>
                <w:sz w:val="16"/>
                <w:szCs w:val="16"/>
              </w:rPr>
            </w:pPr>
            <w:r>
              <w:rPr>
                <w:rFonts w:ascii="宋体" w:hAnsi="宋体" w:cs="宋体" w:eastAsia="宋体" w:hint="default"/>
                <w:sz w:val="16"/>
                <w:szCs w:val="16"/>
              </w:rPr>
              <w:t>到期日</w:t>
            </w:r>
          </w:p>
        </w:tc>
      </w:tr>
      <w:tr>
        <w:trPr>
          <w:trHeight w:val="547" w:hRule="exact"/>
        </w:trPr>
        <w:tc>
          <w:tcPr>
            <w:tcW w:w="1645" w:type="dxa"/>
            <w:tcBorders>
              <w:top w:val="dotted" w:sz="4" w:space="0" w:color="000000"/>
              <w:left w:val="nil" w:sz="6" w:space="0" w:color="auto"/>
              <w:bottom w:val="dotted" w:sz="4" w:space="0" w:color="000000"/>
              <w:right w:val="dotted" w:sz="4" w:space="0" w:color="000000"/>
            </w:tcBorders>
          </w:tcPr>
          <w:p>
            <w:pPr>
              <w:pStyle w:val="TableParagraph"/>
              <w:spacing w:line="259" w:lineRule="auto" w:before="86"/>
              <w:ind w:left="122" w:right="159"/>
              <w:jc w:val="left"/>
              <w:rPr>
                <w:rFonts w:ascii="Times New Roman" w:hAnsi="Times New Roman" w:cs="Times New Roman" w:eastAsia="Times New Roman" w:hint="default"/>
                <w:sz w:val="16"/>
                <w:szCs w:val="16"/>
              </w:rPr>
            </w:pPr>
            <w:r>
              <w:rPr>
                <w:rFonts w:ascii="Times New Roman"/>
                <w:sz w:val="16"/>
              </w:rPr>
              <w:t>Bond of HSBC</w:t>
            </w:r>
            <w:r>
              <w:rPr>
                <w:rFonts w:ascii="Times New Roman"/>
                <w:spacing w:val="-7"/>
                <w:sz w:val="16"/>
              </w:rPr>
              <w:t> </w:t>
            </w:r>
            <w:r>
              <w:rPr>
                <w:rFonts w:ascii="Times New Roman"/>
                <w:sz w:val="16"/>
              </w:rPr>
              <w:t>Bank</w:t>
            </w:r>
            <w:r>
              <w:rPr>
                <w:rFonts w:ascii="Times New Roman"/>
                <w:w w:val="100"/>
                <w:sz w:val="16"/>
              </w:rPr>
              <w:t> </w:t>
            </w:r>
            <w:r>
              <w:rPr>
                <w:rFonts w:ascii="Times New Roman"/>
                <w:sz w:val="16"/>
              </w:rPr>
              <w:t>PLC</w:t>
            </w:r>
          </w:p>
        </w:tc>
        <w:tc>
          <w:tcPr>
            <w:tcW w:w="16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1,300,000.00</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032" w:right="0"/>
              <w:jc w:val="left"/>
              <w:rPr>
                <w:rFonts w:ascii="Times New Roman" w:hAnsi="Times New Roman" w:cs="Times New Roman" w:eastAsia="Times New Roman" w:hint="default"/>
                <w:sz w:val="16"/>
                <w:szCs w:val="16"/>
              </w:rPr>
            </w:pPr>
            <w:r>
              <w:rPr>
                <w:rFonts w:ascii="Times New Roman"/>
                <w:sz w:val="16"/>
              </w:rPr>
              <w:t>4.750%</w:t>
            </w:r>
          </w:p>
        </w:tc>
        <w:tc>
          <w:tcPr>
            <w:tcW w:w="1639" w:type="dxa"/>
            <w:tcBorders>
              <w:top w:val="dotted" w:sz="4" w:space="0" w:color="000000"/>
              <w:left w:val="dotted" w:sz="4" w:space="0" w:color="000000"/>
              <w:bottom w:val="dotted" w:sz="4" w:space="0" w:color="000000"/>
              <w:right w:val="dotted" w:sz="4" w:space="0" w:color="000000"/>
            </w:tcBorders>
          </w:tcPr>
          <w:p>
            <w:pPr/>
          </w:p>
        </w:tc>
        <w:tc>
          <w:tcPr>
            <w:tcW w:w="16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2021-1-19</w:t>
            </w:r>
          </w:p>
        </w:tc>
      </w:tr>
      <w:tr>
        <w:trPr>
          <w:trHeight w:val="365" w:hRule="exact"/>
        </w:trPr>
        <w:tc>
          <w:tcPr>
            <w:tcW w:w="16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6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1,300,000.00</w:t>
            </w:r>
          </w:p>
        </w:tc>
        <w:tc>
          <w:tcPr>
            <w:tcW w:w="1640" w:type="dxa"/>
            <w:tcBorders>
              <w:top w:val="dotted" w:sz="4" w:space="0" w:color="000000"/>
              <w:left w:val="dotted" w:sz="4" w:space="0" w:color="000000"/>
              <w:bottom w:val="single" w:sz="12" w:space="0" w:color="000000"/>
              <w:right w:val="dotted" w:sz="4" w:space="0" w:color="000000"/>
            </w:tcBorders>
          </w:tcPr>
          <w:p>
            <w:pPr/>
          </w:p>
        </w:tc>
        <w:tc>
          <w:tcPr>
            <w:tcW w:w="1639" w:type="dxa"/>
            <w:tcBorders>
              <w:top w:val="dotted" w:sz="4" w:space="0" w:color="000000"/>
              <w:left w:val="dotted" w:sz="4" w:space="0" w:color="000000"/>
              <w:bottom w:val="single" w:sz="12" w:space="0" w:color="000000"/>
              <w:right w:val="dotted" w:sz="4" w:space="0" w:color="000000"/>
            </w:tcBorders>
          </w:tcPr>
          <w:p>
            <w:pPr/>
          </w:p>
        </w:tc>
        <w:tc>
          <w:tcPr>
            <w:tcW w:w="164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27"/>
          <w:szCs w:val="27"/>
        </w:rPr>
      </w:pPr>
    </w:p>
    <w:p>
      <w:pPr>
        <w:pStyle w:val="BodyText"/>
        <w:spacing w:line="240" w:lineRule="auto"/>
        <w:ind w:right="3683"/>
        <w:jc w:val="left"/>
      </w:pPr>
      <w:r>
        <w:rPr/>
        <w:t>其他债权投资账面价值变动如下：</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477"/>
        <w:gridCol w:w="1476"/>
        <w:gridCol w:w="1412"/>
        <w:gridCol w:w="1429"/>
        <w:gridCol w:w="1411"/>
      </w:tblGrid>
      <w:tr>
        <w:trPr>
          <w:trHeight w:val="365" w:hRule="exact"/>
        </w:trPr>
        <w:tc>
          <w:tcPr>
            <w:tcW w:w="247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账面价值</w:t>
            </w:r>
          </w:p>
        </w:tc>
        <w:tc>
          <w:tcPr>
            <w:tcW w:w="14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412" w:right="0"/>
              <w:jc w:val="left"/>
              <w:rPr>
                <w:rFonts w:ascii="宋体" w:hAnsi="宋体" w:cs="宋体" w:eastAsia="宋体" w:hint="default"/>
                <w:sz w:val="16"/>
                <w:szCs w:val="16"/>
              </w:rPr>
            </w:pPr>
            <w:r>
              <w:rPr>
                <w:rFonts w:ascii="宋体" w:hAnsi="宋体" w:cs="宋体" w:eastAsia="宋体" w:hint="default"/>
                <w:sz w:val="16"/>
                <w:szCs w:val="16"/>
              </w:rPr>
              <w:t>第一阶段</w:t>
            </w:r>
          </w:p>
        </w:tc>
        <w:tc>
          <w:tcPr>
            <w:tcW w:w="14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379" w:right="0"/>
              <w:jc w:val="left"/>
              <w:rPr>
                <w:rFonts w:ascii="宋体" w:hAnsi="宋体" w:cs="宋体" w:eastAsia="宋体" w:hint="default"/>
                <w:sz w:val="16"/>
                <w:szCs w:val="16"/>
              </w:rPr>
            </w:pPr>
            <w:r>
              <w:rPr>
                <w:rFonts w:ascii="宋体" w:hAnsi="宋体" w:cs="宋体" w:eastAsia="宋体" w:hint="default"/>
                <w:sz w:val="16"/>
                <w:szCs w:val="16"/>
              </w:rPr>
              <w:t>第二阶段</w:t>
            </w:r>
          </w:p>
        </w:tc>
        <w:tc>
          <w:tcPr>
            <w:tcW w:w="14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388" w:right="0"/>
              <w:jc w:val="left"/>
              <w:rPr>
                <w:rFonts w:ascii="宋体" w:hAnsi="宋体" w:cs="宋体" w:eastAsia="宋体" w:hint="default"/>
                <w:sz w:val="16"/>
                <w:szCs w:val="16"/>
              </w:rPr>
            </w:pPr>
            <w:r>
              <w:rPr>
                <w:rFonts w:ascii="宋体" w:hAnsi="宋体" w:cs="宋体" w:eastAsia="宋体" w:hint="default"/>
                <w:sz w:val="16"/>
                <w:szCs w:val="16"/>
              </w:rPr>
              <w:t>第三阶段</w:t>
            </w:r>
          </w:p>
        </w:tc>
        <w:tc>
          <w:tcPr>
            <w:tcW w:w="1411"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768" w:hRule="exact"/>
        </w:trPr>
        <w:tc>
          <w:tcPr>
            <w:tcW w:w="2477" w:type="dxa"/>
            <w:vMerge/>
            <w:tcBorders>
              <w:left w:val="nil" w:sz="6" w:space="0" w:color="auto"/>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06" w:lineRule="exact"/>
              <w:ind w:left="412" w:right="130" w:hanging="281"/>
              <w:jc w:val="left"/>
              <w:rPr>
                <w:rFonts w:ascii="宋体" w:hAnsi="宋体" w:cs="宋体" w:eastAsia="宋体" w:hint="default"/>
                <w:sz w:val="16"/>
                <w:szCs w:val="16"/>
              </w:rPr>
            </w:pPr>
            <w:r>
              <w:rPr>
                <w:rFonts w:ascii="宋体" w:hAnsi="宋体" w:cs="宋体" w:eastAsia="宋体" w:hint="default"/>
                <w:sz w:val="16"/>
                <w:szCs w:val="16"/>
              </w:rPr>
              <w:t>未来</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个月预期</w:t>
            </w:r>
            <w:r>
              <w:rPr>
                <w:rFonts w:ascii="宋体" w:hAnsi="宋体" w:cs="宋体" w:eastAsia="宋体" w:hint="default"/>
                <w:w w:val="100"/>
                <w:sz w:val="16"/>
                <w:szCs w:val="16"/>
              </w:rPr>
              <w:t> </w:t>
            </w:r>
            <w:r>
              <w:rPr>
                <w:rFonts w:ascii="宋体" w:hAnsi="宋体" w:cs="宋体" w:eastAsia="宋体" w:hint="default"/>
                <w:sz w:val="16"/>
                <w:szCs w:val="16"/>
              </w:rPr>
              <w:t>信用损失</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30" w:lineRule="auto" w:before="48"/>
              <w:ind w:left="113" w:right="110"/>
              <w:jc w:val="center"/>
              <w:rPr>
                <w:rFonts w:ascii="Times New Roman" w:hAnsi="Times New Roman" w:cs="Times New Roman" w:eastAsia="Times New Roman" w:hint="default"/>
                <w:sz w:val="16"/>
                <w:szCs w:val="16"/>
              </w:rPr>
            </w:pPr>
            <w:r>
              <w:rPr>
                <w:rFonts w:ascii="宋体" w:hAnsi="宋体" w:cs="宋体" w:eastAsia="宋体" w:hint="default"/>
                <w:sz w:val="16"/>
                <w:szCs w:val="16"/>
              </w:rPr>
              <w:t>整个存续期预期</w:t>
            </w:r>
            <w:r>
              <w:rPr>
                <w:rFonts w:ascii="宋体" w:hAnsi="宋体" w:cs="宋体" w:eastAsia="宋体" w:hint="default"/>
                <w:w w:val="100"/>
                <w:sz w:val="16"/>
                <w:szCs w:val="16"/>
              </w:rPr>
              <w:t> </w:t>
            </w:r>
            <w:r>
              <w:rPr>
                <w:rFonts w:ascii="宋体" w:hAnsi="宋体" w:cs="宋体" w:eastAsia="宋体" w:hint="default"/>
                <w:sz w:val="16"/>
                <w:szCs w:val="16"/>
              </w:rPr>
              <w:t>信用损失</w:t>
            </w:r>
            <w:r>
              <w:rPr>
                <w:rFonts w:ascii="Times New Roman" w:hAnsi="Times New Roman" w:cs="Times New Roman" w:eastAsia="Times New Roman" w:hint="default"/>
                <w:sz w:val="16"/>
                <w:szCs w:val="16"/>
              </w:rPr>
              <w:t>(</w:t>
            </w:r>
            <w:r>
              <w:rPr>
                <w:rFonts w:ascii="宋体" w:hAnsi="宋体" w:cs="宋体" w:eastAsia="宋体" w:hint="default"/>
                <w:sz w:val="16"/>
                <w:szCs w:val="16"/>
              </w:rPr>
              <w:t>未发生</w:t>
            </w:r>
            <w:r>
              <w:rPr>
                <w:rFonts w:ascii="宋体" w:hAnsi="宋体" w:cs="宋体" w:eastAsia="宋体" w:hint="default"/>
                <w:w w:val="100"/>
                <w:sz w:val="16"/>
                <w:szCs w:val="16"/>
              </w:rPr>
              <w:t> </w:t>
            </w:r>
            <w:r>
              <w:rPr>
                <w:rFonts w:ascii="宋体" w:hAnsi="宋体" w:cs="宋体" w:eastAsia="宋体" w:hint="default"/>
                <w:sz w:val="16"/>
                <w:szCs w:val="16"/>
              </w:rPr>
              <w:t>信用减值</w:t>
            </w:r>
            <w:r>
              <w:rPr>
                <w:rFonts w:ascii="Times New Roman" w:hAnsi="Times New Roman" w:cs="Times New Roman" w:eastAsia="Times New Roman" w:hint="default"/>
                <w:sz w:val="16"/>
                <w:szCs w:val="16"/>
              </w:rPr>
              <w:t>)</w:t>
            </w:r>
          </w:p>
        </w:tc>
        <w:tc>
          <w:tcPr>
            <w:tcW w:w="1429" w:type="dxa"/>
            <w:tcBorders>
              <w:top w:val="dotted" w:sz="4" w:space="0" w:color="000000"/>
              <w:left w:val="dotted" w:sz="4" w:space="0" w:color="000000"/>
              <w:bottom w:val="dotted" w:sz="4" w:space="0" w:color="000000"/>
              <w:right w:val="dotted" w:sz="4" w:space="0" w:color="000000"/>
            </w:tcBorders>
          </w:tcPr>
          <w:p>
            <w:pPr>
              <w:pStyle w:val="TableParagraph"/>
              <w:spacing w:line="230" w:lineRule="auto" w:before="48"/>
              <w:ind w:left="122" w:right="118"/>
              <w:jc w:val="center"/>
              <w:rPr>
                <w:rFonts w:ascii="Times New Roman" w:hAnsi="Times New Roman" w:cs="Times New Roman" w:eastAsia="Times New Roman" w:hint="default"/>
                <w:sz w:val="16"/>
                <w:szCs w:val="16"/>
              </w:rPr>
            </w:pPr>
            <w:r>
              <w:rPr>
                <w:rFonts w:ascii="宋体" w:hAnsi="宋体" w:cs="宋体" w:eastAsia="宋体" w:hint="default"/>
                <w:sz w:val="16"/>
                <w:szCs w:val="16"/>
              </w:rPr>
              <w:t>整个存续期预期</w:t>
            </w:r>
            <w:r>
              <w:rPr>
                <w:rFonts w:ascii="宋体" w:hAnsi="宋体" w:cs="宋体" w:eastAsia="宋体" w:hint="default"/>
                <w:w w:val="100"/>
                <w:sz w:val="16"/>
                <w:szCs w:val="16"/>
              </w:rPr>
              <w:t> </w:t>
            </w:r>
            <w:r>
              <w:rPr>
                <w:rFonts w:ascii="宋体" w:hAnsi="宋体" w:cs="宋体" w:eastAsia="宋体" w:hint="default"/>
                <w:sz w:val="16"/>
                <w:szCs w:val="16"/>
              </w:rPr>
              <w:t>信用损失</w:t>
            </w:r>
            <w:r>
              <w:rPr>
                <w:rFonts w:ascii="Times New Roman" w:hAnsi="Times New Roman" w:cs="Times New Roman" w:eastAsia="Times New Roman" w:hint="default"/>
                <w:sz w:val="16"/>
                <w:szCs w:val="16"/>
              </w:rPr>
              <w:t>(</w:t>
            </w:r>
            <w:r>
              <w:rPr>
                <w:rFonts w:ascii="宋体" w:hAnsi="宋体" w:cs="宋体" w:eastAsia="宋体" w:hint="default"/>
                <w:sz w:val="16"/>
                <w:szCs w:val="16"/>
              </w:rPr>
              <w:t>已发生</w:t>
            </w:r>
            <w:r>
              <w:rPr>
                <w:rFonts w:ascii="宋体" w:hAnsi="宋体" w:cs="宋体" w:eastAsia="宋体" w:hint="default"/>
                <w:w w:val="100"/>
                <w:sz w:val="16"/>
                <w:szCs w:val="16"/>
              </w:rPr>
              <w:t> </w:t>
            </w:r>
            <w:r>
              <w:rPr>
                <w:rFonts w:ascii="宋体" w:hAnsi="宋体" w:cs="宋体" w:eastAsia="宋体" w:hint="default"/>
                <w:sz w:val="16"/>
                <w:szCs w:val="16"/>
              </w:rPr>
              <w:t>信用减值</w:t>
            </w:r>
            <w:r>
              <w:rPr>
                <w:rFonts w:ascii="Times New Roman" w:hAnsi="Times New Roman" w:cs="Times New Roman" w:eastAsia="Times New Roman" w:hint="default"/>
                <w:sz w:val="16"/>
                <w:szCs w:val="16"/>
              </w:rPr>
              <w:t>)</w:t>
            </w:r>
          </w:p>
        </w:tc>
        <w:tc>
          <w:tcPr>
            <w:tcW w:w="1411" w:type="dxa"/>
            <w:vMerge/>
            <w:tcBorders>
              <w:left w:val="dotted" w:sz="4" w:space="0" w:color="000000"/>
              <w:bottom w:val="dotted" w:sz="4" w:space="0" w:color="000000"/>
              <w:right w:val="nil" w:sz="6" w:space="0" w:color="auto"/>
            </w:tcBorders>
          </w:tcPr>
          <w:p>
            <w:pPr/>
          </w:p>
        </w:tc>
      </w:tr>
      <w:tr>
        <w:trPr>
          <w:trHeight w:val="353"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0"/>
              <w:jc w:val="right"/>
              <w:rPr>
                <w:rFonts w:ascii="Times New Roman" w:hAnsi="Times New Roman" w:cs="Times New Roman" w:eastAsia="Times New Roman" w:hint="default"/>
                <w:sz w:val="16"/>
                <w:szCs w:val="16"/>
              </w:rPr>
            </w:pPr>
            <w:r>
              <w:rPr>
                <w:rFonts w:ascii="Times New Roman"/>
                <w:spacing w:val="-2"/>
                <w:sz w:val="16"/>
              </w:rPr>
              <w:t>28,081,425.01</w:t>
            </w:r>
          </w:p>
        </w:tc>
        <w:tc>
          <w:tcPr>
            <w:tcW w:w="1412" w:type="dxa"/>
            <w:tcBorders>
              <w:top w:val="dotted" w:sz="4" w:space="0" w:color="000000"/>
              <w:left w:val="dotted" w:sz="4" w:space="0" w:color="000000"/>
              <w:bottom w:val="dotted" w:sz="4" w:space="0" w:color="000000"/>
              <w:right w:val="dotted" w:sz="4" w:space="0" w:color="000000"/>
            </w:tcBorders>
          </w:tcPr>
          <w:p>
            <w:pPr/>
          </w:p>
        </w:tc>
        <w:tc>
          <w:tcPr>
            <w:tcW w:w="1429" w:type="dxa"/>
            <w:tcBorders>
              <w:top w:val="dotted" w:sz="4" w:space="0" w:color="000000"/>
              <w:left w:val="dotted" w:sz="4" w:space="0" w:color="000000"/>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6"/>
                <w:szCs w:val="16"/>
              </w:rPr>
            </w:pPr>
            <w:r>
              <w:rPr>
                <w:rFonts w:ascii="Times New Roman"/>
                <w:spacing w:val="-2"/>
                <w:sz w:val="16"/>
              </w:rPr>
              <w:t>28,081,425.01</w:t>
            </w:r>
          </w:p>
        </w:tc>
      </w:tr>
      <w:tr>
        <w:trPr>
          <w:trHeight w:val="353"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年初余额在本期</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
        </w:tc>
        <w:tc>
          <w:tcPr>
            <w:tcW w:w="1429" w:type="dxa"/>
            <w:tcBorders>
              <w:top w:val="dotted" w:sz="4" w:space="0" w:color="000000"/>
              <w:left w:val="dotted" w:sz="4" w:space="0" w:color="000000"/>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转入第二阶段</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
        </w:tc>
        <w:tc>
          <w:tcPr>
            <w:tcW w:w="1429" w:type="dxa"/>
            <w:tcBorders>
              <w:top w:val="dotted" w:sz="4" w:space="0" w:color="000000"/>
              <w:left w:val="dotted" w:sz="4" w:space="0" w:color="000000"/>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转入第三阶段</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
        </w:tc>
        <w:tc>
          <w:tcPr>
            <w:tcW w:w="1429" w:type="dxa"/>
            <w:tcBorders>
              <w:top w:val="dotted" w:sz="4" w:space="0" w:color="000000"/>
              <w:left w:val="dotted" w:sz="4" w:space="0" w:color="000000"/>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转回第二阶段</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
        </w:tc>
        <w:tc>
          <w:tcPr>
            <w:tcW w:w="1429" w:type="dxa"/>
            <w:tcBorders>
              <w:top w:val="dotted" w:sz="4" w:space="0" w:color="000000"/>
              <w:left w:val="dotted" w:sz="4" w:space="0" w:color="000000"/>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转回第一阶段</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
        </w:tc>
        <w:tc>
          <w:tcPr>
            <w:tcW w:w="1429" w:type="dxa"/>
            <w:tcBorders>
              <w:top w:val="dotted" w:sz="4" w:space="0" w:color="000000"/>
              <w:left w:val="dotted" w:sz="4" w:space="0" w:color="000000"/>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本期新增</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
        </w:tc>
        <w:tc>
          <w:tcPr>
            <w:tcW w:w="1429" w:type="dxa"/>
            <w:tcBorders>
              <w:top w:val="dotted" w:sz="4" w:space="0" w:color="000000"/>
              <w:left w:val="dotted" w:sz="4" w:space="0" w:color="000000"/>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本期直接减记</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
        </w:tc>
        <w:tc>
          <w:tcPr>
            <w:tcW w:w="1429" w:type="dxa"/>
            <w:tcBorders>
              <w:top w:val="dotted" w:sz="4" w:space="0" w:color="000000"/>
              <w:left w:val="dotted" w:sz="4" w:space="0" w:color="000000"/>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本期终止确认</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
        </w:tc>
        <w:tc>
          <w:tcPr>
            <w:tcW w:w="1429" w:type="dxa"/>
            <w:tcBorders>
              <w:top w:val="dotted" w:sz="4" w:space="0" w:color="000000"/>
              <w:left w:val="dotted" w:sz="4" w:space="0" w:color="000000"/>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nil" w:sz="6" w:space="0" w:color="auto"/>
            </w:tcBorders>
          </w:tcPr>
          <w:p>
            <w:pPr/>
          </w:p>
        </w:tc>
      </w:tr>
      <w:tr>
        <w:trPr>
          <w:trHeight w:val="562"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6"/>
              <w:jc w:val="left"/>
              <w:rPr>
                <w:rFonts w:ascii="宋体" w:hAnsi="宋体" w:cs="宋体" w:eastAsia="宋体" w:hint="default"/>
                <w:sz w:val="16"/>
                <w:szCs w:val="16"/>
              </w:rPr>
            </w:pPr>
            <w:r>
              <w:rPr>
                <w:rFonts w:ascii="宋体" w:hAnsi="宋体" w:cs="宋体" w:eastAsia="宋体" w:hint="default"/>
                <w:spacing w:val="-1"/>
                <w:sz w:val="16"/>
                <w:szCs w:val="16"/>
              </w:rPr>
              <w:t>重分类一年内到期的长期债权投</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资</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18,968,121.42</w:t>
            </w:r>
          </w:p>
        </w:tc>
        <w:tc>
          <w:tcPr>
            <w:tcW w:w="1412" w:type="dxa"/>
            <w:tcBorders>
              <w:top w:val="dotted" w:sz="4" w:space="0" w:color="000000"/>
              <w:left w:val="dotted" w:sz="4" w:space="0" w:color="000000"/>
              <w:bottom w:val="dotted" w:sz="4" w:space="0" w:color="000000"/>
              <w:right w:val="dotted" w:sz="4" w:space="0" w:color="000000"/>
            </w:tcBorders>
          </w:tcPr>
          <w:p>
            <w:pPr/>
          </w:p>
        </w:tc>
        <w:tc>
          <w:tcPr>
            <w:tcW w:w="1429" w:type="dxa"/>
            <w:tcBorders>
              <w:top w:val="dotted" w:sz="4" w:space="0" w:color="000000"/>
              <w:left w:val="dotted" w:sz="4" w:space="0" w:color="000000"/>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2"/>
                <w:sz w:val="16"/>
              </w:rPr>
              <w:t>18,968,121.42</w:t>
            </w:r>
          </w:p>
        </w:tc>
      </w:tr>
      <w:tr>
        <w:trPr>
          <w:trHeight w:val="353"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宋体" w:hAnsi="宋体" w:cs="宋体" w:eastAsia="宋体" w:hint="default"/>
                <w:sz w:val="16"/>
                <w:szCs w:val="16"/>
              </w:rPr>
              <w:t>其他变动</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138,574.96</w:t>
            </w:r>
          </w:p>
        </w:tc>
        <w:tc>
          <w:tcPr>
            <w:tcW w:w="1412" w:type="dxa"/>
            <w:tcBorders>
              <w:top w:val="dotted" w:sz="4" w:space="0" w:color="000000"/>
              <w:left w:val="dotted" w:sz="4" w:space="0" w:color="000000"/>
              <w:bottom w:val="dotted" w:sz="4" w:space="0" w:color="000000"/>
              <w:right w:val="dotted" w:sz="4" w:space="0" w:color="000000"/>
            </w:tcBorders>
          </w:tcPr>
          <w:p>
            <w:pPr/>
          </w:p>
        </w:tc>
        <w:tc>
          <w:tcPr>
            <w:tcW w:w="1429" w:type="dxa"/>
            <w:tcBorders>
              <w:top w:val="dotted" w:sz="4" w:space="0" w:color="000000"/>
              <w:left w:val="dotted" w:sz="4" w:space="0" w:color="000000"/>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138,574.96</w:t>
            </w:r>
          </w:p>
        </w:tc>
      </w:tr>
      <w:tr>
        <w:trPr>
          <w:trHeight w:val="365" w:hRule="exact"/>
        </w:trPr>
        <w:tc>
          <w:tcPr>
            <w:tcW w:w="24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9,251,878.55</w:t>
            </w:r>
          </w:p>
        </w:tc>
        <w:tc>
          <w:tcPr>
            <w:tcW w:w="1412" w:type="dxa"/>
            <w:tcBorders>
              <w:top w:val="dotted" w:sz="4" w:space="0" w:color="000000"/>
              <w:left w:val="dotted" w:sz="4" w:space="0" w:color="000000"/>
              <w:bottom w:val="single" w:sz="12" w:space="0" w:color="000000"/>
              <w:right w:val="dotted" w:sz="4" w:space="0" w:color="000000"/>
            </w:tcBorders>
          </w:tcPr>
          <w:p>
            <w:pPr/>
          </w:p>
        </w:tc>
        <w:tc>
          <w:tcPr>
            <w:tcW w:w="1429" w:type="dxa"/>
            <w:tcBorders>
              <w:top w:val="dotted" w:sz="4" w:space="0" w:color="000000"/>
              <w:left w:val="dotted" w:sz="4" w:space="0" w:color="000000"/>
              <w:bottom w:val="single" w:sz="12" w:space="0" w:color="000000"/>
              <w:right w:val="dotted" w:sz="4" w:space="0" w:color="000000"/>
            </w:tcBorders>
          </w:tcPr>
          <w:p>
            <w:pPr/>
          </w:p>
        </w:tc>
        <w:tc>
          <w:tcPr>
            <w:tcW w:w="14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9,251,878.55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44"/>
        <w:ind w:left="0" w:right="1653" w:firstLine="0"/>
        <w:jc w:val="center"/>
        <w:rPr>
          <w:rFonts w:ascii="宋体" w:hAnsi="宋体" w:cs="宋体" w:eastAsia="宋体" w:hint="default"/>
          <w:sz w:val="18"/>
          <w:szCs w:val="18"/>
        </w:rPr>
      </w:pPr>
      <w:r>
        <w:rPr/>
        <w:pict>
          <v:shape style="position:absolute;margin-left:535.634705pt;margin-top:29.616243pt;width:59.493346pt;height:26.794713pt;mso-position-horizontal-relative:page;mso-position-vertical-relative:paragraph;z-index:1888" type="#_x0000_t75" stroked="false">
            <v:imagedata r:id="rId36" o:title=""/>
          </v:shape>
        </w:pict>
      </w: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57</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37"/>
          <w:footerReference w:type="default" r:id="rId38"/>
          <w:pgSz w:w="11910" w:h="16840"/>
          <w:pgMar w:header="753" w:footer="0" w:top="1500" w:bottom="0" w:left="1660" w:right="0"/>
        </w:sectPr>
      </w:pPr>
    </w:p>
    <w:p>
      <w:pPr>
        <w:spacing w:line="530" w:lineRule="auto" w:before="25"/>
        <w:ind w:left="140" w:right="12178" w:firstLine="0"/>
        <w:jc w:val="left"/>
        <w:rPr>
          <w:rFonts w:ascii="宋体" w:hAnsi="宋体" w:cs="宋体" w:eastAsia="宋体" w:hint="default"/>
          <w:sz w:val="18"/>
          <w:szCs w:val="18"/>
        </w:rPr>
      </w:pPr>
      <w:r>
        <w:rPr/>
        <w:pict>
          <v:group style="position:absolute;margin-left:70.559998pt;margin-top:41.661732pt;width:700.9pt;height:.1pt;mso-position-horizontal-relative:page;mso-position-vertical-relative:paragraph;z-index:-1629544" coordorigin="1411,833" coordsize="14018,2">
            <v:shape style="position:absolute;left:1411;top:833;width:14018;height:2" coordorigin="1411,833" coordsize="14018,0" path="m1411,833l15429,833e" filled="false" stroked="true" strokeweight=".48pt" strokecolor="#000000">
              <v:path arrowok="t"/>
            </v:shape>
            <w10:wrap type="none"/>
          </v:group>
        </w:pict>
      </w:r>
      <w:r>
        <w:rPr>
          <w:rFonts w:ascii="宋体" w:hAnsi="宋体" w:cs="宋体" w:eastAsia="宋体" w:hint="default"/>
          <w:sz w:val="18"/>
          <w:szCs w:val="18"/>
        </w:rPr>
        <w:t>中国长城科技集团股份有限公司 财务报表附注</w:t>
      </w:r>
      <w:r>
        <w:rPr>
          <w:rFonts w:ascii="宋体" w:hAnsi="宋体" w:cs="宋体" w:eastAsia="宋体" w:hint="default"/>
          <w:sz w:val="18"/>
          <w:szCs w:val="18"/>
        </w:rPr>
        <w:t> </w:t>
      </w:r>
    </w:p>
    <w:p>
      <w:pPr>
        <w:spacing w:line="240" w:lineRule="auto" w:before="7"/>
        <w:rPr>
          <w:rFonts w:ascii="宋体" w:hAnsi="宋体" w:cs="宋体" w:eastAsia="宋体" w:hint="default"/>
          <w:sz w:val="10"/>
          <w:szCs w:val="10"/>
        </w:rPr>
      </w:pPr>
    </w:p>
    <w:p>
      <w:pPr>
        <w:pStyle w:val="Heading5"/>
        <w:spacing w:line="240" w:lineRule="auto"/>
        <w:ind w:left="140" w:right="12178"/>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 </w:t>
      </w:r>
      <w:r>
        <w:rPr>
          <w:rFonts w:ascii="Times New Roman" w:hAnsi="Times New Roman" w:cs="Times New Roman" w:eastAsia="Times New Roman" w:hint="default"/>
          <w:spacing w:val="47"/>
        </w:rPr>
        <w:t> </w:t>
      </w:r>
      <w:r>
        <w:rPr/>
        <w:t>长期股权投资</w:t>
      </w:r>
      <w:r>
        <w:rPr>
          <w:b w:val="0"/>
          <w:bCs w:val="0"/>
        </w:rPr>
      </w:r>
    </w:p>
    <w:tbl>
      <w:tblPr>
        <w:tblW w:w="0" w:type="auto"/>
        <w:jc w:val="left"/>
        <w:tblInd w:w="394" w:type="dxa"/>
        <w:tblLayout w:type="fixed"/>
        <w:tblCellMar>
          <w:top w:w="0" w:type="dxa"/>
          <w:left w:w="0" w:type="dxa"/>
          <w:bottom w:w="0" w:type="dxa"/>
          <w:right w:w="0" w:type="dxa"/>
        </w:tblCellMar>
        <w:tblLook w:val="01E0"/>
      </w:tblPr>
      <w:tblGrid>
        <w:gridCol w:w="2508"/>
        <w:gridCol w:w="1231"/>
        <w:gridCol w:w="1217"/>
        <w:gridCol w:w="638"/>
        <w:gridCol w:w="1272"/>
        <w:gridCol w:w="977"/>
        <w:gridCol w:w="1111"/>
        <w:gridCol w:w="1222"/>
        <w:gridCol w:w="989"/>
        <w:gridCol w:w="994"/>
        <w:gridCol w:w="1214"/>
        <w:gridCol w:w="936"/>
      </w:tblGrid>
      <w:tr>
        <w:trPr>
          <w:trHeight w:val="365" w:hRule="exact"/>
        </w:trPr>
        <w:tc>
          <w:tcPr>
            <w:tcW w:w="250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21" w:right="0"/>
              <w:jc w:val="center"/>
              <w:rPr>
                <w:rFonts w:ascii="宋体" w:hAnsi="宋体" w:cs="宋体" w:eastAsia="宋体" w:hint="default"/>
                <w:sz w:val="16"/>
                <w:szCs w:val="16"/>
              </w:rPr>
            </w:pPr>
            <w:r>
              <w:rPr>
                <w:rFonts w:ascii="宋体" w:hAnsi="宋体" w:cs="宋体" w:eastAsia="宋体" w:hint="default"/>
                <w:sz w:val="16"/>
                <w:szCs w:val="16"/>
              </w:rPr>
              <w:t>被投资单位</w:t>
            </w:r>
          </w:p>
        </w:tc>
        <w:tc>
          <w:tcPr>
            <w:tcW w:w="123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129"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8421"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本期增减变动</w:t>
            </w:r>
          </w:p>
        </w:tc>
        <w:tc>
          <w:tcPr>
            <w:tcW w:w="121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280"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936" w:type="dxa"/>
            <w:vMerge w:val="restart"/>
            <w:tcBorders>
              <w:top w:val="single" w:sz="12" w:space="0" w:color="000000"/>
              <w:left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06" w:lineRule="exact"/>
              <w:ind w:left="141" w:right="144"/>
              <w:jc w:val="left"/>
              <w:rPr>
                <w:rFonts w:ascii="宋体" w:hAnsi="宋体" w:cs="宋体" w:eastAsia="宋体" w:hint="default"/>
                <w:sz w:val="16"/>
                <w:szCs w:val="16"/>
              </w:rPr>
            </w:pPr>
            <w:r>
              <w:rPr>
                <w:rFonts w:ascii="宋体" w:hAnsi="宋体" w:cs="宋体" w:eastAsia="宋体" w:hint="default"/>
                <w:sz w:val="16"/>
                <w:szCs w:val="16"/>
              </w:rPr>
              <w:t>减值准备</w:t>
            </w:r>
            <w:r>
              <w:rPr>
                <w:rFonts w:ascii="宋体" w:hAnsi="宋体" w:cs="宋体" w:eastAsia="宋体" w:hint="default"/>
                <w:spacing w:val="-77"/>
                <w:sz w:val="16"/>
                <w:szCs w:val="16"/>
              </w:rPr>
              <w:t> </w:t>
            </w:r>
            <w:r>
              <w:rPr>
                <w:rFonts w:ascii="宋体" w:hAnsi="宋体" w:cs="宋体" w:eastAsia="宋体" w:hint="default"/>
                <w:sz w:val="16"/>
                <w:szCs w:val="16"/>
              </w:rPr>
              <w:t>期末余额</w:t>
            </w:r>
          </w:p>
        </w:tc>
      </w:tr>
      <w:tr>
        <w:trPr>
          <w:trHeight w:val="559" w:hRule="exact"/>
        </w:trPr>
        <w:tc>
          <w:tcPr>
            <w:tcW w:w="2508" w:type="dxa"/>
            <w:vMerge/>
            <w:tcBorders>
              <w:left w:val="nil" w:sz="6" w:space="0" w:color="auto"/>
              <w:bottom w:val="dotted" w:sz="4" w:space="0" w:color="000000"/>
              <w:right w:val="dotted" w:sz="4" w:space="0" w:color="000000"/>
            </w:tcBorders>
          </w:tcPr>
          <w:p>
            <w:pPr/>
          </w:p>
        </w:tc>
        <w:tc>
          <w:tcPr>
            <w:tcW w:w="1231" w:type="dxa"/>
            <w:vMerge/>
            <w:tcBorders>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3" w:right="0"/>
              <w:jc w:val="center"/>
              <w:rPr>
                <w:rFonts w:ascii="宋体" w:hAnsi="宋体" w:cs="宋体" w:eastAsia="宋体" w:hint="default"/>
                <w:sz w:val="16"/>
                <w:szCs w:val="16"/>
              </w:rPr>
            </w:pPr>
            <w:r>
              <w:rPr>
                <w:rFonts w:ascii="宋体" w:hAnsi="宋体" w:cs="宋体" w:eastAsia="宋体" w:hint="default"/>
                <w:sz w:val="16"/>
                <w:szCs w:val="16"/>
              </w:rPr>
              <w:t>追加投资</w:t>
            </w:r>
          </w:p>
        </w:tc>
        <w:tc>
          <w:tcPr>
            <w:tcW w:w="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53" w:right="151"/>
              <w:jc w:val="left"/>
              <w:rPr>
                <w:rFonts w:ascii="宋体" w:hAnsi="宋体" w:cs="宋体" w:eastAsia="宋体" w:hint="default"/>
                <w:sz w:val="16"/>
                <w:szCs w:val="16"/>
              </w:rPr>
            </w:pPr>
            <w:r>
              <w:rPr>
                <w:rFonts w:ascii="宋体" w:hAnsi="宋体" w:cs="宋体" w:eastAsia="宋体" w:hint="default"/>
                <w:sz w:val="16"/>
                <w:szCs w:val="16"/>
              </w:rPr>
              <w:t>减少</w:t>
            </w:r>
            <w:r>
              <w:rPr>
                <w:rFonts w:ascii="宋体" w:hAnsi="宋体" w:cs="宋体" w:eastAsia="宋体" w:hint="default"/>
                <w:w w:val="100"/>
                <w:sz w:val="16"/>
                <w:szCs w:val="16"/>
              </w:rPr>
              <w:t> </w:t>
            </w:r>
            <w:r>
              <w:rPr>
                <w:rFonts w:ascii="宋体" w:hAnsi="宋体" w:cs="宋体" w:eastAsia="宋体" w:hint="default"/>
                <w:sz w:val="16"/>
                <w:szCs w:val="16"/>
              </w:rPr>
              <w:t>投资</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232" w:right="146" w:hanging="82"/>
              <w:jc w:val="left"/>
              <w:rPr>
                <w:rFonts w:ascii="宋体" w:hAnsi="宋体" w:cs="宋体" w:eastAsia="宋体" w:hint="default"/>
                <w:sz w:val="16"/>
                <w:szCs w:val="16"/>
              </w:rPr>
            </w:pPr>
            <w:r>
              <w:rPr>
                <w:rFonts w:ascii="宋体" w:hAnsi="宋体" w:cs="宋体" w:eastAsia="宋体" w:hint="default"/>
                <w:sz w:val="16"/>
                <w:szCs w:val="16"/>
              </w:rPr>
              <w:t>权益法下确认</w:t>
            </w:r>
            <w:r>
              <w:rPr>
                <w:rFonts w:ascii="宋体" w:hAnsi="宋体" w:cs="宋体" w:eastAsia="宋体" w:hint="default"/>
                <w:w w:val="100"/>
                <w:sz w:val="16"/>
                <w:szCs w:val="16"/>
              </w:rPr>
              <w:t> </w:t>
            </w:r>
            <w:r>
              <w:rPr>
                <w:rFonts w:ascii="宋体" w:hAnsi="宋体" w:cs="宋体" w:eastAsia="宋体" w:hint="default"/>
                <w:sz w:val="16"/>
                <w:szCs w:val="16"/>
              </w:rPr>
              <w:t>的投资损益</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63" w:right="159"/>
              <w:jc w:val="left"/>
              <w:rPr>
                <w:rFonts w:ascii="宋体" w:hAnsi="宋体" w:cs="宋体" w:eastAsia="宋体" w:hint="default"/>
                <w:sz w:val="16"/>
                <w:szCs w:val="16"/>
              </w:rPr>
            </w:pPr>
            <w:r>
              <w:rPr>
                <w:rFonts w:ascii="宋体" w:hAnsi="宋体" w:cs="宋体" w:eastAsia="宋体" w:hint="default"/>
                <w:sz w:val="16"/>
                <w:szCs w:val="16"/>
              </w:rPr>
              <w:t>其他综合</w:t>
            </w:r>
            <w:r>
              <w:rPr>
                <w:rFonts w:ascii="宋体" w:hAnsi="宋体" w:cs="宋体" w:eastAsia="宋体" w:hint="default"/>
                <w:spacing w:val="-77"/>
                <w:sz w:val="16"/>
                <w:szCs w:val="16"/>
              </w:rPr>
              <w:t> </w:t>
            </w:r>
            <w:r>
              <w:rPr>
                <w:rFonts w:ascii="宋体" w:hAnsi="宋体" w:cs="宋体" w:eastAsia="宋体" w:hint="default"/>
                <w:sz w:val="16"/>
                <w:szCs w:val="16"/>
              </w:rPr>
              <w:t>收益调整</w:t>
            </w:r>
          </w:p>
        </w:tc>
        <w:tc>
          <w:tcPr>
            <w:tcW w:w="11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467" w:right="149" w:hanging="320"/>
              <w:jc w:val="left"/>
              <w:rPr>
                <w:rFonts w:ascii="宋体" w:hAnsi="宋体" w:cs="宋体" w:eastAsia="宋体" w:hint="default"/>
                <w:sz w:val="16"/>
                <w:szCs w:val="16"/>
              </w:rPr>
            </w:pPr>
            <w:r>
              <w:rPr>
                <w:rFonts w:ascii="宋体" w:hAnsi="宋体" w:cs="宋体" w:eastAsia="宋体" w:hint="default"/>
                <w:sz w:val="16"/>
                <w:szCs w:val="16"/>
              </w:rPr>
              <w:t>其他权益变</w:t>
            </w:r>
            <w:r>
              <w:rPr>
                <w:rFonts w:ascii="宋体" w:hAnsi="宋体" w:cs="宋体" w:eastAsia="宋体" w:hint="default"/>
                <w:w w:val="100"/>
                <w:sz w:val="16"/>
                <w:szCs w:val="16"/>
              </w:rPr>
              <w:t> </w:t>
            </w:r>
            <w:r>
              <w:rPr>
                <w:rFonts w:ascii="宋体" w:hAnsi="宋体" w:cs="宋体" w:eastAsia="宋体" w:hint="default"/>
                <w:sz w:val="16"/>
                <w:szCs w:val="16"/>
              </w:rPr>
              <w:t>动</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206" w:right="122" w:hanging="82"/>
              <w:jc w:val="left"/>
              <w:rPr>
                <w:rFonts w:ascii="宋体" w:hAnsi="宋体" w:cs="宋体" w:eastAsia="宋体" w:hint="default"/>
                <w:sz w:val="16"/>
                <w:szCs w:val="16"/>
              </w:rPr>
            </w:pPr>
            <w:r>
              <w:rPr>
                <w:rFonts w:ascii="宋体" w:hAnsi="宋体" w:cs="宋体" w:eastAsia="宋体" w:hint="default"/>
                <w:sz w:val="16"/>
                <w:szCs w:val="16"/>
              </w:rPr>
              <w:t>宣告发放现金</w:t>
            </w:r>
            <w:r>
              <w:rPr>
                <w:rFonts w:ascii="宋体" w:hAnsi="宋体" w:cs="宋体" w:eastAsia="宋体" w:hint="default"/>
                <w:w w:val="100"/>
                <w:sz w:val="16"/>
                <w:szCs w:val="16"/>
              </w:rPr>
              <w:t> </w:t>
            </w:r>
            <w:r>
              <w:rPr>
                <w:rFonts w:ascii="宋体" w:hAnsi="宋体" w:cs="宋体" w:eastAsia="宋体" w:hint="default"/>
                <w:sz w:val="16"/>
                <w:szCs w:val="16"/>
              </w:rPr>
              <w:t>股利或利润</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328" w:right="167" w:hanging="161"/>
              <w:jc w:val="left"/>
              <w:rPr>
                <w:rFonts w:ascii="宋体" w:hAnsi="宋体" w:cs="宋体" w:eastAsia="宋体" w:hint="default"/>
                <w:sz w:val="16"/>
                <w:szCs w:val="16"/>
              </w:rPr>
            </w:pPr>
            <w:r>
              <w:rPr>
                <w:rFonts w:ascii="宋体" w:hAnsi="宋体" w:cs="宋体" w:eastAsia="宋体" w:hint="default"/>
                <w:sz w:val="16"/>
                <w:szCs w:val="16"/>
              </w:rPr>
              <w:t>计提减值</w:t>
            </w:r>
            <w:r>
              <w:rPr>
                <w:rFonts w:ascii="宋体" w:hAnsi="宋体" w:cs="宋体" w:eastAsia="宋体" w:hint="default"/>
                <w:spacing w:val="-77"/>
                <w:sz w:val="16"/>
                <w:szCs w:val="16"/>
              </w:rPr>
              <w:t> </w:t>
            </w:r>
            <w:r>
              <w:rPr>
                <w:rFonts w:ascii="宋体" w:hAnsi="宋体" w:cs="宋体" w:eastAsia="宋体" w:hint="default"/>
                <w:sz w:val="16"/>
                <w:szCs w:val="16"/>
              </w:rPr>
              <w:t>准备</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214" w:type="dxa"/>
            <w:vMerge/>
            <w:tcBorders>
              <w:left w:val="dotted" w:sz="4" w:space="0" w:color="000000"/>
              <w:bottom w:val="dotted" w:sz="4" w:space="0" w:color="000000"/>
              <w:right w:val="dotted" w:sz="4" w:space="0" w:color="000000"/>
            </w:tcBorders>
          </w:tcPr>
          <w:p>
            <w:pPr/>
          </w:p>
        </w:tc>
        <w:tc>
          <w:tcPr>
            <w:tcW w:w="936" w:type="dxa"/>
            <w:vMerge/>
            <w:tcBorders>
              <w:left w:val="dotted" w:sz="4" w:space="0" w:color="000000"/>
              <w:bottom w:val="dotted" w:sz="4" w:space="0" w:color="000000"/>
              <w:right w:val="nil" w:sz="6" w:space="0" w:color="auto"/>
            </w:tcBorders>
          </w:tcPr>
          <w:p>
            <w:pP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．合营企业</w:t>
            </w:r>
          </w:p>
        </w:tc>
        <w:tc>
          <w:tcPr>
            <w:tcW w:w="123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23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．联营企业</w:t>
            </w:r>
          </w:p>
        </w:tc>
        <w:tc>
          <w:tcPr>
            <w:tcW w:w="123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12,748,886.94</w:t>
            </w: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7,761,295.41</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0"/>
              <w:jc w:val="center"/>
              <w:rPr>
                <w:rFonts w:ascii="Times New Roman" w:hAnsi="Times New Roman" w:cs="Times New Roman" w:eastAsia="Times New Roman" w:hint="default"/>
                <w:sz w:val="16"/>
                <w:szCs w:val="16"/>
              </w:rPr>
            </w:pPr>
            <w:r>
              <w:rPr>
                <w:rFonts w:ascii="Times New Roman"/>
                <w:sz w:val="16"/>
              </w:rPr>
              <w:t>-258,184.16</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20,251,998.19</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长信数码信息文化发展有限公司</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133,414.89</w:t>
            </w: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133,414.89</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18,692,641.26</w:t>
            </w: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1,903,401.83</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20,596,043.09</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广州鼎甲计算机科技有限公司</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29,621,147.82</w:t>
            </w: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3,495,183.50</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3,654,558.33</w:t>
            </w: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36,770,889.65</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武汉长江融达电子有限公司</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12,576,741.60</w:t>
            </w: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838,900.04</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13,415,641.64</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137"/>
              <w:jc w:val="left"/>
              <w:rPr>
                <w:rFonts w:ascii="宋体" w:hAnsi="宋体" w:cs="宋体" w:eastAsia="宋体" w:hint="default"/>
                <w:sz w:val="16"/>
                <w:szCs w:val="16"/>
              </w:rPr>
            </w:pPr>
            <w:r>
              <w:rPr>
                <w:rFonts w:ascii="宋体" w:hAnsi="宋体" w:cs="宋体" w:eastAsia="宋体" w:hint="default"/>
                <w:spacing w:val="-1"/>
                <w:sz w:val="16"/>
                <w:szCs w:val="16"/>
              </w:rPr>
              <w:t>湖南中电长城信息技术服务运营</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有限公司</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898,848.28</w:t>
            </w: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-730,387.67</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168,460.61</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6"/>
                <w:szCs w:val="16"/>
              </w:rPr>
            </w:pPr>
            <w:r>
              <w:rPr>
                <w:rFonts w:ascii="宋体" w:hAnsi="宋体" w:cs="宋体" w:eastAsia="宋体" w:hint="default"/>
                <w:sz w:val="16"/>
                <w:szCs w:val="16"/>
              </w:rPr>
              <w:t>深圳中电蓝海控股有限公司</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9,800,000.00</w:t>
            </w: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-3,526,941.06</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6,273,058.94</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中科长城海洋信息系统有限公司</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8,383,601.86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161" w:right="0"/>
              <w:jc w:val="center"/>
              <w:rPr>
                <w:rFonts w:ascii="Times New Roman" w:hAnsi="Times New Roman" w:cs="Times New Roman" w:eastAsia="Times New Roman" w:hint="default"/>
                <w:sz w:val="16"/>
                <w:szCs w:val="16"/>
              </w:rPr>
            </w:pPr>
            <w:r>
              <w:rPr>
                <w:rFonts w:ascii="Times New Roman"/>
                <w:sz w:val="16"/>
              </w:rPr>
              <w:t>3,400,000.00</w:t>
            </w: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2"/>
                <w:sz w:val="16"/>
              </w:rPr>
              <w:t>-9,911,151.29</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1,872,450.57</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长城超云（北京）科技有限公司</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216,531,914.13</w:t>
            </w: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2"/>
                <w:sz w:val="16"/>
              </w:rPr>
              <w:t>13,882,133.73</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230,414,047.86</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6"/>
              <w:ind w:left="122" w:right="0"/>
              <w:jc w:val="left"/>
              <w:rPr>
                <w:rFonts w:ascii="宋体" w:hAnsi="宋体" w:cs="宋体" w:eastAsia="宋体" w:hint="default"/>
                <w:sz w:val="16"/>
                <w:szCs w:val="16"/>
              </w:rPr>
            </w:pPr>
            <w:r>
              <w:rPr>
                <w:rFonts w:ascii="宋体" w:hAnsi="宋体" w:cs="宋体" w:eastAsia="宋体" w:hint="default"/>
                <w:sz w:val="16"/>
                <w:szCs w:val="16"/>
              </w:rPr>
              <w:t>长沙军民先进技术研究有限公司</w:t>
            </w:r>
          </w:p>
        </w:tc>
        <w:tc>
          <w:tcPr>
            <w:tcW w:w="123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3"/>
              <w:ind w:left="161" w:right="0"/>
              <w:jc w:val="center"/>
              <w:rPr>
                <w:rFonts w:ascii="Times New Roman" w:hAnsi="Times New Roman" w:cs="Times New Roman" w:eastAsia="Times New Roman" w:hint="default"/>
                <w:sz w:val="16"/>
                <w:szCs w:val="16"/>
              </w:rPr>
            </w:pPr>
            <w:r>
              <w:rPr>
                <w:rFonts w:ascii="Times New Roman"/>
                <w:sz w:val="16"/>
              </w:rPr>
              <w:t>4,000,000.00</w:t>
            </w: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3"/>
              <w:ind w:right="98"/>
              <w:jc w:val="right"/>
              <w:rPr>
                <w:rFonts w:ascii="Times New Roman" w:hAnsi="Times New Roman" w:cs="Times New Roman" w:eastAsia="Times New Roman" w:hint="default"/>
                <w:sz w:val="16"/>
                <w:szCs w:val="16"/>
              </w:rPr>
            </w:pPr>
            <w:r>
              <w:rPr>
                <w:rFonts w:ascii="Times New Roman"/>
                <w:spacing w:val="-1"/>
                <w:sz w:val="16"/>
              </w:rPr>
              <w:t>2,717.06</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3"/>
              <w:ind w:right="100"/>
              <w:jc w:val="right"/>
              <w:rPr>
                <w:rFonts w:ascii="Times New Roman" w:hAnsi="Times New Roman" w:cs="Times New Roman" w:eastAsia="Times New Roman" w:hint="default"/>
                <w:sz w:val="16"/>
                <w:szCs w:val="16"/>
              </w:rPr>
            </w:pPr>
            <w:r>
              <w:rPr>
                <w:rFonts w:ascii="Times New Roman"/>
                <w:spacing w:val="-1"/>
                <w:sz w:val="16"/>
              </w:rPr>
              <w:t>4,002,717.06</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郑州蓝普锋自动化技术有限公司</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2,886,731.83</w:t>
            </w: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-57,557.72</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328,951.89</w:t>
            </w: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2,500,222.22</w:t>
            </w:r>
          </w:p>
        </w:tc>
        <w:tc>
          <w:tcPr>
            <w:tcW w:w="9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328,951.89</w:t>
            </w: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河南中电网安数据科技有限公司</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1,500,000.00</w:t>
            </w:r>
          </w:p>
        </w:tc>
        <w:tc>
          <w:tcPr>
            <w:tcW w:w="1217" w:type="dxa"/>
            <w:tcBorders>
              <w:top w:val="dotted" w:sz="4" w:space="0" w:color="000000"/>
              <w:left w:val="dotted" w:sz="4" w:space="0" w:color="000000"/>
              <w:bottom w:val="dotted" w:sz="4" w:space="0" w:color="000000"/>
              <w:right w:val="dotted" w:sz="4" w:space="0" w:color="000000"/>
            </w:tcBorders>
          </w:tcPr>
          <w:p>
            <w:pP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-513,894.52</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974.61</w:t>
            </w: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985,130.87</w:t>
            </w:r>
          </w:p>
        </w:tc>
        <w:tc>
          <w:tcPr>
            <w:tcW w:w="9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974.61</w:t>
            </w: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山西长城科技信息有限公司</w:t>
            </w:r>
          </w:p>
        </w:tc>
        <w:tc>
          <w:tcPr>
            <w:tcW w:w="123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81" w:right="0"/>
              <w:jc w:val="center"/>
              <w:rPr>
                <w:rFonts w:ascii="Times New Roman" w:hAnsi="Times New Roman" w:cs="Times New Roman" w:eastAsia="Times New Roman" w:hint="default"/>
                <w:sz w:val="16"/>
                <w:szCs w:val="16"/>
              </w:rPr>
            </w:pPr>
            <w:r>
              <w:rPr>
                <w:rFonts w:ascii="Times New Roman"/>
                <w:sz w:val="16"/>
              </w:rPr>
              <w:t>20,000,000.00</w:t>
            </w: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-730,514.88</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19,269,485.12</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6"/>
                <w:szCs w:val="16"/>
              </w:rPr>
            </w:pPr>
            <w:r>
              <w:rPr>
                <w:rFonts w:ascii="宋体" w:hAnsi="宋体" w:cs="宋体" w:eastAsia="宋体" w:hint="default"/>
                <w:sz w:val="16"/>
                <w:szCs w:val="16"/>
              </w:rPr>
              <w:t>天津飞腾信息技术有限公司</w:t>
            </w:r>
          </w:p>
        </w:tc>
        <w:tc>
          <w:tcPr>
            <w:tcW w:w="123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0"/>
              <w:jc w:val="center"/>
              <w:rPr>
                <w:rFonts w:ascii="Times New Roman" w:hAnsi="Times New Roman" w:cs="Times New Roman" w:eastAsia="Times New Roman" w:hint="default"/>
                <w:sz w:val="16"/>
                <w:szCs w:val="16"/>
              </w:rPr>
            </w:pPr>
            <w:r>
              <w:rPr>
                <w:rFonts w:ascii="Times New Roman"/>
                <w:sz w:val="16"/>
              </w:rPr>
              <w:t>302,190,000.00</w:t>
            </w: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-1,949,773.27</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-9,206,460.83</w:t>
            </w: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291,033,765.90</w:t>
            </w:r>
          </w:p>
        </w:tc>
        <w:tc>
          <w:tcPr>
            <w:tcW w:w="93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313,773,928.61</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0"/>
              <w:jc w:val="center"/>
              <w:rPr>
                <w:rFonts w:ascii="Times New Roman" w:hAnsi="Times New Roman" w:cs="Times New Roman" w:eastAsia="Times New Roman" w:hint="default"/>
                <w:sz w:val="16"/>
                <w:szCs w:val="16"/>
              </w:rPr>
            </w:pPr>
            <w:r>
              <w:rPr>
                <w:rFonts w:ascii="Times New Roman"/>
                <w:sz w:val="16"/>
              </w:rPr>
              <w:t>329,590,000.00</w:t>
            </w:r>
          </w:p>
        </w:tc>
        <w:tc>
          <w:tcPr>
            <w:tcW w:w="638" w:type="dxa"/>
            <w:tcBorders>
              <w:top w:val="dotted" w:sz="4" w:space="0" w:color="000000"/>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7"/>
              <w:jc w:val="right"/>
              <w:rPr>
                <w:rFonts w:ascii="Times New Roman" w:hAnsi="Times New Roman" w:cs="Times New Roman" w:eastAsia="Times New Roman" w:hint="default"/>
                <w:sz w:val="16"/>
                <w:szCs w:val="16"/>
              </w:rPr>
            </w:pPr>
            <w:r>
              <w:rPr>
                <w:rFonts w:ascii="Times New Roman"/>
                <w:spacing w:val="-2"/>
                <w:sz w:val="16"/>
              </w:rPr>
              <w:t>10,463,411.16</w:t>
            </w:r>
          </w:p>
        </w:tc>
        <w:tc>
          <w:tcPr>
            <w:tcW w:w="977"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6"/>
                <w:szCs w:val="16"/>
              </w:rPr>
            </w:pPr>
            <w:r>
              <w:rPr>
                <w:rFonts w:ascii="Times New Roman"/>
                <w:spacing w:val="-1"/>
                <w:sz w:val="16"/>
              </w:rPr>
              <w:t>-5,551,902.50</w:t>
            </w:r>
          </w:p>
        </w:tc>
        <w:tc>
          <w:tcPr>
            <w:tcW w:w="1222"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329,926.50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0"/>
              <w:jc w:val="center"/>
              <w:rPr>
                <w:rFonts w:ascii="Times New Roman" w:hAnsi="Times New Roman" w:cs="Times New Roman" w:eastAsia="Times New Roman" w:hint="default"/>
                <w:sz w:val="16"/>
                <w:szCs w:val="16"/>
              </w:rPr>
            </w:pPr>
            <w:r>
              <w:rPr>
                <w:rFonts w:ascii="Times New Roman"/>
                <w:sz w:val="16"/>
              </w:rPr>
              <w:t>-258,184.16</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647,687,326.61</w:t>
            </w:r>
          </w:p>
        </w:tc>
        <w:tc>
          <w:tcPr>
            <w:tcW w:w="9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6"/>
                <w:szCs w:val="16"/>
              </w:rPr>
            </w:pPr>
            <w:r>
              <w:rPr>
                <w:rFonts w:ascii="Times New Roman"/>
                <w:spacing w:val="-1"/>
                <w:sz w:val="16"/>
              </w:rPr>
              <w:t>329,926.50</w:t>
            </w:r>
          </w:p>
        </w:tc>
      </w:tr>
      <w:tr>
        <w:trPr>
          <w:trHeight w:val="355" w:hRule="exact"/>
        </w:trPr>
        <w:tc>
          <w:tcPr>
            <w:tcW w:w="25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6"/>
              <w:ind w:left="2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3"/>
              <w:ind w:right="100"/>
              <w:jc w:val="right"/>
              <w:rPr>
                <w:rFonts w:ascii="Times New Roman" w:hAnsi="Times New Roman" w:cs="Times New Roman" w:eastAsia="Times New Roman" w:hint="default"/>
                <w:sz w:val="16"/>
                <w:szCs w:val="16"/>
              </w:rPr>
            </w:pPr>
            <w:r>
              <w:rPr>
                <w:rFonts w:ascii="Times New Roman"/>
                <w:spacing w:val="-1"/>
                <w:sz w:val="16"/>
              </w:rPr>
              <w:t>313,773,928.61</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3"/>
              <w:ind w:right="0"/>
              <w:jc w:val="center"/>
              <w:rPr>
                <w:rFonts w:ascii="Times New Roman" w:hAnsi="Times New Roman" w:cs="Times New Roman" w:eastAsia="Times New Roman" w:hint="default"/>
                <w:sz w:val="16"/>
                <w:szCs w:val="16"/>
              </w:rPr>
            </w:pPr>
            <w:r>
              <w:rPr>
                <w:rFonts w:ascii="Times New Roman"/>
                <w:sz w:val="16"/>
              </w:rPr>
              <w:t>329,590,000.00</w:t>
            </w:r>
          </w:p>
        </w:tc>
        <w:tc>
          <w:tcPr>
            <w:tcW w:w="638" w:type="dxa"/>
            <w:tcBorders>
              <w:top w:val="dotted" w:sz="4" w:space="0" w:color="000000"/>
              <w:left w:val="dotted" w:sz="4" w:space="0" w:color="000000"/>
              <w:bottom w:val="single" w:sz="12" w:space="0" w:color="000000"/>
              <w:right w:val="dotted" w:sz="4" w:space="0" w:color="000000"/>
            </w:tcBorders>
          </w:tcPr>
          <w:p>
            <w:pPr/>
          </w:p>
        </w:tc>
        <w:tc>
          <w:tcPr>
            <w:tcW w:w="1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3"/>
              <w:ind w:right="97"/>
              <w:jc w:val="right"/>
              <w:rPr>
                <w:rFonts w:ascii="Times New Roman" w:hAnsi="Times New Roman" w:cs="Times New Roman" w:eastAsia="Times New Roman" w:hint="default"/>
                <w:sz w:val="16"/>
                <w:szCs w:val="16"/>
              </w:rPr>
            </w:pPr>
            <w:r>
              <w:rPr>
                <w:rFonts w:ascii="Times New Roman"/>
                <w:spacing w:val="-2"/>
                <w:sz w:val="16"/>
              </w:rPr>
              <w:t>10,463,411.16</w:t>
            </w:r>
          </w:p>
        </w:tc>
        <w:tc>
          <w:tcPr>
            <w:tcW w:w="977" w:type="dxa"/>
            <w:tcBorders>
              <w:top w:val="dotted" w:sz="4" w:space="0" w:color="000000"/>
              <w:left w:val="dotted" w:sz="4" w:space="0" w:color="000000"/>
              <w:bottom w:val="single" w:sz="12" w:space="0" w:color="000000"/>
              <w:right w:val="dotted" w:sz="4" w:space="0" w:color="000000"/>
            </w:tcBorders>
          </w:tcPr>
          <w:p>
            <w:pPr/>
          </w:p>
        </w:tc>
        <w:tc>
          <w:tcPr>
            <w:tcW w:w="11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3"/>
              <w:ind w:right="103"/>
              <w:jc w:val="right"/>
              <w:rPr>
                <w:rFonts w:ascii="Times New Roman" w:hAnsi="Times New Roman" w:cs="Times New Roman" w:eastAsia="Times New Roman" w:hint="default"/>
                <w:sz w:val="16"/>
                <w:szCs w:val="16"/>
              </w:rPr>
            </w:pPr>
            <w:r>
              <w:rPr>
                <w:rFonts w:ascii="Times New Roman"/>
                <w:spacing w:val="-1"/>
                <w:sz w:val="16"/>
              </w:rPr>
              <w:t>-5,551,902.50</w:t>
            </w:r>
          </w:p>
        </w:tc>
        <w:tc>
          <w:tcPr>
            <w:tcW w:w="1222" w:type="dxa"/>
            <w:tcBorders>
              <w:top w:val="dotted" w:sz="4" w:space="0" w:color="000000"/>
              <w:left w:val="dotted" w:sz="4" w:space="0" w:color="000000"/>
              <w:bottom w:val="single" w:sz="12" w:space="0" w:color="000000"/>
              <w:right w:val="dotted" w:sz="4" w:space="0" w:color="000000"/>
            </w:tcBorders>
          </w:tcPr>
          <w:p>
            <w:pPr/>
          </w:p>
        </w:tc>
        <w:tc>
          <w:tcPr>
            <w:tcW w:w="9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3"/>
              <w:ind w:right="100"/>
              <w:jc w:val="right"/>
              <w:rPr>
                <w:rFonts w:ascii="Times New Roman" w:hAnsi="Times New Roman" w:cs="Times New Roman" w:eastAsia="Times New Roman" w:hint="default"/>
                <w:sz w:val="16"/>
                <w:szCs w:val="16"/>
              </w:rPr>
            </w:pPr>
            <w:r>
              <w:rPr>
                <w:rFonts w:ascii="Times New Roman"/>
                <w:spacing w:val="-1"/>
                <w:sz w:val="16"/>
              </w:rPr>
              <w:t>329,926.50</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3"/>
              <w:ind w:right="0"/>
              <w:jc w:val="center"/>
              <w:rPr>
                <w:rFonts w:ascii="Times New Roman" w:hAnsi="Times New Roman" w:cs="Times New Roman" w:eastAsia="Times New Roman" w:hint="default"/>
                <w:sz w:val="16"/>
                <w:szCs w:val="16"/>
              </w:rPr>
            </w:pPr>
            <w:r>
              <w:rPr>
                <w:rFonts w:ascii="Times New Roman"/>
                <w:sz w:val="16"/>
              </w:rPr>
              <w:t>-258,184.16</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3"/>
              <w:ind w:right="100"/>
              <w:jc w:val="right"/>
              <w:rPr>
                <w:rFonts w:ascii="Times New Roman" w:hAnsi="Times New Roman" w:cs="Times New Roman" w:eastAsia="Times New Roman" w:hint="default"/>
                <w:sz w:val="16"/>
                <w:szCs w:val="16"/>
              </w:rPr>
            </w:pPr>
            <w:r>
              <w:rPr>
                <w:rFonts w:ascii="Times New Roman"/>
                <w:spacing w:val="-1"/>
                <w:sz w:val="16"/>
              </w:rPr>
              <w:t>647,687,326.61</w:t>
            </w:r>
          </w:p>
        </w:tc>
        <w:tc>
          <w:tcPr>
            <w:tcW w:w="93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6"/>
                <w:szCs w:val="16"/>
              </w:rPr>
            </w:pPr>
            <w:r>
              <w:rPr>
                <w:rFonts w:ascii="Times New Roman"/>
                <w:spacing w:val="-1"/>
                <w:sz w:val="16"/>
              </w:rPr>
              <w:t>329,926.50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before="0"/>
        <w:ind w:left="6244" w:right="6861" w:firstLine="0"/>
        <w:jc w:val="center"/>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58</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36"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39"/>
          <w:footerReference w:type="default" r:id="rId40"/>
          <w:pgSz w:w="16840" w:h="11910" w:orient="landscape"/>
          <w:pgMar w:header="0" w:footer="0" w:top="780" w:bottom="0" w:left="1300" w:right="680"/>
        </w:sectPr>
      </w:pPr>
    </w:p>
    <w:p>
      <w:pPr>
        <w:spacing w:line="240" w:lineRule="auto" w:before="12"/>
        <w:rPr>
          <w:rFonts w:ascii="宋体" w:hAnsi="宋体" w:cs="宋体" w:eastAsia="宋体" w:hint="default"/>
          <w:sz w:val="22"/>
          <w:szCs w:val="22"/>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rFonts w:ascii="Times New Roman" w:hAnsi="Times New Roman" w:cs="Times New Roman" w:eastAsia="Times New Roman" w:hint="default"/>
          <w:spacing w:val="48"/>
        </w:rPr>
        <w:t> </w:t>
      </w:r>
      <w:r>
        <w:rPr/>
        <w:t>其他权益工具投资</w:t>
      </w:r>
      <w:r>
        <w:rPr>
          <w:b w:val="0"/>
          <w:bCs w:val="0"/>
        </w:rPr>
      </w:r>
    </w:p>
    <w:p>
      <w:pPr>
        <w:pStyle w:val="Heading5"/>
        <w:tabs>
          <w:tab w:pos="1397" w:val="left" w:leader="none"/>
        </w:tabs>
        <w:spacing w:line="240" w:lineRule="auto" w:before="69"/>
        <w:ind w:left="846" w:right="3683"/>
        <w:jc w:val="left"/>
        <w:rPr>
          <w:b w:val="0"/>
          <w:bCs w:val="0"/>
        </w:rPr>
      </w:pPr>
      <w:r>
        <w:rPr>
          <w:rFonts w:ascii="Times New Roman" w:hAnsi="Times New Roman" w:cs="Times New Roman" w:eastAsia="Times New Roman" w:hint="default"/>
        </w:rPr>
        <w:t>1</w:t>
      </w:r>
      <w:r>
        <w:rPr/>
        <w:t>、</w:t>
        <w:tab/>
      </w:r>
      <w:r>
        <w:rPr>
          <w:spacing w:val="-1"/>
        </w:rPr>
        <w:t>其他权益工具投资情况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4136"/>
        <w:gridCol w:w="4069"/>
      </w:tblGrid>
      <w:tr>
        <w:trPr>
          <w:trHeight w:val="377" w:hRule="exact"/>
        </w:trPr>
        <w:tc>
          <w:tcPr>
            <w:tcW w:w="413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8"/>
              <w:ind w:right="1893"/>
              <w:jc w:val="right"/>
              <w:rPr>
                <w:rFonts w:ascii="宋体" w:hAnsi="宋体" w:cs="宋体" w:eastAsia="宋体" w:hint="default"/>
                <w:sz w:val="16"/>
                <w:szCs w:val="16"/>
              </w:rPr>
            </w:pPr>
            <w:r>
              <w:rPr>
                <w:rFonts w:ascii="宋体" w:hAnsi="宋体" w:cs="宋体" w:eastAsia="宋体" w:hint="default"/>
                <w:sz w:val="16"/>
                <w:szCs w:val="16"/>
              </w:rPr>
              <w:t>项目</w:t>
            </w:r>
          </w:p>
        </w:tc>
        <w:tc>
          <w:tcPr>
            <w:tcW w:w="40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8"/>
              <w:ind w:right="5"/>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67" w:hRule="exact"/>
        </w:trPr>
        <w:tc>
          <w:tcPr>
            <w:tcW w:w="41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6"/>
                <w:szCs w:val="16"/>
              </w:rPr>
            </w:pPr>
            <w:r>
              <w:rPr>
                <w:rFonts w:ascii="宋体" w:hAnsi="宋体" w:cs="宋体" w:eastAsia="宋体" w:hint="default"/>
                <w:sz w:val="16"/>
                <w:szCs w:val="16"/>
              </w:rPr>
              <w:t>非上市公司股权</w:t>
            </w:r>
          </w:p>
        </w:tc>
        <w:tc>
          <w:tcPr>
            <w:tcW w:w="40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213,398,640.00</w:t>
            </w:r>
          </w:p>
        </w:tc>
      </w:tr>
      <w:tr>
        <w:trPr>
          <w:trHeight w:val="377" w:hRule="exact"/>
        </w:trPr>
        <w:tc>
          <w:tcPr>
            <w:tcW w:w="413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6"/>
              <w:ind w:right="1893"/>
              <w:jc w:val="right"/>
              <w:rPr>
                <w:rFonts w:ascii="宋体" w:hAnsi="宋体" w:cs="宋体" w:eastAsia="宋体" w:hint="default"/>
                <w:sz w:val="16"/>
                <w:szCs w:val="16"/>
              </w:rPr>
            </w:pPr>
            <w:r>
              <w:rPr>
                <w:rFonts w:ascii="宋体" w:hAnsi="宋体" w:cs="宋体" w:eastAsia="宋体" w:hint="default"/>
                <w:sz w:val="16"/>
                <w:szCs w:val="16"/>
              </w:rPr>
              <w:t>合计</w:t>
            </w:r>
          </w:p>
        </w:tc>
        <w:tc>
          <w:tcPr>
            <w:tcW w:w="40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213,398,640.00</w:t>
            </w:r>
          </w:p>
        </w:tc>
      </w:tr>
    </w:tbl>
    <w:p>
      <w:pPr>
        <w:pStyle w:val="Heading5"/>
        <w:tabs>
          <w:tab w:pos="1397" w:val="left" w:leader="none"/>
        </w:tabs>
        <w:spacing w:line="240" w:lineRule="auto" w:before="69"/>
        <w:ind w:left="846" w:right="3683"/>
        <w:jc w:val="left"/>
        <w:rPr>
          <w:b w:val="0"/>
          <w:bCs w:val="0"/>
        </w:rPr>
      </w:pPr>
      <w:r>
        <w:rPr>
          <w:rFonts w:ascii="Times New Roman" w:hAnsi="Times New Roman" w:cs="Times New Roman" w:eastAsia="Times New Roman" w:hint="default"/>
        </w:rPr>
        <w:t>2</w:t>
      </w:r>
      <w:r>
        <w:rPr/>
        <w:t>、</w:t>
        <w:tab/>
      </w:r>
      <w:r>
        <w:rPr>
          <w:spacing w:val="-1"/>
        </w:rPr>
        <w:t>非交易性权益工具投资的情况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509"/>
        <w:gridCol w:w="1056"/>
        <w:gridCol w:w="1136"/>
        <w:gridCol w:w="1190"/>
        <w:gridCol w:w="925"/>
        <w:gridCol w:w="1020"/>
        <w:gridCol w:w="950"/>
      </w:tblGrid>
      <w:tr>
        <w:trPr>
          <w:trHeight w:val="1114" w:hRule="exact"/>
        </w:trPr>
        <w:tc>
          <w:tcPr>
            <w:tcW w:w="250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0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06" w:lineRule="exact" w:before="127"/>
              <w:ind w:left="201" w:right="120" w:hanging="80"/>
              <w:jc w:val="left"/>
              <w:rPr>
                <w:rFonts w:ascii="宋体" w:hAnsi="宋体" w:cs="宋体" w:eastAsia="宋体" w:hint="default"/>
                <w:sz w:val="16"/>
                <w:szCs w:val="16"/>
              </w:rPr>
            </w:pPr>
            <w:r>
              <w:rPr>
                <w:rFonts w:ascii="宋体" w:hAnsi="宋体" w:cs="宋体" w:eastAsia="宋体" w:hint="default"/>
                <w:sz w:val="16"/>
                <w:szCs w:val="16"/>
              </w:rPr>
              <w:t>本期确认的</w:t>
            </w:r>
            <w:r>
              <w:rPr>
                <w:rFonts w:ascii="宋体" w:hAnsi="宋体" w:cs="宋体" w:eastAsia="宋体" w:hint="default"/>
                <w:w w:val="100"/>
                <w:sz w:val="16"/>
                <w:szCs w:val="16"/>
              </w:rPr>
              <w:t> </w:t>
            </w:r>
            <w:r>
              <w:rPr>
                <w:rFonts w:ascii="宋体" w:hAnsi="宋体" w:cs="宋体" w:eastAsia="宋体" w:hint="default"/>
                <w:sz w:val="16"/>
                <w:szCs w:val="16"/>
              </w:rPr>
              <w:t>股利收入</w:t>
            </w:r>
          </w:p>
        </w:tc>
        <w:tc>
          <w:tcPr>
            <w:tcW w:w="1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2" w:right="0"/>
              <w:jc w:val="left"/>
              <w:rPr>
                <w:rFonts w:ascii="宋体" w:hAnsi="宋体" w:cs="宋体" w:eastAsia="宋体" w:hint="default"/>
                <w:sz w:val="16"/>
                <w:szCs w:val="16"/>
              </w:rPr>
            </w:pPr>
            <w:r>
              <w:rPr>
                <w:rFonts w:ascii="宋体" w:hAnsi="宋体" w:cs="宋体" w:eastAsia="宋体" w:hint="default"/>
                <w:sz w:val="16"/>
                <w:szCs w:val="16"/>
              </w:rPr>
              <w:t>累计利得</w:t>
            </w:r>
          </w:p>
        </w:tc>
        <w:tc>
          <w:tcPr>
            <w:tcW w:w="11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6"/>
                <w:szCs w:val="16"/>
              </w:rPr>
            </w:pPr>
            <w:r>
              <w:rPr>
                <w:rFonts w:ascii="宋体" w:hAnsi="宋体" w:cs="宋体" w:eastAsia="宋体" w:hint="default"/>
                <w:sz w:val="16"/>
                <w:szCs w:val="16"/>
              </w:rPr>
              <w:t>累计损失</w:t>
            </w:r>
          </w:p>
        </w:tc>
        <w:tc>
          <w:tcPr>
            <w:tcW w:w="925"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107"/>
              <w:ind w:left="134" w:right="135"/>
              <w:jc w:val="both"/>
              <w:rPr>
                <w:rFonts w:ascii="宋体" w:hAnsi="宋体" w:cs="宋体" w:eastAsia="宋体" w:hint="default"/>
                <w:sz w:val="16"/>
                <w:szCs w:val="16"/>
              </w:rPr>
            </w:pPr>
            <w:r>
              <w:rPr>
                <w:rFonts w:ascii="宋体" w:hAnsi="宋体" w:cs="宋体" w:eastAsia="宋体" w:hint="default"/>
                <w:sz w:val="16"/>
                <w:szCs w:val="16"/>
              </w:rPr>
              <w:t>其他综合</w:t>
            </w:r>
            <w:r>
              <w:rPr>
                <w:rFonts w:ascii="宋体" w:hAnsi="宋体" w:cs="宋体" w:eastAsia="宋体" w:hint="default"/>
                <w:spacing w:val="-77"/>
                <w:sz w:val="16"/>
                <w:szCs w:val="16"/>
              </w:rPr>
              <w:t> </w:t>
            </w:r>
            <w:r>
              <w:rPr>
                <w:rFonts w:ascii="宋体" w:hAnsi="宋体" w:cs="宋体" w:eastAsia="宋体" w:hint="default"/>
                <w:sz w:val="16"/>
                <w:szCs w:val="16"/>
              </w:rPr>
              <w:t>收益转入</w:t>
            </w:r>
            <w:r>
              <w:rPr>
                <w:rFonts w:ascii="宋体" w:hAnsi="宋体" w:cs="宋体" w:eastAsia="宋体" w:hint="default"/>
                <w:spacing w:val="-77"/>
                <w:sz w:val="16"/>
                <w:szCs w:val="16"/>
              </w:rPr>
              <w:t> </w:t>
            </w:r>
            <w:r>
              <w:rPr>
                <w:rFonts w:ascii="宋体" w:hAnsi="宋体" w:cs="宋体" w:eastAsia="宋体" w:hint="default"/>
                <w:sz w:val="16"/>
                <w:szCs w:val="16"/>
              </w:rPr>
              <w:t>留存收益</w:t>
            </w:r>
            <w:r>
              <w:rPr>
                <w:rFonts w:ascii="宋体" w:hAnsi="宋体" w:cs="宋体" w:eastAsia="宋体" w:hint="default"/>
                <w:spacing w:val="-77"/>
                <w:sz w:val="16"/>
                <w:szCs w:val="16"/>
              </w:rPr>
              <w:t> </w:t>
            </w:r>
            <w:r>
              <w:rPr>
                <w:rFonts w:ascii="宋体" w:hAnsi="宋体" w:cs="宋体" w:eastAsia="宋体" w:hint="default"/>
                <w:sz w:val="16"/>
                <w:szCs w:val="16"/>
              </w:rPr>
              <w:t>的金额</w:t>
            </w:r>
          </w:p>
        </w:tc>
        <w:tc>
          <w:tcPr>
            <w:tcW w:w="1020"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4"/>
              <w:ind w:left="103" w:right="103"/>
              <w:jc w:val="both"/>
              <w:rPr>
                <w:rFonts w:ascii="宋体" w:hAnsi="宋体" w:cs="宋体" w:eastAsia="宋体" w:hint="default"/>
                <w:sz w:val="16"/>
                <w:szCs w:val="16"/>
              </w:rPr>
            </w:pPr>
            <w:r>
              <w:rPr>
                <w:rFonts w:ascii="宋体" w:hAnsi="宋体" w:cs="宋体" w:eastAsia="宋体" w:hint="default"/>
                <w:sz w:val="16"/>
                <w:szCs w:val="16"/>
              </w:rPr>
              <w:t>指定为以公</w:t>
            </w:r>
            <w:r>
              <w:rPr>
                <w:rFonts w:ascii="宋体" w:hAnsi="宋体" w:cs="宋体" w:eastAsia="宋体" w:hint="default"/>
                <w:w w:val="100"/>
                <w:sz w:val="16"/>
                <w:szCs w:val="16"/>
              </w:rPr>
              <w:t> </w:t>
            </w:r>
            <w:r>
              <w:rPr>
                <w:rFonts w:ascii="宋体" w:hAnsi="宋体" w:cs="宋体" w:eastAsia="宋体" w:hint="default"/>
                <w:sz w:val="16"/>
                <w:szCs w:val="16"/>
              </w:rPr>
              <w:t>允价值计量</w:t>
            </w:r>
            <w:r>
              <w:rPr>
                <w:rFonts w:ascii="宋体" w:hAnsi="宋体" w:cs="宋体" w:eastAsia="宋体" w:hint="default"/>
                <w:w w:val="100"/>
                <w:sz w:val="16"/>
                <w:szCs w:val="16"/>
              </w:rPr>
              <w:t> </w:t>
            </w:r>
            <w:r>
              <w:rPr>
                <w:rFonts w:ascii="宋体" w:hAnsi="宋体" w:cs="宋体" w:eastAsia="宋体" w:hint="default"/>
                <w:sz w:val="16"/>
                <w:szCs w:val="16"/>
              </w:rPr>
              <w:t>且其变动计</w:t>
            </w:r>
            <w:r>
              <w:rPr>
                <w:rFonts w:ascii="宋体" w:hAnsi="宋体" w:cs="宋体" w:eastAsia="宋体" w:hint="default"/>
                <w:w w:val="100"/>
                <w:sz w:val="16"/>
                <w:szCs w:val="16"/>
              </w:rPr>
              <w:t> </w:t>
            </w:r>
            <w:r>
              <w:rPr>
                <w:rFonts w:ascii="宋体" w:hAnsi="宋体" w:cs="宋体" w:eastAsia="宋体" w:hint="default"/>
                <w:sz w:val="16"/>
                <w:szCs w:val="16"/>
              </w:rPr>
              <w:t>入其他综合</w:t>
            </w:r>
            <w:r>
              <w:rPr>
                <w:rFonts w:ascii="宋体" w:hAnsi="宋体" w:cs="宋体" w:eastAsia="宋体" w:hint="default"/>
                <w:w w:val="100"/>
                <w:sz w:val="16"/>
                <w:szCs w:val="16"/>
              </w:rPr>
              <w:t> </w:t>
            </w:r>
            <w:r>
              <w:rPr>
                <w:rFonts w:ascii="宋体" w:hAnsi="宋体" w:cs="宋体" w:eastAsia="宋体" w:hint="default"/>
                <w:sz w:val="16"/>
                <w:szCs w:val="16"/>
              </w:rPr>
              <w:t>收益的原因</w:t>
            </w:r>
          </w:p>
        </w:tc>
        <w:tc>
          <w:tcPr>
            <w:tcW w:w="950" w:type="dxa"/>
            <w:tcBorders>
              <w:top w:val="single" w:sz="12" w:space="0" w:color="000000"/>
              <w:left w:val="dotted" w:sz="4" w:space="0" w:color="000000"/>
              <w:bottom w:val="dotted" w:sz="4" w:space="0" w:color="000000"/>
              <w:right w:val="nil" w:sz="6" w:space="0" w:color="auto"/>
            </w:tcBorders>
          </w:tcPr>
          <w:p>
            <w:pPr>
              <w:pStyle w:val="TableParagraph"/>
              <w:spacing w:line="237" w:lineRule="auto" w:before="107"/>
              <w:ind w:left="148" w:right="151"/>
              <w:jc w:val="both"/>
              <w:rPr>
                <w:rFonts w:ascii="宋体" w:hAnsi="宋体" w:cs="宋体" w:eastAsia="宋体" w:hint="default"/>
                <w:sz w:val="16"/>
                <w:szCs w:val="16"/>
              </w:rPr>
            </w:pPr>
            <w:r>
              <w:rPr>
                <w:rFonts w:ascii="宋体" w:hAnsi="宋体" w:cs="宋体" w:eastAsia="宋体" w:hint="default"/>
                <w:sz w:val="16"/>
                <w:szCs w:val="16"/>
              </w:rPr>
              <w:t>其他综合</w:t>
            </w:r>
            <w:r>
              <w:rPr>
                <w:rFonts w:ascii="宋体" w:hAnsi="宋体" w:cs="宋体" w:eastAsia="宋体" w:hint="default"/>
                <w:spacing w:val="-77"/>
                <w:sz w:val="16"/>
                <w:szCs w:val="16"/>
              </w:rPr>
              <w:t> </w:t>
            </w:r>
            <w:r>
              <w:rPr>
                <w:rFonts w:ascii="宋体" w:hAnsi="宋体" w:cs="宋体" w:eastAsia="宋体" w:hint="default"/>
                <w:sz w:val="16"/>
                <w:szCs w:val="16"/>
              </w:rPr>
              <w:t>收益转入</w:t>
            </w:r>
            <w:r>
              <w:rPr>
                <w:rFonts w:ascii="宋体" w:hAnsi="宋体" w:cs="宋体" w:eastAsia="宋体" w:hint="default"/>
                <w:spacing w:val="-77"/>
                <w:sz w:val="16"/>
                <w:szCs w:val="16"/>
              </w:rPr>
              <w:t> </w:t>
            </w:r>
            <w:r>
              <w:rPr>
                <w:rFonts w:ascii="宋体" w:hAnsi="宋体" w:cs="宋体" w:eastAsia="宋体" w:hint="default"/>
                <w:sz w:val="16"/>
                <w:szCs w:val="16"/>
              </w:rPr>
              <w:t>留存收益</w:t>
            </w:r>
            <w:r>
              <w:rPr>
                <w:rFonts w:ascii="宋体" w:hAnsi="宋体" w:cs="宋体" w:eastAsia="宋体" w:hint="default"/>
                <w:spacing w:val="-77"/>
                <w:sz w:val="16"/>
                <w:szCs w:val="16"/>
              </w:rPr>
              <w:t> </w:t>
            </w:r>
            <w:r>
              <w:rPr>
                <w:rFonts w:ascii="宋体" w:hAnsi="宋体" w:cs="宋体" w:eastAsia="宋体" w:hint="default"/>
                <w:sz w:val="16"/>
                <w:szCs w:val="16"/>
              </w:rPr>
              <w:t>的原因</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闪联信息技术工程中心有限公司</w:t>
            </w:r>
          </w:p>
        </w:tc>
        <w:tc>
          <w:tcPr>
            <w:tcW w:w="1056"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237" w:right="0"/>
              <w:jc w:val="left"/>
              <w:rPr>
                <w:rFonts w:ascii="Times New Roman" w:hAnsi="Times New Roman" w:cs="Times New Roman" w:eastAsia="Times New Roman" w:hint="default"/>
                <w:sz w:val="16"/>
                <w:szCs w:val="16"/>
              </w:rPr>
            </w:pPr>
            <w:r>
              <w:rPr>
                <w:rFonts w:ascii="Times New Roman"/>
                <w:sz w:val="16"/>
              </w:rPr>
              <w:t>2,595,000.00</w:t>
            </w: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16"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422" w:right="0"/>
              <w:jc w:val="left"/>
              <w:rPr>
                <w:rFonts w:ascii="宋体" w:hAnsi="宋体" w:cs="宋体" w:eastAsia="宋体" w:hint="default"/>
                <w:sz w:val="16"/>
                <w:szCs w:val="16"/>
              </w:rPr>
            </w:pPr>
            <w:r>
              <w:rPr>
                <w:rFonts w:ascii="宋体" w:hAnsi="宋体" w:cs="宋体" w:eastAsia="宋体" w:hint="default"/>
                <w:w w:val="100"/>
                <w:sz w:val="16"/>
                <w:szCs w:val="16"/>
              </w:rPr>
              <w:t>注</w:t>
            </w:r>
          </w:p>
        </w:tc>
        <w:tc>
          <w:tcPr>
            <w:tcW w:w="9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不适用</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北京中房信网络技术有限公司</w:t>
            </w:r>
          </w:p>
        </w:tc>
        <w:tc>
          <w:tcPr>
            <w:tcW w:w="1056"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16"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422" w:right="0"/>
              <w:jc w:val="left"/>
              <w:rPr>
                <w:rFonts w:ascii="宋体" w:hAnsi="宋体" w:cs="宋体" w:eastAsia="宋体" w:hint="default"/>
                <w:sz w:val="16"/>
                <w:szCs w:val="16"/>
              </w:rPr>
            </w:pPr>
            <w:r>
              <w:rPr>
                <w:rFonts w:ascii="宋体" w:hAnsi="宋体" w:cs="宋体" w:eastAsia="宋体" w:hint="default"/>
                <w:w w:val="100"/>
                <w:sz w:val="16"/>
                <w:szCs w:val="16"/>
              </w:rPr>
              <w:t>注</w:t>
            </w:r>
          </w:p>
        </w:tc>
        <w:tc>
          <w:tcPr>
            <w:tcW w:w="9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不适用</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湘财证券有限责任公司</w:t>
            </w:r>
          </w:p>
        </w:tc>
        <w:tc>
          <w:tcPr>
            <w:tcW w:w="1056"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158" w:right="0"/>
              <w:jc w:val="left"/>
              <w:rPr>
                <w:rFonts w:ascii="Times New Roman" w:hAnsi="Times New Roman" w:cs="Times New Roman" w:eastAsia="Times New Roman" w:hint="default"/>
                <w:sz w:val="16"/>
                <w:szCs w:val="16"/>
              </w:rPr>
            </w:pPr>
            <w:r>
              <w:rPr>
                <w:rFonts w:ascii="Times New Roman"/>
                <w:sz w:val="16"/>
              </w:rPr>
              <w:t>56,292,600.00</w:t>
            </w: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16"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422" w:right="0"/>
              <w:jc w:val="left"/>
              <w:rPr>
                <w:rFonts w:ascii="宋体" w:hAnsi="宋体" w:cs="宋体" w:eastAsia="宋体" w:hint="default"/>
                <w:sz w:val="16"/>
                <w:szCs w:val="16"/>
              </w:rPr>
            </w:pPr>
            <w:r>
              <w:rPr>
                <w:rFonts w:ascii="宋体" w:hAnsi="宋体" w:cs="宋体" w:eastAsia="宋体" w:hint="default"/>
                <w:w w:val="100"/>
                <w:sz w:val="16"/>
                <w:szCs w:val="16"/>
              </w:rPr>
              <w:t>注</w:t>
            </w:r>
          </w:p>
        </w:tc>
        <w:tc>
          <w:tcPr>
            <w:tcW w:w="9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不适用</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中国电子财务有限责任公司</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103" w:right="0"/>
              <w:jc w:val="left"/>
              <w:rPr>
                <w:rFonts w:ascii="Times New Roman" w:hAnsi="Times New Roman" w:cs="Times New Roman" w:eastAsia="Times New Roman" w:hint="default"/>
                <w:sz w:val="16"/>
                <w:szCs w:val="16"/>
              </w:rPr>
            </w:pPr>
            <w:r>
              <w:rPr>
                <w:rFonts w:ascii="Times New Roman"/>
                <w:sz w:val="16"/>
              </w:rPr>
              <w:t>4,500,425.60</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103" w:right="0"/>
              <w:jc w:val="left"/>
              <w:rPr>
                <w:rFonts w:ascii="Times New Roman" w:hAnsi="Times New Roman" w:cs="Times New Roman" w:eastAsia="Times New Roman" w:hint="default"/>
                <w:sz w:val="16"/>
                <w:szCs w:val="16"/>
              </w:rPr>
            </w:pPr>
            <w:r>
              <w:rPr>
                <w:rFonts w:ascii="Times New Roman"/>
                <w:sz w:val="16"/>
              </w:rPr>
              <w:t>73,538,534.00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16"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422" w:right="0"/>
              <w:jc w:val="left"/>
              <w:rPr>
                <w:rFonts w:ascii="宋体" w:hAnsi="宋体" w:cs="宋体" w:eastAsia="宋体" w:hint="default"/>
                <w:sz w:val="16"/>
                <w:szCs w:val="16"/>
              </w:rPr>
            </w:pPr>
            <w:r>
              <w:rPr>
                <w:rFonts w:ascii="宋体" w:hAnsi="宋体" w:cs="宋体" w:eastAsia="宋体" w:hint="default"/>
                <w:w w:val="100"/>
                <w:sz w:val="16"/>
                <w:szCs w:val="16"/>
              </w:rPr>
              <w:t>注</w:t>
            </w:r>
          </w:p>
        </w:tc>
        <w:tc>
          <w:tcPr>
            <w:tcW w:w="9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不适用</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湖南长城博天信息科技有限公司</w:t>
            </w:r>
          </w:p>
        </w:tc>
        <w:tc>
          <w:tcPr>
            <w:tcW w:w="1056"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190" w:type="dxa"/>
            <w:tcBorders>
              <w:top w:val="dotted" w:sz="4" w:space="0" w:color="000000"/>
              <w:left w:val="dotted" w:sz="4" w:space="0" w:color="000000"/>
              <w:bottom w:val="dotted" w:sz="4" w:space="0" w:color="000000"/>
              <w:right w:val="dotted" w:sz="4" w:space="0" w:color="000000"/>
            </w:tcBorders>
          </w:tcPr>
          <w:p>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16"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422" w:right="0"/>
              <w:jc w:val="left"/>
              <w:rPr>
                <w:rFonts w:ascii="宋体" w:hAnsi="宋体" w:cs="宋体" w:eastAsia="宋体" w:hint="default"/>
                <w:sz w:val="16"/>
                <w:szCs w:val="16"/>
              </w:rPr>
            </w:pPr>
            <w:r>
              <w:rPr>
                <w:rFonts w:ascii="宋体" w:hAnsi="宋体" w:cs="宋体" w:eastAsia="宋体" w:hint="default"/>
                <w:w w:val="100"/>
                <w:sz w:val="16"/>
                <w:szCs w:val="16"/>
              </w:rPr>
              <w:t>注</w:t>
            </w:r>
          </w:p>
        </w:tc>
        <w:tc>
          <w:tcPr>
            <w:tcW w:w="9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不适用</w:t>
            </w:r>
          </w:p>
        </w:tc>
      </w:tr>
      <w:tr>
        <w:trPr>
          <w:trHeight w:val="283" w:hRule="exact"/>
        </w:trPr>
        <w:tc>
          <w:tcPr>
            <w:tcW w:w="25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湖南艾邦信息技术有限公司</w:t>
            </w:r>
          </w:p>
        </w:tc>
        <w:tc>
          <w:tcPr>
            <w:tcW w:w="1056" w:type="dxa"/>
            <w:tcBorders>
              <w:top w:val="dotted" w:sz="4" w:space="0" w:color="000000"/>
              <w:left w:val="dotted" w:sz="4" w:space="0" w:color="000000"/>
              <w:bottom w:val="single" w:sz="12" w:space="0" w:color="000000"/>
              <w:right w:val="dotted" w:sz="4" w:space="0" w:color="000000"/>
            </w:tcBorders>
          </w:tcPr>
          <w:p>
            <w:pPr/>
          </w:p>
        </w:tc>
        <w:tc>
          <w:tcPr>
            <w:tcW w:w="1136" w:type="dxa"/>
            <w:tcBorders>
              <w:top w:val="dotted" w:sz="4" w:space="0" w:color="000000"/>
              <w:left w:val="dotted" w:sz="4" w:space="0" w:color="000000"/>
              <w:bottom w:val="single" w:sz="12" w:space="0" w:color="000000"/>
              <w:right w:val="dotted" w:sz="4" w:space="0" w:color="000000"/>
            </w:tcBorders>
          </w:tcPr>
          <w:p>
            <w:pPr/>
          </w:p>
        </w:tc>
        <w:tc>
          <w:tcPr>
            <w:tcW w:w="1190" w:type="dxa"/>
            <w:tcBorders>
              <w:top w:val="dotted" w:sz="4" w:space="0" w:color="000000"/>
              <w:left w:val="dotted" w:sz="4" w:space="0" w:color="000000"/>
              <w:bottom w:val="single" w:sz="12" w:space="0" w:color="000000"/>
              <w:right w:val="dotted" w:sz="4" w:space="0" w:color="000000"/>
            </w:tcBorders>
          </w:tcPr>
          <w:p>
            <w:pPr/>
          </w:p>
        </w:tc>
        <w:tc>
          <w:tcPr>
            <w:tcW w:w="9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216"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0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422" w:right="0"/>
              <w:jc w:val="left"/>
              <w:rPr>
                <w:rFonts w:ascii="宋体" w:hAnsi="宋体" w:cs="宋体" w:eastAsia="宋体" w:hint="default"/>
                <w:sz w:val="16"/>
                <w:szCs w:val="16"/>
              </w:rPr>
            </w:pPr>
            <w:r>
              <w:rPr>
                <w:rFonts w:ascii="宋体" w:hAnsi="宋体" w:cs="宋体" w:eastAsia="宋体" w:hint="default"/>
                <w:w w:val="100"/>
                <w:sz w:val="16"/>
                <w:szCs w:val="16"/>
              </w:rPr>
              <w:t>注</w:t>
            </w:r>
          </w:p>
        </w:tc>
        <w:tc>
          <w:tcPr>
            <w:tcW w:w="9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不适用</w:t>
            </w:r>
          </w:p>
        </w:tc>
      </w:tr>
    </w:tbl>
    <w:p>
      <w:pPr>
        <w:pStyle w:val="BodyText"/>
        <w:spacing w:line="261" w:lineRule="auto" w:before="9"/>
        <w:ind w:right="1468"/>
        <w:jc w:val="left"/>
      </w:pPr>
      <w:r>
        <w:rPr>
          <w:spacing w:val="-5"/>
          <w:w w:val="100"/>
        </w:rPr>
        <w:t>注：本公司及其子公司的权益工具投资是本公司及其子公司出于战略目的而计</w:t>
      </w:r>
      <w:r>
        <w:rPr>
          <w:spacing w:val="-85"/>
          <w:w w:val="100"/>
        </w:rPr>
        <w:t> </w:t>
      </w:r>
      <w:r>
        <w:rPr>
          <w:spacing w:val="-85"/>
          <w:w w:val="100"/>
        </w:rPr>
      </w:r>
      <w:r>
        <w:rPr>
          <w:spacing w:val="-2"/>
        </w:rPr>
        <w:t>划长期持有的投资，近期无出售或回购的计划，且持有也不是为了短期获利，</w:t>
      </w:r>
      <w:r>
        <w:rPr>
          <w:spacing w:val="-42"/>
        </w:rPr>
        <w:t> </w:t>
      </w:r>
      <w:r>
        <w:rPr>
          <w:spacing w:val="-42"/>
        </w:rPr>
      </w:r>
      <w:r>
        <w:rPr/>
        <w:t>因此本公司及其子公司在新金融工具准则首次执行日将其指定为以公允价值</w:t>
      </w:r>
      <w:r>
        <w:rPr>
          <w:w w:val="100"/>
        </w:rPr>
        <w:t> </w:t>
      </w:r>
      <w:r>
        <w:rPr/>
        <w:t>计量且其变动计入其他综合收益的金融资产。</w:t>
      </w:r>
    </w:p>
    <w:p>
      <w:pPr>
        <w:pStyle w:val="Heading5"/>
        <w:spacing w:line="240" w:lineRule="auto" w:before="107"/>
        <w:ind w:right="3683"/>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rFonts w:ascii="Times New Roman" w:hAnsi="Times New Roman" w:cs="Times New Roman" w:eastAsia="Times New Roman" w:hint="default"/>
          <w:spacing w:val="47"/>
        </w:rPr>
        <w:t> </w:t>
      </w:r>
      <w:r>
        <w:rPr/>
        <w:t>投资性房地产</w:t>
      </w:r>
      <w:r>
        <w:rPr>
          <w:b w:val="0"/>
          <w:bCs w:val="0"/>
        </w:rPr>
      </w:r>
    </w:p>
    <w:p>
      <w:pPr>
        <w:pStyle w:val="Heading5"/>
        <w:tabs>
          <w:tab w:pos="1397" w:val="left" w:leader="none"/>
        </w:tabs>
        <w:spacing w:line="240" w:lineRule="auto" w:before="69"/>
        <w:ind w:left="846" w:right="3683"/>
        <w:jc w:val="left"/>
        <w:rPr>
          <w:b w:val="0"/>
          <w:bCs w:val="0"/>
        </w:rPr>
      </w:pPr>
      <w:r>
        <w:rPr>
          <w:rFonts w:ascii="Times New Roman" w:hAnsi="Times New Roman" w:cs="Times New Roman" w:eastAsia="Times New Roman" w:hint="default"/>
        </w:rPr>
        <w:t>1</w:t>
      </w:r>
      <w:r>
        <w:rPr/>
        <w:t>、</w:t>
        <w:tab/>
      </w:r>
      <w:r>
        <w:rPr>
          <w:spacing w:val="-1"/>
        </w:rPr>
        <w:t>采用公允价值计量模式的投资性房地产</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600"/>
        <w:gridCol w:w="1491"/>
        <w:gridCol w:w="1351"/>
        <w:gridCol w:w="1273"/>
        <w:gridCol w:w="1490"/>
      </w:tblGrid>
      <w:tr>
        <w:trPr>
          <w:trHeight w:val="283" w:hRule="exact"/>
        </w:trPr>
        <w:tc>
          <w:tcPr>
            <w:tcW w:w="260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房屋、建筑物</w:t>
            </w:r>
          </w:p>
        </w:tc>
        <w:tc>
          <w:tcPr>
            <w:tcW w:w="13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68"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12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309"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149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274" w:hRule="exact"/>
        </w:trPr>
        <w:tc>
          <w:tcPr>
            <w:tcW w:w="2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．上年年末余额</w:t>
            </w:r>
          </w:p>
        </w:tc>
        <w:tc>
          <w:tcPr>
            <w:tcW w:w="14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1,758,671,860.90</w:t>
            </w:r>
          </w:p>
        </w:tc>
        <w:tc>
          <w:tcPr>
            <w:tcW w:w="1351" w:type="dxa"/>
            <w:tcBorders>
              <w:top w:val="dotted" w:sz="4" w:space="0" w:color="000000"/>
              <w:left w:val="dotted" w:sz="4" w:space="0" w:color="000000"/>
              <w:bottom w:val="dotted" w:sz="4" w:space="0" w:color="000000"/>
              <w:right w:val="dotted" w:sz="4" w:space="0" w:color="000000"/>
            </w:tcBorders>
          </w:tcPr>
          <w:p>
            <w:pPr/>
          </w:p>
        </w:tc>
        <w:tc>
          <w:tcPr>
            <w:tcW w:w="1273" w:type="dxa"/>
            <w:tcBorders>
              <w:top w:val="dotted" w:sz="4" w:space="0" w:color="000000"/>
              <w:left w:val="dotted" w:sz="4" w:space="0" w:color="000000"/>
              <w:bottom w:val="dotted" w:sz="4" w:space="0" w:color="000000"/>
              <w:right w:val="dotted" w:sz="4" w:space="0" w:color="000000"/>
            </w:tcBorders>
          </w:tcPr>
          <w:p>
            <w:pP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1,758,671,860.90</w:t>
            </w:r>
          </w:p>
        </w:tc>
      </w:tr>
      <w:tr>
        <w:trPr>
          <w:trHeight w:val="274" w:hRule="exact"/>
        </w:trPr>
        <w:tc>
          <w:tcPr>
            <w:tcW w:w="2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．本期变动</w:t>
            </w:r>
          </w:p>
        </w:tc>
        <w:tc>
          <w:tcPr>
            <w:tcW w:w="14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6"/>
                <w:szCs w:val="16"/>
              </w:rPr>
            </w:pPr>
            <w:r>
              <w:rPr>
                <w:rFonts w:ascii="Times New Roman"/>
                <w:spacing w:val="-1"/>
                <w:sz w:val="16"/>
              </w:rPr>
              <w:t>843,527,477.69</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172,796,850.00</w:t>
            </w:r>
          </w:p>
        </w:tc>
        <w:tc>
          <w:tcPr>
            <w:tcW w:w="1273" w:type="dxa"/>
            <w:tcBorders>
              <w:top w:val="dotted" w:sz="4" w:space="0" w:color="000000"/>
              <w:left w:val="dotted" w:sz="4" w:space="0" w:color="000000"/>
              <w:bottom w:val="dotted" w:sz="4" w:space="0" w:color="000000"/>
              <w:right w:val="dotted" w:sz="4" w:space="0" w:color="000000"/>
            </w:tcBorders>
          </w:tcPr>
          <w:p>
            <w:pP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6"/>
                <w:szCs w:val="16"/>
              </w:rPr>
            </w:pPr>
            <w:r>
              <w:rPr>
                <w:rFonts w:ascii="Times New Roman"/>
                <w:spacing w:val="-1"/>
                <w:sz w:val="16"/>
              </w:rPr>
              <w:t>1,016,324,327.69</w:t>
            </w:r>
          </w:p>
        </w:tc>
      </w:tr>
      <w:tr>
        <w:trPr>
          <w:trHeight w:val="274" w:hRule="exact"/>
        </w:trPr>
        <w:tc>
          <w:tcPr>
            <w:tcW w:w="2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加：外购</w:t>
            </w:r>
          </w:p>
        </w:tc>
        <w:tc>
          <w:tcPr>
            <w:tcW w:w="1491"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273" w:type="dxa"/>
            <w:tcBorders>
              <w:top w:val="dotted" w:sz="4" w:space="0" w:color="000000"/>
              <w:left w:val="dotted" w:sz="4" w:space="0" w:color="000000"/>
              <w:bottom w:val="dotted" w:sz="4" w:space="0" w:color="000000"/>
              <w:right w:val="dotted" w:sz="4" w:space="0" w:color="000000"/>
            </w:tcBorders>
          </w:tcPr>
          <w:p>
            <w:pPr/>
          </w:p>
        </w:tc>
        <w:tc>
          <w:tcPr>
            <w:tcW w:w="1490"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260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98" w:firstLine="321"/>
              <w:jc w:val="left"/>
              <w:rPr>
                <w:rFonts w:ascii="宋体" w:hAnsi="宋体" w:cs="宋体" w:eastAsia="宋体" w:hint="default"/>
                <w:sz w:val="16"/>
                <w:szCs w:val="16"/>
              </w:rPr>
            </w:pPr>
            <w:r>
              <w:rPr>
                <w:rFonts w:ascii="宋体" w:hAnsi="宋体" w:cs="宋体" w:eastAsia="宋体" w:hint="default"/>
                <w:spacing w:val="8"/>
                <w:sz w:val="16"/>
                <w:szCs w:val="16"/>
              </w:rPr>
              <w:t>存货</w:t>
            </w:r>
            <w:r>
              <w:rPr>
                <w:rFonts w:ascii="Times New Roman" w:hAnsi="Times New Roman" w:cs="Times New Roman" w:eastAsia="Times New Roman" w:hint="default"/>
                <w:spacing w:val="8"/>
                <w:sz w:val="16"/>
                <w:szCs w:val="16"/>
              </w:rPr>
              <w:t>\</w:t>
            </w:r>
            <w:r>
              <w:rPr>
                <w:rFonts w:ascii="宋体" w:hAnsi="宋体" w:cs="宋体" w:eastAsia="宋体" w:hint="default"/>
                <w:spacing w:val="8"/>
                <w:sz w:val="16"/>
                <w:szCs w:val="16"/>
              </w:rPr>
              <w:t>固定资产</w:t>
            </w:r>
            <w:r>
              <w:rPr>
                <w:rFonts w:ascii="Times New Roman" w:hAnsi="Times New Roman" w:cs="Times New Roman" w:eastAsia="Times New Roman" w:hint="default"/>
                <w:spacing w:val="8"/>
                <w:sz w:val="16"/>
                <w:szCs w:val="16"/>
              </w:rPr>
              <w:t>\</w:t>
            </w:r>
            <w:r>
              <w:rPr>
                <w:rFonts w:ascii="宋体" w:hAnsi="宋体" w:cs="宋体" w:eastAsia="宋体" w:hint="default"/>
                <w:spacing w:val="8"/>
                <w:sz w:val="16"/>
                <w:szCs w:val="16"/>
              </w:rPr>
              <w:t>在建工程</w:t>
            </w:r>
            <w:r>
              <w:rPr>
                <w:rFonts w:ascii="Times New Roman" w:hAnsi="Times New Roman" w:cs="Times New Roman" w:eastAsia="Times New Roman" w:hint="default"/>
                <w:spacing w:val="8"/>
                <w:sz w:val="16"/>
                <w:szCs w:val="16"/>
              </w:rPr>
              <w:t>\</w:t>
            </w:r>
            <w:r>
              <w:rPr>
                <w:rFonts w:ascii="宋体" w:hAnsi="宋体" w:cs="宋体" w:eastAsia="宋体" w:hint="default"/>
                <w:spacing w:val="8"/>
                <w:sz w:val="16"/>
                <w:szCs w:val="16"/>
              </w:rPr>
              <w:t>无</w:t>
            </w:r>
            <w:r>
              <w:rPr>
                <w:rFonts w:ascii="宋体" w:hAnsi="宋体" w:cs="宋体" w:eastAsia="宋体" w:hint="default"/>
                <w:w w:val="100"/>
                <w:sz w:val="16"/>
                <w:szCs w:val="16"/>
              </w:rPr>
              <w:t> </w:t>
            </w:r>
            <w:r>
              <w:rPr>
                <w:rFonts w:ascii="宋体" w:hAnsi="宋体" w:cs="宋体" w:eastAsia="宋体" w:hint="default"/>
                <w:sz w:val="16"/>
                <w:szCs w:val="16"/>
              </w:rPr>
              <w:t>形资产转入</w:t>
            </w:r>
          </w:p>
        </w:tc>
        <w:tc>
          <w:tcPr>
            <w:tcW w:w="14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952,694,513.38</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200,986,764.23</w:t>
            </w:r>
          </w:p>
        </w:tc>
        <w:tc>
          <w:tcPr>
            <w:tcW w:w="1273" w:type="dxa"/>
            <w:tcBorders>
              <w:top w:val="dotted" w:sz="4" w:space="0" w:color="000000"/>
              <w:left w:val="dotted" w:sz="4" w:space="0" w:color="000000"/>
              <w:bottom w:val="dotted" w:sz="4" w:space="0" w:color="000000"/>
              <w:right w:val="dotted" w:sz="4" w:space="0" w:color="000000"/>
            </w:tcBorders>
          </w:tcPr>
          <w:p>
            <w:pP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1,153,681,277.61</w:t>
            </w:r>
          </w:p>
        </w:tc>
      </w:tr>
      <w:tr>
        <w:trPr>
          <w:trHeight w:val="274" w:hRule="exact"/>
        </w:trPr>
        <w:tc>
          <w:tcPr>
            <w:tcW w:w="2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企业合并增加</w:t>
            </w:r>
          </w:p>
        </w:tc>
        <w:tc>
          <w:tcPr>
            <w:tcW w:w="1491"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273" w:type="dxa"/>
            <w:tcBorders>
              <w:top w:val="dotted" w:sz="4" w:space="0" w:color="000000"/>
              <w:left w:val="dotted" w:sz="4" w:space="0" w:color="000000"/>
              <w:bottom w:val="dotted" w:sz="4" w:space="0" w:color="000000"/>
              <w:right w:val="dotted" w:sz="4" w:space="0" w:color="000000"/>
            </w:tcBorders>
          </w:tcPr>
          <w:p>
            <w:pPr/>
          </w:p>
        </w:tc>
        <w:tc>
          <w:tcPr>
            <w:tcW w:w="1490"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减：处置</w:t>
            </w:r>
          </w:p>
        </w:tc>
        <w:tc>
          <w:tcPr>
            <w:tcW w:w="14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15,409,247.25</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10,123,725.40</w:t>
            </w:r>
          </w:p>
        </w:tc>
        <w:tc>
          <w:tcPr>
            <w:tcW w:w="1273" w:type="dxa"/>
            <w:tcBorders>
              <w:top w:val="dotted" w:sz="4" w:space="0" w:color="000000"/>
              <w:left w:val="dotted" w:sz="4" w:space="0" w:color="000000"/>
              <w:bottom w:val="dotted" w:sz="4" w:space="0" w:color="000000"/>
              <w:right w:val="dotted" w:sz="4" w:space="0" w:color="000000"/>
            </w:tcBorders>
          </w:tcPr>
          <w:p>
            <w:pP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25,532,972.65</w:t>
            </w:r>
          </w:p>
        </w:tc>
      </w:tr>
      <w:tr>
        <w:trPr>
          <w:trHeight w:val="274" w:hRule="exact"/>
        </w:trPr>
        <w:tc>
          <w:tcPr>
            <w:tcW w:w="2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其他转出</w:t>
            </w:r>
          </w:p>
        </w:tc>
        <w:tc>
          <w:tcPr>
            <w:tcW w:w="14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287,111,216.86</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35,219,411.19</w:t>
            </w:r>
          </w:p>
        </w:tc>
        <w:tc>
          <w:tcPr>
            <w:tcW w:w="1273" w:type="dxa"/>
            <w:tcBorders>
              <w:top w:val="dotted" w:sz="4" w:space="0" w:color="000000"/>
              <w:left w:val="dotted" w:sz="4" w:space="0" w:color="000000"/>
              <w:bottom w:val="dotted" w:sz="4" w:space="0" w:color="000000"/>
              <w:right w:val="dotted" w:sz="4" w:space="0" w:color="000000"/>
            </w:tcBorders>
          </w:tcPr>
          <w:p>
            <w:pP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322,330,628.05</w:t>
            </w:r>
          </w:p>
        </w:tc>
      </w:tr>
      <w:tr>
        <w:trPr>
          <w:trHeight w:val="274" w:hRule="exact"/>
        </w:trPr>
        <w:tc>
          <w:tcPr>
            <w:tcW w:w="26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公允价值变动</w:t>
            </w:r>
          </w:p>
        </w:tc>
        <w:tc>
          <w:tcPr>
            <w:tcW w:w="14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193,353,428.42</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17,153,222.36</w:t>
            </w:r>
          </w:p>
        </w:tc>
        <w:tc>
          <w:tcPr>
            <w:tcW w:w="1273" w:type="dxa"/>
            <w:tcBorders>
              <w:top w:val="dotted" w:sz="4" w:space="0" w:color="000000"/>
              <w:left w:val="dotted" w:sz="4" w:space="0" w:color="000000"/>
              <w:bottom w:val="dotted" w:sz="4" w:space="0" w:color="000000"/>
              <w:right w:val="dotted" w:sz="4" w:space="0" w:color="000000"/>
            </w:tcBorders>
          </w:tcPr>
          <w:p>
            <w:pP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210,506,650.78</w:t>
            </w:r>
          </w:p>
        </w:tc>
      </w:tr>
      <w:tr>
        <w:trPr>
          <w:trHeight w:val="286" w:hRule="exact"/>
        </w:trPr>
        <w:tc>
          <w:tcPr>
            <w:tcW w:w="26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．期末余额</w:t>
            </w:r>
          </w:p>
        </w:tc>
        <w:tc>
          <w:tcPr>
            <w:tcW w:w="14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2,602,199,338.59</w:t>
            </w:r>
          </w:p>
        </w:tc>
        <w:tc>
          <w:tcPr>
            <w:tcW w:w="13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172,796,850.00</w:t>
            </w:r>
          </w:p>
        </w:tc>
        <w:tc>
          <w:tcPr>
            <w:tcW w:w="1273" w:type="dxa"/>
            <w:tcBorders>
              <w:top w:val="dotted" w:sz="4" w:space="0" w:color="000000"/>
              <w:left w:val="dotted" w:sz="4" w:space="0" w:color="000000"/>
              <w:bottom w:val="single" w:sz="12" w:space="0" w:color="000000"/>
              <w:right w:val="dotted" w:sz="4" w:space="0" w:color="000000"/>
            </w:tcBorders>
          </w:tcPr>
          <w:p>
            <w:pPr/>
          </w:p>
        </w:tc>
        <w:tc>
          <w:tcPr>
            <w:tcW w:w="149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2,774,996,188.59</w:t>
            </w:r>
          </w:p>
        </w:tc>
      </w:tr>
    </w:tbl>
    <w:p>
      <w:pPr>
        <w:pStyle w:val="Heading5"/>
        <w:tabs>
          <w:tab w:pos="1397" w:val="left" w:leader="none"/>
        </w:tabs>
        <w:spacing w:line="240" w:lineRule="auto" w:before="69"/>
        <w:ind w:left="846" w:right="3683"/>
        <w:jc w:val="left"/>
        <w:rPr>
          <w:b w:val="0"/>
          <w:bCs w:val="0"/>
        </w:rPr>
      </w:pPr>
      <w:r>
        <w:rPr>
          <w:rFonts w:ascii="Times New Roman" w:hAnsi="Times New Roman" w:cs="Times New Roman" w:eastAsia="Times New Roman" w:hint="default"/>
        </w:rPr>
        <w:t>2</w:t>
      </w:r>
      <w:r>
        <w:rPr/>
        <w:t>、</w:t>
        <w:tab/>
      </w:r>
      <w:r>
        <w:rPr>
          <w:spacing w:val="-1"/>
        </w:rPr>
        <w:t>未办妥产权证书的投资性房地产情况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829"/>
        <w:gridCol w:w="2187"/>
        <w:gridCol w:w="2189"/>
      </w:tblGrid>
      <w:tr>
        <w:trPr>
          <w:trHeight w:val="283" w:hRule="exact"/>
        </w:trPr>
        <w:tc>
          <w:tcPr>
            <w:tcW w:w="38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739"/>
              <w:jc w:val="right"/>
              <w:rPr>
                <w:rFonts w:ascii="宋体" w:hAnsi="宋体" w:cs="宋体" w:eastAsia="宋体" w:hint="default"/>
                <w:sz w:val="16"/>
                <w:szCs w:val="16"/>
              </w:rPr>
            </w:pPr>
            <w:r>
              <w:rPr>
                <w:rFonts w:ascii="宋体" w:hAnsi="宋体" w:cs="宋体" w:eastAsia="宋体" w:hint="default"/>
                <w:sz w:val="16"/>
                <w:szCs w:val="16"/>
              </w:rPr>
              <w:t>项目</w:t>
            </w:r>
          </w:p>
        </w:tc>
        <w:tc>
          <w:tcPr>
            <w:tcW w:w="218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账面价值</w:t>
            </w:r>
          </w:p>
        </w:tc>
        <w:tc>
          <w:tcPr>
            <w:tcW w:w="218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367" w:right="0"/>
              <w:jc w:val="left"/>
              <w:rPr>
                <w:rFonts w:ascii="宋体" w:hAnsi="宋体" w:cs="宋体" w:eastAsia="宋体" w:hint="default"/>
                <w:sz w:val="16"/>
                <w:szCs w:val="16"/>
              </w:rPr>
            </w:pPr>
            <w:r>
              <w:rPr>
                <w:rFonts w:ascii="宋体" w:hAnsi="宋体" w:cs="宋体" w:eastAsia="宋体" w:hint="default"/>
                <w:sz w:val="16"/>
                <w:szCs w:val="16"/>
              </w:rPr>
              <w:t>未办妥产权证书原因</w:t>
            </w:r>
          </w:p>
        </w:tc>
      </w:tr>
      <w:tr>
        <w:trPr>
          <w:trHeight w:val="274"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房屋、建筑物</w:t>
            </w:r>
          </w:p>
        </w:tc>
        <w:tc>
          <w:tcPr>
            <w:tcW w:w="21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1,139,911,413.59</w:t>
            </w:r>
          </w:p>
        </w:tc>
        <w:tc>
          <w:tcPr>
            <w:tcW w:w="2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正在办理中</w:t>
            </w:r>
          </w:p>
        </w:tc>
      </w:tr>
      <w:tr>
        <w:trPr>
          <w:trHeight w:val="283" w:hRule="exact"/>
        </w:trPr>
        <w:tc>
          <w:tcPr>
            <w:tcW w:w="38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739"/>
              <w:jc w:val="right"/>
              <w:rPr>
                <w:rFonts w:ascii="宋体" w:hAnsi="宋体" w:cs="宋体" w:eastAsia="宋体" w:hint="default"/>
                <w:sz w:val="16"/>
                <w:szCs w:val="16"/>
              </w:rPr>
            </w:pPr>
            <w:r>
              <w:rPr>
                <w:rFonts w:ascii="宋体" w:hAnsi="宋体" w:cs="宋体" w:eastAsia="宋体" w:hint="default"/>
                <w:sz w:val="16"/>
                <w:szCs w:val="16"/>
              </w:rPr>
              <w:t>合计</w:t>
            </w:r>
          </w:p>
        </w:tc>
        <w:tc>
          <w:tcPr>
            <w:tcW w:w="21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1,139,911,413.59</w:t>
            </w:r>
          </w:p>
        </w:tc>
        <w:tc>
          <w:tcPr>
            <w:tcW w:w="218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b/>
          <w:bCs/>
          <w:sz w:val="5"/>
          <w:szCs w:val="5"/>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固定资产</w:t>
      </w:r>
      <w:r>
        <w:rPr>
          <w:b w:val="0"/>
          <w:bCs w:val="0"/>
        </w:rPr>
      </w:r>
    </w:p>
    <w:p>
      <w:pPr>
        <w:pStyle w:val="Heading5"/>
        <w:tabs>
          <w:tab w:pos="857" w:val="left" w:leader="none"/>
        </w:tabs>
        <w:spacing w:line="240" w:lineRule="auto" w:before="69"/>
        <w:ind w:left="291" w:right="3683"/>
        <w:jc w:val="left"/>
        <w:rPr>
          <w:b w:val="0"/>
          <w:bCs w:val="0"/>
        </w:rPr>
      </w:pPr>
      <w:r>
        <w:rPr>
          <w:rFonts w:ascii="Times New Roman" w:hAnsi="Times New Roman" w:cs="Times New Roman" w:eastAsia="Times New Roman" w:hint="default"/>
          <w:spacing w:val="-1"/>
        </w:rPr>
        <w:t>1</w:t>
      </w:r>
      <w:r>
        <w:rPr>
          <w:spacing w:val="-1"/>
        </w:rPr>
        <w:t>、</w:t>
        <w:tab/>
        <w:t>固定资产及固定资产清理</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413"/>
        <w:gridCol w:w="2396"/>
        <w:gridCol w:w="2396"/>
      </w:tblGrid>
      <w:tr>
        <w:trPr>
          <w:trHeight w:val="283" w:hRule="exact"/>
        </w:trPr>
        <w:tc>
          <w:tcPr>
            <w:tcW w:w="34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531"/>
              <w:jc w:val="right"/>
              <w:rPr>
                <w:rFonts w:ascii="宋体" w:hAnsi="宋体" w:cs="宋体" w:eastAsia="宋体" w:hint="default"/>
                <w:sz w:val="16"/>
                <w:szCs w:val="16"/>
              </w:rPr>
            </w:pPr>
            <w:r>
              <w:rPr>
                <w:rFonts w:ascii="宋体" w:hAnsi="宋体" w:cs="宋体" w:eastAsia="宋体" w:hint="default"/>
                <w:sz w:val="16"/>
                <w:szCs w:val="16"/>
              </w:rPr>
              <w:t>项目</w:t>
            </w:r>
          </w:p>
        </w:tc>
        <w:tc>
          <w:tcPr>
            <w:tcW w:w="23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39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1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4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23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2,781,574,403.89</w:t>
            </w:r>
          </w:p>
        </w:tc>
        <w:tc>
          <w:tcPr>
            <w:tcW w:w="23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1,927,309,832.29</w:t>
            </w:r>
          </w:p>
        </w:tc>
      </w:tr>
      <w:tr>
        <w:trPr>
          <w:trHeight w:val="274" w:hRule="exact"/>
        </w:trPr>
        <w:tc>
          <w:tcPr>
            <w:tcW w:w="34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固定资产清理</w:t>
            </w:r>
          </w:p>
        </w:tc>
        <w:tc>
          <w:tcPr>
            <w:tcW w:w="2396" w:type="dxa"/>
            <w:tcBorders>
              <w:top w:val="dotted" w:sz="4" w:space="0" w:color="000000"/>
              <w:left w:val="dotted" w:sz="4" w:space="0" w:color="000000"/>
              <w:bottom w:val="dotted" w:sz="4" w:space="0" w:color="000000"/>
              <w:right w:val="dotted" w:sz="4" w:space="0" w:color="000000"/>
            </w:tcBorders>
          </w:tcPr>
          <w:p>
            <w:pPr/>
          </w:p>
        </w:tc>
        <w:tc>
          <w:tcPr>
            <w:tcW w:w="2396"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34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31"/>
              <w:jc w:val="right"/>
              <w:rPr>
                <w:rFonts w:ascii="宋体" w:hAnsi="宋体" w:cs="宋体" w:eastAsia="宋体" w:hint="default"/>
                <w:sz w:val="16"/>
                <w:szCs w:val="16"/>
              </w:rPr>
            </w:pPr>
            <w:r>
              <w:rPr>
                <w:rFonts w:ascii="宋体" w:hAnsi="宋体" w:cs="宋体" w:eastAsia="宋体" w:hint="default"/>
                <w:sz w:val="16"/>
                <w:szCs w:val="16"/>
              </w:rPr>
              <w:t>合计</w:t>
            </w:r>
          </w:p>
        </w:tc>
        <w:tc>
          <w:tcPr>
            <w:tcW w:w="23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2,781,574,403.89</w:t>
            </w:r>
          </w:p>
        </w:tc>
        <w:tc>
          <w:tcPr>
            <w:tcW w:w="239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1,927,309,832.29</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44"/>
        <w:ind w:left="0" w:right="1653" w:firstLine="0"/>
        <w:jc w:val="center"/>
        <w:rPr>
          <w:rFonts w:ascii="宋体" w:hAnsi="宋体" w:cs="宋体" w:eastAsia="宋体" w:hint="default"/>
          <w:sz w:val="18"/>
          <w:szCs w:val="18"/>
        </w:rPr>
      </w:pPr>
      <w:r>
        <w:rPr/>
        <w:pict>
          <v:shape style="position:absolute;margin-left:535.634705pt;margin-top:29.616243pt;width:59.493346pt;height:26.794713pt;mso-position-horizontal-relative:page;mso-position-vertical-relative:paragraph;z-index:1936" type="#_x0000_t75" stroked="false">
            <v:imagedata r:id="rId36" o:title=""/>
          </v:shape>
        </w:pict>
      </w: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59</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41"/>
          <w:footerReference w:type="default" r:id="rId42"/>
          <w:pgSz w:w="11910" w:h="16840"/>
          <w:pgMar w:header="753" w:footer="0" w:top="1500" w:bottom="0" w:left="1660" w:right="0"/>
        </w:sectPr>
      </w:pPr>
    </w:p>
    <w:p>
      <w:pPr>
        <w:spacing w:line="240" w:lineRule="auto" w:before="11"/>
        <w:rPr>
          <w:rFonts w:ascii="宋体" w:hAnsi="宋体" w:cs="宋体" w:eastAsia="宋体" w:hint="default"/>
          <w:sz w:val="22"/>
          <w:szCs w:val="22"/>
        </w:rPr>
      </w:pPr>
    </w:p>
    <w:p>
      <w:pPr>
        <w:pStyle w:val="Heading5"/>
        <w:tabs>
          <w:tab w:pos="1400" w:val="left" w:leader="none"/>
        </w:tabs>
        <w:spacing w:line="240" w:lineRule="auto"/>
        <w:ind w:left="848" w:right="0"/>
        <w:jc w:val="left"/>
        <w:rPr>
          <w:b w:val="0"/>
          <w:bCs w:val="0"/>
        </w:rPr>
      </w:pPr>
      <w:r>
        <w:rPr>
          <w:rFonts w:ascii="Times New Roman" w:hAnsi="Times New Roman" w:cs="Times New Roman" w:eastAsia="Times New Roman" w:hint="default"/>
        </w:rPr>
        <w:t>2</w:t>
      </w:r>
      <w:r>
        <w:rPr/>
        <w:t>、</w:t>
        <w:tab/>
        <w:t>固定资产情况</w:t>
      </w:r>
      <w:r>
        <w:rPr>
          <w:b w:val="0"/>
          <w:bCs w:val="0"/>
        </w:rPr>
      </w:r>
    </w:p>
    <w:tbl>
      <w:tblPr>
        <w:tblW w:w="0" w:type="auto"/>
        <w:jc w:val="left"/>
        <w:tblInd w:w="723" w:type="dxa"/>
        <w:tblLayout w:type="fixed"/>
        <w:tblCellMar>
          <w:top w:w="0" w:type="dxa"/>
          <w:left w:w="0" w:type="dxa"/>
          <w:bottom w:w="0" w:type="dxa"/>
          <w:right w:w="0" w:type="dxa"/>
        </w:tblCellMar>
        <w:tblLook w:val="01E0"/>
      </w:tblPr>
      <w:tblGrid>
        <w:gridCol w:w="2906"/>
        <w:gridCol w:w="1880"/>
        <w:gridCol w:w="1882"/>
        <w:gridCol w:w="1599"/>
        <w:gridCol w:w="1879"/>
        <w:gridCol w:w="1599"/>
        <w:gridCol w:w="1879"/>
      </w:tblGrid>
      <w:tr>
        <w:trPr>
          <w:trHeight w:val="331" w:hRule="exact"/>
        </w:trPr>
        <w:tc>
          <w:tcPr>
            <w:tcW w:w="290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6"/>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8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453"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18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614" w:right="0"/>
              <w:jc w:val="left"/>
              <w:rPr>
                <w:rFonts w:ascii="宋体" w:hAnsi="宋体" w:cs="宋体" w:eastAsia="宋体" w:hint="default"/>
                <w:sz w:val="16"/>
                <w:szCs w:val="16"/>
              </w:rPr>
            </w:pPr>
            <w:r>
              <w:rPr>
                <w:rFonts w:ascii="宋体" w:hAnsi="宋体" w:cs="宋体" w:eastAsia="宋体" w:hint="default"/>
                <w:sz w:val="16"/>
                <w:szCs w:val="16"/>
              </w:rPr>
              <w:t>机器设备</w:t>
            </w:r>
          </w:p>
        </w:tc>
        <w:tc>
          <w:tcPr>
            <w:tcW w:w="15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472" w:right="0"/>
              <w:jc w:val="left"/>
              <w:rPr>
                <w:rFonts w:ascii="宋体" w:hAnsi="宋体" w:cs="宋体" w:eastAsia="宋体" w:hint="default"/>
                <w:sz w:val="16"/>
                <w:szCs w:val="16"/>
              </w:rPr>
            </w:pPr>
            <w:r>
              <w:rPr>
                <w:rFonts w:ascii="宋体" w:hAnsi="宋体" w:cs="宋体" w:eastAsia="宋体" w:hint="default"/>
                <w:sz w:val="16"/>
                <w:szCs w:val="16"/>
              </w:rPr>
              <w:t>运输工具</w:t>
            </w:r>
          </w:p>
        </w:tc>
        <w:tc>
          <w:tcPr>
            <w:tcW w:w="18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374" w:right="0"/>
              <w:jc w:val="left"/>
              <w:rPr>
                <w:rFonts w:ascii="宋体" w:hAnsi="宋体" w:cs="宋体" w:eastAsia="宋体" w:hint="default"/>
                <w:sz w:val="16"/>
                <w:szCs w:val="16"/>
              </w:rPr>
            </w:pPr>
            <w:r>
              <w:rPr>
                <w:rFonts w:ascii="宋体" w:hAnsi="宋体" w:cs="宋体" w:eastAsia="宋体" w:hint="default"/>
                <w:sz w:val="16"/>
                <w:szCs w:val="16"/>
              </w:rPr>
              <w:t>电子及办公设备</w:t>
            </w:r>
          </w:p>
        </w:tc>
        <w:tc>
          <w:tcPr>
            <w:tcW w:w="15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87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．账面原值</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）上年年末余额</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1,287,091,235.34</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2"/>
                <w:sz w:val="16"/>
              </w:rPr>
              <w:t>1,110,005,120.65</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2"/>
                <w:sz w:val="16"/>
              </w:rPr>
              <w:t>40,585,355.77</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438,113,062.51</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2"/>
                <w:sz w:val="16"/>
              </w:rPr>
              <w:t>91,049,865.96</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2,966,844,640.23</w:t>
            </w:r>
          </w:p>
        </w:tc>
      </w:tr>
      <w:tr>
        <w:trPr>
          <w:trHeight w:val="319"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417,571,044.14</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426,873,083.26</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3,398,003.38</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239,215,679.91</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9,282,653.47</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1,096,340,464.16</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购置</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43,643,726.66</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2"/>
                <w:sz w:val="16"/>
              </w:rPr>
              <w:t>55,426,232.23</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3,398,003.38</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45,842,682.93</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9,282,653.47</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157,593,298.67</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在建工程转入</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86,816,100.62</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292,514,045.74</w:t>
            </w: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193,372,996.98</w:t>
            </w: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572,703,143.34</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企业合并增加</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19"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汇率变动</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right="934"/>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投资性房地产转入</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287,111,216.86</w:t>
            </w: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2"/>
                <w:sz w:val="16"/>
              </w:rPr>
              <w:t>287,111,216.86</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内部研发</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2"/>
                <w:sz w:val="16"/>
              </w:rPr>
              <w:t>78,932,805.29</w:t>
            </w: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2"/>
                <w:sz w:val="16"/>
              </w:rPr>
              <w:t>78,932,805.29</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73,372,263.69</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2"/>
                <w:sz w:val="16"/>
              </w:rPr>
              <w:t>32,935,847.20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3,526,416.39</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25,327,773.53</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5,859,993.10</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141,022,293.91</w:t>
            </w:r>
          </w:p>
        </w:tc>
      </w:tr>
      <w:tr>
        <w:trPr>
          <w:trHeight w:val="319"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处置或报废</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264,903.15</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2"/>
                <w:sz w:val="16"/>
              </w:rPr>
              <w:t>29,088,836.70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3,404,027.16</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24,805,051.47</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2"/>
                <w:sz w:val="16"/>
              </w:rPr>
              <w:t>5,795,115.85</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2"/>
                <w:sz w:val="16"/>
              </w:rPr>
              <w:t>63,357,934.33</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汇率变动</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-514,819.76</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-124,162.13</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-37,988.76</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-1,082,184.61</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-5,099.29</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-1,764,254.55</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处置子公司</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3,971,172.63</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160,377.99</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948,797.35</w:t>
            </w: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5,080,347.97</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right="934"/>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转入投资性房地产</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73,622,180.30</w:t>
            </w: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2"/>
                <w:sz w:val="16"/>
              </w:rPr>
              <w:t>73,622,180.30</w:t>
            </w:r>
          </w:p>
        </w:tc>
      </w:tr>
      <w:tr>
        <w:trPr>
          <w:trHeight w:val="319"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656,109.32</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69,976.54</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726,085.86</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1,631,290,015.79</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1,503,942,356.71</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2"/>
                <w:sz w:val="16"/>
              </w:rPr>
              <w:t>40,456,942.76</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652,000,968.89</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2"/>
                <w:sz w:val="16"/>
              </w:rPr>
              <w:t>94,472,526.33</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3,922,162,810.48</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．累计折旧</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）上年年末余额</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257,946,716.46</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449,232,291.84</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2"/>
                <w:sz w:val="16"/>
              </w:rPr>
              <w:t>28,339,787.90</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270,952,313.46</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2"/>
                <w:sz w:val="16"/>
              </w:rPr>
              <w:t>31,396,161.31</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1,037,867,270.97</w:t>
            </w:r>
          </w:p>
        </w:tc>
      </w:tr>
      <w:tr>
        <w:trPr>
          <w:trHeight w:val="319"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35,893,661.30</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2"/>
                <w:sz w:val="16"/>
              </w:rPr>
              <w:t>84,829,462.62</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2,738,365.42</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53,104,990.85</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5,833,068.37</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182,399,548.56</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计提</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35,893,661.30</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2"/>
                <w:sz w:val="16"/>
              </w:rPr>
              <w:t>84,829,462.62</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2,738,365.42</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53,104,990.85</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5,833,068.37</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182,399,548.56</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7"/>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汇率变动</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19"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right="934"/>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投资性房地产转入</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34" w:hRule="exact"/>
        </w:trPr>
        <w:tc>
          <w:tcPr>
            <w:tcW w:w="29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8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31,450,949.62</w:t>
            </w:r>
          </w:p>
        </w:tc>
        <w:tc>
          <w:tcPr>
            <w:tcW w:w="18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2"/>
                <w:sz w:val="16"/>
              </w:rPr>
              <w:t>25,612,976.94</w:t>
            </w:r>
          </w:p>
        </w:tc>
        <w:tc>
          <w:tcPr>
            <w:tcW w:w="15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3,226,361.70</w:t>
            </w:r>
          </w:p>
        </w:tc>
        <w:tc>
          <w:tcPr>
            <w:tcW w:w="18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15,102,411.45</w:t>
            </w:r>
          </w:p>
        </w:tc>
        <w:tc>
          <w:tcPr>
            <w:tcW w:w="15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2"/>
                <w:sz w:val="16"/>
              </w:rPr>
              <w:t>5,205,115.00</w:t>
            </w:r>
          </w:p>
        </w:tc>
        <w:tc>
          <w:tcPr>
            <w:tcW w:w="187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2"/>
                <w:sz w:val="16"/>
              </w:rPr>
              <w:t>80,597,814.71</w:t>
            </w:r>
          </w:p>
        </w:tc>
      </w:tr>
    </w:tbl>
    <w:p>
      <w:pPr>
        <w:spacing w:after="0" w:line="240" w:lineRule="auto"/>
        <w:jc w:val="right"/>
        <w:rPr>
          <w:rFonts w:ascii="Times New Roman" w:hAnsi="Times New Roman" w:cs="Times New Roman" w:eastAsia="Times New Roman" w:hint="default"/>
          <w:sz w:val="16"/>
          <w:szCs w:val="16"/>
        </w:rPr>
        <w:sectPr>
          <w:headerReference w:type="default" r:id="rId43"/>
          <w:footerReference w:type="default" r:id="rId44"/>
          <w:pgSz w:w="16840" w:h="11910" w:orient="landscape"/>
          <w:pgMar w:header="868" w:footer="997" w:top="1620" w:bottom="1180" w:left="1300" w:right="1040"/>
          <w:pgNumType w:start="60"/>
        </w:sectPr>
      </w:pPr>
    </w:p>
    <w:p>
      <w:pPr>
        <w:spacing w:line="240" w:lineRule="auto" w:before="10"/>
        <w:rPr>
          <w:rFonts w:ascii="Times New Roman" w:hAnsi="Times New Roman" w:cs="Times New Roman" w:eastAsia="Times New Roman" w:hint="default"/>
          <w:sz w:val="20"/>
          <w:szCs w:val="20"/>
        </w:rPr>
      </w:pPr>
    </w:p>
    <w:tbl>
      <w:tblPr>
        <w:tblW w:w="0" w:type="auto"/>
        <w:jc w:val="left"/>
        <w:tblInd w:w="723" w:type="dxa"/>
        <w:tblLayout w:type="fixed"/>
        <w:tblCellMar>
          <w:top w:w="0" w:type="dxa"/>
          <w:left w:w="0" w:type="dxa"/>
          <w:bottom w:w="0" w:type="dxa"/>
          <w:right w:w="0" w:type="dxa"/>
        </w:tblCellMar>
        <w:tblLook w:val="01E0"/>
      </w:tblPr>
      <w:tblGrid>
        <w:gridCol w:w="2906"/>
        <w:gridCol w:w="1880"/>
        <w:gridCol w:w="1882"/>
        <w:gridCol w:w="1599"/>
        <w:gridCol w:w="1879"/>
        <w:gridCol w:w="1599"/>
        <w:gridCol w:w="1879"/>
      </w:tblGrid>
      <w:tr>
        <w:trPr>
          <w:trHeight w:val="331" w:hRule="exact"/>
        </w:trPr>
        <w:tc>
          <w:tcPr>
            <w:tcW w:w="290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6"/>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8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453"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18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614" w:right="0"/>
              <w:jc w:val="left"/>
              <w:rPr>
                <w:rFonts w:ascii="宋体" w:hAnsi="宋体" w:cs="宋体" w:eastAsia="宋体" w:hint="default"/>
                <w:sz w:val="16"/>
                <w:szCs w:val="16"/>
              </w:rPr>
            </w:pPr>
            <w:r>
              <w:rPr>
                <w:rFonts w:ascii="宋体" w:hAnsi="宋体" w:cs="宋体" w:eastAsia="宋体" w:hint="default"/>
                <w:sz w:val="16"/>
                <w:szCs w:val="16"/>
              </w:rPr>
              <w:t>机器设备</w:t>
            </w:r>
          </w:p>
        </w:tc>
        <w:tc>
          <w:tcPr>
            <w:tcW w:w="15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472" w:right="0"/>
              <w:jc w:val="left"/>
              <w:rPr>
                <w:rFonts w:ascii="宋体" w:hAnsi="宋体" w:cs="宋体" w:eastAsia="宋体" w:hint="default"/>
                <w:sz w:val="16"/>
                <w:szCs w:val="16"/>
              </w:rPr>
            </w:pPr>
            <w:r>
              <w:rPr>
                <w:rFonts w:ascii="宋体" w:hAnsi="宋体" w:cs="宋体" w:eastAsia="宋体" w:hint="default"/>
                <w:sz w:val="16"/>
                <w:szCs w:val="16"/>
              </w:rPr>
              <w:t>运输工具</w:t>
            </w:r>
          </w:p>
        </w:tc>
        <w:tc>
          <w:tcPr>
            <w:tcW w:w="18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374" w:right="0"/>
              <w:jc w:val="left"/>
              <w:rPr>
                <w:rFonts w:ascii="宋体" w:hAnsi="宋体" w:cs="宋体" w:eastAsia="宋体" w:hint="default"/>
                <w:sz w:val="16"/>
                <w:szCs w:val="16"/>
              </w:rPr>
            </w:pPr>
            <w:r>
              <w:rPr>
                <w:rFonts w:ascii="宋体" w:hAnsi="宋体" w:cs="宋体" w:eastAsia="宋体" w:hint="default"/>
                <w:sz w:val="16"/>
                <w:szCs w:val="16"/>
              </w:rPr>
              <w:t>电子及办公设备</w:t>
            </w:r>
          </w:p>
        </w:tc>
        <w:tc>
          <w:tcPr>
            <w:tcW w:w="15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87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处置或报废</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245,404.61</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2"/>
                <w:sz w:val="16"/>
              </w:rPr>
              <w:t>23,845,070.99</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3,203,929.78</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15,363,881.68</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5,207,153.82</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2"/>
                <w:sz w:val="16"/>
              </w:rPr>
              <w:t>47,865,440.88</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汇率变动</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-126,438.53</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2"/>
              <w:jc w:val="right"/>
              <w:rPr>
                <w:rFonts w:ascii="Times New Roman" w:hAnsi="Times New Roman" w:cs="Times New Roman" w:eastAsia="Times New Roman" w:hint="default"/>
                <w:sz w:val="16"/>
                <w:szCs w:val="16"/>
              </w:rPr>
            </w:pPr>
            <w:r>
              <w:rPr>
                <w:rFonts w:ascii="Times New Roman"/>
                <w:spacing w:val="-1"/>
                <w:sz w:val="16"/>
              </w:rPr>
              <w:t>-72,088.04</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-30,894.48</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-960,273.97</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-2,038.82</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-1,191,733.84</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处置子公司</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1,839,993.99</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53,326.40</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698,803.74</w:t>
            </w: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2,592,124.13</w:t>
            </w:r>
          </w:p>
        </w:tc>
      </w:tr>
      <w:tr>
        <w:trPr>
          <w:trHeight w:val="319"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转入投资性房地产</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31,331,983.54</w:t>
            </w: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2"/>
                <w:sz w:val="16"/>
              </w:rPr>
              <w:t>31,331,983.54</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262,389,428.14</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508,448,777.52</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2"/>
                <w:sz w:val="16"/>
              </w:rPr>
              <w:t>27,851,791.62</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308,954,892.86</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2"/>
                <w:sz w:val="16"/>
              </w:rPr>
              <w:t>32,024,114.68</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1,139,669,004.82</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7"/>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．减值准备</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）上年年末余额</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1,636,135.83</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19,060.02</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12,341.12</w:t>
            </w: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1,667,536.97</w:t>
            </w:r>
          </w:p>
        </w:tc>
      </w:tr>
      <w:tr>
        <w:trPr>
          <w:trHeight w:val="319"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计提</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汇率变动</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19"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2"/>
              <w:jc w:val="right"/>
              <w:rPr>
                <w:rFonts w:ascii="Times New Roman" w:hAnsi="Times New Roman" w:cs="Times New Roman" w:eastAsia="Times New Roman" w:hint="default"/>
                <w:sz w:val="16"/>
                <w:szCs w:val="16"/>
              </w:rPr>
            </w:pPr>
            <w:r>
              <w:rPr>
                <w:rFonts w:ascii="Times New Roman"/>
                <w:spacing w:val="-1"/>
                <w:sz w:val="16"/>
              </w:rPr>
              <w:t>716,734.06</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19,060.02</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12,341.12</w:t>
            </w: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748,135.20</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处置或报废</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2"/>
              <w:jc w:val="right"/>
              <w:rPr>
                <w:rFonts w:ascii="Times New Roman" w:hAnsi="Times New Roman" w:cs="Times New Roman" w:eastAsia="Times New Roman" w:hint="default"/>
                <w:sz w:val="16"/>
                <w:szCs w:val="16"/>
              </w:rPr>
            </w:pPr>
            <w:r>
              <w:rPr>
                <w:rFonts w:ascii="Times New Roman"/>
                <w:spacing w:val="-1"/>
                <w:sz w:val="16"/>
              </w:rPr>
              <w:t>13,975.39</w:t>
            </w: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13,975.39</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7"/>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汇率变动</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处置子公司</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2"/>
              <w:jc w:val="right"/>
              <w:rPr>
                <w:rFonts w:ascii="Times New Roman" w:hAnsi="Times New Roman" w:cs="Times New Roman" w:eastAsia="Times New Roman" w:hint="default"/>
                <w:sz w:val="16"/>
                <w:szCs w:val="16"/>
              </w:rPr>
            </w:pPr>
            <w:r>
              <w:rPr>
                <w:rFonts w:ascii="Times New Roman"/>
                <w:spacing w:val="-1"/>
                <w:sz w:val="16"/>
              </w:rPr>
              <w:t>702,758.67</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19,060.02</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12,341.12</w:t>
            </w: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734,159.81</w:t>
            </w:r>
          </w:p>
        </w:tc>
      </w:tr>
      <w:tr>
        <w:trPr>
          <w:trHeight w:val="319"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4"/>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2"/>
              <w:jc w:val="right"/>
              <w:rPr>
                <w:rFonts w:ascii="Times New Roman" w:hAnsi="Times New Roman" w:cs="Times New Roman" w:eastAsia="Times New Roman" w:hint="default"/>
                <w:sz w:val="16"/>
                <w:szCs w:val="16"/>
              </w:rPr>
            </w:pPr>
            <w:r>
              <w:rPr>
                <w:rFonts w:ascii="Times New Roman"/>
                <w:spacing w:val="-1"/>
                <w:sz w:val="16"/>
              </w:rPr>
              <w:t>919,401.77</w:t>
            </w: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919,401.77</w:t>
            </w: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．账面价值</w:t>
            </w:r>
          </w:p>
        </w:tc>
        <w:tc>
          <w:tcPr>
            <w:tcW w:w="1880"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187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9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）期末账面价值</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1,368,900,587.65</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994,574,177.42</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2"/>
                <w:sz w:val="16"/>
              </w:rPr>
              <w:t>12,605,151.14</w:t>
            </w:r>
          </w:p>
        </w:tc>
        <w:tc>
          <w:tcPr>
            <w:tcW w:w="1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343,046,076.03</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62,448,411.65</w:t>
            </w:r>
          </w:p>
        </w:tc>
        <w:tc>
          <w:tcPr>
            <w:tcW w:w="18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2,781,574,403.89</w:t>
            </w:r>
          </w:p>
        </w:tc>
      </w:tr>
      <w:tr>
        <w:trPr>
          <w:trHeight w:val="331" w:hRule="exact"/>
        </w:trPr>
        <w:tc>
          <w:tcPr>
            <w:tcW w:w="29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）上年年末账面价值</w:t>
            </w:r>
          </w:p>
        </w:tc>
        <w:tc>
          <w:tcPr>
            <w:tcW w:w="18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1,029,144,518.88</w:t>
            </w:r>
          </w:p>
        </w:tc>
        <w:tc>
          <w:tcPr>
            <w:tcW w:w="18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659,136,692.98</w:t>
            </w:r>
          </w:p>
        </w:tc>
        <w:tc>
          <w:tcPr>
            <w:tcW w:w="15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2"/>
                <w:sz w:val="16"/>
              </w:rPr>
              <w:t>12,226,507.85</w:t>
            </w:r>
          </w:p>
        </w:tc>
        <w:tc>
          <w:tcPr>
            <w:tcW w:w="18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167,148,407.93</w:t>
            </w:r>
          </w:p>
        </w:tc>
        <w:tc>
          <w:tcPr>
            <w:tcW w:w="15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2"/>
                <w:sz w:val="16"/>
              </w:rPr>
              <w:t>59,653,704.65</w:t>
            </w:r>
          </w:p>
        </w:tc>
        <w:tc>
          <w:tcPr>
            <w:tcW w:w="187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1,927,309,832.29</w:t>
            </w:r>
          </w:p>
        </w:tc>
      </w:tr>
    </w:tbl>
    <w:p>
      <w:pPr>
        <w:spacing w:after="0" w:line="240" w:lineRule="auto"/>
        <w:jc w:val="right"/>
        <w:rPr>
          <w:rFonts w:ascii="Times New Roman" w:hAnsi="Times New Roman" w:cs="Times New Roman" w:eastAsia="Times New Roman" w:hint="default"/>
          <w:sz w:val="16"/>
          <w:szCs w:val="16"/>
        </w:rPr>
        <w:sectPr>
          <w:pgSz w:w="16840" w:h="11910" w:orient="landscape"/>
          <w:pgMar w:header="868" w:footer="997" w:top="1620" w:bottom="1180" w:left="1300" w:right="1040"/>
        </w:sectPr>
      </w:pPr>
    </w:p>
    <w:p>
      <w:pPr>
        <w:spacing w:line="240" w:lineRule="auto" w:before="1"/>
        <w:rPr>
          <w:rFonts w:ascii="Times New Roman" w:hAnsi="Times New Roman" w:cs="Times New Roman" w:eastAsia="Times New Roman" w:hint="default"/>
          <w:sz w:val="26"/>
          <w:szCs w:val="26"/>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3</w:t>
      </w:r>
      <w:r>
        <w:rPr/>
        <w:t>、</w:t>
        <w:tab/>
      </w:r>
      <w:r>
        <w:rPr>
          <w:spacing w:val="-1"/>
        </w:rPr>
        <w:t>未办妥产权证书的固定资产情况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513"/>
        <w:gridCol w:w="2249"/>
        <w:gridCol w:w="3442"/>
      </w:tblGrid>
      <w:tr>
        <w:trPr>
          <w:trHeight w:val="365" w:hRule="exact"/>
        </w:trPr>
        <w:tc>
          <w:tcPr>
            <w:tcW w:w="25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6"/>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2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2" w:right="0"/>
              <w:jc w:val="center"/>
              <w:rPr>
                <w:rFonts w:ascii="宋体" w:hAnsi="宋体" w:cs="宋体" w:eastAsia="宋体" w:hint="default"/>
                <w:sz w:val="16"/>
                <w:szCs w:val="16"/>
              </w:rPr>
            </w:pPr>
            <w:r>
              <w:rPr>
                <w:rFonts w:ascii="宋体" w:hAnsi="宋体" w:cs="宋体" w:eastAsia="宋体" w:hint="default"/>
                <w:sz w:val="16"/>
                <w:szCs w:val="16"/>
              </w:rPr>
              <w:t>账面价值</w:t>
            </w:r>
          </w:p>
        </w:tc>
        <w:tc>
          <w:tcPr>
            <w:tcW w:w="34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left="914" w:right="0"/>
              <w:jc w:val="left"/>
              <w:rPr>
                <w:rFonts w:ascii="宋体" w:hAnsi="宋体" w:cs="宋体" w:eastAsia="宋体" w:hint="default"/>
                <w:sz w:val="16"/>
                <w:szCs w:val="16"/>
              </w:rPr>
            </w:pPr>
            <w:r>
              <w:rPr>
                <w:rFonts w:ascii="宋体" w:hAnsi="宋体" w:cs="宋体" w:eastAsia="宋体" w:hint="default"/>
                <w:sz w:val="16"/>
                <w:szCs w:val="16"/>
              </w:rPr>
              <w:t>未办妥产权证书的原因</w:t>
            </w:r>
          </w:p>
        </w:tc>
      </w:tr>
      <w:tr>
        <w:trPr>
          <w:trHeight w:val="365" w:hRule="exact"/>
        </w:trPr>
        <w:tc>
          <w:tcPr>
            <w:tcW w:w="25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22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135" w:right="0"/>
              <w:jc w:val="left"/>
              <w:rPr>
                <w:rFonts w:ascii="Times New Roman" w:hAnsi="Times New Roman" w:cs="Times New Roman" w:eastAsia="Times New Roman" w:hint="default"/>
                <w:sz w:val="16"/>
                <w:szCs w:val="16"/>
              </w:rPr>
            </w:pPr>
            <w:r>
              <w:rPr>
                <w:rFonts w:ascii="Times New Roman"/>
                <w:sz w:val="16"/>
              </w:rPr>
              <w:t>229,896,844.69</w:t>
            </w:r>
          </w:p>
        </w:tc>
        <w:tc>
          <w:tcPr>
            <w:tcW w:w="34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正在办理中</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在建工程</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在建工程及工程物资</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454"/>
        <w:gridCol w:w="2391"/>
        <w:gridCol w:w="2360"/>
      </w:tblGrid>
      <w:tr>
        <w:trPr>
          <w:trHeight w:val="362" w:hRule="exact"/>
        </w:trPr>
        <w:tc>
          <w:tcPr>
            <w:tcW w:w="34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right="1550"/>
              <w:jc w:val="right"/>
              <w:rPr>
                <w:rFonts w:ascii="宋体" w:hAnsi="宋体" w:cs="宋体" w:eastAsia="宋体" w:hint="default"/>
                <w:sz w:val="16"/>
                <w:szCs w:val="16"/>
              </w:rPr>
            </w:pPr>
            <w:r>
              <w:rPr>
                <w:rFonts w:ascii="宋体" w:hAnsi="宋体" w:cs="宋体" w:eastAsia="宋体" w:hint="default"/>
                <w:sz w:val="16"/>
                <w:szCs w:val="16"/>
              </w:rPr>
              <w:t>项目</w:t>
            </w:r>
          </w:p>
        </w:tc>
        <w:tc>
          <w:tcPr>
            <w:tcW w:w="23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36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693"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5" w:hRule="exact"/>
        </w:trPr>
        <w:tc>
          <w:tcPr>
            <w:tcW w:w="34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23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376,463,927.65</w:t>
            </w:r>
          </w:p>
        </w:tc>
        <w:tc>
          <w:tcPr>
            <w:tcW w:w="23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2,208,899,418.95</w:t>
            </w:r>
          </w:p>
        </w:tc>
      </w:tr>
      <w:tr>
        <w:trPr>
          <w:trHeight w:val="353" w:hRule="exact"/>
        </w:trPr>
        <w:tc>
          <w:tcPr>
            <w:tcW w:w="34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工程物资</w:t>
            </w:r>
          </w:p>
        </w:tc>
        <w:tc>
          <w:tcPr>
            <w:tcW w:w="2391" w:type="dxa"/>
            <w:tcBorders>
              <w:top w:val="dotted" w:sz="4" w:space="0" w:color="000000"/>
              <w:left w:val="dotted" w:sz="4" w:space="0" w:color="000000"/>
              <w:bottom w:val="dotted" w:sz="4" w:space="0" w:color="000000"/>
              <w:right w:val="dotted" w:sz="4" w:space="0" w:color="000000"/>
            </w:tcBorders>
          </w:tcPr>
          <w:p>
            <w:pPr/>
          </w:p>
        </w:tc>
        <w:tc>
          <w:tcPr>
            <w:tcW w:w="2360"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34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550"/>
              <w:jc w:val="right"/>
              <w:rPr>
                <w:rFonts w:ascii="宋体" w:hAnsi="宋体" w:cs="宋体" w:eastAsia="宋体" w:hint="default"/>
                <w:sz w:val="16"/>
                <w:szCs w:val="16"/>
              </w:rPr>
            </w:pPr>
            <w:r>
              <w:rPr>
                <w:rFonts w:ascii="宋体" w:hAnsi="宋体" w:cs="宋体" w:eastAsia="宋体" w:hint="default"/>
                <w:sz w:val="16"/>
                <w:szCs w:val="16"/>
              </w:rPr>
              <w:t>合计</w:t>
            </w:r>
          </w:p>
        </w:tc>
        <w:tc>
          <w:tcPr>
            <w:tcW w:w="23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376,463,927.65</w:t>
            </w:r>
          </w:p>
        </w:tc>
        <w:tc>
          <w:tcPr>
            <w:tcW w:w="23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2,208,899,418.95</w:t>
            </w:r>
          </w:p>
        </w:tc>
      </w:tr>
    </w:tbl>
    <w:p>
      <w:pPr>
        <w:spacing w:line="240" w:lineRule="auto" w:before="7"/>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t>在建工程情况</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205"/>
        <w:gridCol w:w="1217"/>
        <w:gridCol w:w="1070"/>
        <w:gridCol w:w="1217"/>
        <w:gridCol w:w="1337"/>
        <w:gridCol w:w="946"/>
        <w:gridCol w:w="1334"/>
      </w:tblGrid>
      <w:tr>
        <w:trPr>
          <w:trHeight w:val="365" w:hRule="exact"/>
        </w:trPr>
        <w:tc>
          <w:tcPr>
            <w:tcW w:w="1205"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505"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61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1205" w:type="dxa"/>
            <w:vMerge/>
            <w:tcBorders>
              <w:left w:val="nil" w:sz="6" w:space="0" w:color="auto"/>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208"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283"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343"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43"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340"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562"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96"/>
              <w:jc w:val="left"/>
              <w:rPr>
                <w:rFonts w:ascii="宋体" w:hAnsi="宋体" w:cs="宋体" w:eastAsia="宋体" w:hint="default"/>
                <w:sz w:val="16"/>
                <w:szCs w:val="16"/>
              </w:rPr>
            </w:pPr>
            <w:r>
              <w:rPr>
                <w:rFonts w:ascii="宋体" w:hAnsi="宋体" w:cs="宋体" w:eastAsia="宋体" w:hint="default"/>
                <w:spacing w:val="2"/>
                <w:sz w:val="16"/>
                <w:szCs w:val="16"/>
              </w:rPr>
              <w:t>卫星导航及应</w:t>
            </w:r>
            <w:r>
              <w:rPr>
                <w:rFonts w:ascii="宋体" w:hAnsi="宋体" w:cs="宋体" w:eastAsia="宋体" w:hint="default"/>
                <w:spacing w:val="-76"/>
                <w:sz w:val="16"/>
                <w:szCs w:val="16"/>
              </w:rPr>
              <w:t> </w:t>
            </w:r>
            <w:r>
              <w:rPr>
                <w:rFonts w:ascii="宋体" w:hAnsi="宋体" w:cs="宋体" w:eastAsia="宋体" w:hint="default"/>
                <w:sz w:val="16"/>
                <w:szCs w:val="16"/>
              </w:rPr>
              <w:t>用项目</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130,886,385.37</w:t>
            </w:r>
          </w:p>
        </w:tc>
        <w:tc>
          <w:tcPr>
            <w:tcW w:w="1070"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130,886,385.37</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129,128,516.77</w:t>
            </w:r>
          </w:p>
        </w:tc>
        <w:tc>
          <w:tcPr>
            <w:tcW w:w="946" w:type="dxa"/>
            <w:tcBorders>
              <w:top w:val="dotted" w:sz="4" w:space="0" w:color="000000"/>
              <w:left w:val="dotted" w:sz="4" w:space="0" w:color="000000"/>
              <w:bottom w:val="dotted" w:sz="4" w:space="0" w:color="000000"/>
              <w:right w:val="dotted" w:sz="4" w:space="0" w:color="000000"/>
            </w:tcBorders>
          </w:tcPr>
          <w:p>
            <w:pP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129,128,516.77</w:t>
            </w:r>
          </w:p>
        </w:tc>
      </w:tr>
      <w:tr>
        <w:trPr>
          <w:trHeight w:val="768"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96"/>
              <w:jc w:val="both"/>
              <w:rPr>
                <w:rFonts w:ascii="宋体" w:hAnsi="宋体" w:cs="宋体" w:eastAsia="宋体" w:hint="default"/>
                <w:sz w:val="16"/>
                <w:szCs w:val="16"/>
              </w:rPr>
            </w:pPr>
            <w:r>
              <w:rPr>
                <w:rFonts w:ascii="宋体" w:hAnsi="宋体" w:cs="宋体" w:eastAsia="宋体" w:hint="default"/>
                <w:spacing w:val="2"/>
                <w:sz w:val="16"/>
                <w:szCs w:val="16"/>
              </w:rPr>
              <w:t>特种装备新能</w:t>
            </w:r>
            <w:r>
              <w:rPr>
                <w:rFonts w:ascii="宋体" w:hAnsi="宋体" w:cs="宋体" w:eastAsia="宋体" w:hint="default"/>
                <w:spacing w:val="-76"/>
                <w:sz w:val="16"/>
                <w:szCs w:val="16"/>
              </w:rPr>
              <w:t> </w:t>
            </w:r>
            <w:r>
              <w:rPr>
                <w:rFonts w:ascii="宋体" w:hAnsi="宋体" w:cs="宋体" w:eastAsia="宋体" w:hint="default"/>
                <w:spacing w:val="2"/>
                <w:sz w:val="16"/>
                <w:szCs w:val="16"/>
              </w:rPr>
              <w:t>源及应用建设</w:t>
            </w:r>
            <w:r>
              <w:rPr>
                <w:rFonts w:ascii="宋体" w:hAnsi="宋体" w:cs="宋体" w:eastAsia="宋体" w:hint="default"/>
                <w:spacing w:val="-76"/>
                <w:sz w:val="16"/>
                <w:szCs w:val="16"/>
              </w:rPr>
              <w:t> </w:t>
            </w:r>
            <w:r>
              <w:rPr>
                <w:rFonts w:ascii="宋体" w:hAnsi="宋体" w:cs="宋体" w:eastAsia="宋体" w:hint="default"/>
                <w:sz w:val="16"/>
                <w:szCs w:val="16"/>
              </w:rPr>
              <w:t>项目</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70,519,595.66</w:t>
            </w:r>
          </w:p>
        </w:tc>
        <w:tc>
          <w:tcPr>
            <w:tcW w:w="1070"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70,519,595.66</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56,669,031.17</w:t>
            </w:r>
          </w:p>
        </w:tc>
        <w:tc>
          <w:tcPr>
            <w:tcW w:w="946" w:type="dxa"/>
            <w:tcBorders>
              <w:top w:val="dotted" w:sz="4" w:space="0" w:color="000000"/>
              <w:left w:val="dotted" w:sz="4" w:space="0" w:color="000000"/>
              <w:bottom w:val="dotted" w:sz="4" w:space="0" w:color="000000"/>
              <w:right w:val="dotted" w:sz="4" w:space="0" w:color="000000"/>
            </w:tcBorders>
          </w:tcPr>
          <w:p>
            <w:pP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56,669,031.17</w:t>
            </w:r>
          </w:p>
        </w:tc>
      </w:tr>
      <w:tr>
        <w:trPr>
          <w:trHeight w:val="353"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机器手</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23,550,914.06</w:t>
            </w:r>
          </w:p>
        </w:tc>
        <w:tc>
          <w:tcPr>
            <w:tcW w:w="1070"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23,550,914.06</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4,276,652.86</w:t>
            </w:r>
          </w:p>
        </w:tc>
        <w:tc>
          <w:tcPr>
            <w:tcW w:w="946" w:type="dxa"/>
            <w:tcBorders>
              <w:top w:val="dotted" w:sz="4" w:space="0" w:color="000000"/>
              <w:left w:val="dotted" w:sz="4" w:space="0" w:color="000000"/>
              <w:bottom w:val="dotted" w:sz="4" w:space="0" w:color="000000"/>
              <w:right w:val="dotted" w:sz="4" w:space="0" w:color="000000"/>
            </w:tcBorders>
          </w:tcPr>
          <w:p>
            <w:pP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4,276,652.86</w:t>
            </w:r>
          </w:p>
        </w:tc>
      </w:tr>
      <w:tr>
        <w:trPr>
          <w:trHeight w:val="562"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14" w:lineRule="exact" w:before="43"/>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石</w:t>
            </w:r>
            <w:r>
              <w:rPr>
                <w:rFonts w:ascii="宋体" w:hAnsi="宋体" w:cs="宋体" w:eastAsia="宋体" w:hint="default"/>
                <w:spacing w:val="-57"/>
                <w:sz w:val="16"/>
                <w:szCs w:val="16"/>
              </w:rPr>
              <w:t> </w:t>
            </w:r>
            <w:r>
              <w:rPr>
                <w:rFonts w:ascii="宋体" w:hAnsi="宋体" w:cs="宋体" w:eastAsia="宋体" w:hint="default"/>
                <w:sz w:val="16"/>
                <w:szCs w:val="16"/>
              </w:rPr>
              <w:t>岩</w:t>
            </w:r>
            <w:r>
              <w:rPr>
                <w:rFonts w:ascii="宋体" w:hAnsi="宋体" w:cs="宋体" w:eastAsia="宋体" w:hint="default"/>
                <w:spacing w:val="-59"/>
                <w:sz w:val="16"/>
                <w:szCs w:val="16"/>
              </w:rPr>
              <w:t> </w:t>
            </w:r>
            <w:r>
              <w:rPr>
                <w:rFonts w:ascii="宋体" w:hAnsi="宋体" w:cs="宋体" w:eastAsia="宋体" w:hint="default"/>
                <w:sz w:val="16"/>
                <w:szCs w:val="16"/>
              </w:rPr>
              <w:t>三</w:t>
            </w:r>
            <w:r>
              <w:rPr>
                <w:rFonts w:ascii="宋体" w:hAnsi="宋体" w:cs="宋体" w:eastAsia="宋体" w:hint="default"/>
                <w:spacing w:val="-57"/>
                <w:sz w:val="16"/>
                <w:szCs w:val="16"/>
              </w:rPr>
              <w:t> </w:t>
            </w:r>
            <w:r>
              <w:rPr>
                <w:rFonts w:ascii="宋体" w:hAnsi="宋体" w:cs="宋体" w:eastAsia="宋体" w:hint="default"/>
                <w:sz w:val="16"/>
                <w:szCs w:val="16"/>
              </w:rPr>
              <w:t>期</w:t>
            </w:r>
            <w:r>
              <w:rPr>
                <w:rFonts w:ascii="宋体" w:hAnsi="宋体" w:cs="宋体" w:eastAsia="宋体" w:hint="default"/>
                <w:spacing w:val="23"/>
                <w:sz w:val="16"/>
                <w:szCs w:val="16"/>
              </w:rPr>
              <w:t> </w:t>
            </w:r>
            <w:r>
              <w:rPr>
                <w:rFonts w:ascii="Times New Roman" w:hAnsi="Times New Roman" w:cs="Times New Roman" w:eastAsia="Times New Roman" w:hint="default"/>
                <w:sz w:val="16"/>
                <w:szCs w:val="16"/>
              </w:rPr>
              <w:t>2#</w:t>
            </w:r>
          </w:p>
          <w:p>
            <w:pPr>
              <w:pStyle w:val="TableParagraph"/>
              <w:spacing w:line="202" w:lineRule="exact"/>
              <w:ind w:left="122" w:right="0"/>
              <w:jc w:val="left"/>
              <w:rPr>
                <w:rFonts w:ascii="宋体" w:hAnsi="宋体" w:cs="宋体" w:eastAsia="宋体" w:hint="default"/>
                <w:sz w:val="16"/>
                <w:szCs w:val="16"/>
              </w:rPr>
            </w:pPr>
            <w:r>
              <w:rPr>
                <w:rFonts w:ascii="宋体" w:hAnsi="宋体" w:cs="宋体" w:eastAsia="宋体" w:hint="default"/>
                <w:sz w:val="16"/>
                <w:szCs w:val="16"/>
              </w:rPr>
              <w:t>厂房</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22,007,731.33</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22,007,731.33</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681,457.90</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
              <w:jc w:val="right"/>
              <w:rPr>
                <w:rFonts w:ascii="宋体" w:hAnsi="宋体" w:cs="宋体" w:eastAsia="宋体" w:hint="default"/>
                <w:sz w:val="16"/>
                <w:szCs w:val="16"/>
              </w:rPr>
            </w:pPr>
            <w:r>
              <w:rPr>
                <w:rFonts w:ascii="宋体"/>
                <w:w w:val="100"/>
                <w:sz w:val="16"/>
              </w:rPr>
              <w:t> </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681,457.90</w:t>
            </w:r>
          </w:p>
        </w:tc>
      </w:tr>
      <w:tr>
        <w:trPr>
          <w:trHeight w:val="353"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扩大产能项目</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21,521,998.35</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21,521,998.35</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7,671,433.86</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3"/>
              <w:jc w:val="right"/>
              <w:rPr>
                <w:rFonts w:ascii="宋体" w:hAnsi="宋体" w:cs="宋体" w:eastAsia="宋体" w:hint="default"/>
                <w:sz w:val="16"/>
                <w:szCs w:val="16"/>
              </w:rPr>
            </w:pPr>
            <w:r>
              <w:rPr>
                <w:rFonts w:ascii="宋体"/>
                <w:w w:val="100"/>
                <w:sz w:val="16"/>
              </w:rPr>
              <w:t> </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7,671,433.86</w:t>
            </w:r>
          </w:p>
        </w:tc>
      </w:tr>
      <w:tr>
        <w:trPr>
          <w:trHeight w:val="353"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长沙总部基地</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84" w:right="0"/>
              <w:jc w:val="left"/>
              <w:rPr>
                <w:rFonts w:ascii="Times New Roman" w:hAnsi="Times New Roman" w:cs="Times New Roman" w:eastAsia="Times New Roman" w:hint="default"/>
                <w:sz w:val="16"/>
                <w:szCs w:val="16"/>
              </w:rPr>
            </w:pPr>
            <w:r>
              <w:rPr>
                <w:rFonts w:ascii="Times New Roman"/>
                <w:sz w:val="16"/>
              </w:rPr>
              <w:t>13,983,794.57</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84" w:right="0"/>
              <w:jc w:val="left"/>
              <w:rPr>
                <w:rFonts w:ascii="Times New Roman" w:hAnsi="Times New Roman" w:cs="Times New Roman" w:eastAsia="Times New Roman" w:hint="default"/>
                <w:sz w:val="16"/>
                <w:szCs w:val="16"/>
              </w:rPr>
            </w:pPr>
            <w:r>
              <w:rPr>
                <w:rFonts w:ascii="Times New Roman"/>
                <w:sz w:val="16"/>
              </w:rPr>
              <w:t>13,983,794.57</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1,391,796.22</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3"/>
              <w:jc w:val="right"/>
              <w:rPr>
                <w:rFonts w:ascii="宋体" w:hAnsi="宋体" w:cs="宋体" w:eastAsia="宋体" w:hint="default"/>
                <w:sz w:val="16"/>
                <w:szCs w:val="16"/>
              </w:rPr>
            </w:pPr>
            <w:r>
              <w:rPr>
                <w:rFonts w:ascii="宋体"/>
                <w:w w:val="100"/>
                <w:sz w:val="16"/>
              </w:rPr>
              <w:t> </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1,391,796.22</w:t>
            </w:r>
          </w:p>
        </w:tc>
      </w:tr>
      <w:tr>
        <w:trPr>
          <w:trHeight w:val="355"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中电长城大厦</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1,537,121,476.13</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3"/>
              <w:jc w:val="right"/>
              <w:rPr>
                <w:rFonts w:ascii="宋体" w:hAnsi="宋体" w:cs="宋体" w:eastAsia="宋体" w:hint="default"/>
                <w:sz w:val="16"/>
                <w:szCs w:val="16"/>
              </w:rPr>
            </w:pPr>
            <w:r>
              <w:rPr>
                <w:rFonts w:ascii="宋体"/>
                <w:w w:val="100"/>
                <w:sz w:val="16"/>
              </w:rPr>
              <w:t> </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1,537,121,476.13</w:t>
            </w:r>
          </w:p>
        </w:tc>
      </w:tr>
      <w:tr>
        <w:trPr>
          <w:trHeight w:val="353"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统筹研保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366,884,464.81</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3"/>
              <w:jc w:val="right"/>
              <w:rPr>
                <w:rFonts w:ascii="宋体" w:hAnsi="宋体" w:cs="宋体" w:eastAsia="宋体" w:hint="default"/>
                <w:sz w:val="16"/>
                <w:szCs w:val="16"/>
              </w:rPr>
            </w:pPr>
            <w:r>
              <w:rPr>
                <w:rFonts w:ascii="宋体"/>
                <w:w w:val="100"/>
                <w:sz w:val="16"/>
              </w:rPr>
              <w:t> </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366,884,464.81</w:t>
            </w:r>
          </w:p>
        </w:tc>
      </w:tr>
      <w:tr>
        <w:trPr>
          <w:trHeight w:val="353"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生产能力建设</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33,181,363.27</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3"/>
              <w:jc w:val="right"/>
              <w:rPr>
                <w:rFonts w:ascii="宋体" w:hAnsi="宋体" w:cs="宋体" w:eastAsia="宋体" w:hint="default"/>
                <w:sz w:val="16"/>
                <w:szCs w:val="16"/>
              </w:rPr>
            </w:pPr>
            <w:r>
              <w:rPr>
                <w:rFonts w:ascii="宋体"/>
                <w:w w:val="100"/>
                <w:sz w:val="16"/>
              </w:rPr>
              <w:t> </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33,181,363.27</w:t>
            </w:r>
          </w:p>
        </w:tc>
      </w:tr>
      <w:tr>
        <w:trPr>
          <w:trHeight w:val="355"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未来城</w:t>
            </w:r>
          </w:p>
        </w:tc>
        <w:tc>
          <w:tcPr>
            <w:tcW w:w="121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23,921,813.13</w:t>
            </w:r>
          </w:p>
        </w:tc>
        <w:tc>
          <w:tcPr>
            <w:tcW w:w="946" w:type="dxa"/>
            <w:tcBorders>
              <w:top w:val="dotted" w:sz="4" w:space="0" w:color="000000"/>
              <w:left w:val="dotted" w:sz="4" w:space="0" w:color="000000"/>
              <w:bottom w:val="dotted" w:sz="4" w:space="0" w:color="000000"/>
              <w:right w:val="dotted" w:sz="4" w:space="0" w:color="000000"/>
            </w:tcBorders>
          </w:tcPr>
          <w:p>
            <w:pP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23,921,813.13</w:t>
            </w:r>
          </w:p>
        </w:tc>
      </w:tr>
      <w:tr>
        <w:trPr>
          <w:trHeight w:val="353"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93,993,508.31</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93,993,508.31</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47,971,412.83</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3"/>
              <w:jc w:val="right"/>
              <w:rPr>
                <w:rFonts w:ascii="宋体" w:hAnsi="宋体" w:cs="宋体" w:eastAsia="宋体" w:hint="default"/>
                <w:sz w:val="16"/>
                <w:szCs w:val="16"/>
              </w:rPr>
            </w:pPr>
            <w:r>
              <w:rPr>
                <w:rFonts w:ascii="宋体"/>
                <w:w w:val="100"/>
                <w:sz w:val="16"/>
              </w:rPr>
              <w:t> </w:t>
            </w:r>
          </w:p>
        </w:tc>
        <w:tc>
          <w:tcPr>
            <w:tcW w:w="13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47,971,412.83</w:t>
            </w:r>
          </w:p>
        </w:tc>
      </w:tr>
      <w:tr>
        <w:trPr>
          <w:trHeight w:val="365" w:hRule="exact"/>
        </w:trPr>
        <w:tc>
          <w:tcPr>
            <w:tcW w:w="12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376,463,927.65</w:t>
            </w:r>
          </w:p>
        </w:tc>
        <w:tc>
          <w:tcPr>
            <w:tcW w:w="1070" w:type="dxa"/>
            <w:tcBorders>
              <w:top w:val="dotted" w:sz="4" w:space="0" w:color="000000"/>
              <w:left w:val="dotted" w:sz="4" w:space="0" w:color="000000"/>
              <w:bottom w:val="single" w:sz="12" w:space="0" w:color="000000"/>
              <w:right w:val="dotted" w:sz="4" w:space="0" w:color="000000"/>
            </w:tcBorders>
          </w:tcPr>
          <w:p>
            <w:pP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376,463,927.65</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2,208,899,418.95</w:t>
            </w:r>
          </w:p>
        </w:tc>
        <w:tc>
          <w:tcPr>
            <w:tcW w:w="946" w:type="dxa"/>
            <w:tcBorders>
              <w:top w:val="dotted" w:sz="4" w:space="0" w:color="000000"/>
              <w:left w:val="dotted" w:sz="4" w:space="0" w:color="000000"/>
              <w:bottom w:val="single" w:sz="12" w:space="0" w:color="000000"/>
              <w:right w:val="dotted" w:sz="4" w:space="0" w:color="000000"/>
            </w:tcBorders>
          </w:tcPr>
          <w:p>
            <w:pPr/>
          </w:p>
        </w:tc>
        <w:tc>
          <w:tcPr>
            <w:tcW w:w="133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2,208,899,418.95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0"/>
        <w:ind w:left="0" w:right="1653" w:firstLine="0"/>
        <w:jc w:val="center"/>
        <w:rPr>
          <w:rFonts w:ascii="宋体" w:hAnsi="宋体" w:cs="宋体" w:eastAsia="宋体" w:hint="default"/>
          <w:sz w:val="18"/>
          <w:szCs w:val="18"/>
        </w:rPr>
      </w:pPr>
      <w:r>
        <w:rPr/>
        <w:pict>
          <v:shape style="position:absolute;margin-left:535.634705pt;margin-top:27.416243pt;width:59.493346pt;height:26.794713pt;mso-position-horizontal-relative:page;mso-position-vertical-relative:paragraph;z-index:1960" type="#_x0000_t75" stroked="false">
            <v:imagedata r:id="rId36" o:title=""/>
          </v:shape>
        </w:pict>
      </w: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62</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45"/>
          <w:footerReference w:type="default" r:id="rId46"/>
          <w:pgSz w:w="11910" w:h="16840"/>
          <w:pgMar w:header="753" w:footer="0" w:top="1500" w:bottom="0" w:left="1660" w:right="0"/>
        </w:sectPr>
      </w:pPr>
    </w:p>
    <w:p>
      <w:pPr>
        <w:spacing w:line="530" w:lineRule="auto" w:before="25"/>
        <w:ind w:left="140" w:right="12438" w:firstLine="0"/>
        <w:jc w:val="left"/>
        <w:rPr>
          <w:rFonts w:ascii="宋体" w:hAnsi="宋体" w:cs="宋体" w:eastAsia="宋体" w:hint="default"/>
          <w:sz w:val="18"/>
          <w:szCs w:val="18"/>
        </w:rPr>
      </w:pPr>
      <w:r>
        <w:rPr/>
        <w:pict>
          <v:group style="position:absolute;margin-left:70.559998pt;margin-top:41.661732pt;width:700.9pt;height:.1pt;mso-position-horizontal-relative:page;mso-position-vertical-relative:paragraph;z-index:-1629472" coordorigin="1411,833" coordsize="14018,2">
            <v:shape style="position:absolute;left:1411;top:833;width:14018;height:2" coordorigin="1411,833" coordsize="14018,0" path="m1411,833l15429,833e" filled="false" stroked="true" strokeweight=".48pt" strokecolor="#000000">
              <v:path arrowok="t"/>
            </v:shape>
            <w10:wrap type="none"/>
          </v:group>
        </w:pict>
      </w:r>
      <w:r>
        <w:rPr>
          <w:rFonts w:ascii="宋体" w:hAnsi="宋体" w:cs="宋体" w:eastAsia="宋体" w:hint="default"/>
          <w:sz w:val="18"/>
          <w:szCs w:val="18"/>
        </w:rPr>
        <w:t>中国长城科技集团股份有限公司 财务报表附注</w:t>
      </w:r>
      <w:r>
        <w:rPr>
          <w:rFonts w:ascii="宋体" w:hAnsi="宋体" w:cs="宋体" w:eastAsia="宋体" w:hint="default"/>
          <w:sz w:val="18"/>
          <w:szCs w:val="18"/>
        </w:rPr>
        <w:t> </w:t>
      </w:r>
    </w:p>
    <w:p>
      <w:pPr>
        <w:spacing w:line="240" w:lineRule="auto" w:before="7"/>
        <w:rPr>
          <w:rFonts w:ascii="宋体" w:hAnsi="宋体" w:cs="宋体" w:eastAsia="宋体" w:hint="default"/>
          <w:sz w:val="10"/>
          <w:szCs w:val="10"/>
        </w:rPr>
      </w:pPr>
    </w:p>
    <w:p>
      <w:pPr>
        <w:pStyle w:val="Heading5"/>
        <w:tabs>
          <w:tab w:pos="1400" w:val="left" w:leader="none"/>
        </w:tabs>
        <w:spacing w:line="240" w:lineRule="auto"/>
        <w:ind w:left="848" w:right="0"/>
        <w:jc w:val="left"/>
        <w:rPr>
          <w:b w:val="0"/>
          <w:bCs w:val="0"/>
        </w:rPr>
      </w:pPr>
      <w:r>
        <w:rPr>
          <w:rFonts w:ascii="Times New Roman" w:hAnsi="Times New Roman" w:cs="Times New Roman" w:eastAsia="Times New Roman" w:hint="default"/>
        </w:rPr>
        <w:t>3</w:t>
      </w:r>
      <w:r>
        <w:rPr/>
        <w:t>、</w:t>
        <w:tab/>
      </w:r>
      <w:r>
        <w:rPr>
          <w:spacing w:val="-1"/>
        </w:rPr>
        <w:t>重要的在建工程项目本期变动情况</w:t>
      </w:r>
      <w:r>
        <w:rPr>
          <w:b w:val="0"/>
          <w:bCs w:val="0"/>
          <w:spacing w:val="-1"/>
        </w:rPr>
      </w:r>
    </w:p>
    <w:tbl>
      <w:tblPr>
        <w:tblW w:w="0" w:type="auto"/>
        <w:jc w:val="left"/>
        <w:tblInd w:w="394" w:type="dxa"/>
        <w:tblLayout w:type="fixed"/>
        <w:tblCellMar>
          <w:top w:w="0" w:type="dxa"/>
          <w:left w:w="0" w:type="dxa"/>
          <w:bottom w:w="0" w:type="dxa"/>
          <w:right w:w="0" w:type="dxa"/>
        </w:tblCellMar>
        <w:tblLook w:val="01E0"/>
      </w:tblPr>
      <w:tblGrid>
        <w:gridCol w:w="1208"/>
        <w:gridCol w:w="1334"/>
        <w:gridCol w:w="1337"/>
        <w:gridCol w:w="1217"/>
        <w:gridCol w:w="1214"/>
        <w:gridCol w:w="1337"/>
        <w:gridCol w:w="1217"/>
        <w:gridCol w:w="960"/>
        <w:gridCol w:w="698"/>
        <w:gridCol w:w="1217"/>
        <w:gridCol w:w="1135"/>
        <w:gridCol w:w="792"/>
        <w:gridCol w:w="902"/>
      </w:tblGrid>
      <w:tr>
        <w:trPr>
          <w:trHeight w:val="977" w:hRule="exact"/>
        </w:trPr>
        <w:tc>
          <w:tcPr>
            <w:tcW w:w="1208"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88" w:right="0"/>
              <w:jc w:val="left"/>
              <w:rPr>
                <w:rFonts w:ascii="宋体" w:hAnsi="宋体" w:cs="宋体" w:eastAsia="宋体" w:hint="default"/>
                <w:sz w:val="16"/>
                <w:szCs w:val="16"/>
              </w:rPr>
            </w:pPr>
            <w:r>
              <w:rPr>
                <w:rFonts w:ascii="宋体" w:hAnsi="宋体" w:cs="宋体" w:eastAsia="宋体" w:hint="default"/>
                <w:sz w:val="16"/>
                <w:szCs w:val="16"/>
              </w:rPr>
              <w:t>项目名称</w:t>
            </w:r>
          </w:p>
        </w:tc>
        <w:tc>
          <w:tcPr>
            <w:tcW w:w="13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22" w:right="0"/>
              <w:jc w:val="left"/>
              <w:rPr>
                <w:rFonts w:ascii="宋体" w:hAnsi="宋体" w:cs="宋体" w:eastAsia="宋体" w:hint="default"/>
                <w:sz w:val="16"/>
                <w:szCs w:val="16"/>
              </w:rPr>
            </w:pPr>
            <w:r>
              <w:rPr>
                <w:rFonts w:ascii="宋体" w:hAnsi="宋体" w:cs="宋体" w:eastAsia="宋体" w:hint="default"/>
                <w:sz w:val="16"/>
                <w:szCs w:val="16"/>
              </w:rPr>
              <w:t>预算数</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80"/>
              <w:jc w:val="right"/>
              <w:rPr>
                <w:rFonts w:ascii="宋体" w:hAnsi="宋体" w:cs="宋体" w:eastAsia="宋体" w:hint="default"/>
                <w:sz w:val="16"/>
                <w:szCs w:val="16"/>
              </w:rPr>
            </w:pPr>
            <w:r>
              <w:rPr>
                <w:rFonts w:ascii="宋体" w:hAnsi="宋体" w:cs="宋体" w:eastAsia="宋体" w:hint="default"/>
                <w:spacing w:val="-1"/>
                <w:sz w:val="16"/>
                <w:szCs w:val="16"/>
              </w:rPr>
              <w:t>上年年末余额</w:t>
            </w:r>
          </w:p>
        </w:tc>
        <w:tc>
          <w:tcPr>
            <w:tcW w:w="12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本期增加金额</w:t>
            </w:r>
          </w:p>
        </w:tc>
        <w:tc>
          <w:tcPr>
            <w:tcW w:w="1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43" w:lineRule="auto"/>
              <w:ind w:left="283" w:right="118" w:hanging="161"/>
              <w:jc w:val="left"/>
              <w:rPr>
                <w:rFonts w:ascii="宋体" w:hAnsi="宋体" w:cs="宋体" w:eastAsia="宋体" w:hint="default"/>
                <w:sz w:val="16"/>
                <w:szCs w:val="16"/>
              </w:rPr>
            </w:pPr>
            <w:r>
              <w:rPr>
                <w:rFonts w:ascii="宋体" w:hAnsi="宋体" w:cs="宋体" w:eastAsia="宋体" w:hint="default"/>
                <w:sz w:val="16"/>
                <w:szCs w:val="16"/>
              </w:rPr>
              <w:t>本期转入固定</w:t>
            </w:r>
            <w:r>
              <w:rPr>
                <w:rFonts w:ascii="宋体" w:hAnsi="宋体" w:cs="宋体" w:eastAsia="宋体" w:hint="default"/>
                <w:w w:val="100"/>
                <w:sz w:val="16"/>
                <w:szCs w:val="16"/>
              </w:rPr>
              <w:t> </w:t>
            </w:r>
            <w:r>
              <w:rPr>
                <w:rFonts w:ascii="宋体" w:hAnsi="宋体" w:cs="宋体" w:eastAsia="宋体" w:hint="default"/>
                <w:sz w:val="16"/>
                <w:szCs w:val="16"/>
              </w:rPr>
              <w:t>资产金额</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43" w:lineRule="auto"/>
              <w:ind w:left="583" w:right="98" w:hanging="480"/>
              <w:jc w:val="left"/>
              <w:rPr>
                <w:rFonts w:ascii="宋体" w:hAnsi="宋体" w:cs="宋体" w:eastAsia="宋体" w:hint="default"/>
                <w:sz w:val="16"/>
                <w:szCs w:val="16"/>
              </w:rPr>
            </w:pPr>
            <w:r>
              <w:rPr>
                <w:rFonts w:ascii="宋体" w:hAnsi="宋体" w:cs="宋体" w:eastAsia="宋体" w:hint="default"/>
                <w:sz w:val="16"/>
                <w:szCs w:val="16"/>
              </w:rPr>
              <w:t>本期其他减少金</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额</w:t>
            </w:r>
          </w:p>
        </w:tc>
        <w:tc>
          <w:tcPr>
            <w:tcW w:w="12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960" w:type="dxa"/>
            <w:tcBorders>
              <w:top w:val="single" w:sz="12" w:space="0" w:color="000000"/>
              <w:left w:val="dotted" w:sz="4" w:space="0" w:color="000000"/>
              <w:bottom w:val="dotted" w:sz="4" w:space="0" w:color="000000"/>
              <w:right w:val="dotted" w:sz="4" w:space="0" w:color="000000"/>
            </w:tcBorders>
          </w:tcPr>
          <w:p>
            <w:pPr>
              <w:pStyle w:val="TableParagraph"/>
              <w:spacing w:line="343" w:lineRule="auto" w:before="96"/>
              <w:ind w:left="115" w:right="110" w:firstLine="38"/>
              <w:jc w:val="both"/>
              <w:rPr>
                <w:rFonts w:ascii="Times New Roman" w:hAnsi="Times New Roman" w:cs="Times New Roman" w:eastAsia="Times New Roman" w:hint="default"/>
                <w:sz w:val="16"/>
                <w:szCs w:val="16"/>
              </w:rPr>
            </w:pPr>
            <w:r>
              <w:rPr>
                <w:rFonts w:ascii="宋体" w:hAnsi="宋体" w:cs="宋体" w:eastAsia="宋体" w:hint="default"/>
                <w:sz w:val="16"/>
                <w:szCs w:val="16"/>
              </w:rPr>
              <w:t>工程累计</w:t>
            </w:r>
            <w:r>
              <w:rPr>
                <w:rFonts w:ascii="宋体" w:hAnsi="宋体" w:cs="宋体" w:eastAsia="宋体" w:hint="default"/>
                <w:w w:val="100"/>
                <w:sz w:val="16"/>
                <w:szCs w:val="16"/>
              </w:rPr>
              <w:t> </w:t>
            </w:r>
            <w:r>
              <w:rPr>
                <w:rFonts w:ascii="宋体" w:hAnsi="宋体" w:cs="宋体" w:eastAsia="宋体" w:hint="default"/>
                <w:sz w:val="16"/>
                <w:szCs w:val="16"/>
              </w:rPr>
              <w:t>投入占预</w:t>
            </w:r>
            <w:r>
              <w:rPr>
                <w:rFonts w:ascii="宋体" w:hAnsi="宋体" w:cs="宋体" w:eastAsia="宋体" w:hint="default"/>
                <w:spacing w:val="-77"/>
                <w:sz w:val="16"/>
                <w:szCs w:val="16"/>
              </w:rPr>
              <w:t> </w:t>
            </w:r>
            <w:r>
              <w:rPr>
                <w:rFonts w:ascii="宋体" w:hAnsi="宋体" w:cs="宋体" w:eastAsia="宋体" w:hint="default"/>
                <w:sz w:val="16"/>
                <w:szCs w:val="16"/>
              </w:rPr>
              <w:t>算比例</w:t>
            </w:r>
            <w:r>
              <w:rPr>
                <w:rFonts w:ascii="Times New Roman" w:hAnsi="Times New Roman" w:cs="Times New Roman" w:eastAsia="Times New Roman" w:hint="default"/>
                <w:sz w:val="16"/>
                <w:szCs w:val="16"/>
              </w:rPr>
              <w:t>(%)</w:t>
            </w:r>
          </w:p>
        </w:tc>
        <w:tc>
          <w:tcPr>
            <w:tcW w:w="6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43" w:lineRule="auto"/>
              <w:ind w:left="103" w:right="19"/>
              <w:jc w:val="left"/>
              <w:rPr>
                <w:rFonts w:ascii="宋体" w:hAnsi="宋体" w:cs="宋体" w:eastAsia="宋体" w:hint="default"/>
                <w:sz w:val="16"/>
                <w:szCs w:val="16"/>
              </w:rPr>
            </w:pPr>
            <w:r>
              <w:rPr>
                <w:rFonts w:ascii="宋体" w:hAnsi="宋体" w:cs="宋体" w:eastAsia="宋体" w:hint="default"/>
                <w:sz w:val="16"/>
                <w:szCs w:val="16"/>
              </w:rPr>
              <w:t>工程进</w:t>
            </w:r>
            <w:r>
              <w:rPr>
                <w:rFonts w:ascii="宋体" w:hAnsi="宋体" w:cs="宋体" w:eastAsia="宋体" w:hint="default"/>
                <w:spacing w:val="-78"/>
                <w:sz w:val="16"/>
                <w:szCs w:val="16"/>
              </w:rPr>
              <w:t> </w:t>
            </w:r>
            <w:r>
              <w:rPr>
                <w:rFonts w:ascii="宋体" w:hAnsi="宋体" w:cs="宋体" w:eastAsia="宋体" w:hint="default"/>
                <w:spacing w:val="-14"/>
                <w:sz w:val="16"/>
                <w:szCs w:val="16"/>
              </w:rPr>
              <w:t>度（</w:t>
            </w:r>
            <w:r>
              <w:rPr>
                <w:rFonts w:ascii="Times New Roman" w:hAnsi="Times New Roman" w:cs="Times New Roman" w:eastAsia="Times New Roman" w:hint="default"/>
                <w:spacing w:val="-14"/>
                <w:sz w:val="16"/>
                <w:szCs w:val="16"/>
              </w:rPr>
              <w:t>%</w:t>
            </w:r>
            <w:r>
              <w:rPr>
                <w:rFonts w:ascii="宋体" w:hAnsi="宋体" w:cs="宋体" w:eastAsia="宋体" w:hint="default"/>
                <w:spacing w:val="-14"/>
                <w:sz w:val="16"/>
                <w:szCs w:val="16"/>
              </w:rPr>
              <w:t>）</w:t>
            </w:r>
          </w:p>
        </w:tc>
        <w:tc>
          <w:tcPr>
            <w:tcW w:w="12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43" w:lineRule="auto"/>
              <w:ind w:left="362" w:right="121" w:hanging="240"/>
              <w:jc w:val="left"/>
              <w:rPr>
                <w:rFonts w:ascii="宋体" w:hAnsi="宋体" w:cs="宋体" w:eastAsia="宋体" w:hint="default"/>
                <w:sz w:val="16"/>
                <w:szCs w:val="16"/>
              </w:rPr>
            </w:pPr>
            <w:r>
              <w:rPr>
                <w:rFonts w:ascii="宋体" w:hAnsi="宋体" w:cs="宋体" w:eastAsia="宋体" w:hint="default"/>
                <w:sz w:val="16"/>
                <w:szCs w:val="16"/>
              </w:rPr>
              <w:t>利息资本化累</w:t>
            </w:r>
            <w:r>
              <w:rPr>
                <w:rFonts w:ascii="宋体" w:hAnsi="宋体" w:cs="宋体" w:eastAsia="宋体" w:hint="default"/>
                <w:w w:val="100"/>
                <w:sz w:val="16"/>
                <w:szCs w:val="16"/>
              </w:rPr>
              <w:t> </w:t>
            </w:r>
            <w:r>
              <w:rPr>
                <w:rFonts w:ascii="宋体" w:hAnsi="宋体" w:cs="宋体" w:eastAsia="宋体" w:hint="default"/>
                <w:sz w:val="16"/>
                <w:szCs w:val="16"/>
              </w:rPr>
              <w:t>计金额</w:t>
            </w:r>
          </w:p>
        </w:tc>
        <w:tc>
          <w:tcPr>
            <w:tcW w:w="1135" w:type="dxa"/>
            <w:tcBorders>
              <w:top w:val="single" w:sz="12" w:space="0" w:color="000000"/>
              <w:left w:val="dotted" w:sz="4" w:space="0" w:color="000000"/>
              <w:bottom w:val="dotted" w:sz="4" w:space="0" w:color="000000"/>
              <w:right w:val="dotted" w:sz="4" w:space="0" w:color="000000"/>
            </w:tcBorders>
          </w:tcPr>
          <w:p>
            <w:pPr>
              <w:pStyle w:val="TableParagraph"/>
              <w:spacing w:line="343" w:lineRule="auto" w:before="96"/>
              <w:ind w:left="100" w:right="101"/>
              <w:jc w:val="center"/>
              <w:rPr>
                <w:rFonts w:ascii="宋体" w:hAnsi="宋体" w:cs="宋体" w:eastAsia="宋体" w:hint="default"/>
                <w:sz w:val="16"/>
                <w:szCs w:val="16"/>
              </w:rPr>
            </w:pPr>
            <w:r>
              <w:rPr>
                <w:rFonts w:ascii="宋体" w:hAnsi="宋体" w:cs="宋体" w:eastAsia="宋体" w:hint="default"/>
                <w:spacing w:val="-8"/>
                <w:sz w:val="16"/>
                <w:szCs w:val="16"/>
              </w:rPr>
              <w:t>其中：本期利</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息资本化金</w:t>
            </w:r>
            <w:r>
              <w:rPr>
                <w:rFonts w:ascii="宋体" w:hAnsi="宋体" w:cs="宋体" w:eastAsia="宋体" w:hint="default"/>
                <w:w w:val="100"/>
                <w:sz w:val="16"/>
                <w:szCs w:val="16"/>
              </w:rPr>
              <w:t> </w:t>
            </w:r>
            <w:r>
              <w:rPr>
                <w:rFonts w:ascii="宋体" w:hAnsi="宋体" w:cs="宋体" w:eastAsia="宋体" w:hint="default"/>
                <w:sz w:val="16"/>
                <w:szCs w:val="16"/>
              </w:rPr>
              <w:t>额</w:t>
            </w:r>
          </w:p>
        </w:tc>
        <w:tc>
          <w:tcPr>
            <w:tcW w:w="792" w:type="dxa"/>
            <w:tcBorders>
              <w:top w:val="single" w:sz="12" w:space="0" w:color="000000"/>
              <w:left w:val="dotted" w:sz="4" w:space="0" w:color="000000"/>
              <w:bottom w:val="dotted" w:sz="4" w:space="0" w:color="000000"/>
              <w:right w:val="dotted" w:sz="4" w:space="0" w:color="000000"/>
            </w:tcBorders>
          </w:tcPr>
          <w:p>
            <w:pPr>
              <w:pStyle w:val="TableParagraph"/>
              <w:spacing w:line="343" w:lineRule="auto" w:before="96"/>
              <w:ind w:left="110" w:right="108" w:firstLine="40"/>
              <w:jc w:val="both"/>
              <w:rPr>
                <w:rFonts w:ascii="Times New Roman" w:hAnsi="Times New Roman" w:cs="Times New Roman" w:eastAsia="Times New Roman" w:hint="default"/>
                <w:sz w:val="16"/>
                <w:szCs w:val="16"/>
              </w:rPr>
            </w:pPr>
            <w:r>
              <w:rPr>
                <w:rFonts w:ascii="宋体" w:hAnsi="宋体" w:cs="宋体" w:eastAsia="宋体" w:hint="default"/>
                <w:sz w:val="16"/>
                <w:szCs w:val="16"/>
              </w:rPr>
              <w:t>本期利</w:t>
            </w:r>
            <w:r>
              <w:rPr>
                <w:rFonts w:ascii="宋体" w:hAnsi="宋体" w:cs="宋体" w:eastAsia="宋体" w:hint="default"/>
                <w:w w:val="100"/>
                <w:sz w:val="16"/>
                <w:szCs w:val="16"/>
              </w:rPr>
              <w:t> </w:t>
            </w:r>
            <w:r>
              <w:rPr>
                <w:rFonts w:ascii="宋体" w:hAnsi="宋体" w:cs="宋体" w:eastAsia="宋体" w:hint="default"/>
                <w:sz w:val="16"/>
                <w:szCs w:val="16"/>
              </w:rPr>
              <w:t>息资本</w:t>
            </w:r>
            <w:r>
              <w:rPr>
                <w:rFonts w:ascii="宋体" w:hAnsi="宋体" w:cs="宋体" w:eastAsia="宋体" w:hint="default"/>
                <w:spacing w:val="-78"/>
                <w:sz w:val="16"/>
                <w:szCs w:val="16"/>
              </w:rPr>
              <w:t> </w:t>
            </w:r>
            <w:r>
              <w:rPr>
                <w:rFonts w:ascii="宋体" w:hAnsi="宋体" w:cs="宋体" w:eastAsia="宋体" w:hint="default"/>
                <w:sz w:val="16"/>
                <w:szCs w:val="16"/>
              </w:rPr>
              <w:t>化率</w:t>
            </w:r>
            <w:r>
              <w:rPr>
                <w:rFonts w:ascii="Times New Roman" w:hAnsi="Times New Roman" w:cs="Times New Roman" w:eastAsia="Times New Roman" w:hint="default"/>
                <w:sz w:val="16"/>
                <w:szCs w:val="16"/>
              </w:rPr>
              <w:t>(%)</w:t>
            </w:r>
          </w:p>
        </w:tc>
        <w:tc>
          <w:tcPr>
            <w:tcW w:w="902"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24" w:right="0"/>
              <w:jc w:val="left"/>
              <w:rPr>
                <w:rFonts w:ascii="宋体" w:hAnsi="宋体" w:cs="宋体" w:eastAsia="宋体" w:hint="default"/>
                <w:sz w:val="16"/>
                <w:szCs w:val="16"/>
              </w:rPr>
            </w:pPr>
            <w:r>
              <w:rPr>
                <w:rFonts w:ascii="宋体" w:hAnsi="宋体" w:cs="宋体" w:eastAsia="宋体" w:hint="default"/>
                <w:sz w:val="16"/>
                <w:szCs w:val="16"/>
              </w:rPr>
              <w:t>资金来源</w:t>
            </w:r>
          </w:p>
        </w:tc>
      </w:tr>
      <w:tr>
        <w:trPr>
          <w:trHeight w:val="665" w:hRule="exact"/>
        </w:trPr>
        <w:tc>
          <w:tcPr>
            <w:tcW w:w="1208" w:type="dxa"/>
            <w:tcBorders>
              <w:top w:val="dotted" w:sz="4" w:space="0" w:color="000000"/>
              <w:left w:val="nil" w:sz="6" w:space="0" w:color="auto"/>
              <w:bottom w:val="dotted" w:sz="4" w:space="0" w:color="000000"/>
              <w:right w:val="dotted" w:sz="4" w:space="0" w:color="000000"/>
            </w:tcBorders>
          </w:tcPr>
          <w:p>
            <w:pPr>
              <w:pStyle w:val="TableParagraph"/>
              <w:spacing w:line="343" w:lineRule="auto" w:before="96"/>
              <w:ind w:left="122" w:right="99"/>
              <w:jc w:val="left"/>
              <w:rPr>
                <w:rFonts w:ascii="宋体" w:hAnsi="宋体" w:cs="宋体" w:eastAsia="宋体" w:hint="default"/>
                <w:sz w:val="16"/>
                <w:szCs w:val="16"/>
              </w:rPr>
            </w:pPr>
            <w:r>
              <w:rPr>
                <w:rFonts w:ascii="宋体" w:hAnsi="宋体" w:cs="宋体" w:eastAsia="宋体" w:hint="default"/>
                <w:spacing w:val="2"/>
                <w:sz w:val="16"/>
                <w:szCs w:val="16"/>
              </w:rPr>
              <w:t>卫星导航及应</w:t>
            </w:r>
            <w:r>
              <w:rPr>
                <w:rFonts w:ascii="宋体" w:hAnsi="宋体" w:cs="宋体" w:eastAsia="宋体" w:hint="default"/>
                <w:spacing w:val="-76"/>
                <w:sz w:val="16"/>
                <w:szCs w:val="16"/>
              </w:rPr>
              <w:t> </w:t>
            </w:r>
            <w:r>
              <w:rPr>
                <w:rFonts w:ascii="宋体" w:hAnsi="宋体" w:cs="宋体" w:eastAsia="宋体" w:hint="default"/>
                <w:sz w:val="16"/>
                <w:szCs w:val="16"/>
              </w:rPr>
              <w:t>用项目</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1,887,730,000.00</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129,128,516.77</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25,066,193.59</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23,308,324.99</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130,886,385.37</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9.65</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9.65</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63" w:right="0"/>
              <w:jc w:val="left"/>
              <w:rPr>
                <w:rFonts w:ascii="Times New Roman" w:hAnsi="Times New Roman" w:cs="Times New Roman" w:eastAsia="Times New Roman" w:hint="default"/>
                <w:sz w:val="16"/>
                <w:szCs w:val="16"/>
              </w:rPr>
            </w:pPr>
            <w:r>
              <w:rPr>
                <w:rFonts w:ascii="Times New Roman"/>
                <w:sz w:val="16"/>
              </w:rPr>
              <w:t>2,972,700.00</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80" w:right="0"/>
              <w:jc w:val="left"/>
              <w:rPr>
                <w:rFonts w:ascii="Times New Roman" w:hAnsi="Times New Roman" w:cs="Times New Roman" w:eastAsia="Times New Roman" w:hint="default"/>
                <w:sz w:val="16"/>
                <w:szCs w:val="16"/>
              </w:rPr>
            </w:pPr>
            <w:r>
              <w:rPr>
                <w:rFonts w:ascii="Times New Roman"/>
                <w:sz w:val="16"/>
              </w:rPr>
              <w:t>1,079,700.00</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1.08</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自筹</w:t>
            </w:r>
          </w:p>
        </w:tc>
      </w:tr>
      <w:tr>
        <w:trPr>
          <w:trHeight w:val="967" w:hRule="exact"/>
        </w:trPr>
        <w:tc>
          <w:tcPr>
            <w:tcW w:w="1208" w:type="dxa"/>
            <w:tcBorders>
              <w:top w:val="dotted" w:sz="4" w:space="0" w:color="000000"/>
              <w:left w:val="nil" w:sz="6" w:space="0" w:color="auto"/>
              <w:bottom w:val="dotted" w:sz="4" w:space="0" w:color="000000"/>
              <w:right w:val="dotted" w:sz="4" w:space="0" w:color="000000"/>
            </w:tcBorders>
          </w:tcPr>
          <w:p>
            <w:pPr>
              <w:pStyle w:val="TableParagraph"/>
              <w:spacing w:line="343" w:lineRule="auto" w:before="96"/>
              <w:ind w:left="122" w:right="99"/>
              <w:jc w:val="both"/>
              <w:rPr>
                <w:rFonts w:ascii="宋体" w:hAnsi="宋体" w:cs="宋体" w:eastAsia="宋体" w:hint="default"/>
                <w:sz w:val="16"/>
                <w:szCs w:val="16"/>
              </w:rPr>
            </w:pPr>
            <w:r>
              <w:rPr>
                <w:rFonts w:ascii="宋体" w:hAnsi="宋体" w:cs="宋体" w:eastAsia="宋体" w:hint="default"/>
                <w:spacing w:val="2"/>
                <w:sz w:val="16"/>
                <w:szCs w:val="16"/>
              </w:rPr>
              <w:t>特种装备新能</w:t>
            </w:r>
            <w:r>
              <w:rPr>
                <w:rFonts w:ascii="宋体" w:hAnsi="宋体" w:cs="宋体" w:eastAsia="宋体" w:hint="default"/>
                <w:spacing w:val="-76"/>
                <w:sz w:val="16"/>
                <w:szCs w:val="16"/>
              </w:rPr>
              <w:t> </w:t>
            </w:r>
            <w:r>
              <w:rPr>
                <w:rFonts w:ascii="宋体" w:hAnsi="宋体" w:cs="宋体" w:eastAsia="宋体" w:hint="default"/>
                <w:spacing w:val="2"/>
                <w:sz w:val="16"/>
                <w:szCs w:val="16"/>
              </w:rPr>
              <w:t>源及应用建设</w:t>
            </w:r>
            <w:r>
              <w:rPr>
                <w:rFonts w:ascii="宋体" w:hAnsi="宋体" w:cs="宋体" w:eastAsia="宋体" w:hint="default"/>
                <w:spacing w:val="-76"/>
                <w:sz w:val="16"/>
                <w:szCs w:val="16"/>
              </w:rPr>
              <w:t> </w:t>
            </w:r>
            <w:r>
              <w:rPr>
                <w:rFonts w:ascii="宋体" w:hAnsi="宋体" w:cs="宋体" w:eastAsia="宋体" w:hint="default"/>
                <w:sz w:val="16"/>
                <w:szCs w:val="16"/>
              </w:rPr>
              <w:t>项目</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235,000,000.00</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56,669,031.17</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13,850,564.49</w:t>
            </w:r>
          </w:p>
        </w:tc>
        <w:tc>
          <w:tcPr>
            <w:tcW w:w="1214"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70,519,595.66</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34.74</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34.74</w:t>
            </w:r>
          </w:p>
        </w:tc>
        <w:tc>
          <w:tcPr>
            <w:tcW w:w="1217"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792" w:type="dxa"/>
            <w:tcBorders>
              <w:top w:val="dotted" w:sz="4" w:space="0" w:color="000000"/>
              <w:left w:val="dotted" w:sz="4" w:space="0" w:color="000000"/>
              <w:bottom w:val="dotted" w:sz="4" w:space="0" w:color="000000"/>
              <w:right w:val="dotted" w:sz="4" w:space="0" w:color="000000"/>
            </w:tcBorders>
          </w:tcPr>
          <w:p>
            <w:pP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自筹</w:t>
            </w:r>
          </w:p>
        </w:tc>
      </w:tr>
      <w:tr>
        <w:trPr>
          <w:trHeight w:val="365" w:hRule="exact"/>
        </w:trPr>
        <w:tc>
          <w:tcPr>
            <w:tcW w:w="12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6"/>
                <w:szCs w:val="16"/>
              </w:rPr>
            </w:pPr>
            <w:r>
              <w:rPr>
                <w:rFonts w:ascii="宋体" w:hAnsi="宋体" w:cs="宋体" w:eastAsia="宋体" w:hint="default"/>
                <w:sz w:val="16"/>
                <w:szCs w:val="16"/>
              </w:rPr>
              <w:t>机器手</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53,000,000.00</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4,276,652.86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26,293,721.28</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263" w:right="0"/>
              <w:jc w:val="left"/>
              <w:rPr>
                <w:rFonts w:ascii="Times New Roman" w:hAnsi="Times New Roman" w:cs="Times New Roman" w:eastAsia="Times New Roman" w:hint="default"/>
                <w:sz w:val="16"/>
                <w:szCs w:val="16"/>
              </w:rPr>
            </w:pPr>
            <w:r>
              <w:rPr>
                <w:rFonts w:ascii="Times New Roman"/>
                <w:sz w:val="16"/>
              </w:rPr>
              <w:t>7,019,460.08</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23,550,914.06</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88.61</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88.61</w:t>
            </w:r>
          </w:p>
        </w:tc>
        <w:tc>
          <w:tcPr>
            <w:tcW w:w="1217"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792" w:type="dxa"/>
            <w:tcBorders>
              <w:top w:val="dotted" w:sz="4" w:space="0" w:color="000000"/>
              <w:left w:val="dotted" w:sz="4" w:space="0" w:color="000000"/>
              <w:bottom w:val="dotted" w:sz="4" w:space="0" w:color="000000"/>
              <w:right w:val="dotted" w:sz="4" w:space="0" w:color="000000"/>
            </w:tcBorders>
          </w:tcPr>
          <w:p>
            <w:pP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left="103" w:right="0"/>
              <w:jc w:val="left"/>
              <w:rPr>
                <w:rFonts w:ascii="宋体" w:hAnsi="宋体" w:cs="宋体" w:eastAsia="宋体" w:hint="default"/>
                <w:sz w:val="16"/>
                <w:szCs w:val="16"/>
              </w:rPr>
            </w:pPr>
            <w:r>
              <w:rPr>
                <w:rFonts w:ascii="宋体" w:hAnsi="宋体" w:cs="宋体" w:eastAsia="宋体" w:hint="default"/>
                <w:sz w:val="16"/>
                <w:szCs w:val="16"/>
              </w:rPr>
              <w:t>自筹</w:t>
            </w:r>
          </w:p>
        </w:tc>
      </w:tr>
      <w:tr>
        <w:trPr>
          <w:trHeight w:val="667" w:hRule="exact"/>
        </w:trPr>
        <w:tc>
          <w:tcPr>
            <w:tcW w:w="12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Times New Roman" w:hAnsi="Times New Roman" w:cs="Times New Roman" w:eastAsia="Times New Roman" w:hint="default"/>
                <w:sz w:val="16"/>
                <w:szCs w:val="16"/>
              </w:rPr>
            </w:pPr>
            <w:r>
              <w:rPr>
                <w:rFonts w:ascii="宋体" w:hAnsi="宋体" w:cs="宋体" w:eastAsia="宋体" w:hint="default"/>
                <w:spacing w:val="17"/>
                <w:sz w:val="16"/>
                <w:szCs w:val="16"/>
              </w:rPr>
              <w:t>石岩三期</w:t>
            </w:r>
            <w:r>
              <w:rPr>
                <w:rFonts w:ascii="宋体" w:hAnsi="宋体" w:cs="宋体" w:eastAsia="宋体" w:hint="default"/>
                <w:spacing w:val="24"/>
                <w:sz w:val="16"/>
                <w:szCs w:val="16"/>
              </w:rPr>
              <w:t> </w:t>
            </w:r>
            <w:r>
              <w:rPr>
                <w:rFonts w:ascii="Times New Roman" w:hAnsi="Times New Roman" w:cs="Times New Roman" w:eastAsia="Times New Roman" w:hint="default"/>
                <w:sz w:val="16"/>
                <w:szCs w:val="16"/>
              </w:rPr>
              <w:t>2#</w:t>
            </w:r>
          </w:p>
          <w:p>
            <w:pPr>
              <w:pStyle w:val="TableParagraph"/>
              <w:spacing w:line="240" w:lineRule="auto" w:before="78"/>
              <w:ind w:left="122" w:right="0"/>
              <w:jc w:val="left"/>
              <w:rPr>
                <w:rFonts w:ascii="宋体" w:hAnsi="宋体" w:cs="宋体" w:eastAsia="宋体" w:hint="default"/>
                <w:sz w:val="16"/>
                <w:szCs w:val="16"/>
              </w:rPr>
            </w:pPr>
            <w:r>
              <w:rPr>
                <w:rFonts w:ascii="宋体" w:hAnsi="宋体" w:cs="宋体" w:eastAsia="宋体" w:hint="default"/>
                <w:sz w:val="16"/>
                <w:szCs w:val="16"/>
              </w:rPr>
              <w:t>厂房</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170,830,000.00</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681,457.90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21,326,273.43</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18"/>
              <w:jc w:val="right"/>
              <w:rPr>
                <w:rFonts w:ascii="宋体" w:hAnsi="宋体" w:cs="宋体" w:eastAsia="宋体" w:hint="default"/>
                <w:sz w:val="16"/>
                <w:szCs w:val="16"/>
              </w:rPr>
            </w:pPr>
            <w:r>
              <w:rPr>
                <w:rFonts w:ascii="宋体"/>
                <w:w w:val="100"/>
                <w:sz w:val="16"/>
              </w:rPr>
              <w:t> </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22,007,731.33</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12.88</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12.88</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6"/>
                <w:szCs w:val="16"/>
              </w:rPr>
            </w:pPr>
            <w:r>
              <w:rPr>
                <w:rFonts w:ascii="宋体"/>
                <w:w w:val="100"/>
                <w:sz w:val="16"/>
              </w:rPr>
              <w:t> </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自筹</w:t>
            </w:r>
          </w:p>
        </w:tc>
      </w:tr>
      <w:tr>
        <w:trPr>
          <w:trHeight w:val="365" w:hRule="exact"/>
        </w:trPr>
        <w:tc>
          <w:tcPr>
            <w:tcW w:w="12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6"/>
                <w:szCs w:val="16"/>
              </w:rPr>
            </w:pPr>
            <w:r>
              <w:rPr>
                <w:rFonts w:ascii="宋体" w:hAnsi="宋体" w:cs="宋体" w:eastAsia="宋体" w:hint="default"/>
                <w:sz w:val="16"/>
                <w:szCs w:val="16"/>
              </w:rPr>
              <w:t>扩大产能项目</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50,000,000.00</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7,671,433.86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13,850,564.49</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8"/>
              <w:jc w:val="right"/>
              <w:rPr>
                <w:rFonts w:ascii="宋体" w:hAnsi="宋体" w:cs="宋体" w:eastAsia="宋体" w:hint="default"/>
                <w:sz w:val="16"/>
                <w:szCs w:val="16"/>
              </w:rPr>
            </w:pPr>
            <w:r>
              <w:rPr>
                <w:rFonts w:ascii="宋体"/>
                <w:w w:val="100"/>
                <w:sz w:val="16"/>
              </w:rPr>
              <w:t> </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21,521,998.35</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43.04</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43.04</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0"/>
              <w:jc w:val="right"/>
              <w:rPr>
                <w:rFonts w:ascii="宋体" w:hAnsi="宋体" w:cs="宋体" w:eastAsia="宋体" w:hint="default"/>
                <w:sz w:val="16"/>
                <w:szCs w:val="16"/>
              </w:rPr>
            </w:pPr>
            <w:r>
              <w:rPr>
                <w:rFonts w:ascii="宋体"/>
                <w:w w:val="100"/>
                <w:sz w:val="16"/>
              </w:rPr>
              <w:t> </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3"/>
              <w:jc w:val="right"/>
              <w:rPr>
                <w:rFonts w:ascii="宋体" w:hAnsi="宋体" w:cs="宋体" w:eastAsia="宋体" w:hint="default"/>
                <w:sz w:val="16"/>
                <w:szCs w:val="16"/>
              </w:rPr>
            </w:pPr>
            <w:r>
              <w:rPr>
                <w:rFonts w:ascii="宋体"/>
                <w:w w:val="100"/>
                <w:sz w:val="16"/>
              </w:rPr>
              <w:t> </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0"/>
              <w:jc w:val="right"/>
              <w:rPr>
                <w:rFonts w:ascii="宋体" w:hAnsi="宋体" w:cs="宋体" w:eastAsia="宋体" w:hint="default"/>
                <w:sz w:val="16"/>
                <w:szCs w:val="16"/>
              </w:rPr>
            </w:pPr>
            <w:r>
              <w:rPr>
                <w:rFonts w:ascii="宋体"/>
                <w:w w:val="100"/>
                <w:sz w:val="16"/>
              </w:rPr>
              <w:t> </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left="103" w:right="0"/>
              <w:jc w:val="left"/>
              <w:rPr>
                <w:rFonts w:ascii="宋体" w:hAnsi="宋体" w:cs="宋体" w:eastAsia="宋体" w:hint="default"/>
                <w:sz w:val="16"/>
                <w:szCs w:val="16"/>
              </w:rPr>
            </w:pPr>
            <w:r>
              <w:rPr>
                <w:rFonts w:ascii="宋体" w:hAnsi="宋体" w:cs="宋体" w:eastAsia="宋体" w:hint="default"/>
                <w:sz w:val="16"/>
                <w:szCs w:val="16"/>
              </w:rPr>
              <w:t>自筹</w:t>
            </w:r>
          </w:p>
        </w:tc>
      </w:tr>
      <w:tr>
        <w:trPr>
          <w:trHeight w:val="368" w:hRule="exact"/>
        </w:trPr>
        <w:tc>
          <w:tcPr>
            <w:tcW w:w="12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6"/>
                <w:szCs w:val="16"/>
              </w:rPr>
            </w:pPr>
            <w:r>
              <w:rPr>
                <w:rFonts w:ascii="宋体" w:hAnsi="宋体" w:cs="宋体" w:eastAsia="宋体" w:hint="default"/>
                <w:sz w:val="16"/>
                <w:szCs w:val="16"/>
              </w:rPr>
              <w:t>长沙总部基地</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563,000,000.00</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1,391,796.22</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12,591,998.35</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8"/>
              <w:jc w:val="right"/>
              <w:rPr>
                <w:rFonts w:ascii="宋体" w:hAnsi="宋体" w:cs="宋体" w:eastAsia="宋体" w:hint="default"/>
                <w:sz w:val="16"/>
                <w:szCs w:val="16"/>
              </w:rPr>
            </w:pPr>
            <w:r>
              <w:rPr>
                <w:rFonts w:ascii="宋体"/>
                <w:w w:val="100"/>
                <w:sz w:val="16"/>
              </w:rPr>
              <w:t> </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13,983,794.57</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2.49</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2.49</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0"/>
              <w:jc w:val="right"/>
              <w:rPr>
                <w:rFonts w:ascii="宋体" w:hAnsi="宋体" w:cs="宋体" w:eastAsia="宋体" w:hint="default"/>
                <w:sz w:val="16"/>
                <w:szCs w:val="16"/>
              </w:rPr>
            </w:pPr>
            <w:r>
              <w:rPr>
                <w:rFonts w:ascii="宋体"/>
                <w:w w:val="100"/>
                <w:sz w:val="16"/>
              </w:rPr>
              <w:t> </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3"/>
              <w:jc w:val="right"/>
              <w:rPr>
                <w:rFonts w:ascii="宋体" w:hAnsi="宋体" w:cs="宋体" w:eastAsia="宋体" w:hint="default"/>
                <w:sz w:val="16"/>
                <w:szCs w:val="16"/>
              </w:rPr>
            </w:pPr>
            <w:r>
              <w:rPr>
                <w:rFonts w:ascii="宋体"/>
                <w:w w:val="100"/>
                <w:sz w:val="16"/>
              </w:rPr>
              <w:t> </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0"/>
              <w:jc w:val="right"/>
              <w:rPr>
                <w:rFonts w:ascii="宋体" w:hAnsi="宋体" w:cs="宋体" w:eastAsia="宋体" w:hint="default"/>
                <w:sz w:val="16"/>
                <w:szCs w:val="16"/>
              </w:rPr>
            </w:pPr>
            <w:r>
              <w:rPr>
                <w:rFonts w:ascii="宋体"/>
                <w:w w:val="100"/>
                <w:sz w:val="16"/>
              </w:rPr>
              <w:t> </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left="103" w:right="0"/>
              <w:jc w:val="left"/>
              <w:rPr>
                <w:rFonts w:ascii="宋体" w:hAnsi="宋体" w:cs="宋体" w:eastAsia="宋体" w:hint="default"/>
                <w:sz w:val="16"/>
                <w:szCs w:val="16"/>
              </w:rPr>
            </w:pPr>
            <w:r>
              <w:rPr>
                <w:rFonts w:ascii="宋体" w:hAnsi="宋体" w:cs="宋体" w:eastAsia="宋体" w:hint="default"/>
                <w:sz w:val="16"/>
                <w:szCs w:val="16"/>
              </w:rPr>
              <w:t>自筹</w:t>
            </w:r>
          </w:p>
        </w:tc>
      </w:tr>
      <w:tr>
        <w:trPr>
          <w:trHeight w:val="965" w:hRule="exact"/>
        </w:trPr>
        <w:tc>
          <w:tcPr>
            <w:tcW w:w="120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中电长城大厦</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2,375,600,000.00</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1,537,121,476.13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474,542,984.34</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6"/>
                <w:szCs w:val="16"/>
              </w:rPr>
            </w:pPr>
            <w:r>
              <w:rPr>
                <w:rFonts w:ascii="宋体"/>
                <w:w w:val="100"/>
                <w:sz w:val="16"/>
              </w:rPr>
              <w:t> </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6"/>
                <w:szCs w:val="16"/>
              </w:rPr>
            </w:pPr>
            <w:r>
              <w:rPr>
                <w:rFonts w:ascii="Times New Roman"/>
                <w:sz w:val="16"/>
              </w:rPr>
              <w:t>2,011,664,460.47</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249,730,359.98</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0" w:right="0"/>
              <w:jc w:val="left"/>
              <w:rPr>
                <w:rFonts w:ascii="Times New Roman" w:hAnsi="Times New Roman" w:cs="Times New Roman" w:eastAsia="Times New Roman" w:hint="default"/>
                <w:sz w:val="16"/>
                <w:szCs w:val="16"/>
              </w:rPr>
            </w:pPr>
            <w:r>
              <w:rPr>
                <w:rFonts w:ascii="Times New Roman"/>
                <w:sz w:val="16"/>
              </w:rPr>
              <w:t>69,100,028.09</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3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4.37</w:t>
            </w:r>
            <w:r>
              <w:rPr>
                <w:rFonts w:ascii="宋体" w:hAnsi="宋体" w:cs="宋体" w:eastAsia="宋体" w:hint="default"/>
                <w:sz w:val="16"/>
                <w:szCs w:val="16"/>
              </w:rPr>
              <w:t>、</w:t>
            </w:r>
          </w:p>
          <w:p>
            <w:pPr>
              <w:pStyle w:val="TableParagraph"/>
              <w:spacing w:line="240" w:lineRule="auto" w:before="128"/>
              <w:ind w:left="295" w:right="0"/>
              <w:jc w:val="center"/>
              <w:rPr>
                <w:rFonts w:ascii="Times New Roman" w:hAnsi="Times New Roman" w:cs="Times New Roman" w:eastAsia="Times New Roman" w:hint="default"/>
                <w:sz w:val="16"/>
                <w:szCs w:val="16"/>
              </w:rPr>
            </w:pPr>
            <w:r>
              <w:rPr>
                <w:rFonts w:ascii="Times New Roman"/>
                <w:sz w:val="16"/>
              </w:rPr>
              <w:t>5.39</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343" w:lineRule="auto" w:before="96"/>
              <w:ind w:left="103" w:right="91"/>
              <w:jc w:val="both"/>
              <w:rPr>
                <w:rFonts w:ascii="宋体" w:hAnsi="宋体" w:cs="宋体" w:eastAsia="宋体" w:hint="default"/>
                <w:sz w:val="16"/>
                <w:szCs w:val="16"/>
              </w:rPr>
            </w:pPr>
            <w:r>
              <w:rPr>
                <w:rFonts w:ascii="宋体" w:hAnsi="宋体" w:cs="宋体" w:eastAsia="宋体" w:hint="default"/>
                <w:spacing w:val="9"/>
                <w:sz w:val="16"/>
                <w:szCs w:val="16"/>
              </w:rPr>
              <w:t>金融机构</w:t>
            </w:r>
            <w:r>
              <w:rPr>
                <w:rFonts w:ascii="宋体" w:hAnsi="宋体" w:cs="宋体" w:eastAsia="宋体" w:hint="default"/>
                <w:spacing w:val="-71"/>
                <w:sz w:val="16"/>
                <w:szCs w:val="16"/>
              </w:rPr>
              <w:t> </w:t>
            </w:r>
            <w:r>
              <w:rPr>
                <w:rFonts w:ascii="宋体" w:hAnsi="宋体" w:cs="宋体" w:eastAsia="宋体" w:hint="default"/>
                <w:spacing w:val="9"/>
                <w:sz w:val="16"/>
                <w:szCs w:val="16"/>
              </w:rPr>
              <w:t>贷款、自</w:t>
            </w:r>
            <w:r>
              <w:rPr>
                <w:rFonts w:ascii="宋体" w:hAnsi="宋体" w:cs="宋体" w:eastAsia="宋体" w:hint="default"/>
                <w:spacing w:val="-71"/>
                <w:sz w:val="16"/>
                <w:szCs w:val="16"/>
              </w:rPr>
              <w:t> </w:t>
            </w:r>
            <w:r>
              <w:rPr>
                <w:rFonts w:ascii="宋体" w:hAnsi="宋体" w:cs="宋体" w:eastAsia="宋体" w:hint="default"/>
                <w:sz w:val="16"/>
                <w:szCs w:val="16"/>
              </w:rPr>
              <w:t>筹</w:t>
            </w:r>
          </w:p>
        </w:tc>
      </w:tr>
      <w:tr>
        <w:trPr>
          <w:trHeight w:val="367" w:hRule="exact"/>
        </w:trPr>
        <w:tc>
          <w:tcPr>
            <w:tcW w:w="12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6"/>
                <w:szCs w:val="16"/>
              </w:rPr>
            </w:pPr>
            <w:r>
              <w:rPr>
                <w:rFonts w:ascii="宋体" w:hAnsi="宋体" w:cs="宋体" w:eastAsia="宋体" w:hint="default"/>
                <w:sz w:val="16"/>
                <w:szCs w:val="16"/>
              </w:rPr>
              <w:t>统筹研保</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363,500,000.00</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366,884,464.81</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0"/>
              <w:jc w:val="right"/>
              <w:rPr>
                <w:rFonts w:ascii="宋体" w:hAnsi="宋体" w:cs="宋体" w:eastAsia="宋体" w:hint="default"/>
                <w:sz w:val="16"/>
                <w:szCs w:val="16"/>
              </w:rPr>
            </w:pPr>
            <w:r>
              <w:rPr>
                <w:rFonts w:ascii="宋体"/>
                <w:w w:val="100"/>
                <w:sz w:val="16"/>
              </w:rPr>
              <w:t> </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363,028,016.01</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3,856,448.80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0"/>
              <w:jc w:val="right"/>
              <w:rPr>
                <w:rFonts w:ascii="宋体" w:hAnsi="宋体" w:cs="宋体" w:eastAsia="宋体" w:hint="default"/>
                <w:sz w:val="16"/>
                <w:szCs w:val="16"/>
              </w:rPr>
            </w:pPr>
            <w:r>
              <w:rPr>
                <w:rFonts w:ascii="宋体"/>
                <w:w w:val="100"/>
                <w:sz w:val="16"/>
              </w:rPr>
              <w:t> </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0"/>
              <w:jc w:val="right"/>
              <w:rPr>
                <w:rFonts w:ascii="宋体" w:hAnsi="宋体" w:cs="宋体" w:eastAsia="宋体" w:hint="default"/>
                <w:sz w:val="16"/>
                <w:szCs w:val="16"/>
              </w:rPr>
            </w:pPr>
            <w:r>
              <w:rPr>
                <w:rFonts w:ascii="宋体"/>
                <w:w w:val="100"/>
                <w:sz w:val="16"/>
              </w:rPr>
              <w:t> </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3"/>
              <w:jc w:val="right"/>
              <w:rPr>
                <w:rFonts w:ascii="宋体" w:hAnsi="宋体" w:cs="宋体" w:eastAsia="宋体" w:hint="default"/>
                <w:sz w:val="16"/>
                <w:szCs w:val="16"/>
              </w:rPr>
            </w:pPr>
            <w:r>
              <w:rPr>
                <w:rFonts w:ascii="宋体"/>
                <w:w w:val="100"/>
                <w:sz w:val="16"/>
              </w:rPr>
              <w:t> </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20"/>
              <w:jc w:val="right"/>
              <w:rPr>
                <w:rFonts w:ascii="宋体" w:hAnsi="宋体" w:cs="宋体" w:eastAsia="宋体" w:hint="default"/>
                <w:sz w:val="16"/>
                <w:szCs w:val="16"/>
              </w:rPr>
            </w:pPr>
            <w:r>
              <w:rPr>
                <w:rFonts w:ascii="宋体"/>
                <w:w w:val="100"/>
                <w:sz w:val="16"/>
              </w:rPr>
              <w:t> </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left="103" w:right="0"/>
              <w:jc w:val="left"/>
              <w:rPr>
                <w:rFonts w:ascii="宋体" w:hAnsi="宋体" w:cs="宋体" w:eastAsia="宋体" w:hint="default"/>
                <w:sz w:val="16"/>
                <w:szCs w:val="16"/>
              </w:rPr>
            </w:pPr>
            <w:r>
              <w:rPr>
                <w:rFonts w:ascii="宋体" w:hAnsi="宋体" w:cs="宋体" w:eastAsia="宋体" w:hint="default"/>
                <w:sz w:val="16"/>
                <w:szCs w:val="16"/>
              </w:rPr>
              <w:t>国拨</w:t>
            </w:r>
            <w:r>
              <w:rPr>
                <w:rFonts w:ascii="Times New Roman" w:hAnsi="Times New Roman" w:cs="Times New Roman" w:eastAsia="Times New Roman" w:hint="default"/>
                <w:sz w:val="16"/>
                <w:szCs w:val="16"/>
              </w:rPr>
              <w:t>/</w:t>
            </w:r>
            <w:r>
              <w:rPr>
                <w:rFonts w:ascii="宋体" w:hAnsi="宋体" w:cs="宋体" w:eastAsia="宋体" w:hint="default"/>
                <w:sz w:val="16"/>
                <w:szCs w:val="16"/>
              </w:rPr>
              <w:t>自筹</w:t>
            </w:r>
          </w:p>
        </w:tc>
      </w:tr>
      <w:tr>
        <w:trPr>
          <w:trHeight w:val="665" w:hRule="exact"/>
        </w:trPr>
        <w:tc>
          <w:tcPr>
            <w:tcW w:w="12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生产能力建设</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73,760,000.00</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33,181,363.27</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14,032,965.82</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47,214,329.09</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6"/>
                <w:szCs w:val="16"/>
              </w:rPr>
            </w:pPr>
            <w:r>
              <w:rPr>
                <w:rFonts w:ascii="宋体"/>
                <w:w w:val="100"/>
                <w:sz w:val="16"/>
              </w:rPr>
              <w:t> </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324" w:lineRule="auto" w:before="96"/>
              <w:ind w:left="103" w:right="103"/>
              <w:jc w:val="left"/>
              <w:rPr>
                <w:rFonts w:ascii="宋体" w:hAnsi="宋体" w:cs="宋体" w:eastAsia="宋体" w:hint="default"/>
                <w:sz w:val="16"/>
                <w:szCs w:val="16"/>
              </w:rPr>
            </w:pPr>
            <w:r>
              <w:rPr>
                <w:rFonts w:ascii="宋体" w:hAnsi="宋体" w:cs="宋体" w:eastAsia="宋体" w:hint="default"/>
                <w:sz w:val="16"/>
                <w:szCs w:val="16"/>
              </w:rPr>
              <w:t>自筹</w:t>
            </w:r>
            <w:r>
              <w:rPr>
                <w:rFonts w:ascii="Times New Roman" w:hAnsi="Times New Roman" w:cs="Times New Roman" w:eastAsia="Times New Roman" w:hint="default"/>
                <w:sz w:val="16"/>
                <w:szCs w:val="16"/>
              </w:rPr>
              <w:t>/</w:t>
            </w:r>
            <w:r>
              <w:rPr>
                <w:rFonts w:ascii="宋体" w:hAnsi="宋体" w:cs="宋体" w:eastAsia="宋体" w:hint="default"/>
                <w:sz w:val="16"/>
                <w:szCs w:val="16"/>
              </w:rPr>
              <w:t>国拨</w:t>
            </w:r>
            <w:r>
              <w:rPr>
                <w:rFonts w:ascii="宋体" w:hAnsi="宋体" w:cs="宋体" w:eastAsia="宋体" w:hint="default"/>
                <w:spacing w:val="-77"/>
                <w:sz w:val="16"/>
                <w:szCs w:val="16"/>
              </w:rPr>
              <w:t> </w:t>
            </w:r>
            <w:r>
              <w:rPr>
                <w:rFonts w:ascii="宋体" w:hAnsi="宋体" w:cs="宋体" w:eastAsia="宋体" w:hint="default"/>
                <w:sz w:val="16"/>
                <w:szCs w:val="16"/>
              </w:rPr>
              <w:t>资金</w:t>
            </w:r>
          </w:p>
        </w:tc>
      </w:tr>
      <w:tr>
        <w:trPr>
          <w:trHeight w:val="668" w:hRule="exact"/>
        </w:trPr>
        <w:tc>
          <w:tcPr>
            <w:tcW w:w="12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未来城</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100,000,000.00</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23,921,813.13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64" w:right="0"/>
              <w:jc w:val="left"/>
              <w:rPr>
                <w:rFonts w:ascii="Times New Roman" w:hAnsi="Times New Roman" w:cs="Times New Roman" w:eastAsia="Times New Roman" w:hint="default"/>
                <w:sz w:val="16"/>
                <w:szCs w:val="16"/>
              </w:rPr>
            </w:pPr>
            <w:r>
              <w:rPr>
                <w:rFonts w:ascii="Times New Roman"/>
                <w:sz w:val="16"/>
              </w:rPr>
              <w:t>1,021,393.59</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24,943,206.72</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6"/>
                <w:szCs w:val="16"/>
              </w:rPr>
            </w:pPr>
            <w:r>
              <w:rPr>
                <w:rFonts w:ascii="宋体"/>
                <w:w w:val="100"/>
                <w:sz w:val="16"/>
              </w:rPr>
              <w:t> </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9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自筹</w:t>
            </w:r>
          </w:p>
        </w:tc>
      </w:tr>
      <w:tr>
        <w:trPr>
          <w:trHeight w:val="365" w:hRule="exact"/>
        </w:trPr>
        <w:tc>
          <w:tcPr>
            <w:tcW w:w="12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34"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47,971,412.83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157,098,199.34</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107,189,806.45</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3,886,297.41</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93,993,508.31</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w w:val="100"/>
                <w:sz w:val="16"/>
              </w:rPr>
              <w:t>/</w:t>
            </w:r>
          </w:p>
        </w:tc>
        <w:tc>
          <w:tcPr>
            <w:tcW w:w="1217"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792" w:type="dxa"/>
            <w:tcBorders>
              <w:top w:val="dotted" w:sz="4" w:space="0" w:color="000000"/>
              <w:left w:val="dotted" w:sz="4" w:space="0" w:color="000000"/>
              <w:bottom w:val="dotted" w:sz="4" w:space="0" w:color="000000"/>
              <w:right w:val="dotted" w:sz="4" w:space="0" w:color="000000"/>
            </w:tcBorders>
          </w:tcPr>
          <w:p>
            <w:pPr/>
          </w:p>
        </w:tc>
        <w:tc>
          <w:tcPr>
            <w:tcW w:w="902" w:type="dxa"/>
            <w:tcBorders>
              <w:top w:val="dotted" w:sz="4" w:space="0" w:color="000000"/>
              <w:left w:val="dotted" w:sz="4" w:space="0" w:color="000000"/>
              <w:bottom w:val="dotted" w:sz="4" w:space="0" w:color="000000"/>
              <w:right w:val="nil" w:sz="6" w:space="0" w:color="auto"/>
            </w:tcBorders>
          </w:tcPr>
          <w:p>
            <w:pPr/>
          </w:p>
        </w:tc>
      </w:tr>
      <w:tr>
        <w:trPr>
          <w:trHeight w:val="377" w:hRule="exact"/>
        </w:trPr>
        <w:tc>
          <w:tcPr>
            <w:tcW w:w="12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6"/>
              <w:ind w:left="17"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34" w:type="dxa"/>
            <w:tcBorders>
              <w:top w:val="dotted" w:sz="4" w:space="0" w:color="000000"/>
              <w:left w:val="dotted" w:sz="4" w:space="0" w:color="000000"/>
              <w:bottom w:val="single" w:sz="12" w:space="0" w:color="000000"/>
              <w:right w:val="dotted" w:sz="4" w:space="0" w:color="000000"/>
            </w:tcBorders>
          </w:tcPr>
          <w:p>
            <w:pP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2,208,899,418.95</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759,674,858.72</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572,703,143.34</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2,019,407,206.68</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376,463,927.65</w:t>
            </w:r>
          </w:p>
        </w:tc>
        <w:tc>
          <w:tcPr>
            <w:tcW w:w="960" w:type="dxa"/>
            <w:tcBorders>
              <w:top w:val="dotted" w:sz="4" w:space="0" w:color="000000"/>
              <w:left w:val="dotted" w:sz="4" w:space="0" w:color="000000"/>
              <w:bottom w:val="single" w:sz="12" w:space="0" w:color="000000"/>
              <w:right w:val="dotted" w:sz="4" w:space="0" w:color="000000"/>
            </w:tcBorders>
          </w:tcPr>
          <w:p>
            <w:pPr/>
          </w:p>
        </w:tc>
        <w:tc>
          <w:tcPr>
            <w:tcW w:w="698" w:type="dxa"/>
            <w:tcBorders>
              <w:top w:val="dotted" w:sz="4" w:space="0" w:color="000000"/>
              <w:left w:val="dotted" w:sz="4" w:space="0" w:color="000000"/>
              <w:bottom w:val="single" w:sz="12" w:space="0" w:color="000000"/>
              <w:right w:val="dotted" w:sz="4" w:space="0" w:color="000000"/>
            </w:tcBorders>
          </w:tcPr>
          <w:p>
            <w:pP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252,703,059.98</w:t>
            </w:r>
          </w:p>
        </w:tc>
        <w:tc>
          <w:tcPr>
            <w:tcW w:w="11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00" w:right="0"/>
              <w:jc w:val="left"/>
              <w:rPr>
                <w:rFonts w:ascii="Times New Roman" w:hAnsi="Times New Roman" w:cs="Times New Roman" w:eastAsia="Times New Roman" w:hint="default"/>
                <w:sz w:val="16"/>
                <w:szCs w:val="16"/>
              </w:rPr>
            </w:pPr>
            <w:r>
              <w:rPr>
                <w:rFonts w:ascii="Times New Roman"/>
                <w:sz w:val="16"/>
              </w:rPr>
              <w:t>70,179,728.09</w:t>
            </w:r>
          </w:p>
        </w:tc>
        <w:tc>
          <w:tcPr>
            <w:tcW w:w="792" w:type="dxa"/>
            <w:tcBorders>
              <w:top w:val="dotted" w:sz="4" w:space="0" w:color="000000"/>
              <w:left w:val="dotted" w:sz="4" w:space="0" w:color="000000"/>
              <w:bottom w:val="single" w:sz="12" w:space="0" w:color="000000"/>
              <w:right w:val="dotted" w:sz="4" w:space="0" w:color="000000"/>
            </w:tcBorders>
          </w:tcPr>
          <w:p>
            <w:pPr/>
          </w:p>
        </w:tc>
        <w:tc>
          <w:tcPr>
            <w:tcW w:w="90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5"/>
          <w:szCs w:val="5"/>
        </w:rPr>
      </w:pPr>
    </w:p>
    <w:p>
      <w:pPr>
        <w:pStyle w:val="BodyText"/>
        <w:spacing w:line="240" w:lineRule="auto"/>
        <w:ind w:left="1417" w:right="0"/>
        <w:jc w:val="left"/>
      </w:pPr>
      <w:r>
        <w:rPr/>
        <w:t>说明：在建工程</w:t>
      </w:r>
      <w:r>
        <w:rPr>
          <w:rFonts w:ascii="Times New Roman" w:hAnsi="Times New Roman" w:cs="Times New Roman" w:eastAsia="Times New Roman" w:hint="default"/>
        </w:rPr>
        <w:t>-</w:t>
      </w:r>
      <w:r>
        <w:rPr/>
        <w:t>中电长城大厦项目本期其他减少系项目竣工后按照持有目的不同转入存货及投资性房地产。</w:t>
      </w:r>
    </w:p>
    <w:p>
      <w:pPr>
        <w:spacing w:line="240" w:lineRule="auto" w:before="5"/>
        <w:rPr>
          <w:rFonts w:ascii="宋体" w:hAnsi="宋体" w:cs="宋体" w:eastAsia="宋体" w:hint="default"/>
          <w:sz w:val="11"/>
          <w:szCs w:val="11"/>
        </w:rPr>
      </w:pPr>
    </w:p>
    <w:p>
      <w:pPr>
        <w:spacing w:before="44"/>
        <w:ind w:left="6244" w:right="7121" w:firstLine="0"/>
        <w:jc w:val="center"/>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63</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36"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47"/>
          <w:footerReference w:type="default" r:id="rId48"/>
          <w:pgSz w:w="16840" w:h="11910" w:orient="landscape"/>
          <w:pgMar w:header="0" w:footer="0" w:top="780" w:bottom="0" w:left="1300" w:right="420"/>
        </w:sectPr>
      </w:pPr>
    </w:p>
    <w:p>
      <w:pPr>
        <w:spacing w:line="240" w:lineRule="auto" w:before="12"/>
        <w:rPr>
          <w:rFonts w:ascii="宋体" w:hAnsi="宋体" w:cs="宋体" w:eastAsia="宋体" w:hint="default"/>
          <w:sz w:val="22"/>
          <w:szCs w:val="22"/>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无形资产</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601"/>
        <w:gridCol w:w="1217"/>
        <w:gridCol w:w="1217"/>
        <w:gridCol w:w="1215"/>
        <w:gridCol w:w="1200"/>
        <w:gridCol w:w="1057"/>
        <w:gridCol w:w="1217"/>
      </w:tblGrid>
      <w:tr>
        <w:trPr>
          <w:trHeight w:val="365" w:hRule="exact"/>
        </w:trPr>
        <w:tc>
          <w:tcPr>
            <w:tcW w:w="16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6"/>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2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203"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12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362" w:right="0"/>
              <w:jc w:val="left"/>
              <w:rPr>
                <w:rFonts w:ascii="宋体" w:hAnsi="宋体" w:cs="宋体" w:eastAsia="宋体" w:hint="default"/>
                <w:sz w:val="16"/>
                <w:szCs w:val="16"/>
              </w:rPr>
            </w:pPr>
            <w:r>
              <w:rPr>
                <w:rFonts w:ascii="宋体" w:hAnsi="宋体" w:cs="宋体" w:eastAsia="宋体" w:hint="default"/>
                <w:sz w:val="16"/>
                <w:szCs w:val="16"/>
              </w:rPr>
              <w:t>专利权</w:t>
            </w:r>
          </w:p>
        </w:tc>
        <w:tc>
          <w:tcPr>
            <w:tcW w:w="121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202" w:right="0"/>
              <w:jc w:val="left"/>
              <w:rPr>
                <w:rFonts w:ascii="宋体" w:hAnsi="宋体" w:cs="宋体" w:eastAsia="宋体" w:hint="default"/>
                <w:sz w:val="16"/>
                <w:szCs w:val="16"/>
              </w:rPr>
            </w:pPr>
            <w:r>
              <w:rPr>
                <w:rFonts w:ascii="宋体" w:hAnsi="宋体" w:cs="宋体" w:eastAsia="宋体" w:hint="default"/>
                <w:sz w:val="16"/>
                <w:szCs w:val="16"/>
              </w:rPr>
              <w:t>计算机软件</w:t>
            </w:r>
          </w:p>
        </w:tc>
        <w:tc>
          <w:tcPr>
            <w:tcW w:w="12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194" w:right="0"/>
              <w:jc w:val="left"/>
              <w:rPr>
                <w:rFonts w:ascii="宋体" w:hAnsi="宋体" w:cs="宋体" w:eastAsia="宋体" w:hint="default"/>
                <w:sz w:val="16"/>
                <w:szCs w:val="16"/>
              </w:rPr>
            </w:pPr>
            <w:r>
              <w:rPr>
                <w:rFonts w:ascii="宋体" w:hAnsi="宋体" w:cs="宋体" w:eastAsia="宋体" w:hint="default"/>
                <w:sz w:val="16"/>
                <w:szCs w:val="16"/>
              </w:rPr>
              <w:t>非专利技术</w:t>
            </w:r>
          </w:p>
        </w:tc>
        <w:tc>
          <w:tcPr>
            <w:tcW w:w="10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283" w:right="0"/>
              <w:jc w:val="left"/>
              <w:rPr>
                <w:rFonts w:ascii="宋体" w:hAnsi="宋体" w:cs="宋体" w:eastAsia="宋体" w:hint="default"/>
                <w:sz w:val="16"/>
                <w:szCs w:val="16"/>
              </w:rPr>
            </w:pPr>
            <w:r>
              <w:rPr>
                <w:rFonts w:ascii="宋体" w:hAnsi="宋体" w:cs="宋体" w:eastAsia="宋体" w:hint="default"/>
                <w:sz w:val="16"/>
                <w:szCs w:val="16"/>
              </w:rPr>
              <w:t>特许权</w:t>
            </w:r>
          </w:p>
        </w:tc>
        <w:tc>
          <w:tcPr>
            <w:tcW w:w="12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．账面原值</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）上年年末余额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Times New Roman" w:hAnsi="Times New Roman" w:cs="Times New Roman" w:eastAsia="Times New Roman" w:hint="default"/>
                <w:sz w:val="16"/>
                <w:szCs w:val="16"/>
              </w:rPr>
            </w:pPr>
            <w:r>
              <w:rPr>
                <w:rFonts w:ascii="Times New Roman"/>
                <w:sz w:val="16"/>
              </w:rPr>
              <w:t>388,133,877.82</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Times New Roman" w:hAnsi="Times New Roman" w:cs="Times New Roman" w:eastAsia="Times New Roman" w:hint="default"/>
                <w:sz w:val="16"/>
                <w:szCs w:val="16"/>
              </w:rPr>
            </w:pPr>
            <w:r>
              <w:rPr>
                <w:rFonts w:ascii="Times New Roman"/>
                <w:sz w:val="16"/>
              </w:rPr>
              <w:t>169,444,441.47</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107,300,078.80</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47" w:right="0"/>
              <w:jc w:val="left"/>
              <w:rPr>
                <w:rFonts w:ascii="Times New Roman" w:hAnsi="Times New Roman" w:cs="Times New Roman" w:eastAsia="Times New Roman" w:hint="default"/>
                <w:sz w:val="16"/>
                <w:szCs w:val="16"/>
              </w:rPr>
            </w:pPr>
            <w:r>
              <w:rPr>
                <w:rFonts w:ascii="Times New Roman"/>
                <w:sz w:val="16"/>
              </w:rPr>
              <w:t>2,735,313.34</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Times New Roman" w:hAnsi="Times New Roman" w:cs="Times New Roman" w:eastAsia="Times New Roman" w:hint="default"/>
                <w:sz w:val="16"/>
                <w:szCs w:val="16"/>
              </w:rPr>
            </w:pPr>
            <w:r>
              <w:rPr>
                <w:rFonts w:ascii="Times New Roman"/>
                <w:sz w:val="16"/>
              </w:rPr>
              <w:t>4,366,291.57</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671,980,003.00</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60,369,382.71</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16,719,706.00</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16,452,957.19</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0" w:right="0"/>
              <w:jc w:val="left"/>
              <w:rPr>
                <w:rFonts w:ascii="Times New Roman" w:hAnsi="Times New Roman" w:cs="Times New Roman" w:eastAsia="Times New Roman" w:hint="default"/>
                <w:sz w:val="16"/>
                <w:szCs w:val="16"/>
              </w:rPr>
            </w:pPr>
            <w:r>
              <w:rPr>
                <w:rFonts w:ascii="Times New Roman"/>
                <w:sz w:val="16"/>
              </w:rPr>
              <w:t>31,973,111.19</w:t>
            </w: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125,515,157.09</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购置</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25,064,005.16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16,023.59</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13,484,937.84</w:t>
            </w: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38,564,966.59</w:t>
            </w:r>
          </w:p>
        </w:tc>
      </w:tr>
      <w:tr>
        <w:trPr>
          <w:trHeight w:val="355"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内部研发</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84" w:right="0"/>
              <w:jc w:val="left"/>
              <w:rPr>
                <w:rFonts w:ascii="Times New Roman" w:hAnsi="Times New Roman" w:cs="Times New Roman" w:eastAsia="Times New Roman" w:hint="default"/>
                <w:sz w:val="16"/>
                <w:szCs w:val="16"/>
              </w:rPr>
            </w:pPr>
            <w:r>
              <w:rPr>
                <w:rFonts w:ascii="Times New Roman"/>
                <w:sz w:val="16"/>
              </w:rPr>
              <w:t>16,613,200.83</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2,685,500.00</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80" w:right="0"/>
              <w:jc w:val="left"/>
              <w:rPr>
                <w:rFonts w:ascii="Times New Roman" w:hAnsi="Times New Roman" w:cs="Times New Roman" w:eastAsia="Times New Roman" w:hint="default"/>
                <w:sz w:val="16"/>
                <w:szCs w:val="16"/>
              </w:rPr>
            </w:pPr>
            <w:r>
              <w:rPr>
                <w:rFonts w:ascii="Times New Roman"/>
                <w:sz w:val="16"/>
              </w:rPr>
              <w:t>31,973,111.19</w:t>
            </w: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51,271,812.02</w:t>
            </w:r>
          </w:p>
        </w:tc>
      </w:tr>
      <w:tr>
        <w:trPr>
          <w:trHeight w:val="559"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3"/>
              <w:ind w:left="122" w:right="109" w:firstLine="40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投资性房地</w:t>
            </w:r>
            <w:r>
              <w:rPr>
                <w:rFonts w:ascii="宋体" w:hAnsi="宋体" w:cs="宋体" w:eastAsia="宋体" w:hint="default"/>
                <w:w w:val="100"/>
                <w:sz w:val="16"/>
                <w:szCs w:val="16"/>
              </w:rPr>
              <w:t> </w:t>
            </w:r>
            <w:r>
              <w:rPr>
                <w:rFonts w:ascii="宋体" w:hAnsi="宋体" w:cs="宋体" w:eastAsia="宋体" w:hint="default"/>
                <w:sz w:val="16"/>
                <w:szCs w:val="16"/>
              </w:rPr>
              <w:t>产转入</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89" w:right="0"/>
              <w:jc w:val="left"/>
              <w:rPr>
                <w:rFonts w:ascii="Times New Roman" w:hAnsi="Times New Roman" w:cs="Times New Roman" w:eastAsia="Times New Roman" w:hint="default"/>
                <w:sz w:val="16"/>
                <w:szCs w:val="16"/>
              </w:rPr>
            </w:pPr>
            <w:r>
              <w:rPr>
                <w:rFonts w:ascii="Times New Roman"/>
                <w:sz w:val="16"/>
              </w:rPr>
              <w:t>35,219,411.19</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2"/>
                <w:sz w:val="16"/>
              </w:rPr>
              <w:t>35,219,411.19</w:t>
            </w:r>
          </w:p>
        </w:tc>
      </w:tr>
      <w:tr>
        <w:trPr>
          <w:trHeight w:val="355"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汇率变动</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85,966.36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90,481.58</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127,251.76</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303,699.70</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155,267.59</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155,267.59</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103" w:right="0"/>
              <w:jc w:val="left"/>
              <w:rPr>
                <w:rFonts w:ascii="Times New Roman" w:hAnsi="Times New Roman" w:cs="Times New Roman" w:eastAsia="Times New Roman" w:hint="default"/>
                <w:sz w:val="16"/>
                <w:szCs w:val="16"/>
              </w:rPr>
            </w:pPr>
            <w:r>
              <w:rPr>
                <w:rFonts w:ascii="Times New Roman"/>
                <w:sz w:val="16"/>
              </w:rPr>
              <w:t>155,205,560.37</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0"/>
              <w:jc w:val="right"/>
              <w:rPr>
                <w:rFonts w:ascii="Times New Roman" w:hAnsi="Times New Roman" w:cs="Times New Roman" w:eastAsia="Times New Roman" w:hint="default"/>
                <w:sz w:val="16"/>
                <w:szCs w:val="16"/>
              </w:rPr>
            </w:pPr>
            <w:r>
              <w:rPr>
                <w:rFonts w:ascii="Times New Roman"/>
                <w:spacing w:val="-1"/>
                <w:sz w:val="16"/>
              </w:rPr>
              <w:t>1,628,450.08</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247" w:right="0"/>
              <w:jc w:val="left"/>
              <w:rPr>
                <w:rFonts w:ascii="Times New Roman" w:hAnsi="Times New Roman" w:cs="Times New Roman" w:eastAsia="Times New Roman" w:hint="default"/>
                <w:sz w:val="16"/>
                <w:szCs w:val="16"/>
              </w:rPr>
            </w:pPr>
            <w:r>
              <w:rPr>
                <w:rFonts w:ascii="Times New Roman"/>
                <w:sz w:val="16"/>
              </w:rPr>
              <w:t>2,246,900.00</w:t>
            </w: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6"/>
                <w:szCs w:val="16"/>
              </w:rPr>
            </w:pPr>
            <w:r>
              <w:rPr>
                <w:rFonts w:ascii="Times New Roman"/>
                <w:spacing w:val="-1"/>
                <w:sz w:val="16"/>
              </w:rPr>
              <w:t>159,080,910.45</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处置</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1,628,450.08</w:t>
            </w: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1,628,450.08</w:t>
            </w:r>
          </w:p>
        </w:tc>
      </w:tr>
      <w:tr>
        <w:trPr>
          <w:trHeight w:val="355"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right="109"/>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处置子公司</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47" w:right="0"/>
              <w:jc w:val="left"/>
              <w:rPr>
                <w:rFonts w:ascii="Times New Roman" w:hAnsi="Times New Roman" w:cs="Times New Roman" w:eastAsia="Times New Roman" w:hint="default"/>
                <w:sz w:val="16"/>
                <w:szCs w:val="16"/>
              </w:rPr>
            </w:pPr>
            <w:r>
              <w:rPr>
                <w:rFonts w:ascii="Times New Roman"/>
                <w:sz w:val="16"/>
              </w:rPr>
              <w:t>2,246,900.00</w:t>
            </w: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2,246,900.00</w:t>
            </w:r>
          </w:p>
        </w:tc>
      </w:tr>
      <w:tr>
        <w:trPr>
          <w:trHeight w:val="559"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9" w:firstLine="40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转入投资性</w:t>
            </w:r>
            <w:r>
              <w:rPr>
                <w:rFonts w:ascii="宋体" w:hAnsi="宋体" w:cs="宋体" w:eastAsia="宋体" w:hint="default"/>
                <w:w w:val="100"/>
                <w:sz w:val="16"/>
                <w:szCs w:val="16"/>
              </w:rPr>
              <w:t> </w:t>
            </w:r>
            <w:r>
              <w:rPr>
                <w:rFonts w:ascii="宋体" w:hAnsi="宋体" w:cs="宋体" w:eastAsia="宋体" w:hint="default"/>
                <w:sz w:val="16"/>
                <w:szCs w:val="16"/>
              </w:rPr>
              <w:t>房地产</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155,205,560.37</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155,205,560.37</w:t>
            </w:r>
          </w:p>
        </w:tc>
      </w:tr>
      <w:tr>
        <w:trPr>
          <w:trHeight w:val="355"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Times New Roman" w:hAnsi="Times New Roman" w:cs="Times New Roman" w:eastAsia="Times New Roman" w:hint="default"/>
                <w:sz w:val="16"/>
                <w:szCs w:val="16"/>
              </w:rPr>
            </w:pPr>
            <w:r>
              <w:rPr>
                <w:rFonts w:ascii="Times New Roman"/>
                <w:sz w:val="16"/>
              </w:rPr>
              <w:t>293,297,700.16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Times New Roman" w:hAnsi="Times New Roman" w:cs="Times New Roman" w:eastAsia="Times New Roman" w:hint="default"/>
                <w:sz w:val="16"/>
                <w:szCs w:val="16"/>
              </w:rPr>
            </w:pPr>
            <w:r>
              <w:rPr>
                <w:rFonts w:ascii="Times New Roman"/>
                <w:sz w:val="16"/>
              </w:rPr>
              <w:t>186,164,147.47</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122,124,585.91</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68" w:right="0"/>
              <w:jc w:val="left"/>
              <w:rPr>
                <w:rFonts w:ascii="Times New Roman" w:hAnsi="Times New Roman" w:cs="Times New Roman" w:eastAsia="Times New Roman" w:hint="default"/>
                <w:sz w:val="16"/>
                <w:szCs w:val="16"/>
              </w:rPr>
            </w:pPr>
            <w:r>
              <w:rPr>
                <w:rFonts w:ascii="Times New Roman"/>
                <w:sz w:val="16"/>
              </w:rPr>
              <w:t>32,461,524.53</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Times New Roman" w:hAnsi="Times New Roman" w:cs="Times New Roman" w:eastAsia="Times New Roman" w:hint="default"/>
                <w:sz w:val="16"/>
                <w:szCs w:val="16"/>
              </w:rPr>
            </w:pPr>
            <w:r>
              <w:rPr>
                <w:rFonts w:ascii="Times New Roman"/>
                <w:sz w:val="16"/>
              </w:rPr>
              <w:t>4,366,291.57</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638,414,249.64</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．累计摊销</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）上年年末余额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0" w:right="0"/>
              <w:jc w:val="left"/>
              <w:rPr>
                <w:rFonts w:ascii="Times New Roman" w:hAnsi="Times New Roman" w:cs="Times New Roman" w:eastAsia="Times New Roman" w:hint="default"/>
                <w:sz w:val="16"/>
                <w:szCs w:val="16"/>
              </w:rPr>
            </w:pPr>
            <w:r>
              <w:rPr>
                <w:rFonts w:ascii="Times New Roman"/>
                <w:sz w:val="16"/>
              </w:rPr>
              <w:t>112,696,466.59</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33,688,587.52</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46,483,356.47</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47" w:right="0"/>
              <w:jc w:val="left"/>
              <w:rPr>
                <w:rFonts w:ascii="Times New Roman" w:hAnsi="Times New Roman" w:cs="Times New Roman" w:eastAsia="Times New Roman" w:hint="default"/>
                <w:sz w:val="16"/>
                <w:szCs w:val="16"/>
              </w:rPr>
            </w:pPr>
            <w:r>
              <w:rPr>
                <w:rFonts w:ascii="Times New Roman"/>
                <w:sz w:val="16"/>
              </w:rPr>
              <w:t>2,735,313.34</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2,818,680.57</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198,422,404.49</w:t>
            </w:r>
          </w:p>
        </w:tc>
      </w:tr>
      <w:tr>
        <w:trPr>
          <w:trHeight w:val="355"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63" w:right="0"/>
              <w:jc w:val="left"/>
              <w:rPr>
                <w:rFonts w:ascii="Times New Roman" w:hAnsi="Times New Roman" w:cs="Times New Roman" w:eastAsia="Times New Roman" w:hint="default"/>
                <w:sz w:val="16"/>
                <w:szCs w:val="16"/>
              </w:rPr>
            </w:pPr>
            <w:r>
              <w:rPr>
                <w:rFonts w:ascii="Times New Roman"/>
                <w:sz w:val="16"/>
              </w:rPr>
              <w:t>7,477,335.49</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84" w:right="0"/>
              <w:jc w:val="left"/>
              <w:rPr>
                <w:rFonts w:ascii="Times New Roman" w:hAnsi="Times New Roman" w:cs="Times New Roman" w:eastAsia="Times New Roman" w:hint="default"/>
                <w:sz w:val="16"/>
                <w:szCs w:val="16"/>
              </w:rPr>
            </w:pPr>
            <w:r>
              <w:rPr>
                <w:rFonts w:ascii="Times New Roman"/>
                <w:sz w:val="16"/>
              </w:rPr>
              <w:t>16,771,225.26</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15,001,121.55</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367" w:right="0"/>
              <w:jc w:val="left"/>
              <w:rPr>
                <w:rFonts w:ascii="Times New Roman" w:hAnsi="Times New Roman" w:cs="Times New Roman" w:eastAsia="Times New Roman" w:hint="default"/>
                <w:sz w:val="16"/>
                <w:szCs w:val="16"/>
              </w:rPr>
            </w:pPr>
            <w:r>
              <w:rPr>
                <w:rFonts w:ascii="Times New Roman"/>
                <w:sz w:val="16"/>
              </w:rPr>
              <w:t>532,885.20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23" w:right="0"/>
              <w:jc w:val="left"/>
              <w:rPr>
                <w:rFonts w:ascii="Times New Roman" w:hAnsi="Times New Roman" w:cs="Times New Roman" w:eastAsia="Times New Roman" w:hint="default"/>
                <w:sz w:val="16"/>
                <w:szCs w:val="16"/>
              </w:rPr>
            </w:pPr>
            <w:r>
              <w:rPr>
                <w:rFonts w:ascii="Times New Roman"/>
                <w:sz w:val="16"/>
              </w:rPr>
              <w:t>564,818.30</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40,347,385.80</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计提</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63" w:right="0"/>
              <w:jc w:val="left"/>
              <w:rPr>
                <w:rFonts w:ascii="Times New Roman" w:hAnsi="Times New Roman" w:cs="Times New Roman" w:eastAsia="Times New Roman" w:hint="default"/>
                <w:sz w:val="16"/>
                <w:szCs w:val="16"/>
              </w:rPr>
            </w:pPr>
            <w:r>
              <w:rPr>
                <w:rFonts w:ascii="Times New Roman"/>
                <w:sz w:val="16"/>
              </w:rPr>
              <w:t>7,460,714.51</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16,681,212.62</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14,873,916.02</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367" w:right="0"/>
              <w:jc w:val="left"/>
              <w:rPr>
                <w:rFonts w:ascii="Times New Roman" w:hAnsi="Times New Roman" w:cs="Times New Roman" w:eastAsia="Times New Roman" w:hint="default"/>
                <w:sz w:val="16"/>
                <w:szCs w:val="16"/>
              </w:rPr>
            </w:pPr>
            <w:r>
              <w:rPr>
                <w:rFonts w:ascii="Times New Roman"/>
                <w:sz w:val="16"/>
              </w:rPr>
              <w:t>532,885.20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23" w:right="0"/>
              <w:jc w:val="left"/>
              <w:rPr>
                <w:rFonts w:ascii="Times New Roman" w:hAnsi="Times New Roman" w:cs="Times New Roman" w:eastAsia="Times New Roman" w:hint="default"/>
                <w:sz w:val="16"/>
                <w:szCs w:val="16"/>
              </w:rPr>
            </w:pPr>
            <w:r>
              <w:rPr>
                <w:rFonts w:ascii="Times New Roman"/>
                <w:sz w:val="16"/>
              </w:rPr>
              <w:t>564,818.30</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40,113,546.65</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16,620.98</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90,012.64</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127,205.53</w:t>
            </w: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233,839.15</w:t>
            </w:r>
          </w:p>
        </w:tc>
      </w:tr>
      <w:tr>
        <w:trPr>
          <w:trHeight w:val="356"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184" w:right="0"/>
              <w:jc w:val="left"/>
              <w:rPr>
                <w:rFonts w:ascii="Times New Roman" w:hAnsi="Times New Roman" w:cs="Times New Roman" w:eastAsia="Times New Roman" w:hint="default"/>
                <w:sz w:val="16"/>
                <w:szCs w:val="16"/>
              </w:rPr>
            </w:pPr>
            <w:r>
              <w:rPr>
                <w:rFonts w:ascii="Times New Roman"/>
                <w:sz w:val="16"/>
              </w:rPr>
              <w:t>53,231,802.30</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6"/>
                <w:szCs w:val="16"/>
              </w:rPr>
            </w:pPr>
            <w:r>
              <w:rPr>
                <w:rFonts w:ascii="Times New Roman"/>
                <w:spacing w:val="-1"/>
                <w:sz w:val="16"/>
              </w:rPr>
              <w:t>1,628,450.08</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247" w:right="0"/>
              <w:jc w:val="left"/>
              <w:rPr>
                <w:rFonts w:ascii="Times New Roman" w:hAnsi="Times New Roman" w:cs="Times New Roman" w:eastAsia="Times New Roman" w:hint="default"/>
                <w:sz w:val="16"/>
                <w:szCs w:val="16"/>
              </w:rPr>
            </w:pPr>
            <w:r>
              <w:rPr>
                <w:rFonts w:ascii="Times New Roman"/>
                <w:sz w:val="16"/>
              </w:rPr>
              <w:t>2,246,900.00</w:t>
            </w: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6"/>
                <w:szCs w:val="16"/>
              </w:rPr>
            </w:pPr>
            <w:r>
              <w:rPr>
                <w:rFonts w:ascii="Times New Roman"/>
                <w:spacing w:val="-2"/>
                <w:sz w:val="16"/>
              </w:rPr>
              <w:t>57,107,152.38</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5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处置</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1,628,450.08</w:t>
            </w: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1,628,450.08</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right="109"/>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处置子公司</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47" w:right="0"/>
              <w:jc w:val="left"/>
              <w:rPr>
                <w:rFonts w:ascii="Times New Roman" w:hAnsi="Times New Roman" w:cs="Times New Roman" w:eastAsia="Times New Roman" w:hint="default"/>
                <w:sz w:val="16"/>
                <w:szCs w:val="16"/>
              </w:rPr>
            </w:pPr>
            <w:r>
              <w:rPr>
                <w:rFonts w:ascii="Times New Roman"/>
                <w:sz w:val="16"/>
              </w:rPr>
              <w:t>2,246,900.00</w:t>
            </w: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2,246,900.00</w:t>
            </w:r>
          </w:p>
        </w:tc>
      </w:tr>
      <w:tr>
        <w:trPr>
          <w:trHeight w:val="562"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9" w:firstLine="40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转入投资性</w:t>
            </w:r>
            <w:r>
              <w:rPr>
                <w:rFonts w:ascii="宋体" w:hAnsi="宋体" w:cs="宋体" w:eastAsia="宋体" w:hint="default"/>
                <w:w w:val="100"/>
                <w:sz w:val="16"/>
                <w:szCs w:val="16"/>
              </w:rPr>
              <w:t> </w:t>
            </w:r>
            <w:r>
              <w:rPr>
                <w:rFonts w:ascii="宋体" w:hAnsi="宋体" w:cs="宋体" w:eastAsia="宋体" w:hint="default"/>
                <w:sz w:val="16"/>
                <w:szCs w:val="16"/>
              </w:rPr>
              <w:t>房地产</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53,231,802.30</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53,231,802.30</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66,941,999.78</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50,459,812.78</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59,856,027.94</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47" w:right="0"/>
              <w:jc w:val="left"/>
              <w:rPr>
                <w:rFonts w:ascii="Times New Roman" w:hAnsi="Times New Roman" w:cs="Times New Roman" w:eastAsia="Times New Roman" w:hint="default"/>
                <w:sz w:val="16"/>
                <w:szCs w:val="16"/>
              </w:rPr>
            </w:pPr>
            <w:r>
              <w:rPr>
                <w:rFonts w:ascii="Times New Roman"/>
                <w:sz w:val="16"/>
              </w:rPr>
              <w:t>1,021,298.54</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3,383,498.87</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181,662,637.91</w:t>
            </w: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．减值准备</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）上年年末余额</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．账面价值</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105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）期末账面价值</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226,355,700.38</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135,704,334.69</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62,268,557.97</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68" w:right="0"/>
              <w:jc w:val="left"/>
              <w:rPr>
                <w:rFonts w:ascii="Times New Roman" w:hAnsi="Times New Roman" w:cs="Times New Roman" w:eastAsia="Times New Roman" w:hint="default"/>
                <w:sz w:val="16"/>
                <w:szCs w:val="16"/>
              </w:rPr>
            </w:pPr>
            <w:r>
              <w:rPr>
                <w:rFonts w:ascii="Times New Roman"/>
                <w:sz w:val="16"/>
              </w:rPr>
              <w:t>31,440,225.99</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23" w:right="0"/>
              <w:jc w:val="left"/>
              <w:rPr>
                <w:rFonts w:ascii="Times New Roman" w:hAnsi="Times New Roman" w:cs="Times New Roman" w:eastAsia="Times New Roman" w:hint="default"/>
                <w:sz w:val="16"/>
                <w:szCs w:val="16"/>
              </w:rPr>
            </w:pPr>
            <w:r>
              <w:rPr>
                <w:rFonts w:ascii="Times New Roman"/>
                <w:sz w:val="16"/>
              </w:rPr>
              <w:t>982,792.70</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456,751,611.73</w:t>
            </w:r>
          </w:p>
        </w:tc>
      </w:tr>
      <w:tr>
        <w:trPr>
          <w:trHeight w:val="571" w:hRule="exact"/>
        </w:trPr>
        <w:tc>
          <w:tcPr>
            <w:tcW w:w="1601" w:type="dxa"/>
            <w:tcBorders>
              <w:top w:val="dotted" w:sz="4" w:space="0" w:color="000000"/>
              <w:left w:val="nil" w:sz="6" w:space="0" w:color="auto"/>
              <w:bottom w:val="single" w:sz="12" w:space="0" w:color="000000"/>
              <w:right w:val="dotted" w:sz="4" w:space="0" w:color="000000"/>
            </w:tcBorders>
          </w:tcPr>
          <w:p>
            <w:pPr>
              <w:pStyle w:val="TableParagraph"/>
              <w:spacing w:line="206" w:lineRule="exact" w:before="65"/>
              <w:ind w:left="122" w:right="109"/>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）上年年末账面</w:t>
            </w:r>
            <w:r>
              <w:rPr>
                <w:rFonts w:ascii="宋体" w:hAnsi="宋体" w:cs="宋体" w:eastAsia="宋体" w:hint="default"/>
                <w:w w:val="100"/>
                <w:sz w:val="16"/>
                <w:szCs w:val="16"/>
              </w:rPr>
              <w:t> </w:t>
            </w:r>
            <w:r>
              <w:rPr>
                <w:rFonts w:ascii="宋体" w:hAnsi="宋体" w:cs="宋体" w:eastAsia="宋体" w:hint="default"/>
                <w:sz w:val="16"/>
                <w:szCs w:val="16"/>
              </w:rPr>
              <w:t>价值</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10" w:right="0"/>
              <w:jc w:val="left"/>
              <w:rPr>
                <w:rFonts w:ascii="Times New Roman" w:hAnsi="Times New Roman" w:cs="Times New Roman" w:eastAsia="Times New Roman" w:hint="default"/>
                <w:sz w:val="16"/>
                <w:szCs w:val="16"/>
              </w:rPr>
            </w:pPr>
            <w:r>
              <w:rPr>
                <w:rFonts w:ascii="Times New Roman"/>
                <w:sz w:val="16"/>
              </w:rPr>
              <w:t>275,437,411.23</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135,755,853.95</w:t>
            </w:r>
          </w:p>
        </w:tc>
        <w:tc>
          <w:tcPr>
            <w:tcW w:w="12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60,816,722.33</w:t>
            </w:r>
          </w:p>
        </w:tc>
        <w:tc>
          <w:tcPr>
            <w:tcW w:w="1200" w:type="dxa"/>
            <w:tcBorders>
              <w:top w:val="dotted" w:sz="4" w:space="0" w:color="000000"/>
              <w:left w:val="dotted" w:sz="4" w:space="0" w:color="000000"/>
              <w:bottom w:val="single" w:sz="12" w:space="0" w:color="000000"/>
              <w:right w:val="dotted" w:sz="4" w:space="0" w:color="000000"/>
            </w:tcBorders>
          </w:tcPr>
          <w:p>
            <w:pPr/>
          </w:p>
        </w:tc>
        <w:tc>
          <w:tcPr>
            <w:tcW w:w="10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8" w:right="0"/>
              <w:jc w:val="left"/>
              <w:rPr>
                <w:rFonts w:ascii="Times New Roman" w:hAnsi="Times New Roman" w:cs="Times New Roman" w:eastAsia="Times New Roman" w:hint="default"/>
                <w:sz w:val="16"/>
                <w:szCs w:val="16"/>
              </w:rPr>
            </w:pPr>
            <w:r>
              <w:rPr>
                <w:rFonts w:ascii="Times New Roman"/>
                <w:sz w:val="16"/>
              </w:rPr>
              <w:t>1,547,611.00</w:t>
            </w:r>
          </w:p>
        </w:tc>
        <w:tc>
          <w:tcPr>
            <w:tcW w:w="12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473,557,598.51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spacing w:before="0"/>
        <w:ind w:left="0" w:right="1653" w:firstLine="0"/>
        <w:jc w:val="center"/>
        <w:rPr>
          <w:rFonts w:ascii="宋体" w:hAnsi="宋体" w:cs="宋体" w:eastAsia="宋体" w:hint="default"/>
          <w:sz w:val="18"/>
          <w:szCs w:val="18"/>
        </w:rPr>
      </w:pPr>
      <w:r>
        <w:rPr/>
        <w:pict>
          <v:shape style="position:absolute;margin-left:535.634705pt;margin-top:27.416243pt;width:59.493346pt;height:26.794713pt;mso-position-horizontal-relative:page;mso-position-vertical-relative:paragraph;z-index:2008" type="#_x0000_t75" stroked="false">
            <v:imagedata r:id="rId36" o:title=""/>
          </v:shape>
        </w:pict>
      </w: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64</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49"/>
          <w:footerReference w:type="default" r:id="rId50"/>
          <w:pgSz w:w="11910" w:h="16840"/>
          <w:pgMar w:header="753" w:footer="0" w:top="1500" w:bottom="0" w:left="1660" w:right="0"/>
        </w:sectPr>
      </w:pPr>
    </w:p>
    <w:p>
      <w:pPr>
        <w:spacing w:line="530" w:lineRule="auto" w:before="25"/>
        <w:ind w:left="140" w:right="11898" w:firstLine="0"/>
        <w:jc w:val="left"/>
        <w:rPr>
          <w:rFonts w:ascii="宋体" w:hAnsi="宋体" w:cs="宋体" w:eastAsia="宋体" w:hint="default"/>
          <w:sz w:val="18"/>
          <w:szCs w:val="18"/>
        </w:rPr>
      </w:pPr>
      <w:r>
        <w:rPr/>
        <w:pict>
          <v:group style="position:absolute;margin-left:70.559998pt;margin-top:41.661732pt;width:700.9pt;height:.1pt;mso-position-horizontal-relative:page;mso-position-vertical-relative:paragraph;z-index:-1629424" coordorigin="1411,833" coordsize="14018,2">
            <v:shape style="position:absolute;left:1411;top:833;width:14018;height:2" coordorigin="1411,833" coordsize="14018,0" path="m1411,833l15429,833e" filled="false" stroked="true" strokeweight=".48pt" strokecolor="#000000">
              <v:path arrowok="t"/>
            </v:shape>
            <w10:wrap type="none"/>
          </v:group>
        </w:pict>
      </w:r>
      <w:r>
        <w:rPr>
          <w:rFonts w:ascii="宋体" w:hAnsi="宋体" w:cs="宋体" w:eastAsia="宋体" w:hint="default"/>
          <w:sz w:val="18"/>
          <w:szCs w:val="18"/>
        </w:rPr>
        <w:t>中国长城科技集团股份有限公司 财务报表附注</w:t>
      </w:r>
      <w:r>
        <w:rPr>
          <w:rFonts w:ascii="宋体" w:hAnsi="宋体" w:cs="宋体" w:eastAsia="宋体" w:hint="default"/>
          <w:sz w:val="18"/>
          <w:szCs w:val="18"/>
        </w:rPr>
        <w:t> </w:t>
      </w:r>
    </w:p>
    <w:p>
      <w:pPr>
        <w:spacing w:line="240" w:lineRule="auto" w:before="7"/>
        <w:rPr>
          <w:rFonts w:ascii="宋体" w:hAnsi="宋体" w:cs="宋体" w:eastAsia="宋体" w:hint="default"/>
          <w:sz w:val="10"/>
          <w:szCs w:val="10"/>
        </w:rPr>
      </w:pPr>
    </w:p>
    <w:p>
      <w:pPr>
        <w:pStyle w:val="Heading5"/>
        <w:spacing w:line="240" w:lineRule="auto"/>
        <w:ind w:left="140" w:right="11898"/>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开发支出</w:t>
      </w:r>
      <w:r>
        <w:rPr>
          <w:b w:val="0"/>
          <w:bCs w:val="0"/>
        </w:rPr>
      </w:r>
    </w:p>
    <w:tbl>
      <w:tblPr>
        <w:tblW w:w="0" w:type="auto"/>
        <w:jc w:val="left"/>
        <w:tblInd w:w="723" w:type="dxa"/>
        <w:tblLayout w:type="fixed"/>
        <w:tblCellMar>
          <w:top w:w="0" w:type="dxa"/>
          <w:left w:w="0" w:type="dxa"/>
          <w:bottom w:w="0" w:type="dxa"/>
          <w:right w:w="0" w:type="dxa"/>
        </w:tblCellMar>
        <w:tblLook w:val="01E0"/>
      </w:tblPr>
      <w:tblGrid>
        <w:gridCol w:w="1656"/>
        <w:gridCol w:w="1462"/>
        <w:gridCol w:w="1671"/>
        <w:gridCol w:w="1416"/>
        <w:gridCol w:w="1277"/>
        <w:gridCol w:w="1418"/>
        <w:gridCol w:w="1135"/>
        <w:gridCol w:w="991"/>
        <w:gridCol w:w="1781"/>
        <w:gridCol w:w="888"/>
      </w:tblGrid>
      <w:tr>
        <w:trPr>
          <w:trHeight w:val="365" w:hRule="exact"/>
        </w:trPr>
        <w:tc>
          <w:tcPr>
            <w:tcW w:w="1656"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62"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44"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6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348" w:right="0"/>
              <w:jc w:val="left"/>
              <w:rPr>
                <w:rFonts w:ascii="宋体" w:hAnsi="宋体" w:cs="宋体" w:eastAsia="宋体" w:hint="default"/>
                <w:sz w:val="16"/>
                <w:szCs w:val="16"/>
              </w:rPr>
            </w:pPr>
            <w:r>
              <w:rPr>
                <w:rFonts w:ascii="宋体" w:hAnsi="宋体" w:cs="宋体" w:eastAsia="宋体" w:hint="default"/>
                <w:sz w:val="16"/>
                <w:szCs w:val="16"/>
              </w:rPr>
              <w:t>本期增加金额</w:t>
            </w:r>
          </w:p>
        </w:tc>
        <w:tc>
          <w:tcPr>
            <w:tcW w:w="4112"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本期减少金额</w:t>
            </w:r>
          </w:p>
        </w:tc>
        <w:tc>
          <w:tcPr>
            <w:tcW w:w="1135"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42"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991" w:type="dxa"/>
            <w:vMerge w:val="restart"/>
            <w:tcBorders>
              <w:top w:val="single" w:sz="12" w:space="0" w:color="000000"/>
              <w:left w:val="dotted" w:sz="4" w:space="0" w:color="000000"/>
              <w:right w:val="dotted" w:sz="4" w:space="0" w:color="000000"/>
            </w:tcBorders>
          </w:tcPr>
          <w:p>
            <w:pPr>
              <w:pStyle w:val="TableParagraph"/>
              <w:spacing w:line="206" w:lineRule="exact" w:before="140"/>
              <w:ind w:left="249" w:right="167" w:hanging="80"/>
              <w:jc w:val="left"/>
              <w:rPr>
                <w:rFonts w:ascii="宋体" w:hAnsi="宋体" w:cs="宋体" w:eastAsia="宋体" w:hint="default"/>
                <w:sz w:val="16"/>
                <w:szCs w:val="16"/>
              </w:rPr>
            </w:pPr>
            <w:r>
              <w:rPr>
                <w:rFonts w:ascii="宋体" w:hAnsi="宋体" w:cs="宋体" w:eastAsia="宋体" w:hint="default"/>
                <w:sz w:val="16"/>
                <w:szCs w:val="16"/>
              </w:rPr>
              <w:t>资本化开</w:t>
            </w:r>
            <w:r>
              <w:rPr>
                <w:rFonts w:ascii="宋体" w:hAnsi="宋体" w:cs="宋体" w:eastAsia="宋体" w:hint="default"/>
                <w:spacing w:val="-77"/>
                <w:sz w:val="16"/>
                <w:szCs w:val="16"/>
              </w:rPr>
              <w:t> </w:t>
            </w:r>
            <w:r>
              <w:rPr>
                <w:rFonts w:ascii="宋体" w:hAnsi="宋体" w:cs="宋体" w:eastAsia="宋体" w:hint="default"/>
                <w:sz w:val="16"/>
                <w:szCs w:val="16"/>
              </w:rPr>
              <w:t>始时点</w:t>
            </w:r>
          </w:p>
        </w:tc>
        <w:tc>
          <w:tcPr>
            <w:tcW w:w="1781"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24" w:right="0"/>
              <w:jc w:val="left"/>
              <w:rPr>
                <w:rFonts w:ascii="宋体" w:hAnsi="宋体" w:cs="宋体" w:eastAsia="宋体" w:hint="default"/>
                <w:sz w:val="16"/>
                <w:szCs w:val="16"/>
              </w:rPr>
            </w:pPr>
            <w:r>
              <w:rPr>
                <w:rFonts w:ascii="宋体" w:hAnsi="宋体" w:cs="宋体" w:eastAsia="宋体" w:hint="default"/>
                <w:sz w:val="16"/>
                <w:szCs w:val="16"/>
              </w:rPr>
              <w:t>资本化具体依据</w:t>
            </w:r>
          </w:p>
        </w:tc>
        <w:tc>
          <w:tcPr>
            <w:tcW w:w="888" w:type="dxa"/>
            <w:vMerge w:val="restart"/>
            <w:tcBorders>
              <w:top w:val="single" w:sz="12" w:space="0" w:color="000000"/>
              <w:left w:val="dotted" w:sz="4" w:space="0" w:color="000000"/>
              <w:right w:val="nil" w:sz="6" w:space="0" w:color="auto"/>
            </w:tcBorders>
          </w:tcPr>
          <w:p>
            <w:pPr>
              <w:pStyle w:val="TableParagraph"/>
              <w:spacing w:line="206" w:lineRule="exact" w:before="140"/>
              <w:ind w:left="103" w:right="24" w:firstLine="14"/>
              <w:jc w:val="left"/>
              <w:rPr>
                <w:rFonts w:ascii="宋体" w:hAnsi="宋体" w:cs="宋体" w:eastAsia="宋体" w:hint="default"/>
                <w:sz w:val="16"/>
                <w:szCs w:val="16"/>
              </w:rPr>
            </w:pPr>
            <w:r>
              <w:rPr>
                <w:rFonts w:ascii="宋体" w:hAnsi="宋体" w:cs="宋体" w:eastAsia="宋体" w:hint="default"/>
                <w:sz w:val="16"/>
                <w:szCs w:val="16"/>
              </w:rPr>
              <w:t>期末研发</w:t>
            </w:r>
            <w:r>
              <w:rPr>
                <w:rFonts w:ascii="宋体" w:hAnsi="宋体" w:cs="宋体" w:eastAsia="宋体" w:hint="default"/>
                <w:w w:val="100"/>
                <w:sz w:val="16"/>
                <w:szCs w:val="16"/>
              </w:rPr>
              <w:t> </w:t>
            </w:r>
            <w:r>
              <w:rPr>
                <w:rFonts w:ascii="宋体" w:hAnsi="宋体" w:cs="宋体" w:eastAsia="宋体" w:hint="default"/>
                <w:spacing w:val="-5"/>
                <w:sz w:val="16"/>
                <w:szCs w:val="16"/>
              </w:rPr>
              <w:t>进度（</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w:t>
            </w:r>
          </w:p>
        </w:tc>
      </w:tr>
      <w:tr>
        <w:trPr>
          <w:trHeight w:val="353" w:hRule="exact"/>
        </w:trPr>
        <w:tc>
          <w:tcPr>
            <w:tcW w:w="1656" w:type="dxa"/>
            <w:vMerge/>
            <w:tcBorders>
              <w:left w:val="nil" w:sz="6" w:space="0" w:color="auto"/>
              <w:bottom w:val="dotted" w:sz="4" w:space="0" w:color="000000"/>
              <w:right w:val="dotted" w:sz="4" w:space="0" w:color="000000"/>
            </w:tcBorders>
          </w:tcPr>
          <w:p>
            <w:pPr/>
          </w:p>
        </w:tc>
        <w:tc>
          <w:tcPr>
            <w:tcW w:w="1462" w:type="dxa"/>
            <w:vMerge/>
            <w:tcBorders>
              <w:left w:val="dotted" w:sz="4" w:space="0" w:color="000000"/>
              <w:bottom w:val="dotted" w:sz="4" w:space="0" w:color="000000"/>
              <w:right w:val="dotted" w:sz="4" w:space="0" w:color="000000"/>
            </w:tcBorders>
          </w:tcPr>
          <w:p>
            <w:pP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348" w:right="0"/>
              <w:jc w:val="left"/>
              <w:rPr>
                <w:rFonts w:ascii="宋体" w:hAnsi="宋体" w:cs="宋体" w:eastAsia="宋体" w:hint="default"/>
                <w:sz w:val="16"/>
                <w:szCs w:val="16"/>
              </w:rPr>
            </w:pPr>
            <w:r>
              <w:rPr>
                <w:rFonts w:ascii="宋体" w:hAnsi="宋体" w:cs="宋体" w:eastAsia="宋体" w:hint="default"/>
                <w:sz w:val="16"/>
                <w:szCs w:val="16"/>
              </w:rPr>
              <w:t>内部开发支出</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139"/>
              <w:jc w:val="right"/>
              <w:rPr>
                <w:rFonts w:ascii="宋体" w:hAnsi="宋体" w:cs="宋体" w:eastAsia="宋体" w:hint="default"/>
                <w:sz w:val="16"/>
                <w:szCs w:val="16"/>
              </w:rPr>
            </w:pPr>
            <w:r>
              <w:rPr>
                <w:rFonts w:ascii="宋体" w:hAnsi="宋体" w:cs="宋体" w:eastAsia="宋体" w:hint="default"/>
                <w:spacing w:val="-1"/>
                <w:sz w:val="16"/>
                <w:szCs w:val="16"/>
              </w:rPr>
              <w:t>确认为无形资产</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149"/>
              <w:jc w:val="right"/>
              <w:rPr>
                <w:rFonts w:ascii="宋体" w:hAnsi="宋体" w:cs="宋体" w:eastAsia="宋体" w:hint="default"/>
                <w:sz w:val="16"/>
                <w:szCs w:val="16"/>
              </w:rPr>
            </w:pPr>
            <w:r>
              <w:rPr>
                <w:rFonts w:ascii="宋体" w:hAnsi="宋体" w:cs="宋体" w:eastAsia="宋体" w:hint="default"/>
                <w:spacing w:val="-1"/>
                <w:sz w:val="16"/>
                <w:szCs w:val="16"/>
              </w:rPr>
              <w:t>计入当期损益</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139"/>
              <w:jc w:val="right"/>
              <w:rPr>
                <w:rFonts w:ascii="宋体" w:hAnsi="宋体" w:cs="宋体" w:eastAsia="宋体" w:hint="default"/>
                <w:sz w:val="16"/>
                <w:szCs w:val="16"/>
              </w:rPr>
            </w:pPr>
            <w:r>
              <w:rPr>
                <w:rFonts w:ascii="宋体" w:hAnsi="宋体" w:cs="宋体" w:eastAsia="宋体" w:hint="default"/>
                <w:spacing w:val="-1"/>
                <w:sz w:val="16"/>
                <w:szCs w:val="16"/>
              </w:rPr>
              <w:t>确认为固定资产</w:t>
            </w:r>
          </w:p>
        </w:tc>
        <w:tc>
          <w:tcPr>
            <w:tcW w:w="1135" w:type="dxa"/>
            <w:vMerge/>
            <w:tcBorders>
              <w:left w:val="dotted" w:sz="4" w:space="0" w:color="000000"/>
              <w:bottom w:val="dotted" w:sz="4" w:space="0" w:color="000000"/>
              <w:right w:val="dotted" w:sz="4" w:space="0" w:color="000000"/>
            </w:tcBorders>
          </w:tcPr>
          <w:p>
            <w:pPr/>
          </w:p>
        </w:tc>
        <w:tc>
          <w:tcPr>
            <w:tcW w:w="991" w:type="dxa"/>
            <w:vMerge/>
            <w:tcBorders>
              <w:left w:val="dotted" w:sz="4" w:space="0" w:color="000000"/>
              <w:bottom w:val="dotted" w:sz="4" w:space="0" w:color="000000"/>
              <w:right w:val="dotted" w:sz="4" w:space="0" w:color="000000"/>
            </w:tcBorders>
          </w:tcPr>
          <w:p>
            <w:pPr/>
          </w:p>
        </w:tc>
        <w:tc>
          <w:tcPr>
            <w:tcW w:w="1781" w:type="dxa"/>
            <w:vMerge/>
            <w:tcBorders>
              <w:left w:val="dotted" w:sz="4" w:space="0" w:color="000000"/>
              <w:bottom w:val="dotted" w:sz="4" w:space="0" w:color="000000"/>
              <w:right w:val="dotted" w:sz="4" w:space="0" w:color="000000"/>
            </w:tcBorders>
          </w:tcPr>
          <w:p>
            <w:pPr/>
          </w:p>
        </w:tc>
        <w:tc>
          <w:tcPr>
            <w:tcW w:w="888" w:type="dxa"/>
            <w:vMerge/>
            <w:tcBorders>
              <w:left w:val="dotted" w:sz="4" w:space="0" w:color="000000"/>
              <w:bottom w:val="dotted" w:sz="4" w:space="0" w:color="000000"/>
              <w:right w:val="nil" w:sz="6" w:space="0" w:color="auto"/>
            </w:tcBorders>
          </w:tcPr>
          <w:p>
            <w:pPr/>
          </w:p>
        </w:tc>
      </w:tr>
      <w:tr>
        <w:trPr>
          <w:trHeight w:val="562" w:hRule="exact"/>
        </w:trPr>
        <w:tc>
          <w:tcPr>
            <w:tcW w:w="16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ZZKK</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集成开发项目</w:t>
            </w:r>
          </w:p>
        </w:tc>
        <w:tc>
          <w:tcPr>
            <w:tcW w:w="1462" w:type="dxa"/>
            <w:tcBorders>
              <w:top w:val="dotted" w:sz="4" w:space="0" w:color="000000"/>
              <w:left w:val="dotted" w:sz="4" w:space="0" w:color="000000"/>
              <w:bottom w:val="dotted" w:sz="4" w:space="0" w:color="000000"/>
              <w:right w:val="dotted" w:sz="4" w:space="0" w:color="000000"/>
            </w:tcBorders>
          </w:tcPr>
          <w:p>
            <w:pP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15,255,371.94</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15,255,371.94</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开发阶段</w:t>
            </w:r>
          </w:p>
        </w:tc>
        <w:tc>
          <w:tcPr>
            <w:tcW w:w="178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03" w:right="101"/>
              <w:jc w:val="left"/>
              <w:rPr>
                <w:rFonts w:ascii="宋体" w:hAnsi="宋体" w:cs="宋体" w:eastAsia="宋体" w:hint="default"/>
                <w:sz w:val="16"/>
                <w:szCs w:val="16"/>
              </w:rPr>
            </w:pPr>
            <w:r>
              <w:rPr>
                <w:rFonts w:ascii="Times New Roman" w:hAnsi="Times New Roman" w:cs="Times New Roman" w:eastAsia="Times New Roman" w:hint="default"/>
                <w:sz w:val="16"/>
                <w:szCs w:val="16"/>
              </w:rPr>
              <w:t>ZZKK</w:t>
            </w:r>
            <w:r>
              <w:rPr>
                <w:rFonts w:ascii="Times New Roman" w:hAnsi="Times New Roman" w:cs="Times New Roman" w:eastAsia="Times New Roman" w:hint="default"/>
                <w:spacing w:val="26"/>
                <w:sz w:val="16"/>
                <w:szCs w:val="16"/>
              </w:rPr>
              <w:t> </w:t>
            </w:r>
            <w:r>
              <w:rPr>
                <w:rFonts w:ascii="宋体" w:hAnsi="宋体" w:cs="宋体" w:eastAsia="宋体" w:hint="default"/>
                <w:spacing w:val="11"/>
                <w:sz w:val="16"/>
                <w:szCs w:val="16"/>
              </w:rPr>
              <w:t>集成开发项目</w:t>
            </w:r>
            <w:r>
              <w:rPr>
                <w:rFonts w:ascii="宋体" w:hAnsi="宋体" w:cs="宋体" w:eastAsia="宋体" w:hint="default"/>
                <w:w w:val="100"/>
                <w:sz w:val="16"/>
                <w:szCs w:val="16"/>
              </w:rPr>
              <w:t> </w:t>
            </w:r>
            <w:r>
              <w:rPr>
                <w:rFonts w:ascii="宋体" w:hAnsi="宋体" w:cs="宋体" w:eastAsia="宋体" w:hint="default"/>
                <w:sz w:val="16"/>
                <w:szCs w:val="16"/>
              </w:rPr>
              <w:t>立项报告</w:t>
            </w:r>
          </w:p>
        </w:tc>
        <w:tc>
          <w:tcPr>
            <w:tcW w:w="8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61"/>
              <w:jc w:val="right"/>
              <w:rPr>
                <w:rFonts w:ascii="Times New Roman" w:hAnsi="Times New Roman" w:cs="Times New Roman" w:eastAsia="Times New Roman" w:hint="default"/>
                <w:sz w:val="16"/>
                <w:szCs w:val="16"/>
              </w:rPr>
            </w:pPr>
            <w:r>
              <w:rPr>
                <w:rFonts w:ascii="Times New Roman"/>
                <w:spacing w:val="-1"/>
                <w:sz w:val="16"/>
              </w:rPr>
              <w:t>30.00</w:t>
            </w:r>
          </w:p>
        </w:tc>
      </w:tr>
      <w:tr>
        <w:trPr>
          <w:trHeight w:val="560" w:hRule="exact"/>
        </w:trPr>
        <w:tc>
          <w:tcPr>
            <w:tcW w:w="16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100"/>
              <w:jc w:val="left"/>
              <w:rPr>
                <w:rFonts w:ascii="宋体" w:hAnsi="宋体" w:cs="宋体" w:eastAsia="宋体" w:hint="default"/>
                <w:sz w:val="16"/>
                <w:szCs w:val="16"/>
              </w:rPr>
            </w:pPr>
            <w:r>
              <w:rPr>
                <w:rFonts w:ascii="宋体" w:hAnsi="宋体" w:cs="宋体" w:eastAsia="宋体" w:hint="default"/>
                <w:sz w:val="16"/>
                <w:szCs w:val="16"/>
              </w:rPr>
              <w:t>智</w:t>
            </w:r>
            <w:r>
              <w:rPr>
                <w:rFonts w:ascii="宋体" w:hAnsi="宋体" w:cs="宋体" w:eastAsia="宋体" w:hint="default"/>
                <w:spacing w:val="-56"/>
                <w:sz w:val="16"/>
                <w:szCs w:val="16"/>
              </w:rPr>
              <w:t> </w:t>
            </w:r>
            <w:r>
              <w:rPr>
                <w:rFonts w:ascii="宋体" w:hAnsi="宋体" w:cs="宋体" w:eastAsia="宋体" w:hint="default"/>
                <w:spacing w:val="11"/>
                <w:sz w:val="16"/>
                <w:szCs w:val="16"/>
              </w:rPr>
              <w:t>慧医疗</w:t>
            </w:r>
            <w:r>
              <w:rPr>
                <w:rFonts w:ascii="宋体" w:hAnsi="宋体" w:cs="宋体" w:eastAsia="宋体" w:hint="default"/>
                <w:spacing w:val="-56"/>
                <w:sz w:val="16"/>
                <w:szCs w:val="16"/>
              </w:rPr>
              <w:t> </w:t>
            </w:r>
            <w:r>
              <w:rPr>
                <w:rFonts w:ascii="宋体" w:hAnsi="宋体" w:cs="宋体" w:eastAsia="宋体" w:hint="default"/>
                <w:spacing w:val="8"/>
                <w:sz w:val="16"/>
                <w:szCs w:val="16"/>
              </w:rPr>
              <w:t>云数</w:t>
            </w:r>
            <w:r>
              <w:rPr>
                <w:rFonts w:ascii="宋体" w:hAnsi="宋体" w:cs="宋体" w:eastAsia="宋体" w:hint="default"/>
                <w:spacing w:val="-56"/>
                <w:sz w:val="16"/>
                <w:szCs w:val="16"/>
              </w:rPr>
              <w:t> </w:t>
            </w:r>
            <w:r>
              <w:rPr>
                <w:rFonts w:ascii="宋体" w:hAnsi="宋体" w:cs="宋体" w:eastAsia="宋体" w:hint="default"/>
                <w:spacing w:val="8"/>
                <w:sz w:val="16"/>
                <w:szCs w:val="16"/>
              </w:rPr>
              <w:t>字化</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病区服务系统</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6,537,000.50</w:t>
            </w: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7,293,940.43</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13,830,940.93</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开发阶段</w:t>
            </w:r>
          </w:p>
        </w:tc>
        <w:tc>
          <w:tcPr>
            <w:tcW w:w="17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89"/>
              <w:jc w:val="left"/>
              <w:rPr>
                <w:rFonts w:ascii="宋体" w:hAnsi="宋体" w:cs="宋体" w:eastAsia="宋体" w:hint="default"/>
                <w:sz w:val="16"/>
                <w:szCs w:val="16"/>
              </w:rPr>
            </w:pPr>
            <w:r>
              <w:rPr>
                <w:rFonts w:ascii="宋体" w:hAnsi="宋体" w:cs="宋体" w:eastAsia="宋体" w:hint="default"/>
                <w:spacing w:val="11"/>
                <w:sz w:val="16"/>
                <w:szCs w:val="16"/>
              </w:rPr>
              <w:t>智慧医疗云数字化病</w:t>
            </w:r>
            <w:r>
              <w:rPr>
                <w:rFonts w:ascii="宋体" w:hAnsi="宋体" w:cs="宋体" w:eastAsia="宋体" w:hint="default"/>
                <w:spacing w:val="-60"/>
                <w:sz w:val="16"/>
                <w:szCs w:val="16"/>
              </w:rPr>
              <w:t> </w:t>
            </w:r>
            <w:r>
              <w:rPr>
                <w:rFonts w:ascii="宋体" w:hAnsi="宋体" w:cs="宋体" w:eastAsia="宋体" w:hint="default"/>
                <w:sz w:val="16"/>
                <w:szCs w:val="16"/>
              </w:rPr>
              <w:t>区服务系统立项报告</w:t>
            </w:r>
          </w:p>
        </w:tc>
        <w:tc>
          <w:tcPr>
            <w:tcW w:w="8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61"/>
              <w:jc w:val="right"/>
              <w:rPr>
                <w:rFonts w:ascii="Times New Roman" w:hAnsi="Times New Roman" w:cs="Times New Roman" w:eastAsia="Times New Roman" w:hint="default"/>
                <w:sz w:val="16"/>
                <w:szCs w:val="16"/>
              </w:rPr>
            </w:pPr>
            <w:r>
              <w:rPr>
                <w:rFonts w:ascii="Times New Roman"/>
                <w:spacing w:val="-1"/>
                <w:sz w:val="16"/>
              </w:rPr>
              <w:t>42.70</w:t>
            </w:r>
          </w:p>
        </w:tc>
      </w:tr>
      <w:tr>
        <w:trPr>
          <w:trHeight w:val="562" w:hRule="exact"/>
        </w:trPr>
        <w:tc>
          <w:tcPr>
            <w:tcW w:w="1656"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98"/>
              <w:jc w:val="left"/>
              <w:rPr>
                <w:rFonts w:ascii="宋体" w:hAnsi="宋体" w:cs="宋体" w:eastAsia="宋体" w:hint="default"/>
                <w:sz w:val="16"/>
                <w:szCs w:val="16"/>
              </w:rPr>
            </w:pPr>
            <w:r>
              <w:rPr>
                <w:rFonts w:ascii="Times New Roman" w:hAnsi="Times New Roman" w:cs="Times New Roman" w:eastAsia="Times New Roman" w:hint="default"/>
                <w:sz w:val="16"/>
                <w:szCs w:val="16"/>
              </w:rPr>
              <w:t>ZZKK</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区域医疗云平</w:t>
            </w:r>
            <w:r>
              <w:rPr>
                <w:rFonts w:ascii="宋体" w:hAnsi="宋体" w:cs="宋体" w:eastAsia="宋体" w:hint="default"/>
                <w:w w:val="100"/>
                <w:sz w:val="16"/>
                <w:szCs w:val="16"/>
              </w:rPr>
              <w:t> </w:t>
            </w:r>
            <w:r>
              <w:rPr>
                <w:rFonts w:ascii="宋体" w:hAnsi="宋体" w:cs="宋体" w:eastAsia="宋体" w:hint="default"/>
                <w:sz w:val="16"/>
                <w:szCs w:val="16"/>
              </w:rPr>
              <w:t>台</w:t>
            </w:r>
          </w:p>
        </w:tc>
        <w:tc>
          <w:tcPr>
            <w:tcW w:w="1462" w:type="dxa"/>
            <w:tcBorders>
              <w:top w:val="dotted" w:sz="4" w:space="0" w:color="000000"/>
              <w:left w:val="dotted" w:sz="4" w:space="0" w:color="000000"/>
              <w:bottom w:val="dotted" w:sz="4" w:space="0" w:color="000000"/>
              <w:right w:val="dotted" w:sz="4" w:space="0" w:color="000000"/>
            </w:tcBorders>
          </w:tcPr>
          <w:p>
            <w:pP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10,023,381.73</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10,023,381.73</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开发阶段</w:t>
            </w:r>
          </w:p>
        </w:tc>
        <w:tc>
          <w:tcPr>
            <w:tcW w:w="178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03" w:right="101"/>
              <w:jc w:val="left"/>
              <w:rPr>
                <w:rFonts w:ascii="宋体" w:hAnsi="宋体" w:cs="宋体" w:eastAsia="宋体" w:hint="default"/>
                <w:sz w:val="16"/>
                <w:szCs w:val="16"/>
              </w:rPr>
            </w:pPr>
            <w:r>
              <w:rPr>
                <w:rFonts w:ascii="Times New Roman" w:hAnsi="Times New Roman" w:cs="Times New Roman" w:eastAsia="Times New Roman" w:hint="default"/>
                <w:sz w:val="16"/>
                <w:szCs w:val="16"/>
              </w:rPr>
              <w:t>ZZKK</w:t>
            </w:r>
            <w:r>
              <w:rPr>
                <w:rFonts w:ascii="Times New Roman" w:hAnsi="Times New Roman" w:cs="Times New Roman" w:eastAsia="Times New Roman" w:hint="default"/>
                <w:spacing w:val="26"/>
                <w:sz w:val="16"/>
                <w:szCs w:val="16"/>
              </w:rPr>
              <w:t> </w:t>
            </w:r>
            <w:r>
              <w:rPr>
                <w:rFonts w:ascii="宋体" w:hAnsi="宋体" w:cs="宋体" w:eastAsia="宋体" w:hint="default"/>
                <w:spacing w:val="11"/>
                <w:sz w:val="16"/>
                <w:szCs w:val="16"/>
              </w:rPr>
              <w:t>区域医疗云平</w:t>
            </w:r>
            <w:r>
              <w:rPr>
                <w:rFonts w:ascii="宋体" w:hAnsi="宋体" w:cs="宋体" w:eastAsia="宋体" w:hint="default"/>
                <w:w w:val="100"/>
                <w:sz w:val="16"/>
                <w:szCs w:val="16"/>
              </w:rPr>
              <w:t> </w:t>
            </w:r>
            <w:r>
              <w:rPr>
                <w:rFonts w:ascii="宋体" w:hAnsi="宋体" w:cs="宋体" w:eastAsia="宋体" w:hint="default"/>
                <w:sz w:val="16"/>
                <w:szCs w:val="16"/>
              </w:rPr>
              <w:t>台立项报告</w:t>
            </w:r>
          </w:p>
        </w:tc>
        <w:tc>
          <w:tcPr>
            <w:tcW w:w="8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61"/>
              <w:jc w:val="right"/>
              <w:rPr>
                <w:rFonts w:ascii="Times New Roman" w:hAnsi="Times New Roman" w:cs="Times New Roman" w:eastAsia="Times New Roman" w:hint="default"/>
                <w:sz w:val="16"/>
                <w:szCs w:val="16"/>
              </w:rPr>
            </w:pPr>
            <w:r>
              <w:rPr>
                <w:rFonts w:ascii="Times New Roman"/>
                <w:spacing w:val="-1"/>
                <w:sz w:val="16"/>
              </w:rPr>
              <w:t>25.95</w:t>
            </w:r>
          </w:p>
        </w:tc>
      </w:tr>
      <w:tr>
        <w:trPr>
          <w:trHeight w:val="562" w:hRule="exact"/>
        </w:trPr>
        <w:tc>
          <w:tcPr>
            <w:tcW w:w="16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水下预警探测系统</w:t>
            </w:r>
          </w:p>
        </w:tc>
        <w:tc>
          <w:tcPr>
            <w:tcW w:w="1462" w:type="dxa"/>
            <w:tcBorders>
              <w:top w:val="dotted" w:sz="4" w:space="0" w:color="000000"/>
              <w:left w:val="dotted" w:sz="4" w:space="0" w:color="000000"/>
              <w:bottom w:val="dotted" w:sz="4" w:space="0" w:color="000000"/>
              <w:right w:val="dotted" w:sz="4" w:space="0" w:color="000000"/>
            </w:tcBorders>
          </w:tcPr>
          <w:p>
            <w:pP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22,455,370.48</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17,894,714.28</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79" w:right="0"/>
              <w:jc w:val="center"/>
              <w:rPr>
                <w:rFonts w:ascii="Times New Roman" w:hAnsi="Times New Roman" w:cs="Times New Roman" w:eastAsia="Times New Roman" w:hint="default"/>
                <w:sz w:val="16"/>
                <w:szCs w:val="16"/>
              </w:rPr>
            </w:pPr>
            <w:r>
              <w:rPr>
                <w:rFonts w:ascii="Times New Roman"/>
                <w:sz w:val="16"/>
              </w:rPr>
              <w:t>4,560,656.20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开发阶段</w:t>
            </w:r>
          </w:p>
        </w:tc>
        <w:tc>
          <w:tcPr>
            <w:tcW w:w="178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03" w:right="89"/>
              <w:jc w:val="left"/>
              <w:rPr>
                <w:rFonts w:ascii="宋体" w:hAnsi="宋体" w:cs="宋体" w:eastAsia="宋体" w:hint="default"/>
                <w:sz w:val="16"/>
                <w:szCs w:val="16"/>
              </w:rPr>
            </w:pPr>
            <w:r>
              <w:rPr>
                <w:rFonts w:ascii="宋体" w:hAnsi="宋体" w:cs="宋体" w:eastAsia="宋体" w:hint="default"/>
                <w:spacing w:val="11"/>
                <w:sz w:val="16"/>
                <w:szCs w:val="16"/>
              </w:rPr>
              <w:t>水下预警探测系统立</w:t>
            </w:r>
            <w:r>
              <w:rPr>
                <w:rFonts w:ascii="宋体" w:hAnsi="宋体" w:cs="宋体" w:eastAsia="宋体" w:hint="default"/>
                <w:spacing w:val="-60"/>
                <w:sz w:val="16"/>
                <w:szCs w:val="16"/>
              </w:rPr>
              <w:t> </w:t>
            </w:r>
            <w:r>
              <w:rPr>
                <w:rFonts w:ascii="宋体" w:hAnsi="宋体" w:cs="宋体" w:eastAsia="宋体" w:hint="default"/>
                <w:sz w:val="16"/>
                <w:szCs w:val="16"/>
              </w:rPr>
              <w:t>项报告</w:t>
            </w:r>
          </w:p>
        </w:tc>
        <w:tc>
          <w:tcPr>
            <w:tcW w:w="8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302"/>
              <w:jc w:val="right"/>
              <w:rPr>
                <w:rFonts w:ascii="Times New Roman" w:hAnsi="Times New Roman" w:cs="Times New Roman" w:eastAsia="Times New Roman" w:hint="default"/>
                <w:sz w:val="16"/>
                <w:szCs w:val="16"/>
              </w:rPr>
            </w:pPr>
            <w:r>
              <w:rPr>
                <w:rFonts w:ascii="Times New Roman"/>
                <w:spacing w:val="-1"/>
                <w:sz w:val="16"/>
              </w:rPr>
              <w:t>3.50</w:t>
            </w:r>
          </w:p>
        </w:tc>
      </w:tr>
      <w:tr>
        <w:trPr>
          <w:trHeight w:val="562" w:hRule="exact"/>
        </w:trPr>
        <w:tc>
          <w:tcPr>
            <w:tcW w:w="1656"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0"/>
              <w:jc w:val="left"/>
              <w:rPr>
                <w:rFonts w:ascii="宋体" w:hAnsi="宋体" w:cs="宋体" w:eastAsia="宋体" w:hint="default"/>
                <w:sz w:val="16"/>
                <w:szCs w:val="16"/>
              </w:rPr>
            </w:pPr>
            <w:r>
              <w:rPr>
                <w:rFonts w:ascii="宋体" w:hAnsi="宋体" w:cs="宋体" w:eastAsia="宋体" w:hint="default"/>
                <w:sz w:val="16"/>
                <w:szCs w:val="16"/>
              </w:rPr>
              <w:t>智</w:t>
            </w:r>
            <w:r>
              <w:rPr>
                <w:rFonts w:ascii="宋体" w:hAnsi="宋体" w:cs="宋体" w:eastAsia="宋体" w:hint="default"/>
                <w:spacing w:val="-56"/>
                <w:sz w:val="16"/>
                <w:szCs w:val="16"/>
              </w:rPr>
              <w:t> </w:t>
            </w:r>
            <w:r>
              <w:rPr>
                <w:rFonts w:ascii="宋体" w:hAnsi="宋体" w:cs="宋体" w:eastAsia="宋体" w:hint="default"/>
                <w:spacing w:val="11"/>
                <w:sz w:val="16"/>
                <w:szCs w:val="16"/>
              </w:rPr>
              <w:t>慧门诊</w:t>
            </w:r>
            <w:r>
              <w:rPr>
                <w:rFonts w:ascii="宋体" w:hAnsi="宋体" w:cs="宋体" w:eastAsia="宋体" w:hint="default"/>
                <w:spacing w:val="-56"/>
                <w:sz w:val="16"/>
                <w:szCs w:val="16"/>
              </w:rPr>
              <w:t> </w:t>
            </w:r>
            <w:r>
              <w:rPr>
                <w:rFonts w:ascii="宋体" w:hAnsi="宋体" w:cs="宋体" w:eastAsia="宋体" w:hint="default"/>
                <w:spacing w:val="8"/>
                <w:sz w:val="16"/>
                <w:szCs w:val="16"/>
              </w:rPr>
              <w:t>自助</w:t>
            </w:r>
            <w:r>
              <w:rPr>
                <w:rFonts w:ascii="宋体" w:hAnsi="宋体" w:cs="宋体" w:eastAsia="宋体" w:hint="default"/>
                <w:spacing w:val="-56"/>
                <w:sz w:val="16"/>
                <w:szCs w:val="16"/>
              </w:rPr>
              <w:t> </w:t>
            </w:r>
            <w:r>
              <w:rPr>
                <w:rFonts w:ascii="宋体" w:hAnsi="宋体" w:cs="宋体" w:eastAsia="宋体" w:hint="default"/>
                <w:spacing w:val="8"/>
                <w:sz w:val="16"/>
                <w:szCs w:val="16"/>
              </w:rPr>
              <w:t>服务</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系统</w:t>
            </w:r>
          </w:p>
        </w:tc>
        <w:tc>
          <w:tcPr>
            <w:tcW w:w="1462" w:type="dxa"/>
            <w:tcBorders>
              <w:top w:val="dotted" w:sz="4" w:space="0" w:color="000000"/>
              <w:left w:val="dotted" w:sz="4" w:space="0" w:color="000000"/>
              <w:bottom w:val="dotted" w:sz="4" w:space="0" w:color="000000"/>
              <w:right w:val="dotted" w:sz="4" w:space="0" w:color="000000"/>
            </w:tcBorders>
          </w:tcPr>
          <w:p>
            <w:pP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1,517,565.87</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79" w:right="0"/>
              <w:jc w:val="center"/>
              <w:rPr>
                <w:rFonts w:ascii="Times New Roman" w:hAnsi="Times New Roman" w:cs="Times New Roman" w:eastAsia="Times New Roman" w:hint="default"/>
                <w:sz w:val="16"/>
                <w:szCs w:val="16"/>
              </w:rPr>
            </w:pPr>
            <w:r>
              <w:rPr>
                <w:rFonts w:ascii="Times New Roman"/>
                <w:sz w:val="16"/>
              </w:rPr>
              <w:t>1,517,565.87</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开发阶段</w:t>
            </w:r>
          </w:p>
        </w:tc>
        <w:tc>
          <w:tcPr>
            <w:tcW w:w="178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03" w:right="89"/>
              <w:jc w:val="left"/>
              <w:rPr>
                <w:rFonts w:ascii="宋体" w:hAnsi="宋体" w:cs="宋体" w:eastAsia="宋体" w:hint="default"/>
                <w:sz w:val="16"/>
                <w:szCs w:val="16"/>
              </w:rPr>
            </w:pPr>
            <w:r>
              <w:rPr>
                <w:rFonts w:ascii="宋体" w:hAnsi="宋体" w:cs="宋体" w:eastAsia="宋体" w:hint="default"/>
                <w:spacing w:val="11"/>
                <w:sz w:val="16"/>
                <w:szCs w:val="16"/>
              </w:rPr>
              <w:t>智慧门诊自助服务系</w:t>
            </w:r>
            <w:r>
              <w:rPr>
                <w:rFonts w:ascii="宋体" w:hAnsi="宋体" w:cs="宋体" w:eastAsia="宋体" w:hint="default"/>
                <w:spacing w:val="-60"/>
                <w:sz w:val="16"/>
                <w:szCs w:val="16"/>
              </w:rPr>
              <w:t> </w:t>
            </w:r>
            <w:r>
              <w:rPr>
                <w:rFonts w:ascii="宋体" w:hAnsi="宋体" w:cs="宋体" w:eastAsia="宋体" w:hint="default"/>
                <w:sz w:val="16"/>
                <w:szCs w:val="16"/>
              </w:rPr>
              <w:t>统立项报告</w:t>
            </w:r>
          </w:p>
        </w:tc>
        <w:tc>
          <w:tcPr>
            <w:tcW w:w="8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61"/>
              <w:jc w:val="right"/>
              <w:rPr>
                <w:rFonts w:ascii="Times New Roman" w:hAnsi="Times New Roman" w:cs="Times New Roman" w:eastAsia="Times New Roman" w:hint="default"/>
                <w:sz w:val="16"/>
                <w:szCs w:val="16"/>
              </w:rPr>
            </w:pPr>
            <w:r>
              <w:rPr>
                <w:rFonts w:ascii="Times New Roman"/>
                <w:spacing w:val="-1"/>
                <w:sz w:val="16"/>
              </w:rPr>
              <w:t>47.28</w:t>
            </w:r>
          </w:p>
        </w:tc>
      </w:tr>
      <w:tr>
        <w:trPr>
          <w:trHeight w:val="353" w:hRule="exact"/>
        </w:trPr>
        <w:tc>
          <w:tcPr>
            <w:tcW w:w="16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SDT</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项目</w:t>
            </w:r>
          </w:p>
        </w:tc>
        <w:tc>
          <w:tcPr>
            <w:tcW w:w="1462" w:type="dxa"/>
            <w:tcBorders>
              <w:top w:val="dotted" w:sz="4" w:space="0" w:color="000000"/>
              <w:left w:val="dotted" w:sz="4" w:space="0" w:color="000000"/>
              <w:bottom w:val="dotted" w:sz="4" w:space="0" w:color="000000"/>
              <w:right w:val="dotted" w:sz="4" w:space="0" w:color="000000"/>
            </w:tcBorders>
          </w:tcPr>
          <w:p>
            <w:pP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1,495,772.27</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79" w:right="0"/>
              <w:jc w:val="center"/>
              <w:rPr>
                <w:rFonts w:ascii="Times New Roman" w:hAnsi="Times New Roman" w:cs="Times New Roman" w:eastAsia="Times New Roman" w:hint="default"/>
                <w:sz w:val="16"/>
                <w:szCs w:val="16"/>
              </w:rPr>
            </w:pPr>
            <w:r>
              <w:rPr>
                <w:rFonts w:ascii="Times New Roman"/>
                <w:sz w:val="16"/>
              </w:rPr>
              <w:t>1,495,772.27</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2" w:right="0"/>
              <w:jc w:val="center"/>
              <w:rPr>
                <w:rFonts w:ascii="宋体" w:hAnsi="宋体" w:cs="宋体" w:eastAsia="宋体" w:hint="default"/>
                <w:sz w:val="16"/>
                <w:szCs w:val="16"/>
              </w:rPr>
            </w:pPr>
            <w:r>
              <w:rPr>
                <w:rFonts w:ascii="宋体" w:hAnsi="宋体" w:cs="宋体" w:eastAsia="宋体" w:hint="default"/>
                <w:sz w:val="16"/>
                <w:szCs w:val="16"/>
              </w:rPr>
              <w:t>开发阶段</w:t>
            </w:r>
          </w:p>
        </w:tc>
        <w:tc>
          <w:tcPr>
            <w:tcW w:w="17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STD</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项目立项报告</w:t>
            </w:r>
          </w:p>
        </w:tc>
        <w:tc>
          <w:tcPr>
            <w:tcW w:w="8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302"/>
              <w:jc w:val="right"/>
              <w:rPr>
                <w:rFonts w:ascii="Times New Roman" w:hAnsi="Times New Roman" w:cs="Times New Roman" w:eastAsia="Times New Roman" w:hint="default"/>
                <w:sz w:val="16"/>
                <w:szCs w:val="16"/>
              </w:rPr>
            </w:pPr>
            <w:r>
              <w:rPr>
                <w:rFonts w:ascii="Times New Roman"/>
                <w:spacing w:val="-1"/>
                <w:sz w:val="16"/>
              </w:rPr>
              <w:t>8.00</w:t>
            </w:r>
          </w:p>
        </w:tc>
      </w:tr>
      <w:tr>
        <w:trPr>
          <w:trHeight w:val="562" w:hRule="exact"/>
        </w:trPr>
        <w:tc>
          <w:tcPr>
            <w:tcW w:w="1656"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98"/>
              <w:jc w:val="left"/>
              <w:rPr>
                <w:rFonts w:ascii="宋体" w:hAnsi="宋体" w:cs="宋体" w:eastAsia="宋体" w:hint="default"/>
                <w:sz w:val="16"/>
                <w:szCs w:val="16"/>
              </w:rPr>
            </w:pPr>
            <w:r>
              <w:rPr>
                <w:rFonts w:ascii="Times New Roman" w:hAnsi="Times New Roman" w:cs="Times New Roman" w:eastAsia="Times New Roman" w:hint="default"/>
                <w:sz w:val="16"/>
                <w:szCs w:val="16"/>
              </w:rPr>
              <w:t>ZZKK</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安全计算机产</w:t>
            </w:r>
            <w:r>
              <w:rPr>
                <w:rFonts w:ascii="宋体" w:hAnsi="宋体" w:cs="宋体" w:eastAsia="宋体" w:hint="default"/>
                <w:w w:val="100"/>
                <w:sz w:val="16"/>
                <w:szCs w:val="16"/>
              </w:rPr>
              <w:t> </w:t>
            </w:r>
            <w:r>
              <w:rPr>
                <w:rFonts w:ascii="宋体" w:hAnsi="宋体" w:cs="宋体" w:eastAsia="宋体" w:hint="default"/>
                <w:sz w:val="16"/>
                <w:szCs w:val="16"/>
              </w:rPr>
              <w:t>业化项目</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21,562,752.33</w:t>
            </w: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10,422,177.20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10,834,687.34</w:t>
            </w:r>
          </w:p>
        </w:tc>
        <w:tc>
          <w:tcPr>
            <w:tcW w:w="127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20,106,252.32</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79" w:right="0"/>
              <w:jc w:val="center"/>
              <w:rPr>
                <w:rFonts w:ascii="Times New Roman" w:hAnsi="Times New Roman" w:cs="Times New Roman" w:eastAsia="Times New Roman" w:hint="default"/>
                <w:sz w:val="16"/>
                <w:szCs w:val="16"/>
              </w:rPr>
            </w:pPr>
            <w:r>
              <w:rPr>
                <w:rFonts w:ascii="Times New Roman"/>
                <w:sz w:val="16"/>
              </w:rPr>
              <w:t>1,043,989.87</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开发阶段</w:t>
            </w:r>
          </w:p>
        </w:tc>
        <w:tc>
          <w:tcPr>
            <w:tcW w:w="178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03" w:right="101"/>
              <w:jc w:val="left"/>
              <w:rPr>
                <w:rFonts w:ascii="宋体" w:hAnsi="宋体" w:cs="宋体" w:eastAsia="宋体" w:hint="default"/>
                <w:sz w:val="16"/>
                <w:szCs w:val="16"/>
              </w:rPr>
            </w:pPr>
            <w:r>
              <w:rPr>
                <w:rFonts w:ascii="Times New Roman" w:hAnsi="Times New Roman" w:cs="Times New Roman" w:eastAsia="Times New Roman" w:hint="default"/>
                <w:sz w:val="16"/>
                <w:szCs w:val="16"/>
              </w:rPr>
              <w:t>ZZKK</w:t>
            </w:r>
            <w:r>
              <w:rPr>
                <w:rFonts w:ascii="Times New Roman" w:hAnsi="Times New Roman" w:cs="Times New Roman" w:eastAsia="Times New Roman" w:hint="default"/>
                <w:spacing w:val="26"/>
                <w:sz w:val="16"/>
                <w:szCs w:val="16"/>
              </w:rPr>
              <w:t> </w:t>
            </w:r>
            <w:r>
              <w:rPr>
                <w:rFonts w:ascii="宋体" w:hAnsi="宋体" w:cs="宋体" w:eastAsia="宋体" w:hint="default"/>
                <w:spacing w:val="11"/>
                <w:sz w:val="16"/>
                <w:szCs w:val="16"/>
              </w:rPr>
              <w:t>安全计算机产</w:t>
            </w:r>
            <w:r>
              <w:rPr>
                <w:rFonts w:ascii="宋体" w:hAnsi="宋体" w:cs="宋体" w:eastAsia="宋体" w:hint="default"/>
                <w:w w:val="100"/>
                <w:sz w:val="16"/>
                <w:szCs w:val="16"/>
              </w:rPr>
              <w:t> </w:t>
            </w:r>
            <w:r>
              <w:rPr>
                <w:rFonts w:ascii="宋体" w:hAnsi="宋体" w:cs="宋体" w:eastAsia="宋体" w:hint="default"/>
                <w:sz w:val="16"/>
                <w:szCs w:val="16"/>
              </w:rPr>
              <w:t>业化项目立项报告</w:t>
            </w:r>
          </w:p>
        </w:tc>
        <w:tc>
          <w:tcPr>
            <w:tcW w:w="8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61"/>
              <w:jc w:val="right"/>
              <w:rPr>
                <w:rFonts w:ascii="Times New Roman" w:hAnsi="Times New Roman" w:cs="Times New Roman" w:eastAsia="Times New Roman" w:hint="default"/>
                <w:sz w:val="16"/>
                <w:szCs w:val="16"/>
              </w:rPr>
            </w:pPr>
            <w:r>
              <w:rPr>
                <w:rFonts w:ascii="Times New Roman"/>
                <w:spacing w:val="-1"/>
                <w:sz w:val="16"/>
              </w:rPr>
              <w:t>99.00</w:t>
            </w:r>
          </w:p>
        </w:tc>
      </w:tr>
      <w:tr>
        <w:trPr>
          <w:trHeight w:val="353" w:hRule="exact"/>
        </w:trPr>
        <w:tc>
          <w:tcPr>
            <w:tcW w:w="16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军贸科研</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16,714,537.43</w:t>
            </w: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21,810,313.60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31,973,111.19</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6,551,739.84</w:t>
            </w:r>
          </w:p>
        </w:tc>
        <w:tc>
          <w:tcPr>
            <w:tcW w:w="1418"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2" w:right="0"/>
              <w:jc w:val="center"/>
              <w:rPr>
                <w:rFonts w:ascii="宋体" w:hAnsi="宋体" w:cs="宋体" w:eastAsia="宋体" w:hint="default"/>
                <w:sz w:val="16"/>
                <w:szCs w:val="16"/>
              </w:rPr>
            </w:pPr>
            <w:r>
              <w:rPr>
                <w:rFonts w:ascii="宋体" w:hAnsi="宋体" w:cs="宋体" w:eastAsia="宋体" w:hint="default"/>
                <w:sz w:val="16"/>
                <w:szCs w:val="16"/>
              </w:rPr>
              <w:t>开发阶段</w:t>
            </w:r>
          </w:p>
        </w:tc>
        <w:tc>
          <w:tcPr>
            <w:tcW w:w="17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国防科工局验收文件</w:t>
            </w:r>
          </w:p>
        </w:tc>
        <w:tc>
          <w:tcPr>
            <w:tcW w:w="8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222"/>
              <w:jc w:val="right"/>
              <w:rPr>
                <w:rFonts w:ascii="Times New Roman" w:hAnsi="Times New Roman" w:cs="Times New Roman" w:eastAsia="Times New Roman" w:hint="default"/>
                <w:sz w:val="16"/>
                <w:szCs w:val="16"/>
              </w:rPr>
            </w:pPr>
            <w:r>
              <w:rPr>
                <w:rFonts w:ascii="Times New Roman"/>
                <w:spacing w:val="-1"/>
                <w:sz w:val="16"/>
              </w:rPr>
              <w:t>100.00</w:t>
            </w:r>
          </w:p>
        </w:tc>
      </w:tr>
      <w:tr>
        <w:trPr>
          <w:trHeight w:val="562" w:hRule="exact"/>
        </w:trPr>
        <w:tc>
          <w:tcPr>
            <w:tcW w:w="1656"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0"/>
              <w:jc w:val="left"/>
              <w:rPr>
                <w:rFonts w:ascii="宋体" w:hAnsi="宋体" w:cs="宋体" w:eastAsia="宋体" w:hint="default"/>
                <w:sz w:val="16"/>
                <w:szCs w:val="16"/>
              </w:rPr>
            </w:pPr>
            <w:r>
              <w:rPr>
                <w:rFonts w:ascii="宋体" w:hAnsi="宋体" w:cs="宋体" w:eastAsia="宋体" w:hint="default"/>
                <w:sz w:val="16"/>
                <w:szCs w:val="16"/>
              </w:rPr>
              <w:t>光</w:t>
            </w:r>
            <w:r>
              <w:rPr>
                <w:rFonts w:ascii="宋体" w:hAnsi="宋体" w:cs="宋体" w:eastAsia="宋体" w:hint="default"/>
                <w:spacing w:val="-56"/>
                <w:sz w:val="16"/>
                <w:szCs w:val="16"/>
              </w:rPr>
              <w:t> </w:t>
            </w:r>
            <w:r>
              <w:rPr>
                <w:rFonts w:ascii="宋体" w:hAnsi="宋体" w:cs="宋体" w:eastAsia="宋体" w:hint="default"/>
                <w:spacing w:val="11"/>
                <w:sz w:val="16"/>
                <w:szCs w:val="16"/>
              </w:rPr>
              <w:t>纤水下</w:t>
            </w:r>
            <w:r>
              <w:rPr>
                <w:rFonts w:ascii="宋体" w:hAnsi="宋体" w:cs="宋体" w:eastAsia="宋体" w:hint="default"/>
                <w:spacing w:val="-56"/>
                <w:sz w:val="16"/>
                <w:szCs w:val="16"/>
              </w:rPr>
              <w:t> </w:t>
            </w:r>
            <w:r>
              <w:rPr>
                <w:rFonts w:ascii="宋体" w:hAnsi="宋体" w:cs="宋体" w:eastAsia="宋体" w:hint="default"/>
                <w:spacing w:val="8"/>
                <w:sz w:val="16"/>
                <w:szCs w:val="16"/>
              </w:rPr>
              <w:t>探测</w:t>
            </w:r>
            <w:r>
              <w:rPr>
                <w:rFonts w:ascii="宋体" w:hAnsi="宋体" w:cs="宋体" w:eastAsia="宋体" w:hint="default"/>
                <w:spacing w:val="-56"/>
                <w:sz w:val="16"/>
                <w:szCs w:val="16"/>
              </w:rPr>
              <w:t> </w:t>
            </w:r>
            <w:r>
              <w:rPr>
                <w:rFonts w:ascii="宋体" w:hAnsi="宋体" w:cs="宋体" w:eastAsia="宋体" w:hint="default"/>
                <w:spacing w:val="8"/>
                <w:sz w:val="16"/>
                <w:szCs w:val="16"/>
              </w:rPr>
              <w:t>产业</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化项目</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15,997,925.88</w:t>
            </w: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26,293,412.13</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1,359,499.32</w:t>
            </w:r>
          </w:p>
        </w:tc>
        <w:tc>
          <w:tcPr>
            <w:tcW w:w="127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40,931,838.69</w:t>
            </w:r>
          </w:p>
        </w:tc>
        <w:tc>
          <w:tcPr>
            <w:tcW w:w="1135"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开发阶段</w:t>
            </w:r>
          </w:p>
        </w:tc>
        <w:tc>
          <w:tcPr>
            <w:tcW w:w="178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03" w:right="89"/>
              <w:jc w:val="left"/>
              <w:rPr>
                <w:rFonts w:ascii="宋体" w:hAnsi="宋体" w:cs="宋体" w:eastAsia="宋体" w:hint="default"/>
                <w:sz w:val="16"/>
                <w:szCs w:val="16"/>
              </w:rPr>
            </w:pPr>
            <w:r>
              <w:rPr>
                <w:rFonts w:ascii="宋体" w:hAnsi="宋体" w:cs="宋体" w:eastAsia="宋体" w:hint="default"/>
                <w:spacing w:val="11"/>
                <w:sz w:val="16"/>
                <w:szCs w:val="16"/>
              </w:rPr>
              <w:t>光纤水下探测产业化</w:t>
            </w:r>
            <w:r>
              <w:rPr>
                <w:rFonts w:ascii="宋体" w:hAnsi="宋体" w:cs="宋体" w:eastAsia="宋体" w:hint="default"/>
                <w:spacing w:val="-60"/>
                <w:sz w:val="16"/>
                <w:szCs w:val="16"/>
              </w:rPr>
              <w:t> </w:t>
            </w:r>
            <w:r>
              <w:rPr>
                <w:rFonts w:ascii="宋体" w:hAnsi="宋体" w:cs="宋体" w:eastAsia="宋体" w:hint="default"/>
                <w:sz w:val="16"/>
                <w:szCs w:val="16"/>
              </w:rPr>
              <w:t>项目立项报告</w:t>
            </w:r>
          </w:p>
        </w:tc>
        <w:tc>
          <w:tcPr>
            <w:tcW w:w="8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22"/>
              <w:jc w:val="right"/>
              <w:rPr>
                <w:rFonts w:ascii="Times New Roman" w:hAnsi="Times New Roman" w:cs="Times New Roman" w:eastAsia="Times New Roman" w:hint="default"/>
                <w:sz w:val="16"/>
                <w:szCs w:val="16"/>
              </w:rPr>
            </w:pPr>
            <w:r>
              <w:rPr>
                <w:rFonts w:ascii="Times New Roman"/>
                <w:spacing w:val="-1"/>
                <w:sz w:val="16"/>
              </w:rPr>
              <w:t>100.00</w:t>
            </w:r>
          </w:p>
        </w:tc>
      </w:tr>
      <w:tr>
        <w:trPr>
          <w:trHeight w:val="559" w:hRule="exact"/>
        </w:trPr>
        <w:tc>
          <w:tcPr>
            <w:tcW w:w="16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智能自助售货机</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4,419,014.17</w:t>
            </w:r>
          </w:p>
        </w:tc>
        <w:tc>
          <w:tcPr>
            <w:tcW w:w="167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4,419,014.17</w:t>
            </w:r>
          </w:p>
        </w:tc>
        <w:tc>
          <w:tcPr>
            <w:tcW w:w="127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开发阶段</w:t>
            </w:r>
          </w:p>
        </w:tc>
        <w:tc>
          <w:tcPr>
            <w:tcW w:w="178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03" w:right="89"/>
              <w:jc w:val="left"/>
              <w:rPr>
                <w:rFonts w:ascii="宋体" w:hAnsi="宋体" w:cs="宋体" w:eastAsia="宋体" w:hint="default"/>
                <w:sz w:val="16"/>
                <w:szCs w:val="16"/>
              </w:rPr>
            </w:pPr>
            <w:r>
              <w:rPr>
                <w:rFonts w:ascii="宋体" w:hAnsi="宋体" w:cs="宋体" w:eastAsia="宋体" w:hint="default"/>
                <w:spacing w:val="11"/>
                <w:sz w:val="16"/>
                <w:szCs w:val="16"/>
              </w:rPr>
              <w:t>智能自助售货机立项</w:t>
            </w:r>
            <w:r>
              <w:rPr>
                <w:rFonts w:ascii="宋体" w:hAnsi="宋体" w:cs="宋体" w:eastAsia="宋体" w:hint="default"/>
                <w:spacing w:val="-60"/>
                <w:sz w:val="16"/>
                <w:szCs w:val="16"/>
              </w:rPr>
              <w:t> </w:t>
            </w:r>
            <w:r>
              <w:rPr>
                <w:rFonts w:ascii="宋体" w:hAnsi="宋体" w:cs="宋体" w:eastAsia="宋体" w:hint="default"/>
                <w:sz w:val="16"/>
                <w:szCs w:val="16"/>
              </w:rPr>
              <w:t>报告</w:t>
            </w:r>
          </w:p>
        </w:tc>
        <w:tc>
          <w:tcPr>
            <w:tcW w:w="8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22"/>
              <w:jc w:val="right"/>
              <w:rPr>
                <w:rFonts w:ascii="Times New Roman" w:hAnsi="Times New Roman" w:cs="Times New Roman" w:eastAsia="Times New Roman" w:hint="default"/>
                <w:sz w:val="16"/>
                <w:szCs w:val="16"/>
              </w:rPr>
            </w:pPr>
            <w:r>
              <w:rPr>
                <w:rFonts w:ascii="Times New Roman"/>
                <w:spacing w:val="-1"/>
                <w:sz w:val="16"/>
              </w:rPr>
              <w:t>100.00</w:t>
            </w:r>
          </w:p>
        </w:tc>
      </w:tr>
      <w:tr>
        <w:trPr>
          <w:trHeight w:val="355" w:hRule="exact"/>
        </w:trPr>
        <w:tc>
          <w:tcPr>
            <w:tcW w:w="16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信息化建设</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450,000.00</w:t>
            </w: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1,050,000.00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1,500,000.00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开发阶段</w:t>
            </w:r>
          </w:p>
        </w:tc>
        <w:tc>
          <w:tcPr>
            <w:tcW w:w="17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03" w:right="0"/>
              <w:jc w:val="left"/>
              <w:rPr>
                <w:rFonts w:ascii="宋体" w:hAnsi="宋体" w:cs="宋体" w:eastAsia="宋体" w:hint="default"/>
                <w:sz w:val="16"/>
                <w:szCs w:val="16"/>
              </w:rPr>
            </w:pPr>
            <w:r>
              <w:rPr>
                <w:rFonts w:ascii="宋体" w:hAnsi="宋体" w:cs="宋体" w:eastAsia="宋体" w:hint="default"/>
                <w:sz w:val="16"/>
                <w:szCs w:val="16"/>
              </w:rPr>
              <w:t>国防科工局验收文件</w:t>
            </w:r>
          </w:p>
        </w:tc>
        <w:tc>
          <w:tcPr>
            <w:tcW w:w="8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222"/>
              <w:jc w:val="right"/>
              <w:rPr>
                <w:rFonts w:ascii="Times New Roman" w:hAnsi="Times New Roman" w:cs="Times New Roman" w:eastAsia="Times New Roman" w:hint="default"/>
                <w:sz w:val="16"/>
                <w:szCs w:val="16"/>
              </w:rPr>
            </w:pPr>
            <w:r>
              <w:rPr>
                <w:rFonts w:ascii="Times New Roman"/>
                <w:spacing w:val="-1"/>
                <w:sz w:val="16"/>
              </w:rPr>
              <w:t>100.00</w:t>
            </w:r>
          </w:p>
        </w:tc>
      </w:tr>
      <w:tr>
        <w:trPr>
          <w:trHeight w:val="365" w:hRule="exact"/>
        </w:trPr>
        <w:tc>
          <w:tcPr>
            <w:tcW w:w="165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65,681,230.31</w:t>
            </w:r>
          </w:p>
        </w:tc>
        <w:tc>
          <w:tcPr>
            <w:tcW w:w="16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2"/>
                <w:sz w:val="16"/>
              </w:rPr>
              <w:t>117,617,305.65</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50,086,312.02</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6,551,739.84</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78,932,805.29</w:t>
            </w:r>
          </w:p>
        </w:tc>
        <w:tc>
          <w:tcPr>
            <w:tcW w:w="11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6"/>
                <w:szCs w:val="16"/>
              </w:rPr>
            </w:pPr>
            <w:r>
              <w:rPr>
                <w:rFonts w:ascii="Times New Roman"/>
                <w:sz w:val="16"/>
              </w:rPr>
              <w:t>47,727,678.81</w:t>
            </w:r>
          </w:p>
        </w:tc>
        <w:tc>
          <w:tcPr>
            <w:tcW w:w="991" w:type="dxa"/>
            <w:tcBorders>
              <w:top w:val="dotted" w:sz="4" w:space="0" w:color="000000"/>
              <w:left w:val="dotted" w:sz="4" w:space="0" w:color="000000"/>
              <w:bottom w:val="single" w:sz="12" w:space="0" w:color="000000"/>
              <w:right w:val="dotted" w:sz="4" w:space="0" w:color="000000"/>
            </w:tcBorders>
          </w:tcPr>
          <w:p>
            <w:pPr/>
          </w:p>
        </w:tc>
        <w:tc>
          <w:tcPr>
            <w:tcW w:w="1781" w:type="dxa"/>
            <w:tcBorders>
              <w:top w:val="dotted" w:sz="4" w:space="0" w:color="000000"/>
              <w:left w:val="dotted" w:sz="4" w:space="0" w:color="000000"/>
              <w:bottom w:val="single" w:sz="12" w:space="0" w:color="000000"/>
              <w:right w:val="dotted" w:sz="4" w:space="0" w:color="000000"/>
            </w:tcBorders>
          </w:tcPr>
          <w:p>
            <w:pPr/>
          </w:p>
        </w:tc>
        <w:tc>
          <w:tcPr>
            <w:tcW w:w="88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44"/>
        <w:ind w:left="6244" w:right="6581" w:firstLine="0"/>
        <w:jc w:val="center"/>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65</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36"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51"/>
          <w:footerReference w:type="default" r:id="rId52"/>
          <w:pgSz w:w="16840" w:h="11910" w:orient="landscape"/>
          <w:pgMar w:header="0" w:footer="0" w:top="780" w:bottom="0" w:left="1300" w:right="960"/>
        </w:sectPr>
      </w:pPr>
    </w:p>
    <w:p>
      <w:pPr>
        <w:spacing w:line="240" w:lineRule="auto" w:before="12"/>
        <w:rPr>
          <w:rFonts w:ascii="宋体" w:hAnsi="宋体" w:cs="宋体" w:eastAsia="宋体" w:hint="default"/>
          <w:sz w:val="22"/>
          <w:szCs w:val="22"/>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商誉</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546"/>
        <w:gridCol w:w="1138"/>
        <w:gridCol w:w="1436"/>
        <w:gridCol w:w="936"/>
        <w:gridCol w:w="1116"/>
        <w:gridCol w:w="937"/>
        <w:gridCol w:w="1138"/>
      </w:tblGrid>
      <w:tr>
        <w:trPr>
          <w:trHeight w:val="365" w:hRule="exact"/>
        </w:trPr>
        <w:tc>
          <w:tcPr>
            <w:tcW w:w="1546" w:type="dxa"/>
            <w:vMerge w:val="restart"/>
            <w:tcBorders>
              <w:top w:val="single" w:sz="12" w:space="0" w:color="000000"/>
              <w:left w:val="nil" w:sz="6" w:space="0" w:color="auto"/>
              <w:right w:val="dotted" w:sz="4" w:space="0" w:color="000000"/>
            </w:tcBorders>
          </w:tcPr>
          <w:p>
            <w:pPr>
              <w:pStyle w:val="TableParagraph"/>
              <w:spacing w:line="206" w:lineRule="exact" w:before="140"/>
              <w:ind w:left="218" w:right="118" w:hanging="80"/>
              <w:jc w:val="left"/>
              <w:rPr>
                <w:rFonts w:ascii="宋体" w:hAnsi="宋体" w:cs="宋体" w:eastAsia="宋体" w:hint="default"/>
                <w:sz w:val="16"/>
                <w:szCs w:val="16"/>
              </w:rPr>
            </w:pPr>
            <w:r>
              <w:rPr>
                <w:rFonts w:ascii="宋体" w:hAnsi="宋体" w:cs="宋体" w:eastAsia="宋体" w:hint="default"/>
                <w:sz w:val="16"/>
                <w:szCs w:val="16"/>
              </w:rPr>
              <w:t>被投资单位名称或</w:t>
            </w:r>
            <w:r>
              <w:rPr>
                <w:rFonts w:ascii="宋体" w:hAnsi="宋体" w:cs="宋体" w:eastAsia="宋体" w:hint="default"/>
                <w:w w:val="100"/>
                <w:sz w:val="16"/>
                <w:szCs w:val="16"/>
              </w:rPr>
              <w:t> </w:t>
            </w:r>
            <w:r>
              <w:rPr>
                <w:rFonts w:ascii="宋体" w:hAnsi="宋体" w:cs="宋体" w:eastAsia="宋体" w:hint="default"/>
                <w:sz w:val="16"/>
                <w:szCs w:val="16"/>
              </w:rPr>
              <w:t>形成商誉的事项</w:t>
            </w:r>
          </w:p>
        </w:tc>
        <w:tc>
          <w:tcPr>
            <w:tcW w:w="1138" w:type="dxa"/>
            <w:vMerge w:val="restart"/>
            <w:tcBorders>
              <w:top w:val="single" w:sz="12" w:space="0" w:color="000000"/>
              <w:left w:val="dotted" w:sz="4" w:space="0" w:color="000000"/>
              <w:right w:val="dotted" w:sz="4" w:space="0" w:color="000000"/>
            </w:tcBorders>
          </w:tcPr>
          <w:p>
            <w:pPr>
              <w:pStyle w:val="TableParagraph"/>
              <w:spacing w:line="206" w:lineRule="exact" w:before="140"/>
              <w:ind w:left="482" w:right="161" w:hanging="320"/>
              <w:jc w:val="left"/>
              <w:rPr>
                <w:rFonts w:ascii="宋体" w:hAnsi="宋体" w:cs="宋体" w:eastAsia="宋体" w:hint="default"/>
                <w:sz w:val="16"/>
                <w:szCs w:val="16"/>
              </w:rPr>
            </w:pPr>
            <w:r>
              <w:rPr>
                <w:rFonts w:ascii="宋体" w:hAnsi="宋体" w:cs="宋体" w:eastAsia="宋体" w:hint="default"/>
                <w:sz w:val="16"/>
                <w:szCs w:val="16"/>
              </w:rPr>
              <w:t>上年年末余</w:t>
            </w:r>
            <w:r>
              <w:rPr>
                <w:rFonts w:ascii="宋体" w:hAnsi="宋体" w:cs="宋体" w:eastAsia="宋体" w:hint="default"/>
                <w:w w:val="100"/>
                <w:sz w:val="16"/>
                <w:szCs w:val="16"/>
              </w:rPr>
              <w:t> </w:t>
            </w:r>
            <w:r>
              <w:rPr>
                <w:rFonts w:ascii="宋体" w:hAnsi="宋体" w:cs="宋体" w:eastAsia="宋体" w:hint="default"/>
                <w:sz w:val="16"/>
                <w:szCs w:val="16"/>
              </w:rPr>
              <w:t>额</w:t>
            </w:r>
          </w:p>
        </w:tc>
        <w:tc>
          <w:tcPr>
            <w:tcW w:w="237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right="3"/>
              <w:jc w:val="center"/>
              <w:rPr>
                <w:rFonts w:ascii="宋体" w:hAnsi="宋体" w:cs="宋体" w:eastAsia="宋体" w:hint="default"/>
                <w:sz w:val="16"/>
                <w:szCs w:val="16"/>
              </w:rPr>
            </w:pPr>
            <w:r>
              <w:rPr>
                <w:rFonts w:ascii="宋体" w:hAnsi="宋体" w:cs="宋体" w:eastAsia="宋体" w:hint="default"/>
                <w:sz w:val="16"/>
                <w:szCs w:val="16"/>
              </w:rPr>
              <w:t>本期增加</w:t>
            </w:r>
          </w:p>
        </w:tc>
        <w:tc>
          <w:tcPr>
            <w:tcW w:w="205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1" w:right="0"/>
              <w:jc w:val="center"/>
              <w:rPr>
                <w:rFonts w:ascii="宋体" w:hAnsi="宋体" w:cs="宋体" w:eastAsia="宋体" w:hint="default"/>
                <w:sz w:val="16"/>
                <w:szCs w:val="16"/>
              </w:rPr>
            </w:pPr>
            <w:r>
              <w:rPr>
                <w:rFonts w:ascii="宋体" w:hAnsi="宋体" w:cs="宋体" w:eastAsia="宋体" w:hint="default"/>
                <w:sz w:val="16"/>
                <w:szCs w:val="16"/>
              </w:rPr>
              <w:t>本期减少</w:t>
            </w:r>
          </w:p>
        </w:tc>
        <w:tc>
          <w:tcPr>
            <w:tcW w:w="1138" w:type="dxa"/>
            <w:vMerge w:val="restart"/>
            <w:tcBorders>
              <w:top w:val="single" w:sz="12" w:space="0" w:color="000000"/>
              <w:left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42"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1546" w:type="dxa"/>
            <w:vMerge/>
            <w:tcBorders>
              <w:left w:val="nil" w:sz="6" w:space="0" w:color="auto"/>
              <w:bottom w:val="dotted" w:sz="4" w:space="0" w:color="000000"/>
              <w:right w:val="dotted" w:sz="4" w:space="0" w:color="000000"/>
            </w:tcBorders>
          </w:tcPr>
          <w:p>
            <w:pPr/>
          </w:p>
        </w:tc>
        <w:tc>
          <w:tcPr>
            <w:tcW w:w="1138" w:type="dxa"/>
            <w:vMerge/>
            <w:tcBorders>
              <w:left w:val="dotted" w:sz="4" w:space="0" w:color="000000"/>
              <w:bottom w:val="dotted" w:sz="4" w:space="0" w:color="000000"/>
              <w:right w:val="dotted" w:sz="4" w:space="0" w:color="000000"/>
            </w:tcBorders>
          </w:tcPr>
          <w:p>
            <w:pPr/>
          </w:p>
        </w:tc>
        <w:tc>
          <w:tcPr>
            <w:tcW w:w="14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48" w:right="0"/>
              <w:jc w:val="left"/>
              <w:rPr>
                <w:rFonts w:ascii="宋体" w:hAnsi="宋体" w:cs="宋体" w:eastAsia="宋体" w:hint="default"/>
                <w:sz w:val="16"/>
                <w:szCs w:val="16"/>
              </w:rPr>
            </w:pPr>
            <w:r>
              <w:rPr>
                <w:rFonts w:ascii="宋体" w:hAnsi="宋体" w:cs="宋体" w:eastAsia="宋体" w:hint="default"/>
                <w:sz w:val="16"/>
                <w:szCs w:val="16"/>
              </w:rPr>
              <w:t>企业合并形成的</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汇率变动</w:t>
            </w:r>
          </w:p>
        </w:tc>
        <w:tc>
          <w:tcPr>
            <w:tcW w:w="11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处置</w:t>
            </w:r>
          </w:p>
        </w:tc>
        <w:tc>
          <w:tcPr>
            <w:tcW w:w="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41" w:right="0"/>
              <w:jc w:val="left"/>
              <w:rPr>
                <w:rFonts w:ascii="宋体" w:hAnsi="宋体" w:cs="宋体" w:eastAsia="宋体" w:hint="default"/>
                <w:sz w:val="16"/>
                <w:szCs w:val="16"/>
              </w:rPr>
            </w:pPr>
            <w:r>
              <w:rPr>
                <w:rFonts w:ascii="宋体" w:hAnsi="宋体" w:cs="宋体" w:eastAsia="宋体" w:hint="default"/>
                <w:sz w:val="16"/>
                <w:szCs w:val="16"/>
              </w:rPr>
              <w:t>汇率变动</w:t>
            </w:r>
          </w:p>
        </w:tc>
        <w:tc>
          <w:tcPr>
            <w:tcW w:w="1138" w:type="dxa"/>
            <w:vMerge/>
            <w:tcBorders>
              <w:left w:val="dotted" w:sz="4" w:space="0" w:color="000000"/>
              <w:bottom w:val="dotted" w:sz="4" w:space="0" w:color="000000"/>
              <w:right w:val="nil" w:sz="6" w:space="0" w:color="auto"/>
            </w:tcBorders>
          </w:tcPr>
          <w:p>
            <w:pPr/>
          </w:p>
        </w:tc>
      </w:tr>
      <w:tr>
        <w:trPr>
          <w:trHeight w:val="355"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账面原值</w:t>
            </w:r>
          </w:p>
        </w:tc>
        <w:tc>
          <w:tcPr>
            <w:tcW w:w="1138" w:type="dxa"/>
            <w:tcBorders>
              <w:top w:val="dotted" w:sz="4" w:space="0" w:color="000000"/>
              <w:left w:val="dotted" w:sz="4" w:space="0" w:color="000000"/>
              <w:bottom w:val="dotted" w:sz="4" w:space="0" w:color="000000"/>
              <w:right w:val="dotted" w:sz="4" w:space="0" w:color="000000"/>
            </w:tcBorders>
          </w:tcPr>
          <w:p>
            <w:pPr/>
          </w:p>
        </w:tc>
        <w:tc>
          <w:tcPr>
            <w:tcW w:w="1436" w:type="dxa"/>
            <w:tcBorders>
              <w:top w:val="dotted" w:sz="4" w:space="0" w:color="000000"/>
              <w:left w:val="dotted" w:sz="4" w:space="0" w:color="000000"/>
              <w:bottom w:val="dotted" w:sz="4" w:space="0" w:color="000000"/>
              <w:right w:val="dotted" w:sz="4" w:space="0" w:color="000000"/>
            </w:tcBorders>
          </w:tcPr>
          <w:p>
            <w:pPr/>
          </w:p>
        </w:tc>
        <w:tc>
          <w:tcPr>
            <w:tcW w:w="936" w:type="dxa"/>
            <w:tcBorders>
              <w:top w:val="dotted" w:sz="4" w:space="0" w:color="000000"/>
              <w:left w:val="dotted" w:sz="4" w:space="0" w:color="000000"/>
              <w:bottom w:val="dotted" w:sz="4" w:space="0" w:color="000000"/>
              <w:right w:val="dotted" w:sz="4" w:space="0" w:color="000000"/>
            </w:tcBorders>
          </w:tcPr>
          <w:p>
            <w:pPr/>
          </w:p>
        </w:tc>
        <w:tc>
          <w:tcPr>
            <w:tcW w:w="1116" w:type="dxa"/>
            <w:tcBorders>
              <w:top w:val="dotted" w:sz="4" w:space="0" w:color="000000"/>
              <w:left w:val="dotted" w:sz="4" w:space="0" w:color="000000"/>
              <w:bottom w:val="dotted" w:sz="4" w:space="0" w:color="000000"/>
              <w:right w:val="dotted" w:sz="4" w:space="0" w:color="000000"/>
            </w:tcBorders>
          </w:tcPr>
          <w:p>
            <w:pPr/>
          </w:p>
        </w:tc>
        <w:tc>
          <w:tcPr>
            <w:tcW w:w="93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559"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100"/>
              <w:jc w:val="left"/>
              <w:rPr>
                <w:rFonts w:ascii="宋体" w:hAnsi="宋体" w:cs="宋体" w:eastAsia="宋体" w:hint="default"/>
                <w:sz w:val="16"/>
                <w:szCs w:val="16"/>
              </w:rPr>
            </w:pPr>
            <w:r>
              <w:rPr>
                <w:rFonts w:ascii="宋体" w:hAnsi="宋体" w:cs="宋体" w:eastAsia="宋体" w:hint="default"/>
                <w:spacing w:val="2"/>
                <w:sz w:val="16"/>
                <w:szCs w:val="16"/>
              </w:rPr>
              <w:t>柏怡国际控股有限</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公司</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24,144,802.73</w:t>
            </w:r>
          </w:p>
        </w:tc>
        <w:tc>
          <w:tcPr>
            <w:tcW w:w="1436" w:type="dxa"/>
            <w:tcBorders>
              <w:top w:val="dotted" w:sz="4" w:space="0" w:color="000000"/>
              <w:left w:val="dotted" w:sz="4" w:space="0" w:color="000000"/>
              <w:bottom w:val="dotted" w:sz="4" w:space="0" w:color="000000"/>
              <w:right w:val="dotted" w:sz="4" w:space="0" w:color="000000"/>
            </w:tcBorders>
          </w:tcPr>
          <w:p>
            <w:pP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539,551.75</w:t>
            </w:r>
          </w:p>
        </w:tc>
        <w:tc>
          <w:tcPr>
            <w:tcW w:w="1116" w:type="dxa"/>
            <w:tcBorders>
              <w:top w:val="dotted" w:sz="4" w:space="0" w:color="000000"/>
              <w:left w:val="dotted" w:sz="4" w:space="0" w:color="000000"/>
              <w:bottom w:val="dotted" w:sz="4" w:space="0" w:color="000000"/>
              <w:right w:val="dotted" w:sz="4" w:space="0" w:color="000000"/>
            </w:tcBorders>
          </w:tcPr>
          <w:p>
            <w:pPr/>
          </w:p>
        </w:tc>
        <w:tc>
          <w:tcPr>
            <w:tcW w:w="93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24,684,354.48</w:t>
            </w:r>
          </w:p>
        </w:tc>
      </w:tr>
      <w:tr>
        <w:trPr>
          <w:trHeight w:val="355"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2"/>
                <w:sz w:val="16"/>
              </w:rPr>
              <w:t>24,144,802.73</w:t>
            </w:r>
          </w:p>
        </w:tc>
        <w:tc>
          <w:tcPr>
            <w:tcW w:w="1436" w:type="dxa"/>
            <w:tcBorders>
              <w:top w:val="dotted" w:sz="4" w:space="0" w:color="000000"/>
              <w:left w:val="dotted" w:sz="4" w:space="0" w:color="000000"/>
              <w:bottom w:val="dotted" w:sz="4" w:space="0" w:color="000000"/>
              <w:right w:val="dotted" w:sz="4" w:space="0" w:color="000000"/>
            </w:tcBorders>
          </w:tcPr>
          <w:p>
            <w:pP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0"/>
              <w:jc w:val="center"/>
              <w:rPr>
                <w:rFonts w:ascii="Times New Roman" w:hAnsi="Times New Roman" w:cs="Times New Roman" w:eastAsia="Times New Roman" w:hint="default"/>
                <w:sz w:val="16"/>
                <w:szCs w:val="16"/>
              </w:rPr>
            </w:pPr>
            <w:r>
              <w:rPr>
                <w:rFonts w:ascii="Times New Roman"/>
                <w:sz w:val="16"/>
              </w:rPr>
              <w:t>539,551.75</w:t>
            </w:r>
          </w:p>
        </w:tc>
        <w:tc>
          <w:tcPr>
            <w:tcW w:w="1116" w:type="dxa"/>
            <w:tcBorders>
              <w:top w:val="dotted" w:sz="4" w:space="0" w:color="000000"/>
              <w:left w:val="dotted" w:sz="4" w:space="0" w:color="000000"/>
              <w:bottom w:val="dotted" w:sz="4" w:space="0" w:color="000000"/>
              <w:right w:val="dotted" w:sz="4" w:space="0" w:color="000000"/>
            </w:tcBorders>
          </w:tcPr>
          <w:p>
            <w:pPr/>
          </w:p>
        </w:tc>
        <w:tc>
          <w:tcPr>
            <w:tcW w:w="93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4"/>
              <w:jc w:val="center"/>
              <w:rPr>
                <w:rFonts w:ascii="Times New Roman" w:hAnsi="Times New Roman" w:cs="Times New Roman" w:eastAsia="Times New Roman" w:hint="default"/>
                <w:sz w:val="16"/>
                <w:szCs w:val="16"/>
              </w:rPr>
            </w:pPr>
            <w:r>
              <w:rPr>
                <w:rFonts w:ascii="Times New Roman"/>
                <w:sz w:val="16"/>
              </w:rPr>
              <w:t>24,684,354.48</w:t>
            </w:r>
          </w:p>
        </w:tc>
      </w:tr>
      <w:tr>
        <w:trPr>
          <w:trHeight w:val="353"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138" w:type="dxa"/>
            <w:tcBorders>
              <w:top w:val="dotted" w:sz="4" w:space="0" w:color="000000"/>
              <w:left w:val="dotted" w:sz="4" w:space="0" w:color="000000"/>
              <w:bottom w:val="dotted" w:sz="4" w:space="0" w:color="000000"/>
              <w:right w:val="dotted" w:sz="4" w:space="0" w:color="000000"/>
            </w:tcBorders>
          </w:tcPr>
          <w:p>
            <w:pPr/>
          </w:p>
        </w:tc>
        <w:tc>
          <w:tcPr>
            <w:tcW w:w="1436" w:type="dxa"/>
            <w:tcBorders>
              <w:top w:val="dotted" w:sz="4" w:space="0" w:color="000000"/>
              <w:left w:val="dotted" w:sz="4" w:space="0" w:color="000000"/>
              <w:bottom w:val="dotted" w:sz="4" w:space="0" w:color="000000"/>
              <w:right w:val="dotted" w:sz="4" w:space="0" w:color="000000"/>
            </w:tcBorders>
          </w:tcPr>
          <w:p>
            <w:pPr/>
          </w:p>
        </w:tc>
        <w:tc>
          <w:tcPr>
            <w:tcW w:w="936" w:type="dxa"/>
            <w:tcBorders>
              <w:top w:val="dotted" w:sz="4" w:space="0" w:color="000000"/>
              <w:left w:val="dotted" w:sz="4" w:space="0" w:color="000000"/>
              <w:bottom w:val="dotted" w:sz="4" w:space="0" w:color="000000"/>
              <w:right w:val="dotted" w:sz="4" w:space="0" w:color="000000"/>
            </w:tcBorders>
          </w:tcPr>
          <w:p>
            <w:pPr/>
          </w:p>
        </w:tc>
        <w:tc>
          <w:tcPr>
            <w:tcW w:w="1116" w:type="dxa"/>
            <w:tcBorders>
              <w:top w:val="dotted" w:sz="4" w:space="0" w:color="000000"/>
              <w:left w:val="dotted" w:sz="4" w:space="0" w:color="000000"/>
              <w:bottom w:val="dotted" w:sz="4" w:space="0" w:color="000000"/>
              <w:right w:val="dotted" w:sz="4" w:space="0" w:color="000000"/>
            </w:tcBorders>
          </w:tcPr>
          <w:p>
            <w:pPr/>
          </w:p>
        </w:tc>
        <w:tc>
          <w:tcPr>
            <w:tcW w:w="93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138" w:type="dxa"/>
            <w:tcBorders>
              <w:top w:val="dotted" w:sz="4" w:space="0" w:color="000000"/>
              <w:left w:val="dotted" w:sz="4" w:space="0" w:color="000000"/>
              <w:bottom w:val="dotted" w:sz="4" w:space="0" w:color="000000"/>
              <w:right w:val="dotted" w:sz="4" w:space="0" w:color="000000"/>
            </w:tcBorders>
          </w:tcPr>
          <w:p>
            <w:pPr/>
          </w:p>
        </w:tc>
        <w:tc>
          <w:tcPr>
            <w:tcW w:w="1436" w:type="dxa"/>
            <w:tcBorders>
              <w:top w:val="dotted" w:sz="4" w:space="0" w:color="000000"/>
              <w:left w:val="dotted" w:sz="4" w:space="0" w:color="000000"/>
              <w:bottom w:val="dotted" w:sz="4" w:space="0" w:color="000000"/>
              <w:right w:val="dotted" w:sz="4" w:space="0" w:color="000000"/>
            </w:tcBorders>
          </w:tcPr>
          <w:p>
            <w:pPr/>
          </w:p>
        </w:tc>
        <w:tc>
          <w:tcPr>
            <w:tcW w:w="936" w:type="dxa"/>
            <w:tcBorders>
              <w:top w:val="dotted" w:sz="4" w:space="0" w:color="000000"/>
              <w:left w:val="dotted" w:sz="4" w:space="0" w:color="000000"/>
              <w:bottom w:val="dotted" w:sz="4" w:space="0" w:color="000000"/>
              <w:right w:val="dotted" w:sz="4" w:space="0" w:color="000000"/>
            </w:tcBorders>
          </w:tcPr>
          <w:p>
            <w:pPr/>
          </w:p>
        </w:tc>
        <w:tc>
          <w:tcPr>
            <w:tcW w:w="1116" w:type="dxa"/>
            <w:tcBorders>
              <w:top w:val="dotted" w:sz="4" w:space="0" w:color="000000"/>
              <w:left w:val="dotted" w:sz="4" w:space="0" w:color="000000"/>
              <w:bottom w:val="dotted" w:sz="4" w:space="0" w:color="000000"/>
              <w:right w:val="dotted" w:sz="4" w:space="0" w:color="000000"/>
            </w:tcBorders>
          </w:tcPr>
          <w:p>
            <w:pPr/>
          </w:p>
        </w:tc>
        <w:tc>
          <w:tcPr>
            <w:tcW w:w="93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15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1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2"/>
                <w:sz w:val="16"/>
              </w:rPr>
              <w:t>24,144,802.73</w:t>
            </w:r>
          </w:p>
        </w:tc>
        <w:tc>
          <w:tcPr>
            <w:tcW w:w="1436" w:type="dxa"/>
            <w:tcBorders>
              <w:top w:val="dotted" w:sz="4" w:space="0" w:color="000000"/>
              <w:left w:val="dotted" w:sz="4" w:space="0" w:color="000000"/>
              <w:bottom w:val="single" w:sz="12" w:space="0" w:color="000000"/>
              <w:right w:val="dotted" w:sz="4" w:space="0" w:color="000000"/>
            </w:tcBorders>
          </w:tcPr>
          <w:p>
            <w:pPr/>
          </w:p>
        </w:tc>
        <w:tc>
          <w:tcPr>
            <w:tcW w:w="9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0"/>
              <w:jc w:val="center"/>
              <w:rPr>
                <w:rFonts w:ascii="Times New Roman" w:hAnsi="Times New Roman" w:cs="Times New Roman" w:eastAsia="Times New Roman" w:hint="default"/>
                <w:sz w:val="16"/>
                <w:szCs w:val="16"/>
              </w:rPr>
            </w:pPr>
            <w:r>
              <w:rPr>
                <w:rFonts w:ascii="Times New Roman"/>
                <w:sz w:val="16"/>
              </w:rPr>
              <w:t>539,551.75</w:t>
            </w:r>
          </w:p>
        </w:tc>
        <w:tc>
          <w:tcPr>
            <w:tcW w:w="1116" w:type="dxa"/>
            <w:tcBorders>
              <w:top w:val="dotted" w:sz="4" w:space="0" w:color="000000"/>
              <w:left w:val="dotted" w:sz="4" w:space="0" w:color="000000"/>
              <w:bottom w:val="single" w:sz="12" w:space="0" w:color="000000"/>
              <w:right w:val="dotted" w:sz="4" w:space="0" w:color="000000"/>
            </w:tcBorders>
          </w:tcPr>
          <w:p>
            <w:pPr/>
          </w:p>
        </w:tc>
        <w:tc>
          <w:tcPr>
            <w:tcW w:w="937" w:type="dxa"/>
            <w:tcBorders>
              <w:top w:val="dotted" w:sz="4" w:space="0" w:color="000000"/>
              <w:left w:val="dotted" w:sz="4" w:space="0" w:color="000000"/>
              <w:bottom w:val="single" w:sz="12" w:space="0" w:color="000000"/>
              <w:right w:val="dotted" w:sz="4" w:space="0" w:color="000000"/>
            </w:tcBorders>
          </w:tcPr>
          <w:p>
            <w:pPr/>
          </w:p>
        </w:tc>
        <w:tc>
          <w:tcPr>
            <w:tcW w:w="113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4"/>
              <w:jc w:val="center"/>
              <w:rPr>
                <w:rFonts w:ascii="Times New Roman" w:hAnsi="Times New Roman" w:cs="Times New Roman" w:eastAsia="Times New Roman" w:hint="default"/>
                <w:sz w:val="16"/>
                <w:szCs w:val="16"/>
              </w:rPr>
            </w:pPr>
            <w:r>
              <w:rPr>
                <w:rFonts w:ascii="Times New Roman"/>
                <w:sz w:val="16"/>
              </w:rPr>
              <w:t>24,684,354.48</w:t>
            </w:r>
          </w:p>
        </w:tc>
      </w:tr>
    </w:tbl>
    <w:p>
      <w:pPr>
        <w:spacing w:line="240" w:lineRule="auto" w:before="8"/>
        <w:rPr>
          <w:rFonts w:ascii="宋体" w:hAnsi="宋体" w:cs="宋体" w:eastAsia="宋体" w:hint="default"/>
          <w:b/>
          <w:bCs/>
          <w:sz w:val="5"/>
          <w:szCs w:val="5"/>
        </w:rPr>
      </w:pPr>
    </w:p>
    <w:p>
      <w:pPr>
        <w:pStyle w:val="BodyText"/>
        <w:spacing w:line="240" w:lineRule="auto"/>
        <w:ind w:right="3683"/>
        <w:jc w:val="left"/>
      </w:pPr>
      <w:r>
        <w:rPr/>
        <w:t>说明：</w:t>
      </w:r>
    </w:p>
    <w:p>
      <w:pPr>
        <w:pStyle w:val="BodyText"/>
        <w:spacing w:line="336" w:lineRule="auto" w:before="124"/>
        <w:ind w:right="146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日，本公司子公司长城香港以港元</w:t>
      </w:r>
      <w:r>
        <w:rPr>
          <w:spacing w:val="-54"/>
        </w:rPr>
        <w:t> </w:t>
      </w:r>
      <w:r>
        <w:rPr>
          <w:rFonts w:ascii="Times New Roman" w:hAnsi="Times New Roman" w:cs="Times New Roman" w:eastAsia="Times New Roman" w:hint="default"/>
        </w:rPr>
        <w:t>96,921,560.25</w:t>
      </w:r>
      <w:r>
        <w:rPr>
          <w:rFonts w:ascii="Times New Roman" w:hAnsi="Times New Roman" w:cs="Times New Roman" w:eastAsia="Times New Roman" w:hint="default"/>
          <w:spacing w:val="-1"/>
        </w:rPr>
        <w:t> </w:t>
      </w:r>
      <w:r>
        <w:rPr/>
        <w:t>元，折合</w:t>
      </w:r>
      <w:r>
        <w:rPr>
          <w:w w:val="100"/>
        </w:rPr>
        <w:t> </w:t>
      </w:r>
      <w:r>
        <w:rPr/>
        <w:t>人民币</w:t>
      </w:r>
      <w:r>
        <w:rPr>
          <w:spacing w:val="-54"/>
        </w:rPr>
        <w:t> </w:t>
      </w:r>
      <w:r>
        <w:rPr>
          <w:rFonts w:ascii="Times New Roman" w:hAnsi="Times New Roman" w:cs="Times New Roman" w:eastAsia="Times New Roman" w:hint="default"/>
        </w:rPr>
        <w:t>76,707,877.37</w:t>
      </w:r>
      <w:r>
        <w:rPr>
          <w:rFonts w:ascii="Times New Roman" w:hAnsi="Times New Roman" w:cs="Times New Roman" w:eastAsia="Times New Roman" w:hint="default"/>
          <w:spacing w:val="-1"/>
        </w:rPr>
        <w:t> </w:t>
      </w:r>
      <w:r>
        <w:rPr/>
        <w:t>元收购柏怡</w:t>
      </w:r>
      <w:r>
        <w:rPr>
          <w:spacing w:val="-54"/>
        </w:rPr>
        <w:t> </w:t>
      </w:r>
      <w:r>
        <w:rPr>
          <w:rFonts w:ascii="Times New Roman" w:hAnsi="Times New Roman" w:cs="Times New Roman" w:eastAsia="Times New Roman" w:hint="default"/>
        </w:rPr>
        <w:t>51%</w:t>
      </w:r>
      <w:r>
        <w:rPr/>
        <w:t>股权，以实际支付的款项扣减享有的被</w:t>
      </w:r>
      <w:r>
        <w:rPr>
          <w:w w:val="100"/>
        </w:rPr>
        <w:t> </w:t>
      </w:r>
      <w:r>
        <w:rPr>
          <w:spacing w:val="-5"/>
          <w:w w:val="100"/>
        </w:rPr>
        <w:t>购买方股利后确认投资成本；被购买方购买日可辨认净资产公允值以上海东洲</w:t>
      </w:r>
      <w:r>
        <w:rPr>
          <w:spacing w:val="-85"/>
          <w:w w:val="100"/>
        </w:rPr>
        <w:t> </w:t>
      </w:r>
      <w:r>
        <w:rPr>
          <w:spacing w:val="-85"/>
          <w:w w:val="100"/>
        </w:rPr>
      </w:r>
      <w:r>
        <w:rPr/>
        <w:t>资产评估有限公司出具的沪东洲资评报字第</w:t>
      </w:r>
      <w:r>
        <w:rPr>
          <w:spacing w:val="-54"/>
        </w:rPr>
        <w:t> </w:t>
      </w:r>
      <w:r>
        <w:rPr>
          <w:rFonts w:ascii="Times New Roman" w:hAnsi="Times New Roman" w:cs="Times New Roman" w:eastAsia="Times New Roman" w:hint="default"/>
          <w:spacing w:val="-3"/>
        </w:rPr>
        <w:t>DZ110361156</w:t>
      </w:r>
      <w:r>
        <w:rPr>
          <w:rFonts w:ascii="Times New Roman" w:hAnsi="Times New Roman" w:cs="Times New Roman" w:eastAsia="Times New Roman" w:hint="default"/>
          <w:spacing w:val="1"/>
        </w:rPr>
        <w:t> </w:t>
      </w:r>
      <w:r>
        <w:rPr/>
        <w:t>号报告评估确认的</w:t>
      </w:r>
      <w:r>
        <w:rPr>
          <w:spacing w:val="-100"/>
        </w:rPr>
        <w:t> </w:t>
      </w:r>
      <w:r>
        <w:rPr>
          <w:spacing w:val="-100"/>
        </w:rPr>
      </w:r>
      <w:r>
        <w:rPr>
          <w:spacing w:val="-2"/>
          <w:w w:val="100"/>
        </w:rPr>
        <w:t>归属于母公司的净资产</w:t>
      </w:r>
      <w:r>
        <w:rPr>
          <w:spacing w:val="-47"/>
          <w:w w:val="100"/>
        </w:rPr>
        <w:t> </w:t>
      </w:r>
      <w:r>
        <w:rPr>
          <w:rFonts w:ascii="Times New Roman" w:hAnsi="Times New Roman" w:cs="Times New Roman" w:eastAsia="Times New Roman" w:hint="default"/>
          <w:spacing w:val="-1"/>
          <w:w w:val="100"/>
        </w:rPr>
        <w:t>132,593,795.75</w:t>
      </w:r>
      <w:r>
        <w:rPr>
          <w:rFonts w:ascii="Times New Roman" w:hAnsi="Times New Roman" w:cs="Times New Roman" w:eastAsia="Times New Roman" w:hint="default"/>
          <w:spacing w:val="5"/>
          <w:w w:val="100"/>
        </w:rPr>
        <w:t> </w:t>
      </w:r>
      <w:r>
        <w:rPr>
          <w:spacing w:val="-2"/>
          <w:w w:val="100"/>
        </w:rPr>
        <w:t>港币（折合人民币</w:t>
      </w:r>
      <w:r>
        <w:rPr>
          <w:spacing w:val="-50"/>
          <w:w w:val="100"/>
        </w:rPr>
        <w:t> </w:t>
      </w:r>
      <w:r>
        <w:rPr>
          <w:rFonts w:ascii="Times New Roman" w:hAnsi="Times New Roman" w:cs="Times New Roman" w:eastAsia="Times New Roman" w:hint="default"/>
          <w:spacing w:val="-2"/>
          <w:w w:val="100"/>
        </w:rPr>
        <w:t>110,669,587.14</w:t>
      </w:r>
      <w:r>
        <w:rPr>
          <w:rFonts w:ascii="Times New Roman" w:hAnsi="Times New Roman" w:cs="Times New Roman" w:eastAsia="Times New Roman" w:hint="default"/>
          <w:spacing w:val="5"/>
          <w:w w:val="100"/>
        </w:rPr>
        <w:t> </w:t>
      </w:r>
      <w:r>
        <w:rPr>
          <w:spacing w:val="-36"/>
          <w:w w:val="100"/>
        </w:rPr>
        <w:t>元）；</w:t>
      </w:r>
      <w:r>
        <w:rPr>
          <w:spacing w:val="-104"/>
          <w:w w:val="100"/>
        </w:rPr>
        <w:t> </w:t>
      </w:r>
      <w:r>
        <w:rPr>
          <w:spacing w:val="-104"/>
          <w:w w:val="100"/>
        </w:rPr>
      </w:r>
      <w:r>
        <w:rPr>
          <w:spacing w:val="-5"/>
          <w:w w:val="100"/>
        </w:rPr>
        <w:t>合并成本大于被购买方可辨认净资产公允价值份额的差额（剔除递延所得税项</w:t>
      </w:r>
      <w:r>
        <w:rPr>
          <w:spacing w:val="-84"/>
          <w:w w:val="100"/>
        </w:rPr>
        <w:t> </w:t>
      </w:r>
      <w:r>
        <w:rPr>
          <w:spacing w:val="-84"/>
          <w:w w:val="100"/>
        </w:rPr>
      </w:r>
      <w:r>
        <w:rPr/>
        <w:t>影响）确认商誉</w:t>
      </w:r>
      <w:r>
        <w:rPr>
          <w:spacing w:val="-53"/>
        </w:rPr>
        <w:t> </w:t>
      </w:r>
      <w:r>
        <w:rPr>
          <w:rFonts w:ascii="Times New Roman" w:hAnsi="Times New Roman" w:cs="Times New Roman" w:eastAsia="Times New Roman" w:hint="default"/>
        </w:rPr>
        <w:t>22,339,867.13</w:t>
      </w:r>
      <w:r>
        <w:rPr>
          <w:rFonts w:ascii="Times New Roman" w:hAnsi="Times New Roman" w:cs="Times New Roman" w:eastAsia="Times New Roman" w:hint="default"/>
          <w:spacing w:val="-1"/>
        </w:rPr>
        <w:t> </w:t>
      </w:r>
      <w:r>
        <w:rPr>
          <w:spacing w:val="-3"/>
        </w:rPr>
        <w:t>元。</w:t>
      </w:r>
      <w:r>
        <w:rPr/>
      </w:r>
    </w:p>
    <w:p>
      <w:pPr>
        <w:pStyle w:val="BodyText"/>
        <w:spacing w:line="331" w:lineRule="auto" w:before="17"/>
        <w:ind w:right="1468"/>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日，本公司召开的董事会会议决议，收购长城香港持有柏怡</w:t>
      </w:r>
      <w:r>
        <w:rPr>
          <w:w w:val="100"/>
        </w:rPr>
        <w:t> </w:t>
      </w:r>
      <w:r>
        <w:rPr/>
        <w:t>国际</w:t>
      </w:r>
      <w:r>
        <w:rPr>
          <w:spacing w:val="-55"/>
        </w:rPr>
        <w:t> </w:t>
      </w:r>
      <w:r>
        <w:rPr>
          <w:rFonts w:ascii="Times New Roman" w:hAnsi="Times New Roman" w:cs="Times New Roman" w:eastAsia="Times New Roman" w:hint="default"/>
        </w:rPr>
        <w:t>51%</w:t>
      </w:r>
      <w:r>
        <w:rPr/>
        <w:t>的股份，收购完成后，本公司直接持有柏怡国际</w:t>
      </w:r>
      <w:r>
        <w:rPr>
          <w:spacing w:val="-55"/>
        </w:rPr>
        <w:t> </w:t>
      </w:r>
      <w:r>
        <w:rPr>
          <w:rFonts w:ascii="Times New Roman" w:hAnsi="Times New Roman" w:cs="Times New Roman" w:eastAsia="Times New Roman" w:hint="default"/>
        </w:rPr>
        <w:t>51%</w:t>
      </w:r>
      <w:r>
        <w:rPr/>
        <w:t>的股权。</w:t>
      </w:r>
    </w:p>
    <w:p>
      <w:pPr>
        <w:pStyle w:val="BodyText"/>
        <w:spacing w:line="340" w:lineRule="auto" w:before="19"/>
        <w:ind w:right="1785"/>
        <w:jc w:val="left"/>
      </w:pPr>
      <w:r>
        <w:rPr>
          <w:rFonts w:ascii="Times New Roman" w:hAnsi="Times New Roman" w:cs="Times New Roman" w:eastAsia="Times New Roman" w:hint="default"/>
          <w:spacing w:val="-18"/>
        </w:rPr>
        <w:t>2</w:t>
      </w:r>
      <w:r>
        <w:rPr>
          <w:spacing w:val="-18"/>
        </w:rPr>
        <w:t>、于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日，企业合并取得的商誉已分配至相关资产组进行商誉</w:t>
      </w:r>
      <w:r>
        <w:rPr>
          <w:spacing w:val="-103"/>
        </w:rPr>
        <w:t> </w:t>
      </w:r>
      <w:r>
        <w:rPr>
          <w:spacing w:val="-103"/>
        </w:rPr>
      </w:r>
      <w:r>
        <w:rPr>
          <w:spacing w:val="-5"/>
          <w:w w:val="100"/>
        </w:rPr>
        <w:t>减值测试。各资产组的可收回金额基于管理层的经营计划和调整后的折现率计</w:t>
      </w:r>
      <w:r>
        <w:rPr>
          <w:spacing w:val="-84"/>
          <w:w w:val="100"/>
        </w:rPr>
        <w:t> </w:t>
      </w:r>
      <w:r>
        <w:rPr>
          <w:spacing w:val="-84"/>
          <w:w w:val="100"/>
        </w:rPr>
      </w:r>
      <w:r>
        <w:rPr/>
        <w:t>算。在预测期之后的现金流按照稳定的增长率和终值推算。</w:t>
      </w:r>
      <w:r>
        <w:rPr>
          <w:w w:val="100"/>
        </w:rPr>
        <w:t> </w:t>
      </w:r>
      <w:r>
        <w:rPr>
          <w:spacing w:val="-3"/>
        </w:rPr>
        <w:t>子公司柏怡国际所属电子元器件行业，折现率为</w:t>
      </w:r>
      <w:r>
        <w:rPr>
          <w:spacing w:val="-41"/>
        </w:rPr>
        <w:t> </w:t>
      </w:r>
      <w:r>
        <w:rPr>
          <w:rFonts w:ascii="Times New Roman" w:hAnsi="Times New Roman" w:cs="Times New Roman" w:eastAsia="Times New Roman" w:hint="default"/>
          <w:spacing w:val="-6"/>
        </w:rPr>
        <w:t>16.13%</w:t>
      </w:r>
      <w:r>
        <w:rPr>
          <w:spacing w:val="-6"/>
        </w:rPr>
        <w:t>，在</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年度及预测</w:t>
      </w:r>
      <w:r>
        <w:rPr>
          <w:spacing w:val="-102"/>
        </w:rPr>
        <w:t> </w:t>
      </w:r>
      <w:r>
        <w:rPr>
          <w:spacing w:val="-102"/>
        </w:rPr>
      </w:r>
      <w:r>
        <w:rPr/>
        <w:t>期增长率为</w:t>
      </w:r>
      <w:r>
        <w:rPr>
          <w:spacing w:val="-53"/>
        </w:rPr>
        <w:t> </w:t>
      </w:r>
      <w:r>
        <w:rPr>
          <w:rFonts w:ascii="Times New Roman" w:hAnsi="Times New Roman" w:cs="Times New Roman" w:eastAsia="Times New Roman" w:hint="default"/>
        </w:rPr>
        <w:t>3%</w:t>
      </w:r>
      <w:r>
        <w:rPr/>
        <w:t>，稳定期增长率</w:t>
      </w:r>
      <w:r>
        <w:rPr>
          <w:spacing w:val="-54"/>
        </w:rPr>
        <w:t> </w:t>
      </w:r>
      <w:r>
        <w:rPr>
          <w:rFonts w:ascii="Times New Roman" w:hAnsi="Times New Roman" w:cs="Times New Roman" w:eastAsia="Times New Roman" w:hint="default"/>
        </w:rPr>
        <w:t>0%</w:t>
      </w:r>
      <w:r>
        <w:rPr/>
        <w:t>。</w:t>
      </w:r>
    </w:p>
    <w:p>
      <w:pPr>
        <w:pStyle w:val="BodyText"/>
        <w:spacing w:line="343" w:lineRule="auto" w:before="12"/>
        <w:ind w:right="1468"/>
        <w:jc w:val="left"/>
      </w:pPr>
      <w:r>
        <w:rPr/>
        <w:t>计算柏怡国际于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日的预计未来现金流量现值采用了关键假</w:t>
      </w:r>
      <w:r>
        <w:rPr>
          <w:w w:val="100"/>
        </w:rPr>
        <w:t> </w:t>
      </w:r>
      <w:r>
        <w:rPr>
          <w:spacing w:val="-5"/>
        </w:rPr>
        <w:t>设。以下详述了管理层为进行商誉的减值测试，在确定现金流量预测时作出的</w:t>
      </w:r>
      <w:r>
        <w:rPr>
          <w:spacing w:val="-45"/>
        </w:rPr>
        <w:t> </w:t>
      </w:r>
      <w:r>
        <w:rPr>
          <w:spacing w:val="-45"/>
        </w:rPr>
      </w:r>
      <w:r>
        <w:rPr/>
        <w:t>关键假设：</w:t>
      </w:r>
      <w:r>
        <w:rPr>
          <w:spacing w:val="-102"/>
        </w:rPr>
        <w:t> </w:t>
      </w:r>
      <w:r>
        <w:rPr>
          <w:spacing w:val="-102"/>
        </w:rPr>
      </w:r>
      <w:r>
        <w:rPr/>
        <w:t>增长率</w:t>
      </w:r>
      <w:r>
        <w:rPr>
          <w:rFonts w:ascii="Times New Roman" w:hAnsi="Times New Roman" w:cs="Times New Roman" w:eastAsia="Times New Roman" w:hint="default"/>
        </w:rPr>
        <w:t>—</w:t>
      </w:r>
      <w:r>
        <w:rPr/>
        <w:t>确定基础是在历史经营成果的平均增长率及对市场发展的预期基础</w:t>
      </w:r>
      <w:r>
        <w:rPr>
          <w:w w:val="100"/>
        </w:rPr>
        <w:t> </w:t>
      </w:r>
      <w:r>
        <w:rPr/>
        <w:t>上制定。</w:t>
      </w:r>
      <w:r>
        <w:rPr>
          <w:w w:val="100"/>
        </w:rPr>
        <w:t> </w:t>
      </w:r>
      <w:r>
        <w:rPr/>
        <w:t>折现率</w:t>
      </w:r>
      <w:r>
        <w:rPr>
          <w:rFonts w:ascii="Times New Roman" w:hAnsi="Times New Roman" w:cs="Times New Roman" w:eastAsia="Times New Roman" w:hint="default"/>
        </w:rPr>
        <w:t>—</w:t>
      </w:r>
      <w:r>
        <w:rPr/>
        <w:t>所采用的折现率是反映电子元器件行业特定风险的税前折现率。</w:t>
      </w:r>
      <w:r>
        <w:rPr>
          <w:w w:val="100"/>
        </w:rPr>
        <w:t> </w:t>
      </w:r>
      <w:r>
        <w:rPr/>
        <w:t>分配至上述资产组的关键假设的金额与本公司历史经验及外部信息一致。</w:t>
      </w:r>
      <w:r>
        <w:rPr>
          <w:w w:val="100"/>
        </w:rPr>
        <w:t> </w:t>
      </w:r>
      <w:r>
        <w:rPr/>
        <w:t>管理层根据上述假设分析各资产组的可收回金额，本年度商誉未发生减值。</w:t>
      </w:r>
      <w:r>
        <w:rPr>
          <w:w w:val="100"/>
        </w:rPr>
        <w:t> </w:t>
      </w:r>
      <w:r>
        <w:rPr>
          <w:spacing w:val="-5"/>
        </w:rPr>
        <w:t>目前，现金流预测结果超过相关资产组或资产组组合的账面价值，但后续的现</w:t>
      </w:r>
      <w:r>
        <w:rPr>
          <w:spacing w:val="-47"/>
        </w:rPr>
        <w:t> </w:t>
      </w:r>
      <w:r>
        <w:rPr>
          <w:spacing w:val="-47"/>
        </w:rPr>
      </w:r>
      <w:r>
        <w:rPr/>
        <w:t>金流预测结果可能会根据未来现金流和假设的不同而变化。</w:t>
      </w:r>
    </w:p>
    <w:p>
      <w:pPr>
        <w:spacing w:after="0" w:line="343" w:lineRule="auto"/>
        <w:jc w:val="left"/>
        <w:sectPr>
          <w:footerReference w:type="default" r:id="rId53"/>
          <w:pgSz w:w="11910" w:h="16840"/>
          <w:pgMar w:footer="997" w:header="0" w:top="1500" w:bottom="1180" w:left="1660" w:right="0"/>
          <w:pgNumType w:start="66"/>
        </w:sectPr>
      </w:pPr>
    </w:p>
    <w:p>
      <w:pPr>
        <w:spacing w:line="240" w:lineRule="auto" w:before="12"/>
        <w:rPr>
          <w:rFonts w:ascii="宋体" w:hAnsi="宋体" w:cs="宋体" w:eastAsia="宋体" w:hint="default"/>
          <w:sz w:val="22"/>
          <w:szCs w:val="22"/>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长期待摊费用</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546"/>
        <w:gridCol w:w="1366"/>
        <w:gridCol w:w="1364"/>
        <w:gridCol w:w="1363"/>
        <w:gridCol w:w="1366"/>
        <w:gridCol w:w="1363"/>
      </w:tblGrid>
      <w:tr>
        <w:trPr>
          <w:trHeight w:val="365" w:hRule="exact"/>
        </w:trPr>
        <w:tc>
          <w:tcPr>
            <w:tcW w:w="154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6"/>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196"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3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194" w:right="0"/>
              <w:jc w:val="left"/>
              <w:rPr>
                <w:rFonts w:ascii="宋体" w:hAnsi="宋体" w:cs="宋体" w:eastAsia="宋体" w:hint="default"/>
                <w:sz w:val="16"/>
                <w:szCs w:val="16"/>
              </w:rPr>
            </w:pPr>
            <w:r>
              <w:rPr>
                <w:rFonts w:ascii="宋体" w:hAnsi="宋体" w:cs="宋体" w:eastAsia="宋体" w:hint="default"/>
                <w:sz w:val="16"/>
                <w:szCs w:val="16"/>
              </w:rPr>
              <w:t>本期增加金额</w:t>
            </w:r>
          </w:p>
        </w:tc>
        <w:tc>
          <w:tcPr>
            <w:tcW w:w="13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196" w:right="0"/>
              <w:jc w:val="left"/>
              <w:rPr>
                <w:rFonts w:ascii="宋体" w:hAnsi="宋体" w:cs="宋体" w:eastAsia="宋体" w:hint="default"/>
                <w:sz w:val="16"/>
                <w:szCs w:val="16"/>
              </w:rPr>
            </w:pPr>
            <w:r>
              <w:rPr>
                <w:rFonts w:ascii="宋体" w:hAnsi="宋体" w:cs="宋体" w:eastAsia="宋体" w:hint="default"/>
                <w:sz w:val="16"/>
                <w:szCs w:val="16"/>
              </w:rPr>
              <w:t>本期摊销金额</w:t>
            </w:r>
          </w:p>
        </w:tc>
        <w:tc>
          <w:tcPr>
            <w:tcW w:w="13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196" w:right="0"/>
              <w:jc w:val="left"/>
              <w:rPr>
                <w:rFonts w:ascii="宋体" w:hAnsi="宋体" w:cs="宋体" w:eastAsia="宋体" w:hint="default"/>
                <w:sz w:val="16"/>
                <w:szCs w:val="16"/>
              </w:rPr>
            </w:pPr>
            <w:r>
              <w:rPr>
                <w:rFonts w:ascii="宋体" w:hAnsi="宋体" w:cs="宋体" w:eastAsia="宋体" w:hint="default"/>
                <w:sz w:val="16"/>
                <w:szCs w:val="16"/>
              </w:rPr>
              <w:t>其他减少金额</w:t>
            </w:r>
          </w:p>
        </w:tc>
        <w:tc>
          <w:tcPr>
            <w:tcW w:w="136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left="352"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固定资产改良支出</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7,978,770.06</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10,331,036.17</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4,231,691.72</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3"/>
              <w:jc w:val="right"/>
              <w:rPr>
                <w:rFonts w:ascii="宋体" w:hAnsi="宋体" w:cs="宋体" w:eastAsia="宋体" w:hint="default"/>
                <w:sz w:val="16"/>
                <w:szCs w:val="16"/>
              </w:rPr>
            </w:pPr>
            <w:r>
              <w:rPr>
                <w:rFonts w:ascii="宋体"/>
                <w:w w:val="100"/>
                <w:sz w:val="16"/>
              </w:rPr>
              <w:t> </w:t>
            </w:r>
          </w:p>
        </w:tc>
        <w:tc>
          <w:tcPr>
            <w:tcW w:w="13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14,078,114.51</w:t>
            </w:r>
          </w:p>
        </w:tc>
      </w:tr>
      <w:tr>
        <w:trPr>
          <w:trHeight w:val="355"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装修费</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11,521,148.30</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7,799,079.66</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8,316,003.55</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-904.39</w:t>
            </w:r>
          </w:p>
        </w:tc>
        <w:tc>
          <w:tcPr>
            <w:tcW w:w="13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11,005,128.80</w:t>
            </w:r>
          </w:p>
        </w:tc>
      </w:tr>
      <w:tr>
        <w:trPr>
          <w:trHeight w:val="353"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1,809,286.90</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3"/>
              <w:jc w:val="right"/>
              <w:rPr>
                <w:rFonts w:ascii="宋体" w:hAnsi="宋体" w:cs="宋体" w:eastAsia="宋体" w:hint="default"/>
                <w:sz w:val="16"/>
                <w:szCs w:val="16"/>
              </w:rPr>
            </w:pPr>
            <w:r>
              <w:rPr>
                <w:rFonts w:ascii="宋体"/>
                <w:w w:val="100"/>
                <w:sz w:val="16"/>
              </w:rPr>
              <w:t> </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189,790.09</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3"/>
              <w:jc w:val="right"/>
              <w:rPr>
                <w:rFonts w:ascii="宋体" w:hAnsi="宋体" w:cs="宋体" w:eastAsia="宋体" w:hint="default"/>
                <w:sz w:val="16"/>
                <w:szCs w:val="16"/>
              </w:rPr>
            </w:pPr>
            <w:r>
              <w:rPr>
                <w:rFonts w:ascii="宋体"/>
                <w:w w:val="100"/>
                <w:sz w:val="16"/>
              </w:rPr>
              <w:t> </w:t>
            </w:r>
          </w:p>
        </w:tc>
        <w:tc>
          <w:tcPr>
            <w:tcW w:w="13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1,619,496.81</w:t>
            </w:r>
          </w:p>
        </w:tc>
      </w:tr>
      <w:tr>
        <w:trPr>
          <w:trHeight w:val="365" w:hRule="exact"/>
        </w:trPr>
        <w:tc>
          <w:tcPr>
            <w:tcW w:w="15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21,309,205.26</w:t>
            </w:r>
          </w:p>
        </w:tc>
        <w:tc>
          <w:tcPr>
            <w:tcW w:w="13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18,130,115.83</w:t>
            </w:r>
          </w:p>
        </w:tc>
        <w:tc>
          <w:tcPr>
            <w:tcW w:w="13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12,737,485.36</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-904.39</w:t>
            </w:r>
          </w:p>
        </w:tc>
        <w:tc>
          <w:tcPr>
            <w:tcW w:w="136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26,702,740.12</w:t>
            </w:r>
          </w:p>
        </w:tc>
      </w:tr>
    </w:tbl>
    <w:p>
      <w:pPr>
        <w:spacing w:line="240" w:lineRule="auto" w:before="6"/>
        <w:rPr>
          <w:rFonts w:ascii="宋体" w:hAnsi="宋体" w:cs="宋体" w:eastAsia="宋体" w:hint="default"/>
          <w:b/>
          <w:bCs/>
          <w:sz w:val="5"/>
          <w:szCs w:val="5"/>
        </w:rPr>
      </w:pPr>
    </w:p>
    <w:p>
      <w:pPr>
        <w:pStyle w:val="BodyText"/>
        <w:spacing w:line="240" w:lineRule="auto"/>
        <w:ind w:right="3683"/>
        <w:jc w:val="left"/>
      </w:pPr>
      <w:r>
        <w:rPr/>
        <w:t>说明：</w:t>
      </w:r>
      <w:r>
        <w:rPr>
          <w:rFonts w:ascii="Times New Roman" w:hAnsi="Times New Roman" w:cs="Times New Roman" w:eastAsia="Times New Roman" w:hint="default"/>
        </w:rPr>
        <w:t>“</w:t>
      </w:r>
      <w:r>
        <w:rPr/>
        <w:t>其他减少</w:t>
      </w:r>
      <w:r>
        <w:rPr>
          <w:rFonts w:ascii="Times New Roman" w:hAnsi="Times New Roman" w:cs="Times New Roman" w:eastAsia="Times New Roman" w:hint="default"/>
        </w:rPr>
        <w:t>”</w:t>
      </w:r>
      <w:r>
        <w:rPr/>
        <w:t>系汇率变动的影响。</w:t>
      </w:r>
    </w:p>
    <w:p>
      <w:pPr>
        <w:spacing w:line="240" w:lineRule="auto" w:before="6"/>
        <w:rPr>
          <w:rFonts w:ascii="宋体" w:hAnsi="宋体" w:cs="宋体" w:eastAsia="宋体" w:hint="default"/>
          <w:sz w:val="30"/>
          <w:szCs w:val="30"/>
        </w:rPr>
      </w:pPr>
    </w:p>
    <w:p>
      <w:pPr>
        <w:pStyle w:val="Heading5"/>
        <w:spacing w:line="240" w:lineRule="auto" w:before="0"/>
        <w:ind w:right="3683"/>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递延所得税资产和递延所得税负债</w:t>
      </w:r>
      <w:r>
        <w:rPr>
          <w:b w:val="0"/>
          <w:bCs w:val="0"/>
        </w:rPr>
      </w:r>
    </w:p>
    <w:p>
      <w:pPr>
        <w:pStyle w:val="Heading5"/>
        <w:tabs>
          <w:tab w:pos="1397" w:val="left" w:leader="none"/>
        </w:tabs>
        <w:spacing w:line="240" w:lineRule="auto" w:before="107"/>
        <w:ind w:left="846" w:right="3683"/>
        <w:jc w:val="left"/>
        <w:rPr>
          <w:b w:val="0"/>
          <w:bCs w:val="0"/>
        </w:rPr>
      </w:pPr>
      <w:r>
        <w:rPr>
          <w:rFonts w:ascii="Times New Roman" w:hAnsi="Times New Roman" w:cs="Times New Roman" w:eastAsia="Times New Roman" w:hint="default"/>
        </w:rPr>
        <w:t>1</w:t>
      </w:r>
      <w:r>
        <w:rPr/>
        <w:t>、</w:t>
        <w:tab/>
      </w:r>
      <w:r>
        <w:rPr>
          <w:spacing w:val="-1"/>
        </w:rPr>
        <w:t>未经抵销的递延所得税资产</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053"/>
        <w:gridCol w:w="1610"/>
        <w:gridCol w:w="1467"/>
        <w:gridCol w:w="1611"/>
        <w:gridCol w:w="1464"/>
      </w:tblGrid>
      <w:tr>
        <w:trPr>
          <w:trHeight w:val="365" w:hRule="exact"/>
        </w:trPr>
        <w:tc>
          <w:tcPr>
            <w:tcW w:w="2053"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07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4"/>
              <w:ind w:right="3"/>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07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right="3"/>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2053" w:type="dxa"/>
            <w:vMerge/>
            <w:tcBorders>
              <w:left w:val="nil" w:sz="6" w:space="0" w:color="auto"/>
              <w:bottom w:val="dotted" w:sz="4" w:space="0" w:color="000000"/>
              <w:right w:val="dotted" w:sz="4" w:space="0" w:color="000000"/>
            </w:tcBorders>
          </w:tcPr>
          <w:p>
            <w:pP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158"/>
              <w:jc w:val="right"/>
              <w:rPr>
                <w:rFonts w:ascii="宋体" w:hAnsi="宋体" w:cs="宋体" w:eastAsia="宋体" w:hint="default"/>
                <w:sz w:val="16"/>
                <w:szCs w:val="16"/>
              </w:rPr>
            </w:pPr>
            <w:r>
              <w:rPr>
                <w:rFonts w:ascii="宋体" w:hAnsi="宋体" w:cs="宋体" w:eastAsia="宋体" w:hint="default"/>
                <w:spacing w:val="-1"/>
                <w:sz w:val="16"/>
                <w:szCs w:val="16"/>
              </w:rPr>
              <w:t>可抵扣暂时性差异</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65" w:right="0"/>
              <w:jc w:val="left"/>
              <w:rPr>
                <w:rFonts w:ascii="宋体" w:hAnsi="宋体" w:cs="宋体" w:eastAsia="宋体" w:hint="default"/>
                <w:sz w:val="16"/>
                <w:szCs w:val="16"/>
              </w:rPr>
            </w:pPr>
            <w:r>
              <w:rPr>
                <w:rFonts w:ascii="宋体" w:hAnsi="宋体" w:cs="宋体" w:eastAsia="宋体" w:hint="default"/>
                <w:sz w:val="16"/>
                <w:szCs w:val="16"/>
              </w:rPr>
              <w:t>递延所得税资产</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right="157"/>
              <w:jc w:val="right"/>
              <w:rPr>
                <w:rFonts w:ascii="宋体" w:hAnsi="宋体" w:cs="宋体" w:eastAsia="宋体" w:hint="default"/>
                <w:sz w:val="16"/>
                <w:szCs w:val="16"/>
              </w:rPr>
            </w:pPr>
            <w:r>
              <w:rPr>
                <w:rFonts w:ascii="宋体" w:hAnsi="宋体" w:cs="宋体" w:eastAsia="宋体" w:hint="default"/>
                <w:spacing w:val="-1"/>
                <w:sz w:val="16"/>
                <w:szCs w:val="16"/>
              </w:rPr>
              <w:t>可抵扣暂时性差异</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left="163" w:right="0"/>
              <w:jc w:val="left"/>
              <w:rPr>
                <w:rFonts w:ascii="宋体" w:hAnsi="宋体" w:cs="宋体" w:eastAsia="宋体" w:hint="default"/>
                <w:sz w:val="16"/>
                <w:szCs w:val="16"/>
              </w:rPr>
            </w:pPr>
            <w:r>
              <w:rPr>
                <w:rFonts w:ascii="宋体" w:hAnsi="宋体" w:cs="宋体" w:eastAsia="宋体" w:hint="default"/>
                <w:sz w:val="16"/>
                <w:szCs w:val="16"/>
              </w:rPr>
              <w:t>递延所得税资产</w:t>
            </w:r>
          </w:p>
        </w:tc>
      </w:tr>
      <w:tr>
        <w:trPr>
          <w:trHeight w:val="355"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资产减值准备</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399,174,934.46</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2"/>
                <w:sz w:val="16"/>
              </w:rPr>
              <w:t>61,395,448.60</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371,353,418.17</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62,693,264.05</w:t>
            </w:r>
          </w:p>
        </w:tc>
      </w:tr>
      <w:tr>
        <w:trPr>
          <w:trHeight w:val="353"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应付职工薪酬</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25,299,432.64</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3,797,380.52</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31,306,229.47</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4,697,268.70</w:t>
            </w:r>
          </w:p>
        </w:tc>
      </w:tr>
      <w:tr>
        <w:trPr>
          <w:trHeight w:val="562"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0"/>
              <w:jc w:val="left"/>
              <w:rPr>
                <w:rFonts w:ascii="宋体" w:hAnsi="宋体" w:cs="宋体" w:eastAsia="宋体" w:hint="default"/>
                <w:sz w:val="16"/>
                <w:szCs w:val="16"/>
              </w:rPr>
            </w:pPr>
            <w:r>
              <w:rPr>
                <w:rFonts w:ascii="宋体" w:hAnsi="宋体" w:cs="宋体" w:eastAsia="宋体" w:hint="default"/>
                <w:spacing w:val="3"/>
                <w:sz w:val="16"/>
                <w:szCs w:val="16"/>
              </w:rPr>
              <w:t>合并报表抵消未实现的内</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z w:val="16"/>
                <w:szCs w:val="16"/>
              </w:rPr>
              <w:t>部损益</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21,390,607.62</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3,524,737.10</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31,252,619.59</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4,981,195.18</w:t>
            </w:r>
          </w:p>
        </w:tc>
      </w:tr>
      <w:tr>
        <w:trPr>
          <w:trHeight w:val="353"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递延收益</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30,583,262.07</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4,599,489.31</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16,700,000.00</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2,367,000.00</w:t>
            </w:r>
          </w:p>
        </w:tc>
      </w:tr>
      <w:tr>
        <w:trPr>
          <w:trHeight w:val="353"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预提费用</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94,859,129.03</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2"/>
                <w:sz w:val="16"/>
              </w:rPr>
              <w:t>16,311,487.98</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99,519,714.36</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15,658,082.25</w:t>
            </w:r>
          </w:p>
        </w:tc>
      </w:tr>
      <w:tr>
        <w:trPr>
          <w:trHeight w:val="353"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资产摊销差异</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7,190,395.60</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1,078,559.34</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8,249,580.99</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1,237,437.15</w:t>
            </w:r>
          </w:p>
        </w:tc>
      </w:tr>
      <w:tr>
        <w:trPr>
          <w:trHeight w:val="355"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股权激励</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22,229,282.94</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3,476,229.88</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2"/>
                <w:sz w:val="16"/>
              </w:rPr>
              <w:t>21,762,317.08</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1"/>
                <w:sz w:val="16"/>
              </w:rPr>
              <w:t>3,394,362.29</w:t>
            </w:r>
          </w:p>
        </w:tc>
      </w:tr>
      <w:tr>
        <w:trPr>
          <w:trHeight w:val="353"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可抵扣亏损</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1,310.57</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1"/>
                <w:sz w:val="16"/>
              </w:rPr>
              <w:t>327.64</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2,404,180.47</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601,045.12</w:t>
            </w:r>
          </w:p>
        </w:tc>
      </w:tr>
      <w:tr>
        <w:trPr>
          <w:trHeight w:val="353"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宋体" w:hAnsi="宋体" w:cs="宋体" w:eastAsia="宋体" w:hint="default"/>
                <w:sz w:val="16"/>
                <w:szCs w:val="16"/>
              </w:rPr>
              <w:t>未实现兑换损失</w:t>
            </w:r>
          </w:p>
        </w:tc>
        <w:tc>
          <w:tcPr>
            <w:tcW w:w="1610" w:type="dxa"/>
            <w:tcBorders>
              <w:top w:val="dotted" w:sz="4" w:space="0" w:color="000000"/>
              <w:left w:val="dotted" w:sz="4" w:space="0" w:color="000000"/>
              <w:bottom w:val="dotted" w:sz="4" w:space="0" w:color="000000"/>
              <w:right w:val="dotted" w:sz="4" w:space="0" w:color="000000"/>
            </w:tcBorders>
          </w:tcPr>
          <w:p>
            <w:pPr/>
          </w:p>
        </w:tc>
        <w:tc>
          <w:tcPr>
            <w:tcW w:w="1467" w:type="dxa"/>
            <w:tcBorders>
              <w:top w:val="dotted" w:sz="4" w:space="0" w:color="000000"/>
              <w:left w:val="dotted" w:sz="4" w:space="0" w:color="000000"/>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227,831.01</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1"/>
                <w:sz w:val="16"/>
              </w:rPr>
              <w:t>45,566.20</w:t>
            </w:r>
          </w:p>
        </w:tc>
      </w:tr>
      <w:tr>
        <w:trPr>
          <w:trHeight w:val="562"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0"/>
              <w:jc w:val="left"/>
              <w:rPr>
                <w:rFonts w:ascii="宋体" w:hAnsi="宋体" w:cs="宋体" w:eastAsia="宋体" w:hint="default"/>
                <w:sz w:val="16"/>
                <w:szCs w:val="16"/>
              </w:rPr>
            </w:pPr>
            <w:r>
              <w:rPr>
                <w:rFonts w:ascii="宋体" w:hAnsi="宋体" w:cs="宋体" w:eastAsia="宋体" w:hint="default"/>
                <w:spacing w:val="3"/>
                <w:sz w:val="16"/>
                <w:szCs w:val="16"/>
              </w:rPr>
              <w:t>其他权益工具投资公允价</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z w:val="16"/>
                <w:szCs w:val="16"/>
              </w:rPr>
              <w:t>值变动</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58,887,600.00</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8,833,140.00</w:t>
            </w:r>
          </w:p>
        </w:tc>
        <w:tc>
          <w:tcPr>
            <w:tcW w:w="1611"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评估减值</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862,580.41</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1"/>
                <w:sz w:val="16"/>
              </w:rPr>
              <w:t>215,645.10</w:t>
            </w:r>
          </w:p>
        </w:tc>
        <w:tc>
          <w:tcPr>
            <w:tcW w:w="1611"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205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6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660,478,535.34</w:t>
            </w:r>
          </w:p>
        </w:tc>
        <w:tc>
          <w:tcPr>
            <w:tcW w:w="14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103,232,445.47</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582,775,891.14</w:t>
            </w:r>
          </w:p>
        </w:tc>
        <w:tc>
          <w:tcPr>
            <w:tcW w:w="146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95,675,220.94</w:t>
            </w:r>
          </w:p>
        </w:tc>
      </w:tr>
    </w:tbl>
    <w:p>
      <w:pPr>
        <w:spacing w:line="240" w:lineRule="auto" w:before="6"/>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未经抵销的递延所得税负债</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511"/>
        <w:gridCol w:w="1613"/>
        <w:gridCol w:w="1512"/>
        <w:gridCol w:w="1563"/>
        <w:gridCol w:w="1464"/>
      </w:tblGrid>
      <w:tr>
        <w:trPr>
          <w:trHeight w:val="305" w:hRule="exact"/>
        </w:trPr>
        <w:tc>
          <w:tcPr>
            <w:tcW w:w="2511"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12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3"/>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02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4"/>
              <w:ind w:right="7"/>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93" w:hRule="exact"/>
        </w:trPr>
        <w:tc>
          <w:tcPr>
            <w:tcW w:w="2511" w:type="dxa"/>
            <w:vMerge/>
            <w:tcBorders>
              <w:left w:val="nil" w:sz="6" w:space="0" w:color="auto"/>
              <w:bottom w:val="dotted" w:sz="4" w:space="0" w:color="000000"/>
              <w:right w:val="dotted" w:sz="4" w:space="0" w:color="000000"/>
            </w:tcBorders>
          </w:tcPr>
          <w:p>
            <w:pP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left="158" w:right="0"/>
              <w:jc w:val="left"/>
              <w:rPr>
                <w:rFonts w:ascii="宋体" w:hAnsi="宋体" w:cs="宋体" w:eastAsia="宋体" w:hint="default"/>
                <w:sz w:val="16"/>
                <w:szCs w:val="16"/>
              </w:rPr>
            </w:pPr>
            <w:r>
              <w:rPr>
                <w:rFonts w:ascii="宋体" w:hAnsi="宋体" w:cs="宋体" w:eastAsia="宋体" w:hint="default"/>
                <w:sz w:val="16"/>
                <w:szCs w:val="16"/>
              </w:rPr>
              <w:t>应纳税暂时性差异</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left="187"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135"/>
              <w:jc w:val="right"/>
              <w:rPr>
                <w:rFonts w:ascii="宋体" w:hAnsi="宋体" w:cs="宋体" w:eastAsia="宋体" w:hint="default"/>
                <w:sz w:val="16"/>
                <w:szCs w:val="16"/>
              </w:rPr>
            </w:pPr>
            <w:r>
              <w:rPr>
                <w:rFonts w:ascii="宋体" w:hAnsi="宋体" w:cs="宋体" w:eastAsia="宋体" w:hint="default"/>
                <w:spacing w:val="-1"/>
                <w:sz w:val="16"/>
                <w:szCs w:val="16"/>
              </w:rPr>
              <w:t>应纳税暂时性差异</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168"/>
              <w:jc w:val="right"/>
              <w:rPr>
                <w:rFonts w:ascii="宋体" w:hAnsi="宋体" w:cs="宋体" w:eastAsia="宋体" w:hint="default"/>
                <w:sz w:val="16"/>
                <w:szCs w:val="16"/>
              </w:rPr>
            </w:pPr>
            <w:r>
              <w:rPr>
                <w:rFonts w:ascii="宋体" w:hAnsi="宋体" w:cs="宋体" w:eastAsia="宋体" w:hint="default"/>
                <w:spacing w:val="-1"/>
                <w:sz w:val="16"/>
                <w:szCs w:val="16"/>
              </w:rPr>
              <w:t>递延所得税负债</w:t>
            </w:r>
          </w:p>
        </w:tc>
      </w:tr>
      <w:tr>
        <w:trPr>
          <w:trHeight w:val="293"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非同一控制下企业合并评估增值</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3,155,239.56</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spacing w:val="-1"/>
                <w:sz w:val="16"/>
              </w:rPr>
              <w:t>788,809.89</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3,173,209.48</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6"/>
                <w:szCs w:val="16"/>
              </w:rPr>
            </w:pPr>
            <w:r>
              <w:rPr>
                <w:rFonts w:ascii="Times New Roman"/>
                <w:spacing w:val="-1"/>
                <w:sz w:val="16"/>
              </w:rPr>
              <w:t>793,302.37</w:t>
            </w:r>
          </w:p>
        </w:tc>
      </w:tr>
      <w:tr>
        <w:trPr>
          <w:trHeight w:val="293"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其他权益工具投资公允价值变动</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2"/>
                <w:sz w:val="16"/>
              </w:rPr>
              <w:t>73,538,534.00</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2"/>
                <w:sz w:val="16"/>
              </w:rPr>
              <w:t>18,384,633.50</w:t>
            </w:r>
          </w:p>
        </w:tc>
        <w:tc>
          <w:tcPr>
            <w:tcW w:w="1563"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未实现兑换损失</w:t>
            </w:r>
          </w:p>
        </w:tc>
        <w:tc>
          <w:tcPr>
            <w:tcW w:w="1613" w:type="dxa"/>
            <w:tcBorders>
              <w:top w:val="dotted" w:sz="4" w:space="0" w:color="000000"/>
              <w:left w:val="dotted" w:sz="4" w:space="0" w:color="000000"/>
              <w:bottom w:val="dotted" w:sz="4" w:space="0" w:color="000000"/>
              <w:right w:val="dotted" w:sz="4" w:space="0" w:color="000000"/>
            </w:tcBorders>
          </w:tcPr>
          <w:p>
            <w:pPr/>
          </w:p>
        </w:tc>
        <w:tc>
          <w:tcPr>
            <w:tcW w:w="1512" w:type="dxa"/>
            <w:tcBorders>
              <w:top w:val="dotted" w:sz="4" w:space="0" w:color="000000"/>
              <w:left w:val="dotted" w:sz="4" w:space="0" w:color="000000"/>
              <w:bottom w:val="dotted" w:sz="4" w:space="0" w:color="000000"/>
              <w:right w:val="dotted" w:sz="4" w:space="0" w:color="000000"/>
            </w:tcBorders>
          </w:tcPr>
          <w:p>
            <w:pP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74,039.34</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6"/>
                <w:szCs w:val="16"/>
              </w:rPr>
            </w:pPr>
            <w:r>
              <w:rPr>
                <w:rFonts w:ascii="Times New Roman"/>
                <w:spacing w:val="-1"/>
                <w:sz w:val="16"/>
              </w:rPr>
              <w:t>14,807.87</w:t>
            </w:r>
          </w:p>
        </w:tc>
      </w:tr>
      <w:tr>
        <w:trPr>
          <w:trHeight w:val="293"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left="122" w:right="0"/>
              <w:jc w:val="left"/>
              <w:rPr>
                <w:rFonts w:ascii="宋体" w:hAnsi="宋体" w:cs="宋体" w:eastAsia="宋体" w:hint="default"/>
                <w:sz w:val="16"/>
                <w:szCs w:val="16"/>
              </w:rPr>
            </w:pPr>
            <w:r>
              <w:rPr>
                <w:rFonts w:ascii="宋体" w:hAnsi="宋体" w:cs="宋体" w:eastAsia="宋体" w:hint="default"/>
                <w:sz w:val="16"/>
                <w:szCs w:val="16"/>
              </w:rPr>
              <w:t>可供出售金融资产公允价值变动</w:t>
            </w:r>
          </w:p>
        </w:tc>
        <w:tc>
          <w:tcPr>
            <w:tcW w:w="1613" w:type="dxa"/>
            <w:tcBorders>
              <w:top w:val="dotted" w:sz="4" w:space="0" w:color="000000"/>
              <w:left w:val="dotted" w:sz="4" w:space="0" w:color="000000"/>
              <w:bottom w:val="dotted" w:sz="4" w:space="0" w:color="000000"/>
              <w:right w:val="dotted" w:sz="4" w:space="0" w:color="000000"/>
            </w:tcBorders>
          </w:tcPr>
          <w:p>
            <w:pPr/>
          </w:p>
        </w:tc>
        <w:tc>
          <w:tcPr>
            <w:tcW w:w="1512" w:type="dxa"/>
            <w:tcBorders>
              <w:top w:val="dotted" w:sz="4" w:space="0" w:color="000000"/>
              <w:left w:val="dotted" w:sz="4" w:space="0" w:color="000000"/>
              <w:bottom w:val="dotted" w:sz="4" w:space="0" w:color="000000"/>
              <w:right w:val="dotted" w:sz="4" w:space="0" w:color="000000"/>
            </w:tcBorders>
          </w:tcPr>
          <w:p>
            <w:pP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6"/>
                <w:szCs w:val="16"/>
              </w:rPr>
            </w:pPr>
            <w:r>
              <w:rPr>
                <w:rFonts w:ascii="Times New Roman"/>
                <w:spacing w:val="-1"/>
                <w:sz w:val="16"/>
              </w:rPr>
              <w:t>152,410,205.29</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6"/>
                <w:szCs w:val="16"/>
              </w:rPr>
            </w:pPr>
            <w:r>
              <w:rPr>
                <w:rFonts w:ascii="Times New Roman"/>
                <w:spacing w:val="-2"/>
                <w:sz w:val="16"/>
              </w:rPr>
              <w:t>37,986,991.26</w:t>
            </w:r>
          </w:p>
        </w:tc>
      </w:tr>
      <w:tr>
        <w:trPr>
          <w:trHeight w:val="293"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固定资产加速折旧</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8,620,096.12</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2,155,024.03</w:t>
            </w:r>
          </w:p>
        </w:tc>
        <w:tc>
          <w:tcPr>
            <w:tcW w:w="1563"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投资性房地产公允价值变动</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1,243,071,107.42</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214,541,865.78</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566,523,855.32</w:t>
            </w: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1"/>
                <w:sz w:val="16"/>
              </w:rPr>
              <w:t>100,220,175.98</w:t>
            </w:r>
          </w:p>
        </w:tc>
      </w:tr>
      <w:tr>
        <w:trPr>
          <w:trHeight w:val="293"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不征税政府补助</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400,000,000.00</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100,000,000.00</w:t>
            </w:r>
          </w:p>
        </w:tc>
        <w:tc>
          <w:tcPr>
            <w:tcW w:w="1563"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nil" w:sz="6" w:space="0" w:color="auto"/>
            </w:tcBorders>
          </w:tcPr>
          <w:p>
            <w:pPr/>
          </w:p>
        </w:tc>
      </w:tr>
      <w:tr>
        <w:trPr>
          <w:trHeight w:val="295"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交易性金融资产公允价值变动</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221,933,574.72</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2"/>
                <w:sz w:val="16"/>
              </w:rPr>
              <w:t>33,353,825.80</w:t>
            </w:r>
          </w:p>
        </w:tc>
        <w:tc>
          <w:tcPr>
            <w:tcW w:w="1563"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nil" w:sz="6" w:space="0" w:color="auto"/>
            </w:tcBorders>
          </w:tcPr>
          <w:p>
            <w:pPr/>
          </w:p>
        </w:tc>
      </w:tr>
      <w:tr>
        <w:trPr>
          <w:trHeight w:val="302" w:hRule="exact"/>
        </w:trPr>
        <w:tc>
          <w:tcPr>
            <w:tcW w:w="25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6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1,950,318,551.82</w:t>
            </w:r>
          </w:p>
        </w:tc>
        <w:tc>
          <w:tcPr>
            <w:tcW w:w="15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369,224,159.00</w:t>
            </w:r>
          </w:p>
        </w:tc>
        <w:tc>
          <w:tcPr>
            <w:tcW w:w="15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722,181,309.43</w:t>
            </w:r>
          </w:p>
        </w:tc>
        <w:tc>
          <w:tcPr>
            <w:tcW w:w="146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6"/>
                <w:szCs w:val="16"/>
              </w:rPr>
            </w:pPr>
            <w:r>
              <w:rPr>
                <w:rFonts w:ascii="Times New Roman"/>
                <w:spacing w:val="-1"/>
                <w:sz w:val="16"/>
              </w:rPr>
              <w:t>139,015,277.48</w:t>
            </w:r>
          </w:p>
        </w:tc>
      </w:tr>
    </w:tbl>
    <w:p>
      <w:pPr>
        <w:spacing w:after="0" w:line="240" w:lineRule="auto"/>
        <w:jc w:val="right"/>
        <w:rPr>
          <w:rFonts w:ascii="Times New Roman" w:hAnsi="Times New Roman" w:cs="Times New Roman" w:eastAsia="Times New Roman" w:hint="default"/>
          <w:sz w:val="16"/>
          <w:szCs w:val="16"/>
        </w:rPr>
        <w:sectPr>
          <w:pgSz w:w="11910" w:h="16840"/>
          <w:pgMar w:header="0" w:footer="997" w:top="1500" w:bottom="1180" w:left="1660" w:right="0"/>
        </w:sectPr>
      </w:pPr>
    </w:p>
    <w:p>
      <w:pPr>
        <w:spacing w:line="240" w:lineRule="auto" w:before="12"/>
        <w:rPr>
          <w:rFonts w:ascii="宋体" w:hAnsi="宋体" w:cs="宋体" w:eastAsia="宋体" w:hint="default"/>
          <w:b/>
          <w:bCs/>
          <w:sz w:val="22"/>
          <w:szCs w:val="22"/>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3</w:t>
      </w:r>
      <w:r>
        <w:rPr/>
        <w:t>、</w:t>
        <w:tab/>
      </w:r>
      <w:r>
        <w:rPr>
          <w:spacing w:val="-1"/>
        </w:rPr>
        <w:t>未确认递延所得税资产明细</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4153"/>
        <w:gridCol w:w="2066"/>
        <w:gridCol w:w="1985"/>
      </w:tblGrid>
      <w:tr>
        <w:trPr>
          <w:trHeight w:val="365" w:hRule="exact"/>
        </w:trPr>
        <w:tc>
          <w:tcPr>
            <w:tcW w:w="415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6"/>
              <w:ind w:right="1901"/>
              <w:jc w:val="right"/>
              <w:rPr>
                <w:rFonts w:ascii="宋体" w:hAnsi="宋体" w:cs="宋体" w:eastAsia="宋体" w:hint="default"/>
                <w:sz w:val="16"/>
                <w:szCs w:val="16"/>
              </w:rPr>
            </w:pPr>
            <w:r>
              <w:rPr>
                <w:rFonts w:ascii="宋体" w:hAnsi="宋体" w:cs="宋体" w:eastAsia="宋体" w:hint="default"/>
                <w:sz w:val="16"/>
                <w:szCs w:val="16"/>
              </w:rPr>
              <w:t>项目</w:t>
            </w:r>
          </w:p>
        </w:tc>
        <w:tc>
          <w:tcPr>
            <w:tcW w:w="20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198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left="504"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3" w:hRule="exact"/>
        </w:trPr>
        <w:tc>
          <w:tcPr>
            <w:tcW w:w="41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可抵扣暂时性差异</w:t>
            </w:r>
          </w:p>
        </w:tc>
        <w:tc>
          <w:tcPr>
            <w:tcW w:w="2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88,372,430.69</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57,255,911.64</w:t>
            </w:r>
          </w:p>
        </w:tc>
      </w:tr>
      <w:tr>
        <w:trPr>
          <w:trHeight w:val="355" w:hRule="exact"/>
        </w:trPr>
        <w:tc>
          <w:tcPr>
            <w:tcW w:w="41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可抵扣亏损</w:t>
            </w:r>
          </w:p>
        </w:tc>
        <w:tc>
          <w:tcPr>
            <w:tcW w:w="2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524,083,699.44</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1"/>
                <w:sz w:val="16"/>
              </w:rPr>
              <w:t>622,924,072.61</w:t>
            </w:r>
          </w:p>
        </w:tc>
      </w:tr>
      <w:tr>
        <w:trPr>
          <w:trHeight w:val="362" w:hRule="exact"/>
        </w:trPr>
        <w:tc>
          <w:tcPr>
            <w:tcW w:w="415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right="1901"/>
              <w:jc w:val="right"/>
              <w:rPr>
                <w:rFonts w:ascii="宋体" w:hAnsi="宋体" w:cs="宋体" w:eastAsia="宋体" w:hint="default"/>
                <w:sz w:val="16"/>
                <w:szCs w:val="16"/>
              </w:rPr>
            </w:pPr>
            <w:r>
              <w:rPr>
                <w:rFonts w:ascii="宋体" w:hAnsi="宋体" w:cs="宋体" w:eastAsia="宋体" w:hint="default"/>
                <w:sz w:val="16"/>
                <w:szCs w:val="16"/>
              </w:rPr>
              <w:t>合计</w:t>
            </w:r>
          </w:p>
        </w:tc>
        <w:tc>
          <w:tcPr>
            <w:tcW w:w="20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612,456,130.13</w:t>
            </w:r>
          </w:p>
        </w:tc>
        <w:tc>
          <w:tcPr>
            <w:tcW w:w="198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680,179,984.25</w:t>
            </w:r>
          </w:p>
        </w:tc>
      </w:tr>
    </w:tbl>
    <w:p>
      <w:pPr>
        <w:spacing w:line="240" w:lineRule="auto" w:before="9"/>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4</w:t>
      </w:r>
      <w:r>
        <w:rPr/>
        <w:t>、</w:t>
        <w:tab/>
      </w:r>
      <w:r>
        <w:rPr>
          <w:spacing w:val="-1"/>
        </w:rPr>
        <w:t>未确认递延所得税资产的可抵扣亏损将于以下年度到期</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065"/>
        <w:gridCol w:w="2048"/>
        <w:gridCol w:w="2045"/>
        <w:gridCol w:w="2048"/>
      </w:tblGrid>
      <w:tr>
        <w:trPr>
          <w:trHeight w:val="362" w:hRule="exact"/>
        </w:trPr>
        <w:tc>
          <w:tcPr>
            <w:tcW w:w="206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年份</w:t>
            </w:r>
          </w:p>
        </w:tc>
        <w:tc>
          <w:tcPr>
            <w:tcW w:w="20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04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53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204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1"/>
              <w:jc w:val="center"/>
              <w:rPr>
                <w:rFonts w:ascii="宋体" w:hAnsi="宋体" w:cs="宋体" w:eastAsia="宋体" w:hint="default"/>
                <w:sz w:val="16"/>
                <w:szCs w:val="16"/>
              </w:rPr>
            </w:pPr>
            <w:r>
              <w:rPr>
                <w:rFonts w:ascii="宋体" w:hAnsi="宋体" w:cs="宋体" w:eastAsia="宋体" w:hint="default"/>
                <w:sz w:val="16"/>
                <w:szCs w:val="16"/>
              </w:rPr>
              <w:t>备注</w:t>
            </w:r>
          </w:p>
        </w:tc>
      </w:tr>
      <w:tr>
        <w:trPr>
          <w:trHeight w:val="355" w:hRule="exact"/>
        </w:trPr>
        <w:tc>
          <w:tcPr>
            <w:tcW w:w="20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p>
        </w:tc>
        <w:tc>
          <w:tcPr>
            <w:tcW w:w="20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1"/>
              <w:jc w:val="right"/>
              <w:rPr>
                <w:rFonts w:ascii="宋体" w:hAnsi="宋体" w:cs="宋体" w:eastAsia="宋体" w:hint="default"/>
                <w:sz w:val="16"/>
                <w:szCs w:val="16"/>
              </w:rPr>
            </w:pPr>
            <w:r>
              <w:rPr>
                <w:rFonts w:ascii="宋体"/>
                <w:w w:val="100"/>
                <w:sz w:val="16"/>
              </w:rPr>
              <w:t> </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54,310,504.63</w:t>
            </w:r>
          </w:p>
        </w:tc>
        <w:tc>
          <w:tcPr>
            <w:tcW w:w="2048"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0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2020 </w:t>
            </w:r>
            <w:r>
              <w:rPr>
                <w:rFonts w:ascii="宋体" w:hAnsi="宋体" w:cs="宋体" w:eastAsia="宋体" w:hint="default"/>
                <w:sz w:val="16"/>
                <w:szCs w:val="16"/>
              </w:rPr>
              <w:t>年</w:t>
            </w:r>
          </w:p>
        </w:tc>
        <w:tc>
          <w:tcPr>
            <w:tcW w:w="20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84,739,489.93</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111,684,869.08</w:t>
            </w:r>
          </w:p>
        </w:tc>
        <w:tc>
          <w:tcPr>
            <w:tcW w:w="2048"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0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2021 </w:t>
            </w:r>
            <w:r>
              <w:rPr>
                <w:rFonts w:ascii="宋体" w:hAnsi="宋体" w:cs="宋体" w:eastAsia="宋体" w:hint="default"/>
                <w:sz w:val="16"/>
                <w:szCs w:val="16"/>
              </w:rPr>
              <w:t>年</w:t>
            </w:r>
          </w:p>
        </w:tc>
        <w:tc>
          <w:tcPr>
            <w:tcW w:w="20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99,752,472.66</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131,054,911.92</w:t>
            </w:r>
          </w:p>
        </w:tc>
        <w:tc>
          <w:tcPr>
            <w:tcW w:w="2048"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0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2022 </w:t>
            </w:r>
            <w:r>
              <w:rPr>
                <w:rFonts w:ascii="宋体" w:hAnsi="宋体" w:cs="宋体" w:eastAsia="宋体" w:hint="default"/>
                <w:sz w:val="16"/>
                <w:szCs w:val="16"/>
              </w:rPr>
              <w:t>年</w:t>
            </w:r>
          </w:p>
        </w:tc>
        <w:tc>
          <w:tcPr>
            <w:tcW w:w="20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2"/>
                <w:sz w:val="16"/>
              </w:rPr>
              <w:t>84,964,946.32</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95,990,228.87</w:t>
            </w:r>
          </w:p>
        </w:tc>
        <w:tc>
          <w:tcPr>
            <w:tcW w:w="2048"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20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2023 </w:t>
            </w:r>
            <w:r>
              <w:rPr>
                <w:rFonts w:ascii="宋体" w:hAnsi="宋体" w:cs="宋体" w:eastAsia="宋体" w:hint="default"/>
                <w:sz w:val="16"/>
                <w:szCs w:val="16"/>
              </w:rPr>
              <w:t>年</w:t>
            </w:r>
          </w:p>
        </w:tc>
        <w:tc>
          <w:tcPr>
            <w:tcW w:w="20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217,435,860.14</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229,883,558.11</w:t>
            </w:r>
          </w:p>
        </w:tc>
        <w:tc>
          <w:tcPr>
            <w:tcW w:w="2048"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0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2024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年及以后年度</w:t>
            </w:r>
          </w:p>
        </w:tc>
        <w:tc>
          <w:tcPr>
            <w:tcW w:w="20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37,190,930.39</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2048" w:type="dxa"/>
            <w:tcBorders>
              <w:top w:val="dotted" w:sz="4" w:space="0" w:color="000000"/>
              <w:left w:val="dotted" w:sz="4" w:space="0" w:color="000000"/>
              <w:bottom w:val="dotted" w:sz="4" w:space="0" w:color="000000"/>
              <w:right w:val="nil" w:sz="6" w:space="0" w:color="auto"/>
            </w:tcBorders>
          </w:tcPr>
          <w:p>
            <w:pPr/>
          </w:p>
        </w:tc>
      </w:tr>
      <w:tr>
        <w:trPr>
          <w:trHeight w:val="365" w:hRule="exact"/>
        </w:trPr>
        <w:tc>
          <w:tcPr>
            <w:tcW w:w="206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0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524,083,699.44</w:t>
            </w:r>
          </w:p>
        </w:tc>
        <w:tc>
          <w:tcPr>
            <w:tcW w:w="20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622,924,072.61</w:t>
            </w:r>
          </w:p>
        </w:tc>
        <w:tc>
          <w:tcPr>
            <w:tcW w:w="204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其他非流动资产</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594"/>
        <w:gridCol w:w="1318"/>
        <w:gridCol w:w="667"/>
        <w:gridCol w:w="1301"/>
        <w:gridCol w:w="1313"/>
        <w:gridCol w:w="658"/>
        <w:gridCol w:w="1354"/>
      </w:tblGrid>
      <w:tr>
        <w:trPr>
          <w:trHeight w:val="365" w:hRule="exact"/>
        </w:trPr>
        <w:tc>
          <w:tcPr>
            <w:tcW w:w="159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286"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32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right="3"/>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559" w:hRule="exact"/>
        </w:trPr>
        <w:tc>
          <w:tcPr>
            <w:tcW w:w="1594" w:type="dxa"/>
            <w:vMerge/>
            <w:tcBorders>
              <w:left w:val="nil" w:sz="6" w:space="0" w:color="auto"/>
              <w:bottom w:val="dotted" w:sz="4" w:space="0" w:color="000000"/>
              <w:right w:val="dotted" w:sz="4" w:space="0" w:color="000000"/>
            </w:tcBorders>
          </w:tcPr>
          <w:p>
            <w:pP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333"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667"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67" w:right="167"/>
              <w:jc w:val="left"/>
              <w:rPr>
                <w:rFonts w:ascii="宋体" w:hAnsi="宋体" w:cs="宋体" w:eastAsia="宋体" w:hint="default"/>
                <w:sz w:val="16"/>
                <w:szCs w:val="16"/>
              </w:rPr>
            </w:pPr>
            <w:r>
              <w:rPr>
                <w:rFonts w:ascii="宋体" w:hAnsi="宋体" w:cs="宋体" w:eastAsia="宋体" w:hint="default"/>
                <w:sz w:val="16"/>
                <w:szCs w:val="16"/>
              </w:rPr>
              <w:t>减值</w:t>
            </w:r>
            <w:r>
              <w:rPr>
                <w:rFonts w:ascii="宋体" w:hAnsi="宋体" w:cs="宋体" w:eastAsia="宋体" w:hint="default"/>
                <w:w w:val="100"/>
                <w:sz w:val="16"/>
                <w:szCs w:val="16"/>
              </w:rPr>
              <w:t> </w:t>
            </w:r>
            <w:r>
              <w:rPr>
                <w:rFonts w:ascii="宋体" w:hAnsi="宋体" w:cs="宋体" w:eastAsia="宋体" w:hint="default"/>
                <w:sz w:val="16"/>
                <w:szCs w:val="16"/>
              </w:rPr>
              <w:t>准备</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323"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331"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658"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65"/>
              <w:ind w:left="163" w:right="161"/>
              <w:jc w:val="left"/>
              <w:rPr>
                <w:rFonts w:ascii="宋体" w:hAnsi="宋体" w:cs="宋体" w:eastAsia="宋体" w:hint="default"/>
                <w:sz w:val="16"/>
                <w:szCs w:val="16"/>
              </w:rPr>
            </w:pPr>
            <w:r>
              <w:rPr>
                <w:rFonts w:ascii="宋体" w:hAnsi="宋体" w:cs="宋体" w:eastAsia="宋体" w:hint="default"/>
                <w:sz w:val="16"/>
                <w:szCs w:val="16"/>
              </w:rPr>
              <w:t>减值</w:t>
            </w:r>
            <w:r>
              <w:rPr>
                <w:rFonts w:ascii="宋体" w:hAnsi="宋体" w:cs="宋体" w:eastAsia="宋体" w:hint="default"/>
                <w:w w:val="100"/>
                <w:sz w:val="16"/>
                <w:szCs w:val="16"/>
              </w:rPr>
              <w:t> </w:t>
            </w:r>
            <w:r>
              <w:rPr>
                <w:rFonts w:ascii="宋体" w:hAnsi="宋体" w:cs="宋体" w:eastAsia="宋体" w:hint="default"/>
                <w:sz w:val="16"/>
                <w:szCs w:val="16"/>
              </w:rPr>
              <w:t>准备</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350"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355" w:hRule="exact"/>
        </w:trPr>
        <w:tc>
          <w:tcPr>
            <w:tcW w:w="15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预付固定资产款</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93,050,793.04</w:t>
            </w:r>
          </w:p>
        </w:tc>
        <w:tc>
          <w:tcPr>
            <w:tcW w:w="6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2"/>
                <w:sz w:val="16"/>
              </w:rPr>
              <w:t>93,050,793.04</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31,332,409.04</w:t>
            </w:r>
          </w:p>
        </w:tc>
        <w:tc>
          <w:tcPr>
            <w:tcW w:w="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31,332,409.04</w:t>
            </w:r>
          </w:p>
        </w:tc>
      </w:tr>
      <w:tr>
        <w:trPr>
          <w:trHeight w:val="353" w:hRule="exact"/>
        </w:trPr>
        <w:tc>
          <w:tcPr>
            <w:tcW w:w="15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专项支出</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52,761,540.00</w:t>
            </w:r>
          </w:p>
        </w:tc>
        <w:tc>
          <w:tcPr>
            <w:tcW w:w="6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52,761,540.00</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42,241,717.64</w:t>
            </w:r>
          </w:p>
        </w:tc>
        <w:tc>
          <w:tcPr>
            <w:tcW w:w="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42,241,717.64</w:t>
            </w:r>
          </w:p>
        </w:tc>
      </w:tr>
      <w:tr>
        <w:trPr>
          <w:trHeight w:val="353" w:hRule="exact"/>
        </w:trPr>
        <w:tc>
          <w:tcPr>
            <w:tcW w:w="15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改造支出</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33,522,689.42</w:t>
            </w:r>
          </w:p>
        </w:tc>
        <w:tc>
          <w:tcPr>
            <w:tcW w:w="6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33,522,689.42</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33,522,689.42</w:t>
            </w:r>
          </w:p>
        </w:tc>
        <w:tc>
          <w:tcPr>
            <w:tcW w:w="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33,522,689.42</w:t>
            </w:r>
          </w:p>
        </w:tc>
      </w:tr>
      <w:tr>
        <w:trPr>
          <w:trHeight w:val="355" w:hRule="exact"/>
        </w:trPr>
        <w:tc>
          <w:tcPr>
            <w:tcW w:w="15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预付工程款</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1,485,529.17</w:t>
            </w:r>
          </w:p>
        </w:tc>
        <w:tc>
          <w:tcPr>
            <w:tcW w:w="6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1,485,529.17</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12,920,070.16</w:t>
            </w:r>
          </w:p>
        </w:tc>
        <w:tc>
          <w:tcPr>
            <w:tcW w:w="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12,920,070.16</w:t>
            </w:r>
          </w:p>
        </w:tc>
      </w:tr>
      <w:tr>
        <w:trPr>
          <w:trHeight w:val="353" w:hRule="exact"/>
        </w:trPr>
        <w:tc>
          <w:tcPr>
            <w:tcW w:w="15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长期衍生金融资产</w:t>
            </w:r>
          </w:p>
        </w:tc>
        <w:tc>
          <w:tcPr>
            <w:tcW w:w="1318"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14,792,782.26</w:t>
            </w:r>
          </w:p>
        </w:tc>
        <w:tc>
          <w:tcPr>
            <w:tcW w:w="658"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14,792,782.26</w:t>
            </w:r>
          </w:p>
        </w:tc>
      </w:tr>
      <w:tr>
        <w:trPr>
          <w:trHeight w:val="365" w:hRule="exact"/>
        </w:trPr>
        <w:tc>
          <w:tcPr>
            <w:tcW w:w="15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180,820,551.63</w:t>
            </w:r>
          </w:p>
        </w:tc>
        <w:tc>
          <w:tcPr>
            <w:tcW w:w="667" w:type="dxa"/>
            <w:tcBorders>
              <w:top w:val="dotted" w:sz="4" w:space="0" w:color="000000"/>
              <w:left w:val="dotted" w:sz="4" w:space="0" w:color="000000"/>
              <w:bottom w:val="single" w:sz="12" w:space="0" w:color="000000"/>
              <w:right w:val="dotted" w:sz="4" w:space="0" w:color="000000"/>
            </w:tcBorders>
          </w:tcPr>
          <w:p>
            <w:pPr/>
          </w:p>
        </w:tc>
        <w:tc>
          <w:tcPr>
            <w:tcW w:w="13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180,820,551.63</w:t>
            </w:r>
          </w:p>
        </w:tc>
        <w:tc>
          <w:tcPr>
            <w:tcW w:w="13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134,809,668.52</w:t>
            </w:r>
          </w:p>
        </w:tc>
        <w:tc>
          <w:tcPr>
            <w:tcW w:w="658" w:type="dxa"/>
            <w:tcBorders>
              <w:top w:val="dotted" w:sz="4" w:space="0" w:color="000000"/>
              <w:left w:val="dotted" w:sz="4" w:space="0" w:color="000000"/>
              <w:bottom w:val="single" w:sz="12" w:space="0" w:color="000000"/>
              <w:right w:val="dotted" w:sz="4" w:space="0" w:color="000000"/>
            </w:tcBorders>
          </w:tcPr>
          <w:p>
            <w:pPr/>
          </w:p>
        </w:tc>
        <w:tc>
          <w:tcPr>
            <w:tcW w:w="13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134,809,668.52</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短期借款</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短期借款分类</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675"/>
        <w:gridCol w:w="2264"/>
        <w:gridCol w:w="2266"/>
      </w:tblGrid>
      <w:tr>
        <w:trPr>
          <w:trHeight w:val="362" w:hRule="exact"/>
        </w:trPr>
        <w:tc>
          <w:tcPr>
            <w:tcW w:w="36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right="1661"/>
              <w:jc w:val="right"/>
              <w:rPr>
                <w:rFonts w:ascii="宋体" w:hAnsi="宋体" w:cs="宋体" w:eastAsia="宋体" w:hint="default"/>
                <w:sz w:val="16"/>
                <w:szCs w:val="16"/>
              </w:rPr>
            </w:pPr>
            <w:r>
              <w:rPr>
                <w:rFonts w:ascii="宋体" w:hAnsi="宋体" w:cs="宋体" w:eastAsia="宋体" w:hint="default"/>
                <w:sz w:val="16"/>
                <w:szCs w:val="16"/>
              </w:rPr>
              <w:t>项目</w:t>
            </w:r>
          </w:p>
        </w:tc>
        <w:tc>
          <w:tcPr>
            <w:tcW w:w="22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2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64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5" w:hRule="exact"/>
        </w:trPr>
        <w:tc>
          <w:tcPr>
            <w:tcW w:w="36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质押借款「注</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tc>
        <w:tc>
          <w:tcPr>
            <w:tcW w:w="22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38,189,973.69</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6"/>
                <w:szCs w:val="16"/>
              </w:rPr>
            </w:pPr>
            <w:r>
              <w:rPr>
                <w:rFonts w:ascii="Times New Roman"/>
                <w:spacing w:val="-2"/>
                <w:sz w:val="16"/>
              </w:rPr>
              <w:t>40,041,230.95</w:t>
            </w:r>
          </w:p>
        </w:tc>
      </w:tr>
      <w:tr>
        <w:trPr>
          <w:trHeight w:val="353" w:hRule="exact"/>
        </w:trPr>
        <w:tc>
          <w:tcPr>
            <w:tcW w:w="36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抵押借款「注</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p>
        </w:tc>
        <w:tc>
          <w:tcPr>
            <w:tcW w:w="22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26,550,919.20</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133,970,568.00</w:t>
            </w:r>
          </w:p>
        </w:tc>
      </w:tr>
      <w:tr>
        <w:trPr>
          <w:trHeight w:val="353" w:hRule="exact"/>
        </w:trPr>
        <w:tc>
          <w:tcPr>
            <w:tcW w:w="36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宋体" w:hAnsi="宋体" w:cs="宋体" w:eastAsia="宋体" w:hint="default"/>
                <w:sz w:val="16"/>
                <w:szCs w:val="16"/>
              </w:rPr>
              <w:t>保证借款「注</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p>
        </w:tc>
        <w:tc>
          <w:tcPr>
            <w:tcW w:w="22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0"/>
              <w:jc w:val="right"/>
              <w:rPr>
                <w:rFonts w:ascii="Times New Roman" w:hAnsi="Times New Roman" w:cs="Times New Roman" w:eastAsia="Times New Roman" w:hint="default"/>
                <w:sz w:val="16"/>
                <w:szCs w:val="16"/>
              </w:rPr>
            </w:pPr>
            <w:r>
              <w:rPr>
                <w:rFonts w:ascii="Times New Roman"/>
                <w:spacing w:val="-1"/>
                <w:sz w:val="16"/>
              </w:rPr>
              <w:t>304,000,000.00</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6"/>
                <w:szCs w:val="16"/>
              </w:rPr>
            </w:pPr>
            <w:r>
              <w:rPr>
                <w:rFonts w:ascii="Times New Roman"/>
                <w:spacing w:val="-2"/>
                <w:sz w:val="16"/>
              </w:rPr>
              <w:t>94,000,000.00</w:t>
            </w:r>
          </w:p>
        </w:tc>
      </w:tr>
      <w:tr>
        <w:trPr>
          <w:trHeight w:val="353" w:hRule="exact"/>
        </w:trPr>
        <w:tc>
          <w:tcPr>
            <w:tcW w:w="36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信用借款</w:t>
            </w:r>
          </w:p>
        </w:tc>
        <w:tc>
          <w:tcPr>
            <w:tcW w:w="22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3,585,860,000.00</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1,755,000,000.00</w:t>
            </w:r>
          </w:p>
        </w:tc>
      </w:tr>
      <w:tr>
        <w:trPr>
          <w:trHeight w:val="365" w:hRule="exact"/>
        </w:trPr>
        <w:tc>
          <w:tcPr>
            <w:tcW w:w="36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661"/>
              <w:jc w:val="right"/>
              <w:rPr>
                <w:rFonts w:ascii="宋体" w:hAnsi="宋体" w:cs="宋体" w:eastAsia="宋体" w:hint="default"/>
                <w:sz w:val="16"/>
                <w:szCs w:val="16"/>
              </w:rPr>
            </w:pPr>
            <w:r>
              <w:rPr>
                <w:rFonts w:ascii="宋体" w:hAnsi="宋体" w:cs="宋体" w:eastAsia="宋体" w:hint="default"/>
                <w:sz w:val="16"/>
                <w:szCs w:val="16"/>
              </w:rPr>
              <w:t>合计</w:t>
            </w:r>
          </w:p>
        </w:tc>
        <w:tc>
          <w:tcPr>
            <w:tcW w:w="22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3,954,600,892.89</w:t>
            </w:r>
          </w:p>
        </w:tc>
        <w:tc>
          <w:tcPr>
            <w:tcW w:w="22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2"/>
                <w:sz w:val="16"/>
              </w:rPr>
              <w:t>2,023,011,798.95</w:t>
            </w:r>
          </w:p>
        </w:tc>
      </w:tr>
    </w:tbl>
    <w:p>
      <w:pPr>
        <w:spacing w:line="240" w:lineRule="auto" w:before="8"/>
        <w:rPr>
          <w:rFonts w:ascii="宋体" w:hAnsi="宋体" w:cs="宋体" w:eastAsia="宋体" w:hint="default"/>
          <w:b/>
          <w:bCs/>
          <w:sz w:val="5"/>
          <w:szCs w:val="5"/>
        </w:rPr>
      </w:pPr>
    </w:p>
    <w:p>
      <w:pPr>
        <w:pStyle w:val="BodyText"/>
        <w:spacing w:line="331" w:lineRule="auto"/>
        <w:ind w:right="1787"/>
        <w:jc w:val="left"/>
      </w:pPr>
      <w:r>
        <w:rPr>
          <w:w w:val="100"/>
        </w:rPr>
        <w:t>注</w:t>
      </w:r>
      <w:r>
        <w:rPr>
          <w:spacing w:val="-48"/>
          <w:w w:val="100"/>
        </w:rPr>
        <w:t> </w:t>
      </w:r>
      <w:r>
        <w:rPr>
          <w:rFonts w:ascii="Times New Roman" w:hAnsi="Times New Roman" w:cs="Times New Roman" w:eastAsia="Times New Roman" w:hint="default"/>
          <w:spacing w:val="-19"/>
          <w:w w:val="100"/>
        </w:rPr>
        <w:t>1</w:t>
      </w:r>
      <w:r>
        <w:rPr>
          <w:spacing w:val="-19"/>
          <w:w w:val="100"/>
        </w:rPr>
        <w:t>：质押借款</w:t>
      </w:r>
      <w:r>
        <w:rPr>
          <w:spacing w:val="-50"/>
          <w:w w:val="100"/>
        </w:rPr>
        <w:t> </w:t>
      </w:r>
      <w:r>
        <w:rPr>
          <w:rFonts w:ascii="Times New Roman" w:hAnsi="Times New Roman" w:cs="Times New Roman" w:eastAsia="Times New Roman" w:hint="default"/>
          <w:spacing w:val="-1"/>
          <w:w w:val="100"/>
        </w:rPr>
        <w:t>32,191,973.69</w:t>
      </w:r>
      <w:r>
        <w:rPr>
          <w:rFonts w:ascii="Times New Roman" w:hAnsi="Times New Roman" w:cs="Times New Roman" w:eastAsia="Times New Roman" w:hint="default"/>
          <w:spacing w:val="6"/>
          <w:w w:val="100"/>
        </w:rPr>
        <w:t> </w:t>
      </w:r>
      <w:r>
        <w:rPr>
          <w:spacing w:val="-2"/>
          <w:w w:val="100"/>
        </w:rPr>
        <w:t>元为本公司之二级子公司柏怡电子有限公司以面</w:t>
      </w:r>
      <w:r>
        <w:rPr>
          <w:spacing w:val="-104"/>
          <w:w w:val="100"/>
        </w:rPr>
        <w:t> </w:t>
      </w:r>
      <w:r>
        <w:rPr>
          <w:spacing w:val="-104"/>
          <w:w w:val="100"/>
        </w:rPr>
      </w:r>
      <w:r>
        <w:rPr/>
        <w:t>值</w:t>
      </w:r>
      <w:r>
        <w:rPr>
          <w:spacing w:val="-54"/>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3"/>
        </w:rPr>
        <w:t> </w:t>
      </w:r>
      <w:r>
        <w:rPr/>
        <w:t>万美元的债券质押向香港汇丰银行借款</w:t>
      </w:r>
      <w:r>
        <w:rPr>
          <w:spacing w:val="-54"/>
        </w:rPr>
        <w:t> </w:t>
      </w:r>
      <w:r>
        <w:rPr>
          <w:rFonts w:ascii="Times New Roman" w:hAnsi="Times New Roman" w:cs="Times New Roman" w:eastAsia="Times New Roman" w:hint="default"/>
        </w:rPr>
        <w:t>32,191,973.69</w:t>
      </w:r>
      <w:r>
        <w:rPr>
          <w:rFonts w:ascii="Times New Roman" w:hAnsi="Times New Roman" w:cs="Times New Roman" w:eastAsia="Times New Roman" w:hint="default"/>
          <w:spacing w:val="-4"/>
        </w:rPr>
        <w:t> </w:t>
      </w:r>
      <w:r>
        <w:rPr/>
        <w:t>元；</w:t>
      </w:r>
    </w:p>
    <w:p>
      <w:pPr>
        <w:spacing w:after="0" w:line="331" w:lineRule="auto"/>
        <w:jc w:val="left"/>
        <w:sectPr>
          <w:pgSz w:w="11910" w:h="16840"/>
          <w:pgMar w:header="0" w:footer="997" w:top="1500" w:bottom="1180" w:left="1660" w:right="0"/>
        </w:sectPr>
      </w:pPr>
    </w:p>
    <w:p>
      <w:pPr>
        <w:spacing w:line="240" w:lineRule="auto" w:before="12"/>
        <w:rPr>
          <w:rFonts w:ascii="宋体" w:hAnsi="宋体" w:cs="宋体" w:eastAsia="宋体" w:hint="default"/>
          <w:sz w:val="22"/>
          <w:szCs w:val="22"/>
        </w:rPr>
      </w:pPr>
    </w:p>
    <w:p>
      <w:pPr>
        <w:pStyle w:val="BodyText"/>
        <w:spacing w:line="331" w:lineRule="auto"/>
        <w:ind w:right="1781"/>
        <w:jc w:val="left"/>
      </w:pPr>
      <w:r>
        <w:rPr>
          <w:rFonts w:ascii="Times New Roman" w:hAnsi="Times New Roman" w:cs="Times New Roman" w:eastAsia="Times New Roman" w:hint="default"/>
        </w:rPr>
        <w:t>5,998,000.00</w:t>
      </w:r>
      <w:r>
        <w:rPr>
          <w:rFonts w:ascii="Times New Roman" w:hAnsi="Times New Roman" w:cs="Times New Roman" w:eastAsia="Times New Roman" w:hint="default"/>
          <w:spacing w:val="-4"/>
        </w:rPr>
        <w:t> </w:t>
      </w:r>
      <w:r>
        <w:rPr/>
        <w:t>元为本公司之子公司长沙湘计海盾科技有限公司未到期已贴现的</w:t>
      </w:r>
      <w:r>
        <w:rPr>
          <w:w w:val="100"/>
        </w:rPr>
        <w:t> </w:t>
      </w:r>
      <w:r>
        <w:rPr/>
        <w:t>应收商业承兑汇票。</w:t>
      </w:r>
    </w:p>
    <w:p>
      <w:pPr>
        <w:pStyle w:val="BodyText"/>
        <w:spacing w:line="328" w:lineRule="auto" w:before="46"/>
        <w:ind w:right="1788"/>
        <w:jc w:val="both"/>
      </w:pPr>
      <w:r>
        <w:rPr/>
        <w:t>注</w:t>
      </w:r>
      <w:r>
        <w:rPr>
          <w:spacing w:val="-41"/>
        </w:rPr>
        <w:t> </w:t>
      </w:r>
      <w:r>
        <w:rPr>
          <w:rFonts w:ascii="Times New Roman" w:hAnsi="Times New Roman" w:cs="Times New Roman" w:eastAsia="Times New Roman" w:hint="default"/>
          <w:spacing w:val="-8"/>
        </w:rPr>
        <w:t>2</w:t>
      </w:r>
      <w:r>
        <w:rPr>
          <w:spacing w:val="-8"/>
        </w:rPr>
        <w:t>：抵押借款</w:t>
      </w:r>
      <w:r>
        <w:rPr>
          <w:spacing w:val="-40"/>
        </w:rPr>
        <w:t> </w:t>
      </w:r>
      <w:r>
        <w:rPr>
          <w:rFonts w:ascii="Times New Roman" w:hAnsi="Times New Roman" w:cs="Times New Roman" w:eastAsia="Times New Roman" w:hint="default"/>
        </w:rPr>
        <w:t>26,550,919.20</w:t>
      </w:r>
      <w:r>
        <w:rPr>
          <w:rFonts w:ascii="Times New Roman" w:hAnsi="Times New Roman" w:cs="Times New Roman" w:eastAsia="Times New Roman" w:hint="default"/>
          <w:spacing w:val="12"/>
        </w:rPr>
        <w:t> </w:t>
      </w:r>
      <w:r>
        <w:rPr>
          <w:spacing w:val="-5"/>
        </w:rPr>
        <w:t>元为本公司之子公司中国长城计算机（香港）控</w:t>
      </w:r>
      <w:r>
        <w:rPr>
          <w:spacing w:val="-101"/>
        </w:rPr>
        <w:t> </w:t>
      </w:r>
      <w:r>
        <w:rPr>
          <w:spacing w:val="-101"/>
        </w:rPr>
      </w:r>
      <w:r>
        <w:rPr/>
        <w:t>股有限公司以香港北角屈臣道海景大厦</w:t>
      </w:r>
      <w:r>
        <w:rPr>
          <w:spacing w:val="-56"/>
        </w:rPr>
        <w:t> </w:t>
      </w:r>
      <w:r>
        <w:rPr>
          <w:rFonts w:ascii="Times New Roman" w:hAnsi="Times New Roman" w:cs="Times New Roman" w:eastAsia="Times New Roman" w:hint="default"/>
        </w:rPr>
        <w:t>C </w:t>
      </w:r>
      <w:r>
        <w:rPr/>
        <w:t>栋</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层的房产作为抵押向华侨永亨</w:t>
      </w:r>
      <w:r>
        <w:rPr>
          <w:w w:val="100"/>
        </w:rPr>
        <w:t> </w:t>
      </w:r>
      <w:r>
        <w:rPr/>
        <w:t>银行续借短期资金</w:t>
      </w:r>
      <w:r>
        <w:rPr>
          <w:spacing w:val="-52"/>
        </w:rPr>
        <w:t> </w:t>
      </w:r>
      <w:r>
        <w:rPr>
          <w:rFonts w:ascii="Times New Roman" w:hAnsi="Times New Roman" w:cs="Times New Roman" w:eastAsia="Times New Roman" w:hint="default"/>
        </w:rPr>
        <w:t>26,550,919.20</w:t>
      </w:r>
      <w:r>
        <w:rPr>
          <w:rFonts w:ascii="Times New Roman" w:hAnsi="Times New Roman" w:cs="Times New Roman" w:eastAsia="Times New Roman" w:hint="default"/>
          <w:spacing w:val="-3"/>
        </w:rPr>
        <w:t> </w:t>
      </w:r>
      <w:r>
        <w:rPr/>
        <w:t>元，期限为</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p>
    <w:p>
      <w:pPr>
        <w:pStyle w:val="BodyText"/>
        <w:spacing w:line="328" w:lineRule="auto" w:before="24"/>
        <w:ind w:right="1780"/>
        <w:jc w:val="left"/>
      </w:pPr>
      <w:r>
        <w:rPr/>
        <w:t>注</w:t>
      </w:r>
      <w:r>
        <w:rPr>
          <w:spacing w:val="-54"/>
        </w:rPr>
        <w:t> </w:t>
      </w:r>
      <w:r>
        <w:rPr>
          <w:rFonts w:ascii="Times New Roman" w:hAnsi="Times New Roman" w:cs="Times New Roman" w:eastAsia="Times New Roman" w:hint="default"/>
        </w:rPr>
        <w:t>3</w:t>
      </w:r>
      <w:r>
        <w:rPr/>
        <w:t>：保证借款</w:t>
      </w:r>
      <w:r>
        <w:rPr>
          <w:spacing w:val="-56"/>
        </w:rPr>
        <w:t> </w:t>
      </w:r>
      <w:r>
        <w:rPr>
          <w:rFonts w:ascii="Times New Roman" w:hAnsi="Times New Roman" w:cs="Times New Roman" w:eastAsia="Times New Roman" w:hint="default"/>
        </w:rPr>
        <w:t>150,000,000.00</w:t>
      </w:r>
      <w:r>
        <w:rPr>
          <w:rFonts w:ascii="Times New Roman" w:hAnsi="Times New Roman" w:cs="Times New Roman" w:eastAsia="Times New Roman" w:hint="default"/>
          <w:spacing w:val="-1"/>
        </w:rPr>
        <w:t> </w:t>
      </w:r>
      <w:r>
        <w:rPr/>
        <w:t>元为本公司之子公司湖南长城计算机系统有限</w:t>
      </w:r>
      <w:r>
        <w:rPr>
          <w:w w:val="100"/>
        </w:rPr>
        <w:t> </w:t>
      </w:r>
      <w:r>
        <w:rPr/>
        <w:t>公司向华融湘江银行股份有限公司株洲泰山支行借款</w:t>
      </w:r>
      <w:r>
        <w:rPr>
          <w:spacing w:val="-50"/>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2"/>
        </w:rPr>
        <w:t> </w:t>
      </w:r>
      <w:r>
        <w:rPr>
          <w:spacing w:val="-15"/>
        </w:rPr>
        <w:t>元，向中</w:t>
      </w:r>
    </w:p>
    <w:p>
      <w:pPr>
        <w:pStyle w:val="BodyText"/>
        <w:spacing w:line="340" w:lineRule="auto" w:before="24"/>
        <w:ind w:right="1784"/>
        <w:jc w:val="left"/>
      </w:pPr>
      <w:r>
        <w:rPr/>
        <w:t>国农业银行股份有限公司株洲分行借款</w:t>
      </w:r>
      <w:r>
        <w:rPr>
          <w:spacing w:val="-54"/>
        </w:rPr>
        <w:t> </w:t>
      </w:r>
      <w:r>
        <w:rPr>
          <w:rFonts w:ascii="Times New Roman" w:hAnsi="Times New Roman" w:cs="Times New Roman" w:eastAsia="Times New Roman" w:hint="default"/>
        </w:rPr>
        <w:t>50,000,000.00</w:t>
      </w:r>
      <w:r>
        <w:rPr>
          <w:rFonts w:ascii="Times New Roman" w:hAnsi="Times New Roman" w:cs="Times New Roman" w:eastAsia="Times New Roman" w:hint="default"/>
          <w:spacing w:val="-2"/>
        </w:rPr>
        <w:t> </w:t>
      </w:r>
      <w:r>
        <w:rPr/>
        <w:t>元，上述借款均由本公</w:t>
      </w:r>
      <w:r>
        <w:rPr>
          <w:w w:val="100"/>
        </w:rPr>
        <w:t> </w:t>
      </w:r>
      <w:r>
        <w:rPr>
          <w:spacing w:val="-5"/>
          <w:w w:val="100"/>
        </w:rPr>
        <w:t>司提供保证；本公司之子公司长沙中电软件园有限公司向中国电子财务有限责</w:t>
      </w:r>
      <w:r>
        <w:rPr>
          <w:spacing w:val="-85"/>
          <w:w w:val="100"/>
        </w:rPr>
        <w:t> </w:t>
      </w:r>
      <w:r>
        <w:rPr>
          <w:spacing w:val="-85"/>
          <w:w w:val="100"/>
        </w:rPr>
      </w:r>
      <w:r>
        <w:rPr/>
        <w:t>任公司借款</w:t>
      </w:r>
      <w:r>
        <w:rPr>
          <w:spacing w:val="-38"/>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4"/>
        </w:rPr>
        <w:t> </w:t>
      </w:r>
      <w:r>
        <w:rPr>
          <w:spacing w:val="-4"/>
        </w:rPr>
        <w:t>元，由本公司及长沙中电软件园有限公司按股东出</w:t>
      </w:r>
      <w:r>
        <w:rPr>
          <w:spacing w:val="-101"/>
        </w:rPr>
        <w:t> </w:t>
      </w:r>
      <w:r>
        <w:rPr>
          <w:spacing w:val="-101"/>
        </w:rPr>
      </w:r>
      <w:r>
        <w:rPr>
          <w:spacing w:val="-5"/>
          <w:w w:val="100"/>
        </w:rPr>
        <w:t>资比例提供连带责任保证；本公司之四级子公司武汉中原长江科技发展有限公</w:t>
      </w:r>
      <w:r>
        <w:rPr>
          <w:spacing w:val="-84"/>
          <w:w w:val="100"/>
        </w:rPr>
        <w:t> </w:t>
      </w:r>
      <w:r>
        <w:rPr>
          <w:spacing w:val="-84"/>
          <w:w w:val="100"/>
        </w:rPr>
      </w:r>
      <w:r>
        <w:rPr/>
        <w:t>司、武汉长光电源有限公司向中国电子财务有限责任公司取得借款</w:t>
      </w:r>
      <w:r>
        <w:rPr>
          <w:w w:val="100"/>
        </w:rPr>
        <w:t> </w:t>
      </w:r>
      <w:r>
        <w:rPr>
          <w:rFonts w:ascii="Times New Roman" w:hAnsi="Times New Roman" w:cs="Times New Roman" w:eastAsia="Times New Roman" w:hint="default"/>
        </w:rPr>
        <w:t>54,000,000.00</w:t>
      </w:r>
      <w:r>
        <w:rPr>
          <w:rFonts w:ascii="Times New Roman" w:hAnsi="Times New Roman" w:cs="Times New Roman" w:eastAsia="Times New Roman" w:hint="default"/>
          <w:spacing w:val="-2"/>
        </w:rPr>
        <w:t> </w:t>
      </w:r>
      <w:r>
        <w:rPr/>
        <w:t>元，由武汉中原电子集团有限公司提供保证。</w:t>
      </w:r>
    </w:p>
    <w:p>
      <w:pPr>
        <w:spacing w:line="240" w:lineRule="auto" w:before="13"/>
        <w:rPr>
          <w:rFonts w:ascii="宋体" w:hAnsi="宋体" w:cs="宋体" w:eastAsia="宋体" w:hint="default"/>
          <w:sz w:val="22"/>
          <w:szCs w:val="22"/>
        </w:rPr>
      </w:pPr>
    </w:p>
    <w:p>
      <w:pPr>
        <w:pStyle w:val="Heading5"/>
        <w:spacing w:line="240" w:lineRule="auto" w:before="0"/>
        <w:ind w:right="3683"/>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应付票据</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87"/>
        <w:gridCol w:w="2528"/>
        <w:gridCol w:w="2290"/>
      </w:tblGrid>
      <w:tr>
        <w:trPr>
          <w:trHeight w:val="283" w:hRule="exact"/>
        </w:trPr>
        <w:tc>
          <w:tcPr>
            <w:tcW w:w="33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517"/>
              <w:jc w:val="right"/>
              <w:rPr>
                <w:rFonts w:ascii="宋体" w:hAnsi="宋体" w:cs="宋体" w:eastAsia="宋体" w:hint="default"/>
                <w:sz w:val="16"/>
                <w:szCs w:val="16"/>
              </w:rPr>
            </w:pPr>
            <w:r>
              <w:rPr>
                <w:rFonts w:ascii="宋体" w:hAnsi="宋体" w:cs="宋体" w:eastAsia="宋体" w:hint="default"/>
                <w:sz w:val="16"/>
                <w:szCs w:val="16"/>
              </w:rPr>
              <w:t>种类</w:t>
            </w:r>
          </w:p>
        </w:tc>
        <w:tc>
          <w:tcPr>
            <w:tcW w:w="25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29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660"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银行承兑汇票</w:t>
            </w:r>
          </w:p>
        </w:tc>
        <w:tc>
          <w:tcPr>
            <w:tcW w:w="25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528,686,706.77</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561,927,729.49</w:t>
            </w:r>
          </w:p>
        </w:tc>
      </w:tr>
      <w:tr>
        <w:trPr>
          <w:trHeight w:val="274"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商业承兑汇票</w:t>
            </w:r>
          </w:p>
        </w:tc>
        <w:tc>
          <w:tcPr>
            <w:tcW w:w="25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173,140,092.71</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4,300,952.29</w:t>
            </w:r>
          </w:p>
        </w:tc>
      </w:tr>
      <w:tr>
        <w:trPr>
          <w:trHeight w:val="283" w:hRule="exact"/>
        </w:trPr>
        <w:tc>
          <w:tcPr>
            <w:tcW w:w="33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17"/>
              <w:jc w:val="right"/>
              <w:rPr>
                <w:rFonts w:ascii="宋体" w:hAnsi="宋体" w:cs="宋体" w:eastAsia="宋体" w:hint="default"/>
                <w:sz w:val="16"/>
                <w:szCs w:val="16"/>
              </w:rPr>
            </w:pPr>
            <w:r>
              <w:rPr>
                <w:rFonts w:ascii="宋体" w:hAnsi="宋体" w:cs="宋体" w:eastAsia="宋体" w:hint="default"/>
                <w:sz w:val="16"/>
                <w:szCs w:val="16"/>
              </w:rPr>
              <w:t>合计</w:t>
            </w:r>
          </w:p>
        </w:tc>
        <w:tc>
          <w:tcPr>
            <w:tcW w:w="25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701,826,799.48</w:t>
            </w:r>
          </w:p>
        </w:tc>
        <w:tc>
          <w:tcPr>
            <w:tcW w:w="229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566,228,681.78</w:t>
            </w:r>
          </w:p>
        </w:tc>
      </w:tr>
    </w:tbl>
    <w:p>
      <w:pPr>
        <w:spacing w:line="240" w:lineRule="auto" w:before="9"/>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应付账款</w:t>
      </w:r>
      <w:r>
        <w:rPr>
          <w:b w:val="0"/>
          <w:bCs w:val="0"/>
        </w:rPr>
      </w:r>
    </w:p>
    <w:p>
      <w:pPr>
        <w:pStyle w:val="Heading5"/>
        <w:tabs>
          <w:tab w:pos="1397" w:val="left" w:leader="none"/>
        </w:tabs>
        <w:spacing w:line="240" w:lineRule="auto" w:before="69"/>
        <w:ind w:left="846" w:right="3683"/>
        <w:jc w:val="left"/>
        <w:rPr>
          <w:b w:val="0"/>
          <w:bCs w:val="0"/>
        </w:rPr>
      </w:pPr>
      <w:r>
        <w:rPr>
          <w:rFonts w:ascii="Times New Roman" w:hAnsi="Times New Roman" w:cs="Times New Roman" w:eastAsia="Times New Roman" w:hint="default"/>
        </w:rPr>
        <w:t>1</w:t>
      </w:r>
      <w:r>
        <w:rPr/>
        <w:t>、</w:t>
        <w:tab/>
        <w:t>应付账款列示</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89"/>
        <w:gridCol w:w="2408"/>
        <w:gridCol w:w="2408"/>
      </w:tblGrid>
      <w:tr>
        <w:trPr>
          <w:trHeight w:val="283" w:hRule="exact"/>
        </w:trPr>
        <w:tc>
          <w:tcPr>
            <w:tcW w:w="33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519"/>
              <w:jc w:val="right"/>
              <w:rPr>
                <w:rFonts w:ascii="宋体" w:hAnsi="宋体" w:cs="宋体" w:eastAsia="宋体" w:hint="default"/>
                <w:sz w:val="16"/>
                <w:szCs w:val="16"/>
              </w:rPr>
            </w:pPr>
            <w:r>
              <w:rPr>
                <w:rFonts w:ascii="宋体" w:hAnsi="宋体" w:cs="宋体" w:eastAsia="宋体" w:hint="default"/>
                <w:sz w:val="16"/>
                <w:szCs w:val="16"/>
              </w:rPr>
              <w:t>项目</w:t>
            </w:r>
          </w:p>
        </w:tc>
        <w:tc>
          <w:tcPr>
            <w:tcW w:w="24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1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年以内（含</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2,479,314,524.21</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1,949,761,699.16</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382,581,694.10</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197,878,317.07</w:t>
            </w:r>
          </w:p>
        </w:tc>
      </w:tr>
      <w:tr>
        <w:trPr>
          <w:trHeight w:val="283" w:hRule="exact"/>
        </w:trPr>
        <w:tc>
          <w:tcPr>
            <w:tcW w:w="33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19"/>
              <w:jc w:val="right"/>
              <w:rPr>
                <w:rFonts w:ascii="宋体" w:hAnsi="宋体" w:cs="宋体" w:eastAsia="宋体" w:hint="default"/>
                <w:sz w:val="16"/>
                <w:szCs w:val="16"/>
              </w:rPr>
            </w:pPr>
            <w:r>
              <w:rPr>
                <w:rFonts w:ascii="宋体" w:hAnsi="宋体" w:cs="宋体" w:eastAsia="宋体" w:hint="default"/>
                <w:sz w:val="16"/>
                <w:szCs w:val="16"/>
              </w:rPr>
              <w:t>合计</w:t>
            </w:r>
          </w:p>
        </w:tc>
        <w:tc>
          <w:tcPr>
            <w:tcW w:w="24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2,861,896,218.31</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2,147,640,016.23</w:t>
            </w:r>
          </w:p>
        </w:tc>
      </w:tr>
    </w:tbl>
    <w:p>
      <w:pPr>
        <w:spacing w:line="240" w:lineRule="auto" w:before="12"/>
        <w:rPr>
          <w:rFonts w:ascii="宋体" w:hAnsi="宋体" w:cs="宋体" w:eastAsia="宋体" w:hint="default"/>
          <w:b/>
          <w:bCs/>
          <w:sz w:val="19"/>
          <w:szCs w:val="19"/>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账龄超过一年的重要应付账款</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687"/>
        <w:gridCol w:w="2081"/>
        <w:gridCol w:w="2437"/>
      </w:tblGrid>
      <w:tr>
        <w:trPr>
          <w:trHeight w:val="302" w:hRule="exact"/>
        </w:trPr>
        <w:tc>
          <w:tcPr>
            <w:tcW w:w="36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0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left="489" w:right="0"/>
              <w:jc w:val="left"/>
              <w:rPr>
                <w:rFonts w:ascii="宋体" w:hAnsi="宋体" w:cs="宋体" w:eastAsia="宋体" w:hint="default"/>
                <w:sz w:val="16"/>
                <w:szCs w:val="16"/>
              </w:rPr>
            </w:pPr>
            <w:r>
              <w:rPr>
                <w:rFonts w:ascii="宋体" w:hAnsi="宋体" w:cs="宋体" w:eastAsia="宋体" w:hint="default"/>
                <w:sz w:val="16"/>
                <w:szCs w:val="16"/>
              </w:rPr>
              <w:t>未偿还或结转的原因</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60</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2"/>
                <w:sz w:val="16"/>
              </w:rPr>
              <w:t>39,337,204.85</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北京慧清科技有限公司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2"/>
                <w:sz w:val="16"/>
              </w:rPr>
              <w:t>38,779,000.00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南京六九零二科技有限公司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2"/>
                <w:sz w:val="16"/>
              </w:rPr>
              <w:t>22,139,400.00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5"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单位</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61</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2"/>
                <w:sz w:val="16"/>
              </w:rPr>
              <w:t>11,946,000.00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6"/>
                <w:szCs w:val="16"/>
              </w:rPr>
            </w:pPr>
            <w:r>
              <w:rPr>
                <w:rFonts w:ascii="宋体" w:hAnsi="宋体" w:cs="宋体" w:eastAsia="宋体" w:hint="default"/>
                <w:sz w:val="16"/>
                <w:szCs w:val="16"/>
              </w:rPr>
              <w:t>北京泓生宇瑞电子商贸有限公司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2"/>
                <w:sz w:val="16"/>
              </w:rPr>
              <w:t>11,351,000.00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成都天奥电子股份有限公司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9,682,100.00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中国电子进出口有限公司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9,228,830.65</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福州欧普电子有限公司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8,874,500.00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w w:val="100"/>
                <w:sz w:val="16"/>
                <w:szCs w:val="16"/>
              </w:rPr>
              <w:t>鄂州明</w:t>
            </w:r>
            <w:r>
              <w:rPr>
                <w:rFonts w:ascii="宋体" w:hAnsi="宋体" w:cs="宋体" w:eastAsia="宋体" w:hint="default"/>
                <w:spacing w:val="-3"/>
                <w:w w:val="100"/>
                <w:sz w:val="16"/>
                <w:szCs w:val="16"/>
              </w:rPr>
              <w:t>诚</w:t>
            </w:r>
            <w:r>
              <w:rPr>
                <w:rFonts w:ascii="宋体" w:hAnsi="宋体" w:cs="宋体" w:eastAsia="宋体" w:hint="default"/>
                <w:w w:val="100"/>
                <w:sz w:val="16"/>
                <w:szCs w:val="16"/>
              </w:rPr>
              <w:t>（旭</w:t>
            </w:r>
            <w:r>
              <w:rPr>
                <w:rFonts w:ascii="宋体" w:hAnsi="宋体" w:cs="宋体" w:eastAsia="宋体" w:hint="default"/>
                <w:spacing w:val="-3"/>
                <w:w w:val="100"/>
                <w:sz w:val="16"/>
                <w:szCs w:val="16"/>
              </w:rPr>
              <w:t>宇</w:t>
            </w:r>
            <w:r>
              <w:rPr>
                <w:rFonts w:ascii="宋体" w:hAnsi="宋体" w:cs="宋体" w:eastAsia="宋体" w:hint="default"/>
                <w:spacing w:val="-80"/>
                <w:w w:val="100"/>
                <w:sz w:val="16"/>
                <w:szCs w:val="16"/>
              </w:rPr>
              <w:t>）</w:t>
            </w:r>
            <w:r>
              <w:rPr>
                <w:rFonts w:ascii="宋体" w:hAnsi="宋体" w:cs="宋体" w:eastAsia="宋体" w:hint="default"/>
                <w:spacing w:val="-3"/>
                <w:w w:val="100"/>
                <w:sz w:val="16"/>
                <w:szCs w:val="16"/>
              </w:rPr>
              <w:t>（</w:t>
            </w:r>
            <w:r>
              <w:rPr>
                <w:rFonts w:ascii="宋体" w:hAnsi="宋体" w:cs="宋体" w:eastAsia="宋体" w:hint="default"/>
                <w:w w:val="100"/>
                <w:sz w:val="16"/>
                <w:szCs w:val="16"/>
              </w:rPr>
              <w:t>园信</w:t>
            </w:r>
            <w:r>
              <w:rPr>
                <w:rFonts w:ascii="宋体" w:hAnsi="宋体" w:cs="宋体" w:eastAsia="宋体" w:hint="default"/>
                <w:spacing w:val="-3"/>
                <w:w w:val="100"/>
                <w:sz w:val="16"/>
                <w:szCs w:val="16"/>
              </w:rPr>
              <w:t>）</w:t>
            </w:r>
            <w:r>
              <w:rPr>
                <w:rFonts w:ascii="宋体" w:hAnsi="宋体" w:cs="宋体" w:eastAsia="宋体" w:hint="default"/>
                <w:w w:val="100"/>
                <w:sz w:val="16"/>
                <w:szCs w:val="16"/>
              </w:rPr>
              <w:t>机械</w:t>
            </w:r>
            <w:r>
              <w:rPr>
                <w:rFonts w:ascii="宋体" w:hAnsi="宋体" w:cs="宋体" w:eastAsia="宋体" w:hint="default"/>
                <w:spacing w:val="-3"/>
                <w:w w:val="100"/>
                <w:sz w:val="16"/>
                <w:szCs w:val="16"/>
              </w:rPr>
              <w:t>有</w:t>
            </w:r>
            <w:r>
              <w:rPr>
                <w:rFonts w:ascii="宋体" w:hAnsi="宋体" w:cs="宋体" w:eastAsia="宋体" w:hint="default"/>
                <w:w w:val="100"/>
                <w:sz w:val="16"/>
                <w:szCs w:val="16"/>
              </w:rPr>
              <w:t>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6,184,689.25</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北京四方继保自动化股份有限公司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3,981,400.00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305" w:hRule="exact"/>
        </w:trPr>
        <w:tc>
          <w:tcPr>
            <w:tcW w:w="36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湖北晶星科技股份有限公司</w:t>
            </w:r>
          </w:p>
        </w:tc>
        <w:tc>
          <w:tcPr>
            <w:tcW w:w="20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2,735,654.25</w:t>
            </w:r>
          </w:p>
        </w:tc>
        <w:tc>
          <w:tcPr>
            <w:tcW w:w="24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bl>
    <w:p>
      <w:pPr>
        <w:spacing w:after="0" w:line="240" w:lineRule="auto"/>
        <w:jc w:val="left"/>
        <w:rPr>
          <w:rFonts w:ascii="宋体" w:hAnsi="宋体" w:cs="宋体" w:eastAsia="宋体" w:hint="default"/>
          <w:sz w:val="16"/>
          <w:szCs w:val="16"/>
        </w:rPr>
        <w:sectPr>
          <w:pgSz w:w="11910" w:h="16840"/>
          <w:pgMar w:header="0" w:footer="997" w:top="1500" w:bottom="1180" w:left="1660" w:right="0"/>
        </w:sectPr>
      </w:pPr>
    </w:p>
    <w:p>
      <w:pPr>
        <w:spacing w:line="240" w:lineRule="auto" w:before="7"/>
        <w:rPr>
          <w:rFonts w:ascii="宋体" w:hAnsi="宋体" w:cs="宋体" w:eastAsia="宋体" w:hint="default"/>
          <w:b/>
          <w:bCs/>
          <w:sz w:val="18"/>
          <w:szCs w:val="18"/>
        </w:rPr>
      </w:pPr>
    </w:p>
    <w:tbl>
      <w:tblPr>
        <w:tblW w:w="0" w:type="auto"/>
        <w:jc w:val="left"/>
        <w:tblInd w:w="721" w:type="dxa"/>
        <w:tblLayout w:type="fixed"/>
        <w:tblCellMar>
          <w:top w:w="0" w:type="dxa"/>
          <w:left w:w="0" w:type="dxa"/>
          <w:bottom w:w="0" w:type="dxa"/>
          <w:right w:w="0" w:type="dxa"/>
        </w:tblCellMar>
        <w:tblLook w:val="01E0"/>
      </w:tblPr>
      <w:tblGrid>
        <w:gridCol w:w="3687"/>
        <w:gridCol w:w="2081"/>
        <w:gridCol w:w="2437"/>
      </w:tblGrid>
      <w:tr>
        <w:trPr>
          <w:trHeight w:val="303" w:hRule="exact"/>
        </w:trPr>
        <w:tc>
          <w:tcPr>
            <w:tcW w:w="36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0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left="489" w:right="0"/>
              <w:jc w:val="left"/>
              <w:rPr>
                <w:rFonts w:ascii="宋体" w:hAnsi="宋体" w:cs="宋体" w:eastAsia="宋体" w:hint="default"/>
                <w:sz w:val="16"/>
                <w:szCs w:val="16"/>
              </w:rPr>
            </w:pPr>
            <w:r>
              <w:rPr>
                <w:rFonts w:ascii="宋体" w:hAnsi="宋体" w:cs="宋体" w:eastAsia="宋体" w:hint="default"/>
                <w:sz w:val="16"/>
                <w:szCs w:val="16"/>
              </w:rPr>
              <w:t>未偿还或结转的原因</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上海融达信息科技有限公司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2,358,000.00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中船重工（武汉）凌久电子有限责任公司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2,357,020.00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深圳市富森供应链管理有限公司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2,147,267.58</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5"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深圳朗升新能源有限公司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1,882,220.00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6"/>
                <w:szCs w:val="16"/>
              </w:rPr>
            </w:pPr>
            <w:r>
              <w:rPr>
                <w:rFonts w:ascii="宋体" w:hAnsi="宋体" w:cs="宋体" w:eastAsia="宋体" w:hint="default"/>
                <w:sz w:val="16"/>
                <w:szCs w:val="16"/>
              </w:rPr>
              <w:t>苏州博众精工科技有限公司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1,783,340.00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北京佳杰电子有限公司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1,745,340.00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中国航天科工防御技术研究院物质供应站</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1,555,002.53</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长江武汉航道局洪湖航标器材维修中心</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1,488,344.10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广州慧康信息科技有限公司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1,468,635.81</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北京长城时代信息技术有限公司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1,452,207.31</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武汉市江岸顺达材料（烽火气体）经营部</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1,323,590.00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9"/>
              <w:ind w:left="122" w:right="0"/>
              <w:jc w:val="left"/>
              <w:rPr>
                <w:rFonts w:ascii="Times New Roman" w:hAnsi="Times New Roman" w:cs="Times New Roman" w:eastAsia="Times New Roman" w:hint="default"/>
                <w:sz w:val="16"/>
                <w:szCs w:val="16"/>
              </w:rPr>
            </w:pPr>
            <w:r>
              <w:rPr>
                <w:rFonts w:ascii="Times New Roman"/>
                <w:spacing w:val="-4"/>
                <w:sz w:val="16"/>
              </w:rPr>
              <w:t>TAI-I </w:t>
            </w:r>
            <w:r>
              <w:rPr>
                <w:rFonts w:ascii="Times New Roman"/>
                <w:sz w:val="16"/>
              </w:rPr>
              <w:t>ELECTRIC WIRE &amp; CABLE</w:t>
            </w:r>
            <w:r>
              <w:rPr>
                <w:rFonts w:ascii="Times New Roman"/>
                <w:spacing w:val="-1"/>
                <w:sz w:val="16"/>
              </w:rPr>
              <w:t> </w:t>
            </w:r>
            <w:r>
              <w:rPr>
                <w:rFonts w:ascii="Times New Roman"/>
                <w:sz w:val="16"/>
              </w:rPr>
              <w:t>CO</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1,220,627.68</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left="122" w:right="0"/>
              <w:jc w:val="left"/>
              <w:rPr>
                <w:rFonts w:ascii="宋体" w:hAnsi="宋体" w:cs="宋体" w:eastAsia="宋体" w:hint="default"/>
                <w:sz w:val="16"/>
                <w:szCs w:val="16"/>
              </w:rPr>
            </w:pPr>
            <w:r>
              <w:rPr>
                <w:rFonts w:ascii="宋体" w:hAnsi="宋体" w:cs="宋体" w:eastAsia="宋体" w:hint="default"/>
                <w:sz w:val="16"/>
                <w:szCs w:val="16"/>
              </w:rPr>
              <w:t>湖南天河新晟数码科技有限公司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6"/>
                <w:szCs w:val="16"/>
              </w:rPr>
            </w:pPr>
            <w:r>
              <w:rPr>
                <w:rFonts w:ascii="Times New Roman"/>
                <w:spacing w:val="-1"/>
                <w:sz w:val="16"/>
              </w:rPr>
              <w:t>1,188,486.93</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293"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江苏三江天地科技发展有限公司</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1,131,447.60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00" w:right="0"/>
              <w:jc w:val="left"/>
              <w:rPr>
                <w:rFonts w:ascii="宋体" w:hAnsi="宋体" w:cs="宋体" w:eastAsia="宋体" w:hint="default"/>
                <w:sz w:val="16"/>
                <w:szCs w:val="16"/>
              </w:rPr>
            </w:pPr>
            <w:r>
              <w:rPr>
                <w:rFonts w:ascii="宋体" w:hAnsi="宋体" w:cs="宋体" w:eastAsia="宋体" w:hint="default"/>
                <w:sz w:val="16"/>
                <w:szCs w:val="16"/>
              </w:rPr>
              <w:t>未结算</w:t>
            </w:r>
          </w:p>
        </w:tc>
      </w:tr>
      <w:tr>
        <w:trPr>
          <w:trHeight w:val="305" w:hRule="exact"/>
        </w:trPr>
        <w:tc>
          <w:tcPr>
            <w:tcW w:w="36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0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187,341,308.54</w:t>
            </w:r>
          </w:p>
        </w:tc>
        <w:tc>
          <w:tcPr>
            <w:tcW w:w="243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26"/>
          <w:szCs w:val="26"/>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预收款项</w:t>
      </w:r>
      <w:r>
        <w:rPr>
          <w:b w:val="0"/>
          <w:bCs w:val="0"/>
        </w:rPr>
      </w:r>
    </w:p>
    <w:p>
      <w:pPr>
        <w:pStyle w:val="Heading5"/>
        <w:tabs>
          <w:tab w:pos="1397" w:val="left" w:leader="none"/>
        </w:tabs>
        <w:spacing w:line="240" w:lineRule="auto" w:before="69"/>
        <w:ind w:left="846" w:right="3683"/>
        <w:jc w:val="left"/>
        <w:rPr>
          <w:b w:val="0"/>
          <w:bCs w:val="0"/>
        </w:rPr>
      </w:pPr>
      <w:r>
        <w:rPr>
          <w:rFonts w:ascii="Times New Roman" w:hAnsi="Times New Roman" w:cs="Times New Roman" w:eastAsia="Times New Roman" w:hint="default"/>
        </w:rPr>
        <w:t>1</w:t>
      </w:r>
      <w:r>
        <w:rPr/>
        <w:t>、</w:t>
        <w:tab/>
        <w:t>预收款项列示</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89"/>
        <w:gridCol w:w="2408"/>
        <w:gridCol w:w="2408"/>
      </w:tblGrid>
      <w:tr>
        <w:trPr>
          <w:trHeight w:val="283" w:hRule="exact"/>
        </w:trPr>
        <w:tc>
          <w:tcPr>
            <w:tcW w:w="33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519"/>
              <w:jc w:val="right"/>
              <w:rPr>
                <w:rFonts w:ascii="宋体" w:hAnsi="宋体" w:cs="宋体" w:eastAsia="宋体" w:hint="default"/>
                <w:sz w:val="16"/>
                <w:szCs w:val="16"/>
              </w:rPr>
            </w:pPr>
            <w:r>
              <w:rPr>
                <w:rFonts w:ascii="宋体" w:hAnsi="宋体" w:cs="宋体" w:eastAsia="宋体" w:hint="default"/>
                <w:sz w:val="16"/>
                <w:szCs w:val="16"/>
              </w:rPr>
              <w:t>项目</w:t>
            </w:r>
          </w:p>
        </w:tc>
        <w:tc>
          <w:tcPr>
            <w:tcW w:w="24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1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年以内（含</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274,639,049.46</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121,357,552.14</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19,348,549.33</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25,068,335.76</w:t>
            </w:r>
          </w:p>
        </w:tc>
      </w:tr>
      <w:tr>
        <w:trPr>
          <w:trHeight w:val="286" w:hRule="exact"/>
        </w:trPr>
        <w:tc>
          <w:tcPr>
            <w:tcW w:w="33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19"/>
              <w:jc w:val="right"/>
              <w:rPr>
                <w:rFonts w:ascii="宋体" w:hAnsi="宋体" w:cs="宋体" w:eastAsia="宋体" w:hint="default"/>
                <w:sz w:val="16"/>
                <w:szCs w:val="16"/>
              </w:rPr>
            </w:pPr>
            <w:r>
              <w:rPr>
                <w:rFonts w:ascii="宋体" w:hAnsi="宋体" w:cs="宋体" w:eastAsia="宋体" w:hint="default"/>
                <w:sz w:val="16"/>
                <w:szCs w:val="16"/>
              </w:rPr>
              <w:t>合计</w:t>
            </w:r>
          </w:p>
        </w:tc>
        <w:tc>
          <w:tcPr>
            <w:tcW w:w="24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293,987,598.79</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146,425,887.90</w:t>
            </w:r>
          </w:p>
        </w:tc>
      </w:tr>
    </w:tbl>
    <w:p>
      <w:pPr>
        <w:spacing w:line="240" w:lineRule="auto" w:before="10"/>
        <w:rPr>
          <w:rFonts w:ascii="宋体" w:hAnsi="宋体" w:cs="宋体" w:eastAsia="宋体" w:hint="default"/>
          <w:b/>
          <w:bCs/>
          <w:sz w:val="19"/>
          <w:szCs w:val="19"/>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账龄超过一年的重要预收款项</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778"/>
        <w:gridCol w:w="2014"/>
        <w:gridCol w:w="2413"/>
      </w:tblGrid>
      <w:tr>
        <w:trPr>
          <w:trHeight w:val="286" w:hRule="exact"/>
        </w:trPr>
        <w:tc>
          <w:tcPr>
            <w:tcW w:w="377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0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1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8"/>
              <w:jc w:val="center"/>
              <w:rPr>
                <w:rFonts w:ascii="宋体" w:hAnsi="宋体" w:cs="宋体" w:eastAsia="宋体" w:hint="default"/>
                <w:sz w:val="16"/>
                <w:szCs w:val="16"/>
              </w:rPr>
            </w:pPr>
            <w:r>
              <w:rPr>
                <w:rFonts w:ascii="宋体" w:hAnsi="宋体" w:cs="宋体" w:eastAsia="宋体" w:hint="default"/>
                <w:sz w:val="16"/>
                <w:szCs w:val="16"/>
              </w:rPr>
              <w:t>未偿还或结转的原因</w:t>
            </w:r>
          </w:p>
        </w:tc>
      </w:tr>
      <w:tr>
        <w:trPr>
          <w:trHeight w:val="274" w:hRule="exact"/>
        </w:trPr>
        <w:tc>
          <w:tcPr>
            <w:tcW w:w="37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成都鼎盛中原电子技术服务有限公司</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2,142,310.00</w:t>
            </w:r>
          </w:p>
        </w:tc>
        <w:tc>
          <w:tcPr>
            <w:tcW w:w="24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项目未结算</w:t>
            </w:r>
          </w:p>
        </w:tc>
      </w:tr>
      <w:tr>
        <w:trPr>
          <w:trHeight w:val="274" w:hRule="exact"/>
        </w:trPr>
        <w:tc>
          <w:tcPr>
            <w:tcW w:w="37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122" w:right="0"/>
              <w:jc w:val="left"/>
              <w:rPr>
                <w:rFonts w:ascii="Times New Roman" w:hAnsi="Times New Roman" w:cs="Times New Roman" w:eastAsia="Times New Roman" w:hint="default"/>
                <w:sz w:val="16"/>
                <w:szCs w:val="16"/>
              </w:rPr>
            </w:pPr>
            <w:r>
              <w:rPr>
                <w:rFonts w:ascii="Times New Roman"/>
                <w:sz w:val="16"/>
              </w:rPr>
              <w:t>EMC HOLDINGS</w:t>
            </w:r>
            <w:r>
              <w:rPr>
                <w:rFonts w:ascii="Times New Roman"/>
                <w:spacing w:val="3"/>
                <w:sz w:val="16"/>
              </w:rPr>
              <w:t> </w:t>
            </w:r>
            <w:r>
              <w:rPr>
                <w:rFonts w:ascii="Times New Roman"/>
                <w:spacing w:val="-3"/>
                <w:sz w:val="16"/>
              </w:rPr>
              <w:t>CO.,LTD</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1,145,853.48</w:t>
            </w:r>
          </w:p>
        </w:tc>
        <w:tc>
          <w:tcPr>
            <w:tcW w:w="241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项目未结算</w:t>
            </w:r>
          </w:p>
        </w:tc>
      </w:tr>
      <w:tr>
        <w:trPr>
          <w:trHeight w:val="274" w:hRule="exact"/>
        </w:trPr>
        <w:tc>
          <w:tcPr>
            <w:tcW w:w="377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浙江慧曙通讯科技有限公司</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756,781.13</w:t>
            </w:r>
          </w:p>
        </w:tc>
        <w:tc>
          <w:tcPr>
            <w:tcW w:w="241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项目未结算</w:t>
            </w:r>
          </w:p>
        </w:tc>
      </w:tr>
      <w:tr>
        <w:trPr>
          <w:trHeight w:val="274" w:hRule="exact"/>
        </w:trPr>
        <w:tc>
          <w:tcPr>
            <w:tcW w:w="377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中国建设银行股份有限公司北京市分行</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730,769.23</w:t>
            </w:r>
          </w:p>
        </w:tc>
        <w:tc>
          <w:tcPr>
            <w:tcW w:w="241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项目未结算</w:t>
            </w:r>
          </w:p>
        </w:tc>
      </w:tr>
      <w:tr>
        <w:trPr>
          <w:trHeight w:val="271" w:hRule="exact"/>
        </w:trPr>
        <w:tc>
          <w:tcPr>
            <w:tcW w:w="37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122" w:right="0"/>
              <w:jc w:val="left"/>
              <w:rPr>
                <w:rFonts w:ascii="Times New Roman" w:hAnsi="Times New Roman" w:cs="Times New Roman" w:eastAsia="Times New Roman" w:hint="default"/>
                <w:sz w:val="16"/>
                <w:szCs w:val="16"/>
              </w:rPr>
            </w:pPr>
            <w:r>
              <w:rPr>
                <w:rFonts w:ascii="Times New Roman"/>
                <w:sz w:val="16"/>
              </w:rPr>
              <w:t>BEST IT WORLD(INDIA)</w:t>
            </w:r>
            <w:r>
              <w:rPr>
                <w:rFonts w:ascii="Times New Roman"/>
                <w:spacing w:val="-13"/>
                <w:sz w:val="16"/>
              </w:rPr>
              <w:t> </w:t>
            </w:r>
            <w:r>
              <w:rPr>
                <w:rFonts w:ascii="Times New Roman"/>
                <w:spacing w:val="-4"/>
                <w:sz w:val="16"/>
              </w:rPr>
              <w:t>PVT.,LTD</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481,503.18</w:t>
            </w:r>
          </w:p>
        </w:tc>
        <w:tc>
          <w:tcPr>
            <w:tcW w:w="241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项目未结算</w:t>
            </w:r>
          </w:p>
        </w:tc>
      </w:tr>
      <w:tr>
        <w:trPr>
          <w:trHeight w:val="286" w:hRule="exact"/>
        </w:trPr>
        <w:tc>
          <w:tcPr>
            <w:tcW w:w="37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0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5,257,217.02</w:t>
            </w:r>
          </w:p>
        </w:tc>
        <w:tc>
          <w:tcPr>
            <w:tcW w:w="241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应付职工薪酬</w:t>
      </w:r>
      <w:r>
        <w:rPr>
          <w:b w:val="0"/>
          <w:bCs w:val="0"/>
        </w:rPr>
      </w:r>
    </w:p>
    <w:p>
      <w:pPr>
        <w:pStyle w:val="Heading5"/>
        <w:tabs>
          <w:tab w:pos="1397" w:val="left" w:leader="none"/>
        </w:tabs>
        <w:spacing w:line="240" w:lineRule="auto" w:before="69"/>
        <w:ind w:left="846" w:right="3683"/>
        <w:jc w:val="left"/>
        <w:rPr>
          <w:b w:val="0"/>
          <w:bCs w:val="0"/>
        </w:rPr>
      </w:pPr>
      <w:r>
        <w:rPr>
          <w:rFonts w:ascii="Times New Roman" w:hAnsi="Times New Roman" w:cs="Times New Roman" w:eastAsia="Times New Roman" w:hint="default"/>
        </w:rPr>
        <w:t>1</w:t>
      </w:r>
      <w:r>
        <w:rPr/>
        <w:t>、</w:t>
        <w:tab/>
        <w:t>应付职工薪酬列示</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300"/>
        <w:gridCol w:w="1404"/>
        <w:gridCol w:w="1548"/>
        <w:gridCol w:w="1546"/>
        <w:gridCol w:w="1406"/>
      </w:tblGrid>
      <w:tr>
        <w:trPr>
          <w:trHeight w:val="283" w:hRule="exact"/>
        </w:trPr>
        <w:tc>
          <w:tcPr>
            <w:tcW w:w="230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13"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5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49"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5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46"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40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376"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23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短期薪酬</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283,914,302.35</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1,713,604,824.70</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1,658,447,762.08</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339,071,364.97</w:t>
            </w:r>
          </w:p>
        </w:tc>
      </w:tr>
      <w:tr>
        <w:trPr>
          <w:trHeight w:val="274" w:hRule="exact"/>
        </w:trPr>
        <w:tc>
          <w:tcPr>
            <w:tcW w:w="23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离职后福利</w:t>
            </w:r>
            <w:r>
              <w:rPr>
                <w:rFonts w:ascii="Times New Roman" w:hAnsi="Times New Roman" w:cs="Times New Roman" w:eastAsia="Times New Roman" w:hint="default"/>
                <w:sz w:val="16"/>
                <w:szCs w:val="16"/>
              </w:rPr>
              <w:t>-</w:t>
            </w:r>
            <w:r>
              <w:rPr>
                <w:rFonts w:ascii="宋体" w:hAnsi="宋体" w:cs="宋体" w:eastAsia="宋体" w:hint="default"/>
                <w:sz w:val="16"/>
                <w:szCs w:val="16"/>
              </w:rPr>
              <w:t>设定提存计划</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34,745,554.39</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135,304,599.14</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143,034,955.58</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27,015,197.95</w:t>
            </w:r>
          </w:p>
        </w:tc>
      </w:tr>
      <w:tr>
        <w:trPr>
          <w:trHeight w:val="274" w:hRule="exact"/>
        </w:trPr>
        <w:tc>
          <w:tcPr>
            <w:tcW w:w="23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辞退福利</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1,441,617.70</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7,659,106.92</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8,714,577.02</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386,147.60</w:t>
            </w:r>
          </w:p>
        </w:tc>
      </w:tr>
      <w:tr>
        <w:trPr>
          <w:trHeight w:val="274" w:hRule="exact"/>
        </w:trPr>
        <w:tc>
          <w:tcPr>
            <w:tcW w:w="23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一年内到期的其他福利</w:t>
            </w:r>
          </w:p>
        </w:tc>
        <w:tc>
          <w:tcPr>
            <w:tcW w:w="1404"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dotted" w:sz="4" w:space="0" w:color="000000"/>
            </w:tcBorders>
          </w:tcPr>
          <w:p>
            <w:pPr/>
          </w:p>
        </w:tc>
        <w:tc>
          <w:tcPr>
            <w:tcW w:w="1546" w:type="dxa"/>
            <w:tcBorders>
              <w:top w:val="dotted" w:sz="4" w:space="0" w:color="000000"/>
              <w:left w:val="dotted" w:sz="4" w:space="0" w:color="000000"/>
              <w:bottom w:val="dotted" w:sz="4" w:space="0" w:color="000000"/>
              <w:right w:val="dotted" w:sz="4" w:space="0" w:color="000000"/>
            </w:tcBorders>
          </w:tcPr>
          <w:p>
            <w:pPr/>
          </w:p>
        </w:tc>
        <w:tc>
          <w:tcPr>
            <w:tcW w:w="1406"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23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320,101,474.44</w:t>
            </w:r>
          </w:p>
        </w:tc>
        <w:tc>
          <w:tcPr>
            <w:tcW w:w="15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1,856,568,530.76</w:t>
            </w:r>
          </w:p>
        </w:tc>
        <w:tc>
          <w:tcPr>
            <w:tcW w:w="15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1,810,197,294.68</w:t>
            </w:r>
          </w:p>
        </w:tc>
        <w:tc>
          <w:tcPr>
            <w:tcW w:w="14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366,472,710.52</w:t>
            </w:r>
          </w:p>
        </w:tc>
      </w:tr>
    </w:tbl>
    <w:p>
      <w:pPr>
        <w:spacing w:line="240" w:lineRule="auto" w:before="10"/>
        <w:rPr>
          <w:rFonts w:ascii="宋体" w:hAnsi="宋体" w:cs="宋体" w:eastAsia="宋体" w:hint="default"/>
          <w:b/>
          <w:bCs/>
          <w:sz w:val="19"/>
          <w:szCs w:val="19"/>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t>短期薪酬列示</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341"/>
        <w:gridCol w:w="1404"/>
        <w:gridCol w:w="1548"/>
        <w:gridCol w:w="1546"/>
        <w:gridCol w:w="1406"/>
      </w:tblGrid>
      <w:tr>
        <w:trPr>
          <w:trHeight w:val="286" w:hRule="exact"/>
        </w:trPr>
        <w:tc>
          <w:tcPr>
            <w:tcW w:w="234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1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5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449"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5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446"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40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376"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83" w:hRule="exact"/>
        </w:trPr>
        <w:tc>
          <w:tcPr>
            <w:tcW w:w="2341"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pacing w:val="-5"/>
                <w:sz w:val="16"/>
                <w:szCs w:val="16"/>
              </w:rPr>
              <w:t>（</w:t>
            </w:r>
            <w:r>
              <w:rPr>
                <w:rFonts w:ascii="Times New Roman" w:hAnsi="Times New Roman" w:cs="Times New Roman" w:eastAsia="Times New Roman" w:hint="default"/>
                <w:spacing w:val="-5"/>
                <w:sz w:val="16"/>
                <w:szCs w:val="16"/>
              </w:rPr>
              <w:t>1</w:t>
            </w:r>
            <w:r>
              <w:rPr>
                <w:rFonts w:ascii="宋体" w:hAnsi="宋体" w:cs="宋体" w:eastAsia="宋体" w:hint="default"/>
                <w:spacing w:val="-5"/>
                <w:sz w:val="16"/>
                <w:szCs w:val="16"/>
              </w:rPr>
              <w:t>）工资、奖金、津贴和补贴</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290" w:right="0"/>
              <w:jc w:val="left"/>
              <w:rPr>
                <w:rFonts w:ascii="Times New Roman" w:hAnsi="Times New Roman" w:cs="Times New Roman" w:eastAsia="Times New Roman" w:hint="default"/>
                <w:sz w:val="16"/>
                <w:szCs w:val="16"/>
              </w:rPr>
            </w:pPr>
            <w:r>
              <w:rPr>
                <w:rFonts w:ascii="Times New Roman"/>
                <w:sz w:val="16"/>
              </w:rPr>
              <w:t>276,165,121.40</w:t>
            </w:r>
          </w:p>
        </w:tc>
        <w:tc>
          <w:tcPr>
            <w:tcW w:w="15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314" w:right="0"/>
              <w:jc w:val="left"/>
              <w:rPr>
                <w:rFonts w:ascii="Times New Roman" w:hAnsi="Times New Roman" w:cs="Times New Roman" w:eastAsia="Times New Roman" w:hint="default"/>
                <w:sz w:val="16"/>
                <w:szCs w:val="16"/>
              </w:rPr>
            </w:pPr>
            <w:r>
              <w:rPr>
                <w:rFonts w:ascii="Times New Roman"/>
                <w:sz w:val="16"/>
              </w:rPr>
              <w:t>1,494,202,241.86</w:t>
            </w:r>
          </w:p>
        </w:tc>
        <w:tc>
          <w:tcPr>
            <w:tcW w:w="15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311" w:right="0"/>
              <w:jc w:val="left"/>
              <w:rPr>
                <w:rFonts w:ascii="Times New Roman" w:hAnsi="Times New Roman" w:cs="Times New Roman" w:eastAsia="Times New Roman" w:hint="default"/>
                <w:sz w:val="16"/>
                <w:szCs w:val="16"/>
              </w:rPr>
            </w:pPr>
            <w:r>
              <w:rPr>
                <w:rFonts w:ascii="Times New Roman"/>
                <w:sz w:val="16"/>
              </w:rPr>
              <w:t>1,441,719,834.80</w:t>
            </w:r>
          </w:p>
        </w:tc>
        <w:tc>
          <w:tcPr>
            <w:tcW w:w="14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left="290" w:right="0"/>
              <w:jc w:val="left"/>
              <w:rPr>
                <w:rFonts w:ascii="Times New Roman" w:hAnsi="Times New Roman" w:cs="Times New Roman" w:eastAsia="Times New Roman" w:hint="default"/>
                <w:sz w:val="16"/>
                <w:szCs w:val="16"/>
              </w:rPr>
            </w:pPr>
            <w:r>
              <w:rPr>
                <w:rFonts w:ascii="Times New Roman"/>
                <w:sz w:val="16"/>
              </w:rPr>
              <w:t>328,647,528.46</w:t>
            </w:r>
          </w:p>
        </w:tc>
      </w:tr>
    </w:tbl>
    <w:p>
      <w:pPr>
        <w:spacing w:after="0" w:line="240" w:lineRule="auto"/>
        <w:jc w:val="left"/>
        <w:rPr>
          <w:rFonts w:ascii="Times New Roman" w:hAnsi="Times New Roman" w:cs="Times New Roman" w:eastAsia="Times New Roman" w:hint="default"/>
          <w:sz w:val="16"/>
          <w:szCs w:val="16"/>
        </w:rPr>
        <w:sectPr>
          <w:pgSz w:w="11910" w:h="16840"/>
          <w:pgMar w:header="0" w:footer="997" w:top="1500" w:bottom="1180" w:left="1660" w:right="0"/>
        </w:sectPr>
      </w:pPr>
    </w:p>
    <w:p>
      <w:pPr>
        <w:spacing w:line="240" w:lineRule="auto" w:before="7"/>
        <w:rPr>
          <w:rFonts w:ascii="宋体" w:hAnsi="宋体" w:cs="宋体" w:eastAsia="宋体" w:hint="default"/>
          <w:b/>
          <w:bCs/>
          <w:sz w:val="18"/>
          <w:szCs w:val="18"/>
        </w:rPr>
      </w:pPr>
    </w:p>
    <w:tbl>
      <w:tblPr>
        <w:tblW w:w="0" w:type="auto"/>
        <w:jc w:val="left"/>
        <w:tblInd w:w="721" w:type="dxa"/>
        <w:tblLayout w:type="fixed"/>
        <w:tblCellMar>
          <w:top w:w="0" w:type="dxa"/>
          <w:left w:w="0" w:type="dxa"/>
          <w:bottom w:w="0" w:type="dxa"/>
          <w:right w:w="0" w:type="dxa"/>
        </w:tblCellMar>
        <w:tblLook w:val="01E0"/>
      </w:tblPr>
      <w:tblGrid>
        <w:gridCol w:w="2341"/>
        <w:gridCol w:w="1404"/>
        <w:gridCol w:w="1548"/>
        <w:gridCol w:w="1546"/>
        <w:gridCol w:w="1406"/>
      </w:tblGrid>
      <w:tr>
        <w:trPr>
          <w:trHeight w:val="284" w:hRule="exact"/>
        </w:trPr>
        <w:tc>
          <w:tcPr>
            <w:tcW w:w="234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21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5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449"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5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446"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40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376"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23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）职工福利费</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773,811.79</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40,873,699.32</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40,345,984.56</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1,301,526.55</w:t>
            </w:r>
          </w:p>
        </w:tc>
      </w:tr>
      <w:tr>
        <w:trPr>
          <w:trHeight w:val="274" w:hRule="exact"/>
        </w:trPr>
        <w:tc>
          <w:tcPr>
            <w:tcW w:w="23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）社会保险费</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842,974.53</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59,363,680.84</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59,161,857.70</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1,044,797.67</w:t>
            </w:r>
          </w:p>
        </w:tc>
      </w:tr>
      <w:tr>
        <w:trPr>
          <w:trHeight w:val="274" w:hRule="exact"/>
        </w:trPr>
        <w:tc>
          <w:tcPr>
            <w:tcW w:w="23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03" w:right="0"/>
              <w:jc w:val="left"/>
              <w:rPr>
                <w:rFonts w:ascii="宋体" w:hAnsi="宋体" w:cs="宋体" w:eastAsia="宋体" w:hint="default"/>
                <w:sz w:val="16"/>
                <w:szCs w:val="16"/>
              </w:rPr>
            </w:pPr>
            <w:r>
              <w:rPr>
                <w:rFonts w:ascii="宋体" w:hAnsi="宋体" w:cs="宋体" w:eastAsia="宋体" w:hint="default"/>
                <w:sz w:val="16"/>
                <w:szCs w:val="16"/>
              </w:rPr>
              <w:t>其中：医疗保险费</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687,617.25</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51,940,167.13</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51,812,523.64</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815,260.74</w:t>
            </w:r>
          </w:p>
        </w:tc>
      </w:tr>
      <w:tr>
        <w:trPr>
          <w:trHeight w:val="274" w:hRule="exact"/>
        </w:trPr>
        <w:tc>
          <w:tcPr>
            <w:tcW w:w="23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83" w:right="0"/>
              <w:jc w:val="left"/>
              <w:rPr>
                <w:rFonts w:ascii="宋体" w:hAnsi="宋体" w:cs="宋体" w:eastAsia="宋体" w:hint="default"/>
                <w:sz w:val="16"/>
                <w:szCs w:val="16"/>
              </w:rPr>
            </w:pPr>
            <w:r>
              <w:rPr>
                <w:rFonts w:ascii="宋体" w:hAnsi="宋体" w:cs="宋体" w:eastAsia="宋体" w:hint="default"/>
                <w:sz w:val="16"/>
                <w:szCs w:val="16"/>
              </w:rPr>
              <w:t>工伤保险费</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91,309.23</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2,607,574.82</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2,550,377.68</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148,506.37</w:t>
            </w:r>
          </w:p>
        </w:tc>
      </w:tr>
      <w:tr>
        <w:trPr>
          <w:trHeight w:val="274" w:hRule="exact"/>
        </w:trPr>
        <w:tc>
          <w:tcPr>
            <w:tcW w:w="23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83" w:right="0"/>
              <w:jc w:val="left"/>
              <w:rPr>
                <w:rFonts w:ascii="宋体" w:hAnsi="宋体" w:cs="宋体" w:eastAsia="宋体" w:hint="default"/>
                <w:sz w:val="16"/>
                <w:szCs w:val="16"/>
              </w:rPr>
            </w:pPr>
            <w:r>
              <w:rPr>
                <w:rFonts w:ascii="宋体" w:hAnsi="宋体" w:cs="宋体" w:eastAsia="宋体" w:hint="default"/>
                <w:sz w:val="16"/>
                <w:szCs w:val="16"/>
              </w:rPr>
              <w:t>生育保险费</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64,048.05</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4,815,938.89</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4,798,956.38</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81,030.56</w:t>
            </w:r>
          </w:p>
        </w:tc>
      </w:tr>
      <w:tr>
        <w:trPr>
          <w:trHeight w:val="274" w:hRule="exact"/>
        </w:trPr>
        <w:tc>
          <w:tcPr>
            <w:tcW w:w="23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）住房公积金</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3,140,559.36</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76,301,840.31</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76,770,515.05</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2,671,884.62</w:t>
            </w:r>
          </w:p>
        </w:tc>
      </w:tr>
      <w:tr>
        <w:trPr>
          <w:trHeight w:val="274" w:hRule="exact"/>
        </w:trPr>
        <w:tc>
          <w:tcPr>
            <w:tcW w:w="23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pacing w:val="-5"/>
                <w:sz w:val="16"/>
                <w:szCs w:val="16"/>
              </w:rPr>
              <w:t>（</w:t>
            </w:r>
            <w:r>
              <w:rPr>
                <w:rFonts w:ascii="Times New Roman" w:hAnsi="Times New Roman" w:cs="Times New Roman" w:eastAsia="Times New Roman" w:hint="default"/>
                <w:spacing w:val="-5"/>
                <w:sz w:val="16"/>
                <w:szCs w:val="16"/>
              </w:rPr>
              <w:t>5</w:t>
            </w:r>
            <w:r>
              <w:rPr>
                <w:rFonts w:ascii="宋体" w:hAnsi="宋体" w:cs="宋体" w:eastAsia="宋体" w:hint="default"/>
                <w:spacing w:val="-5"/>
                <w:sz w:val="16"/>
                <w:szCs w:val="16"/>
              </w:rPr>
              <w:t>）工会经费和职工教育经费</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2,545,093.78</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15,264,198.10</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14,077,267.61</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3,732,024.27</w:t>
            </w:r>
          </w:p>
        </w:tc>
      </w:tr>
      <w:tr>
        <w:trPr>
          <w:trHeight w:val="274" w:hRule="exact"/>
        </w:trPr>
        <w:tc>
          <w:tcPr>
            <w:tcW w:w="23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w:t>
            </w:r>
            <w:r>
              <w:rPr>
                <w:rFonts w:ascii="宋体" w:hAnsi="宋体" w:cs="宋体" w:eastAsia="宋体" w:hint="default"/>
                <w:sz w:val="16"/>
                <w:szCs w:val="16"/>
              </w:rPr>
              <w:t>）短期带薪缺勤</w:t>
            </w:r>
          </w:p>
        </w:tc>
        <w:tc>
          <w:tcPr>
            <w:tcW w:w="1404"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dotted" w:sz="4" w:space="0" w:color="000000"/>
            </w:tcBorders>
          </w:tcPr>
          <w:p>
            <w:pPr/>
          </w:p>
        </w:tc>
        <w:tc>
          <w:tcPr>
            <w:tcW w:w="1546" w:type="dxa"/>
            <w:tcBorders>
              <w:top w:val="dotted" w:sz="4" w:space="0" w:color="000000"/>
              <w:left w:val="dotted" w:sz="4" w:space="0" w:color="000000"/>
              <w:bottom w:val="dotted" w:sz="4" w:space="0" w:color="000000"/>
              <w:right w:val="dotted" w:sz="4" w:space="0" w:color="000000"/>
            </w:tcBorders>
          </w:tcPr>
          <w:p>
            <w:pPr/>
          </w:p>
        </w:tc>
        <w:tc>
          <w:tcPr>
            <w:tcW w:w="140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7</w:t>
            </w:r>
            <w:r>
              <w:rPr>
                <w:rFonts w:ascii="宋体" w:hAnsi="宋体" w:cs="宋体" w:eastAsia="宋体" w:hint="default"/>
                <w:sz w:val="16"/>
                <w:szCs w:val="16"/>
              </w:rPr>
              <w:t>）其他短期薪酬</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446,741.49</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27,599,164.27</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26,372,302.36</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1,673,603.40</w:t>
            </w:r>
          </w:p>
        </w:tc>
      </w:tr>
      <w:tr>
        <w:trPr>
          <w:trHeight w:val="283" w:hRule="exact"/>
        </w:trPr>
        <w:tc>
          <w:tcPr>
            <w:tcW w:w="23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283,914,302.35</w:t>
            </w:r>
          </w:p>
        </w:tc>
        <w:tc>
          <w:tcPr>
            <w:tcW w:w="15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1,713,604,824.70</w:t>
            </w:r>
          </w:p>
        </w:tc>
        <w:tc>
          <w:tcPr>
            <w:tcW w:w="15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1,658,447,762.08</w:t>
            </w:r>
          </w:p>
        </w:tc>
        <w:tc>
          <w:tcPr>
            <w:tcW w:w="14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339,071,364.97</w:t>
            </w:r>
          </w:p>
        </w:tc>
      </w:tr>
    </w:tbl>
    <w:p>
      <w:pPr>
        <w:spacing w:line="240" w:lineRule="auto" w:before="5"/>
        <w:rPr>
          <w:rFonts w:ascii="宋体" w:hAnsi="宋体" w:cs="宋体" w:eastAsia="宋体" w:hint="default"/>
          <w:b/>
          <w:bCs/>
          <w:sz w:val="26"/>
          <w:szCs w:val="26"/>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3</w:t>
      </w:r>
      <w:r>
        <w:rPr/>
        <w:t>、</w:t>
        <w:tab/>
        <w:t>设定提存计划列示</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485"/>
        <w:gridCol w:w="1421"/>
        <w:gridCol w:w="1438"/>
        <w:gridCol w:w="1438"/>
        <w:gridCol w:w="1423"/>
      </w:tblGrid>
      <w:tr>
        <w:trPr>
          <w:trHeight w:val="286" w:hRule="exact"/>
        </w:trPr>
        <w:tc>
          <w:tcPr>
            <w:tcW w:w="24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1066"/>
              <w:jc w:val="right"/>
              <w:rPr>
                <w:rFonts w:ascii="宋体" w:hAnsi="宋体" w:cs="宋体" w:eastAsia="宋体" w:hint="default"/>
                <w:sz w:val="16"/>
                <w:szCs w:val="16"/>
              </w:rPr>
            </w:pPr>
            <w:r>
              <w:rPr>
                <w:rFonts w:ascii="宋体" w:hAnsi="宋体" w:cs="宋体" w:eastAsia="宋体" w:hint="default"/>
                <w:sz w:val="16"/>
                <w:szCs w:val="16"/>
              </w:rPr>
              <w:t>项目</w:t>
            </w:r>
          </w:p>
        </w:tc>
        <w:tc>
          <w:tcPr>
            <w:tcW w:w="14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2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4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393"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4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393"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42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386"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24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基本养老保险</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2"/>
                <w:sz w:val="16"/>
              </w:rPr>
              <w:t>30,996,792.87</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109,718,244.37</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115,136,575.55</w:t>
            </w:r>
          </w:p>
        </w:tc>
        <w:tc>
          <w:tcPr>
            <w:tcW w:w="14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25,578,461.69</w:t>
            </w:r>
          </w:p>
        </w:tc>
      </w:tr>
      <w:tr>
        <w:trPr>
          <w:trHeight w:val="274" w:hRule="exact"/>
        </w:trPr>
        <w:tc>
          <w:tcPr>
            <w:tcW w:w="248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失业保险费</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172,356.17</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3,917,995.98</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3,928,147.91</w:t>
            </w:r>
          </w:p>
        </w:tc>
        <w:tc>
          <w:tcPr>
            <w:tcW w:w="14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162,204.24</w:t>
            </w:r>
          </w:p>
        </w:tc>
      </w:tr>
      <w:tr>
        <w:trPr>
          <w:trHeight w:val="274" w:hRule="exact"/>
        </w:trPr>
        <w:tc>
          <w:tcPr>
            <w:tcW w:w="248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企业年金缴费</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3,576,405.35</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21,668,358.79</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23,970,232.12</w:t>
            </w:r>
          </w:p>
        </w:tc>
        <w:tc>
          <w:tcPr>
            <w:tcW w:w="14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1,274,532.02</w:t>
            </w:r>
          </w:p>
        </w:tc>
      </w:tr>
      <w:tr>
        <w:trPr>
          <w:trHeight w:val="283" w:hRule="exact"/>
        </w:trPr>
        <w:tc>
          <w:tcPr>
            <w:tcW w:w="2485"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1066"/>
              <w:jc w:val="right"/>
              <w:rPr>
                <w:rFonts w:ascii="宋体" w:hAnsi="宋体" w:cs="宋体" w:eastAsia="宋体" w:hint="default"/>
                <w:sz w:val="16"/>
                <w:szCs w:val="16"/>
              </w:rPr>
            </w:pPr>
            <w:r>
              <w:rPr>
                <w:rFonts w:ascii="宋体" w:hAnsi="宋体" w:cs="宋体" w:eastAsia="宋体" w:hint="default"/>
                <w:sz w:val="16"/>
                <w:szCs w:val="16"/>
              </w:rPr>
              <w:t>合计</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2"/>
                <w:sz w:val="16"/>
              </w:rPr>
              <w:t>34,745,554.39</w:t>
            </w:r>
          </w:p>
        </w:tc>
        <w:tc>
          <w:tcPr>
            <w:tcW w:w="14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135,304,599.14</w:t>
            </w:r>
          </w:p>
        </w:tc>
        <w:tc>
          <w:tcPr>
            <w:tcW w:w="14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143,034,955.58</w:t>
            </w:r>
          </w:p>
        </w:tc>
        <w:tc>
          <w:tcPr>
            <w:tcW w:w="142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27,015,197.95</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应交税费</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89"/>
        <w:gridCol w:w="2408"/>
        <w:gridCol w:w="2408"/>
      </w:tblGrid>
      <w:tr>
        <w:trPr>
          <w:trHeight w:val="286" w:hRule="exact"/>
        </w:trPr>
        <w:tc>
          <w:tcPr>
            <w:tcW w:w="33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税费项目</w:t>
            </w:r>
          </w:p>
        </w:tc>
        <w:tc>
          <w:tcPr>
            <w:tcW w:w="24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1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1"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企业所得税</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62,829,737.64</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222,195,052.35</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增值税</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57,004,615.90</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60,442,129.92</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个人所得税</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7,348,223.89</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4,905,637.79</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印花税</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3,596,347.27</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3,224,236.79</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城市维护建设税</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3,302,443.22</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3,352,630.87</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教育费附加</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2,439,693.90</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2,614,535.30</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土地增值税</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1,169,999.87</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3,456,238.83</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房产税</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1,009,860.88</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1,338,533.53</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消费税</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588,472.53</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661,165.63</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土地使用税</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540,254.68</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635,037.30</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1,396,508.34</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1,283,030.11</w:t>
            </w:r>
          </w:p>
        </w:tc>
      </w:tr>
      <w:tr>
        <w:trPr>
          <w:trHeight w:val="286" w:hRule="exact"/>
        </w:trPr>
        <w:tc>
          <w:tcPr>
            <w:tcW w:w="33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4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141,226,158.12</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304,108,228.42</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其他应付款</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814"/>
        <w:gridCol w:w="2158"/>
        <w:gridCol w:w="2233"/>
      </w:tblGrid>
      <w:tr>
        <w:trPr>
          <w:trHeight w:val="283" w:hRule="exact"/>
        </w:trPr>
        <w:tc>
          <w:tcPr>
            <w:tcW w:w="38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730"/>
              <w:jc w:val="right"/>
              <w:rPr>
                <w:rFonts w:ascii="宋体" w:hAnsi="宋体" w:cs="宋体" w:eastAsia="宋体" w:hint="default"/>
                <w:sz w:val="16"/>
                <w:szCs w:val="16"/>
              </w:rPr>
            </w:pPr>
            <w:r>
              <w:rPr>
                <w:rFonts w:ascii="宋体" w:hAnsi="宋体" w:cs="宋体" w:eastAsia="宋体" w:hint="default"/>
                <w:sz w:val="16"/>
                <w:szCs w:val="16"/>
              </w:rPr>
              <w:t>项目</w:t>
            </w:r>
          </w:p>
        </w:tc>
        <w:tc>
          <w:tcPr>
            <w:tcW w:w="21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631"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8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21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5,981.01</w:t>
            </w:r>
          </w:p>
        </w:tc>
        <w:tc>
          <w:tcPr>
            <w:tcW w:w="2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41,442.81</w:t>
            </w:r>
          </w:p>
        </w:tc>
      </w:tr>
      <w:tr>
        <w:trPr>
          <w:trHeight w:val="274" w:hRule="exact"/>
        </w:trPr>
        <w:tc>
          <w:tcPr>
            <w:tcW w:w="38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21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12,824,961.46</w:t>
            </w:r>
          </w:p>
        </w:tc>
        <w:tc>
          <w:tcPr>
            <w:tcW w:w="2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1,698,626.38</w:t>
            </w:r>
          </w:p>
        </w:tc>
      </w:tr>
      <w:tr>
        <w:trPr>
          <w:trHeight w:val="274" w:hRule="exact"/>
        </w:trPr>
        <w:tc>
          <w:tcPr>
            <w:tcW w:w="38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其他应付款项</w:t>
            </w:r>
          </w:p>
        </w:tc>
        <w:tc>
          <w:tcPr>
            <w:tcW w:w="21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1,158,221,268.16</w:t>
            </w:r>
          </w:p>
        </w:tc>
        <w:tc>
          <w:tcPr>
            <w:tcW w:w="2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766,140,931.75</w:t>
            </w:r>
          </w:p>
        </w:tc>
      </w:tr>
      <w:tr>
        <w:trPr>
          <w:trHeight w:val="284" w:hRule="exact"/>
        </w:trPr>
        <w:tc>
          <w:tcPr>
            <w:tcW w:w="38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1730"/>
              <w:jc w:val="right"/>
              <w:rPr>
                <w:rFonts w:ascii="宋体" w:hAnsi="宋体" w:cs="宋体" w:eastAsia="宋体" w:hint="default"/>
                <w:sz w:val="16"/>
                <w:szCs w:val="16"/>
              </w:rPr>
            </w:pPr>
            <w:r>
              <w:rPr>
                <w:rFonts w:ascii="宋体" w:hAnsi="宋体" w:cs="宋体" w:eastAsia="宋体" w:hint="default"/>
                <w:sz w:val="16"/>
                <w:szCs w:val="16"/>
              </w:rPr>
              <w:t>合计</w:t>
            </w:r>
          </w:p>
        </w:tc>
        <w:tc>
          <w:tcPr>
            <w:tcW w:w="21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6"/>
                <w:szCs w:val="16"/>
              </w:rPr>
            </w:pPr>
            <w:r>
              <w:rPr>
                <w:rFonts w:ascii="Times New Roman"/>
                <w:spacing w:val="-1"/>
                <w:sz w:val="16"/>
              </w:rPr>
              <w:t>1,171,052,210.63</w:t>
            </w:r>
          </w:p>
        </w:tc>
        <w:tc>
          <w:tcPr>
            <w:tcW w:w="2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6"/>
                <w:szCs w:val="16"/>
              </w:rPr>
            </w:pPr>
            <w:r>
              <w:rPr>
                <w:rFonts w:ascii="Times New Roman"/>
                <w:spacing w:val="-1"/>
                <w:sz w:val="16"/>
              </w:rPr>
              <w:t>767,881,000.94</w:t>
            </w:r>
          </w:p>
        </w:tc>
      </w:tr>
    </w:tbl>
    <w:p>
      <w:pPr>
        <w:spacing w:line="240" w:lineRule="auto" w:before="9"/>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1</w:t>
      </w:r>
      <w:r>
        <w:rPr/>
        <w:t>、</w:t>
        <w:tab/>
        <w:t>应付利息</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668"/>
        <w:gridCol w:w="2129"/>
        <w:gridCol w:w="2408"/>
      </w:tblGrid>
      <w:tr>
        <w:trPr>
          <w:trHeight w:val="283" w:hRule="exact"/>
        </w:trPr>
        <w:tc>
          <w:tcPr>
            <w:tcW w:w="366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1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17"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6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分期付息到期还本的长期借款利息</w:t>
            </w:r>
          </w:p>
        </w:tc>
        <w:tc>
          <w:tcPr>
            <w:tcW w:w="2129" w:type="dxa"/>
            <w:tcBorders>
              <w:top w:val="dotted" w:sz="4" w:space="0" w:color="000000"/>
              <w:left w:val="dotted" w:sz="4" w:space="0" w:color="000000"/>
              <w:bottom w:val="dotted" w:sz="4" w:space="0" w:color="000000"/>
              <w:right w:val="dotted" w:sz="4" w:space="0" w:color="000000"/>
            </w:tcBorders>
          </w:tcPr>
          <w:p>
            <w:pP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38,000.00</w:t>
            </w:r>
          </w:p>
        </w:tc>
      </w:tr>
      <w:tr>
        <w:trPr>
          <w:trHeight w:val="274" w:hRule="exact"/>
        </w:trPr>
        <w:tc>
          <w:tcPr>
            <w:tcW w:w="36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短期借款应付利息</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5,981.01</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3,442.81</w:t>
            </w:r>
          </w:p>
        </w:tc>
      </w:tr>
      <w:tr>
        <w:trPr>
          <w:trHeight w:val="283" w:hRule="exact"/>
        </w:trPr>
        <w:tc>
          <w:tcPr>
            <w:tcW w:w="36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5,981.01</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41,442.81</w:t>
            </w:r>
          </w:p>
        </w:tc>
      </w:tr>
    </w:tbl>
    <w:p>
      <w:pPr>
        <w:spacing w:after="0" w:line="240" w:lineRule="auto"/>
        <w:jc w:val="right"/>
        <w:rPr>
          <w:rFonts w:ascii="Times New Roman" w:hAnsi="Times New Roman" w:cs="Times New Roman" w:eastAsia="Times New Roman" w:hint="default"/>
          <w:sz w:val="16"/>
          <w:szCs w:val="16"/>
        </w:rPr>
        <w:sectPr>
          <w:pgSz w:w="11910" w:h="16840"/>
          <w:pgMar w:header="0" w:footer="997" w:top="1500" w:bottom="1180" w:left="1660" w:right="0"/>
        </w:sectPr>
      </w:pPr>
    </w:p>
    <w:p>
      <w:pPr>
        <w:spacing w:line="240" w:lineRule="auto" w:before="12"/>
        <w:rPr>
          <w:rFonts w:ascii="宋体" w:hAnsi="宋体" w:cs="宋体" w:eastAsia="宋体" w:hint="default"/>
          <w:b/>
          <w:bCs/>
          <w:sz w:val="22"/>
          <w:szCs w:val="22"/>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t>应付股利</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514"/>
        <w:gridCol w:w="2256"/>
        <w:gridCol w:w="2434"/>
      </w:tblGrid>
      <w:tr>
        <w:trPr>
          <w:trHeight w:val="286" w:hRule="exact"/>
        </w:trPr>
        <w:tc>
          <w:tcPr>
            <w:tcW w:w="35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1583"/>
              <w:jc w:val="right"/>
              <w:rPr>
                <w:rFonts w:ascii="宋体" w:hAnsi="宋体" w:cs="宋体" w:eastAsia="宋体" w:hint="default"/>
                <w:sz w:val="16"/>
                <w:szCs w:val="16"/>
              </w:rPr>
            </w:pPr>
            <w:r>
              <w:rPr>
                <w:rFonts w:ascii="宋体" w:hAnsi="宋体" w:cs="宋体" w:eastAsia="宋体" w:hint="default"/>
                <w:sz w:val="16"/>
                <w:szCs w:val="16"/>
              </w:rPr>
              <w:t>项目</w:t>
            </w:r>
          </w:p>
        </w:tc>
        <w:tc>
          <w:tcPr>
            <w:tcW w:w="22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3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729"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5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子公司普通股股利</w:t>
            </w:r>
          </w:p>
        </w:tc>
        <w:tc>
          <w:tcPr>
            <w:tcW w:w="2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12,824,961.46</w:t>
            </w:r>
          </w:p>
        </w:tc>
        <w:tc>
          <w:tcPr>
            <w:tcW w:w="24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1,698,626.38</w:t>
            </w:r>
          </w:p>
        </w:tc>
      </w:tr>
      <w:tr>
        <w:trPr>
          <w:trHeight w:val="283" w:hRule="exact"/>
        </w:trPr>
        <w:tc>
          <w:tcPr>
            <w:tcW w:w="35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83"/>
              <w:jc w:val="right"/>
              <w:rPr>
                <w:rFonts w:ascii="宋体" w:hAnsi="宋体" w:cs="宋体" w:eastAsia="宋体" w:hint="default"/>
                <w:sz w:val="16"/>
                <w:szCs w:val="16"/>
              </w:rPr>
            </w:pPr>
            <w:r>
              <w:rPr>
                <w:rFonts w:ascii="宋体" w:hAnsi="宋体" w:cs="宋体" w:eastAsia="宋体" w:hint="default"/>
                <w:sz w:val="16"/>
                <w:szCs w:val="16"/>
              </w:rPr>
              <w:t>合计</w:t>
            </w:r>
          </w:p>
        </w:tc>
        <w:tc>
          <w:tcPr>
            <w:tcW w:w="22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12,824,961.46</w:t>
            </w:r>
          </w:p>
        </w:tc>
        <w:tc>
          <w:tcPr>
            <w:tcW w:w="243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1,698,626.38</w:t>
            </w:r>
          </w:p>
        </w:tc>
      </w:tr>
    </w:tbl>
    <w:p>
      <w:pPr>
        <w:spacing w:line="240" w:lineRule="auto" w:before="6"/>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3</w:t>
      </w:r>
      <w:r>
        <w:rPr/>
        <w:t>、</w:t>
        <w:tab/>
        <w:t>其他应付款项</w:t>
      </w:r>
      <w:r>
        <w:rPr>
          <w:b w:val="0"/>
          <w:bCs w:val="0"/>
        </w:rPr>
      </w:r>
    </w:p>
    <w:p>
      <w:pPr>
        <w:pStyle w:val="BodyText"/>
        <w:spacing w:line="240" w:lineRule="auto" w:before="110"/>
        <w:ind w:right="3683"/>
        <w:jc w:val="left"/>
      </w:pPr>
      <w:r>
        <w:rPr/>
        <w:t>（</w:t>
      </w:r>
      <w:r>
        <w:rPr>
          <w:rFonts w:ascii="Times New Roman" w:hAnsi="Times New Roman" w:cs="Times New Roman" w:eastAsia="Times New Roman" w:hint="default"/>
        </w:rPr>
        <w:t>1</w:t>
      </w:r>
      <w:r>
        <w:rPr/>
        <w:t>）按款项性质列示</w:t>
      </w:r>
    </w:p>
    <w:tbl>
      <w:tblPr>
        <w:tblW w:w="0" w:type="auto"/>
        <w:jc w:val="left"/>
        <w:tblInd w:w="721" w:type="dxa"/>
        <w:tblLayout w:type="fixed"/>
        <w:tblCellMar>
          <w:top w:w="0" w:type="dxa"/>
          <w:left w:w="0" w:type="dxa"/>
          <w:bottom w:w="0" w:type="dxa"/>
          <w:right w:w="0" w:type="dxa"/>
        </w:tblCellMar>
        <w:tblLook w:val="01E0"/>
      </w:tblPr>
      <w:tblGrid>
        <w:gridCol w:w="3387"/>
        <w:gridCol w:w="2381"/>
        <w:gridCol w:w="2437"/>
      </w:tblGrid>
      <w:tr>
        <w:trPr>
          <w:trHeight w:val="283" w:hRule="exact"/>
        </w:trPr>
        <w:tc>
          <w:tcPr>
            <w:tcW w:w="33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517"/>
              <w:jc w:val="right"/>
              <w:rPr>
                <w:rFonts w:ascii="宋体" w:hAnsi="宋体" w:cs="宋体" w:eastAsia="宋体" w:hint="default"/>
                <w:sz w:val="16"/>
                <w:szCs w:val="16"/>
              </w:rPr>
            </w:pPr>
            <w:r>
              <w:rPr>
                <w:rFonts w:ascii="宋体" w:hAnsi="宋体" w:cs="宋体" w:eastAsia="宋体" w:hint="default"/>
                <w:sz w:val="16"/>
                <w:szCs w:val="16"/>
              </w:rPr>
              <w:t>项目</w:t>
            </w:r>
          </w:p>
        </w:tc>
        <w:tc>
          <w:tcPr>
            <w:tcW w:w="23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29"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业务往来</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530,498,736.43</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493,358,681.17</w:t>
            </w:r>
          </w:p>
        </w:tc>
      </w:tr>
      <w:tr>
        <w:trPr>
          <w:trHeight w:val="274"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设备款及工程款</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298,843,199.53</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13,639,972.02</w:t>
            </w:r>
          </w:p>
        </w:tc>
      </w:tr>
      <w:tr>
        <w:trPr>
          <w:trHeight w:val="274"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代垫及暂收款</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137,833,441.34</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140,078,632.00</w:t>
            </w:r>
          </w:p>
        </w:tc>
      </w:tr>
      <w:tr>
        <w:trPr>
          <w:trHeight w:val="274"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保证金</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80,090,839.48</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48,823,436.48</w:t>
            </w:r>
          </w:p>
        </w:tc>
      </w:tr>
      <w:tr>
        <w:trPr>
          <w:trHeight w:val="274"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110,955,051.38</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70,240,210.08</w:t>
            </w:r>
          </w:p>
        </w:tc>
      </w:tr>
      <w:tr>
        <w:trPr>
          <w:trHeight w:val="286" w:hRule="exact"/>
        </w:trPr>
        <w:tc>
          <w:tcPr>
            <w:tcW w:w="33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17"/>
              <w:jc w:val="right"/>
              <w:rPr>
                <w:rFonts w:ascii="宋体" w:hAnsi="宋体" w:cs="宋体" w:eastAsia="宋体" w:hint="default"/>
                <w:sz w:val="16"/>
                <w:szCs w:val="16"/>
              </w:rPr>
            </w:pPr>
            <w:r>
              <w:rPr>
                <w:rFonts w:ascii="宋体" w:hAnsi="宋体" w:cs="宋体" w:eastAsia="宋体" w:hint="default"/>
                <w:sz w:val="16"/>
                <w:szCs w:val="16"/>
              </w:rPr>
              <w:t>合计</w:t>
            </w:r>
          </w:p>
        </w:tc>
        <w:tc>
          <w:tcPr>
            <w:tcW w:w="23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1,158,221,268.16</w:t>
            </w:r>
          </w:p>
        </w:tc>
        <w:tc>
          <w:tcPr>
            <w:tcW w:w="24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766,140,931.75</w:t>
            </w:r>
          </w:p>
        </w:tc>
      </w:tr>
    </w:tbl>
    <w:p>
      <w:pPr>
        <w:spacing w:line="240" w:lineRule="auto" w:before="6"/>
        <w:rPr>
          <w:rFonts w:ascii="宋体" w:hAnsi="宋体" w:cs="宋体" w:eastAsia="宋体" w:hint="default"/>
          <w:sz w:val="27"/>
          <w:szCs w:val="27"/>
        </w:rPr>
      </w:pPr>
    </w:p>
    <w:p>
      <w:pPr>
        <w:pStyle w:val="BodyText"/>
        <w:spacing w:line="240" w:lineRule="auto"/>
        <w:ind w:right="3683"/>
        <w:jc w:val="left"/>
      </w:pPr>
      <w:r>
        <w:rPr/>
        <w:t>（</w:t>
      </w:r>
      <w:r>
        <w:rPr>
          <w:rFonts w:ascii="Times New Roman" w:hAnsi="Times New Roman" w:cs="Times New Roman" w:eastAsia="Times New Roman" w:hint="default"/>
        </w:rPr>
        <w:t>2</w:t>
      </w:r>
      <w:r>
        <w:rPr/>
        <w:t>）账龄超过一年的重要其他应付款项</w:t>
      </w:r>
    </w:p>
    <w:tbl>
      <w:tblPr>
        <w:tblW w:w="0" w:type="auto"/>
        <w:jc w:val="left"/>
        <w:tblInd w:w="721" w:type="dxa"/>
        <w:tblLayout w:type="fixed"/>
        <w:tblCellMar>
          <w:top w:w="0" w:type="dxa"/>
          <w:left w:w="0" w:type="dxa"/>
          <w:bottom w:w="0" w:type="dxa"/>
          <w:right w:w="0" w:type="dxa"/>
        </w:tblCellMar>
        <w:tblLook w:val="01E0"/>
      </w:tblPr>
      <w:tblGrid>
        <w:gridCol w:w="3838"/>
        <w:gridCol w:w="1930"/>
        <w:gridCol w:w="2437"/>
      </w:tblGrid>
      <w:tr>
        <w:trPr>
          <w:trHeight w:val="283" w:hRule="exact"/>
        </w:trPr>
        <w:tc>
          <w:tcPr>
            <w:tcW w:w="383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9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636"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24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未偿还或结转的原因</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294,872,507.85</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中国电子系统技术有限公司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11,705,020.07</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财政奖励金</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7,460,417.00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拨款资金，待确认</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深圳市创能达电子科技有限公司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5,500,000.00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鹏博士电信传媒集团股份有限公司北京</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3,294,786.00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保证金</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武汉祥瑞环境技术有限公司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2,296,846.00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鹏博士电信传媒集团股份有限公司深圳</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2,229,677.56</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保证金</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深圳长城开发精密技术有限公司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1,246,932.00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保证金</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西安博瑞集信电子科技有限公司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2"/>
              <w:jc w:val="right"/>
              <w:rPr>
                <w:rFonts w:ascii="Times New Roman" w:hAnsi="Times New Roman" w:cs="Times New Roman" w:eastAsia="Times New Roman" w:hint="default"/>
                <w:sz w:val="16"/>
                <w:szCs w:val="16"/>
              </w:rPr>
            </w:pPr>
            <w:r>
              <w:rPr>
                <w:rFonts w:ascii="Times New Roman"/>
                <w:spacing w:val="-1"/>
                <w:sz w:val="16"/>
              </w:rPr>
              <w:t>909,480.00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湖南财信投资控股公司（专项资金）</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883,978.00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拨款资金，待确认</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长沙湘计开拓物业管理有限公司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700,000.00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上海易建信息技术有限公司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693,318.00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深圳创通美科技有限公司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432,982.75</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961 </w:t>
            </w:r>
            <w:r>
              <w:rPr>
                <w:rFonts w:ascii="宋体" w:hAnsi="宋体" w:cs="宋体" w:eastAsia="宋体" w:hint="default"/>
                <w:sz w:val="16"/>
                <w:szCs w:val="16"/>
              </w:rPr>
              <w:t>工程款</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400,000.00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1"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长沙极客营信息科技有限公司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381,120.00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惠科股份有限公司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300,000.00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长沙博创餐饮管理有限公司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270,450.00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湖南京电乐成电力工程有限公司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250,000.00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武汉国营长江电源厂模具分厂</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130,400.00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74" w:hRule="exact"/>
        </w:trPr>
        <w:tc>
          <w:tcPr>
            <w:tcW w:w="38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深圳市前海壹互联科技投资有限公司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104,850.00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r>
        <w:trPr>
          <w:trHeight w:val="286" w:hRule="exact"/>
        </w:trPr>
        <w:tc>
          <w:tcPr>
            <w:tcW w:w="38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株洲金威龙物流有限公司</w:t>
            </w:r>
          </w:p>
        </w:tc>
        <w:tc>
          <w:tcPr>
            <w:tcW w:w="19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100,000.00</w:t>
            </w:r>
          </w:p>
        </w:tc>
        <w:tc>
          <w:tcPr>
            <w:tcW w:w="24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未结算</w:t>
            </w:r>
          </w:p>
        </w:tc>
      </w:tr>
    </w:tbl>
    <w:p>
      <w:pPr>
        <w:spacing w:line="240" w:lineRule="auto" w:before="7"/>
        <w:rPr>
          <w:rFonts w:ascii="宋体" w:hAnsi="宋体" w:cs="宋体" w:eastAsia="宋体" w:hint="default"/>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一年内到期的非流动负债</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89"/>
        <w:gridCol w:w="2379"/>
        <w:gridCol w:w="2437"/>
      </w:tblGrid>
      <w:tr>
        <w:trPr>
          <w:trHeight w:val="283" w:hRule="exact"/>
        </w:trPr>
        <w:tc>
          <w:tcPr>
            <w:tcW w:w="33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3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31"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一年内到期的长期借款</w:t>
            </w:r>
          </w:p>
        </w:tc>
        <w:tc>
          <w:tcPr>
            <w:tcW w:w="23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4,000,000.00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784,000,000.00</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一年内到期的长期应付款「注」</w:t>
            </w:r>
          </w:p>
        </w:tc>
        <w:tc>
          <w:tcPr>
            <w:tcW w:w="23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6,000,000.00</w:t>
            </w:r>
          </w:p>
        </w:tc>
        <w:tc>
          <w:tcPr>
            <w:tcW w:w="2437"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33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3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10,000,000.00</w:t>
            </w:r>
          </w:p>
        </w:tc>
        <w:tc>
          <w:tcPr>
            <w:tcW w:w="24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784,000,000.00</w:t>
            </w:r>
          </w:p>
        </w:tc>
      </w:tr>
    </w:tbl>
    <w:p>
      <w:pPr>
        <w:spacing w:line="240" w:lineRule="auto" w:before="6"/>
        <w:rPr>
          <w:rFonts w:ascii="宋体" w:hAnsi="宋体" w:cs="宋体" w:eastAsia="宋体" w:hint="default"/>
          <w:b/>
          <w:bCs/>
          <w:sz w:val="5"/>
          <w:szCs w:val="5"/>
        </w:rPr>
      </w:pPr>
    </w:p>
    <w:p>
      <w:pPr>
        <w:pStyle w:val="BodyText"/>
        <w:spacing w:line="240" w:lineRule="auto"/>
        <w:ind w:left="850" w:right="1468"/>
        <w:jc w:val="left"/>
      </w:pPr>
      <w:r>
        <w:rPr/>
        <w:t>注：一年内到期的长期应付款情况详见五（三十五）</w:t>
      </w:r>
      <w:r>
        <w:rPr>
          <w:spacing w:val="-5"/>
        </w:rPr>
        <w:t> </w:t>
      </w:r>
      <w:r>
        <w:rPr/>
        <w:t>长期应付款注释。</w:t>
      </w:r>
    </w:p>
    <w:p>
      <w:pPr>
        <w:spacing w:after="0" w:line="240" w:lineRule="auto"/>
        <w:jc w:val="left"/>
        <w:sectPr>
          <w:pgSz w:w="11910" w:h="16840"/>
          <w:pgMar w:header="0" w:footer="997" w:top="1500" w:bottom="1180" w:left="1660" w:right="0"/>
        </w:sectPr>
      </w:pPr>
    </w:p>
    <w:p>
      <w:pPr>
        <w:spacing w:line="240" w:lineRule="auto" w:before="12"/>
        <w:rPr>
          <w:rFonts w:ascii="宋体" w:hAnsi="宋体" w:cs="宋体" w:eastAsia="宋体" w:hint="default"/>
          <w:sz w:val="22"/>
          <w:szCs w:val="22"/>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其他流动负债</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89"/>
        <w:gridCol w:w="2408"/>
        <w:gridCol w:w="2408"/>
      </w:tblGrid>
      <w:tr>
        <w:trPr>
          <w:trHeight w:val="286" w:hRule="exact"/>
        </w:trPr>
        <w:tc>
          <w:tcPr>
            <w:tcW w:w="33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1519"/>
              <w:jc w:val="right"/>
              <w:rPr>
                <w:rFonts w:ascii="宋体" w:hAnsi="宋体" w:cs="宋体" w:eastAsia="宋体" w:hint="default"/>
                <w:sz w:val="16"/>
                <w:szCs w:val="16"/>
              </w:rPr>
            </w:pPr>
            <w:r>
              <w:rPr>
                <w:rFonts w:ascii="宋体" w:hAnsi="宋体" w:cs="宋体" w:eastAsia="宋体" w:hint="default"/>
                <w:sz w:val="16"/>
                <w:szCs w:val="16"/>
              </w:rPr>
              <w:t>项目</w:t>
            </w:r>
          </w:p>
        </w:tc>
        <w:tc>
          <w:tcPr>
            <w:tcW w:w="24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71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保用拨备</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76,324,786.50</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33,820,986.89</w:t>
            </w:r>
          </w:p>
        </w:tc>
      </w:tr>
      <w:tr>
        <w:trPr>
          <w:trHeight w:val="480"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01"/>
              <w:jc w:val="left"/>
              <w:rPr>
                <w:rFonts w:ascii="宋体" w:hAnsi="宋体" w:cs="宋体" w:eastAsia="宋体" w:hint="default"/>
                <w:sz w:val="16"/>
                <w:szCs w:val="16"/>
              </w:rPr>
            </w:pPr>
            <w:r>
              <w:rPr>
                <w:rFonts w:ascii="宋体" w:hAnsi="宋体" w:cs="宋体" w:eastAsia="宋体" w:hint="default"/>
                <w:spacing w:val="4"/>
                <w:sz w:val="16"/>
                <w:szCs w:val="16"/>
              </w:rPr>
              <w:t>已背书或贴现且在资产负债表日尚未到期的</w:t>
            </w:r>
            <w:r>
              <w:rPr>
                <w:rFonts w:ascii="宋体" w:hAnsi="宋体" w:cs="宋体" w:eastAsia="宋体" w:hint="default"/>
                <w:spacing w:val="-45"/>
                <w:sz w:val="16"/>
                <w:szCs w:val="16"/>
              </w:rPr>
              <w:t> </w:t>
            </w:r>
            <w:r>
              <w:rPr>
                <w:rFonts w:ascii="宋体" w:hAnsi="宋体" w:cs="宋体" w:eastAsia="宋体" w:hint="default"/>
                <w:spacing w:val="-45"/>
                <w:sz w:val="16"/>
                <w:szCs w:val="16"/>
              </w:rPr>
            </w:r>
            <w:r>
              <w:rPr>
                <w:rFonts w:ascii="宋体" w:hAnsi="宋体" w:cs="宋体" w:eastAsia="宋体" w:hint="default"/>
                <w:sz w:val="16"/>
                <w:szCs w:val="16"/>
              </w:rPr>
              <w:t>应收票据</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34,495,938.79</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2"/>
                <w:sz w:val="16"/>
              </w:rPr>
              <w:t>76,926,695.88</w:t>
            </w:r>
          </w:p>
        </w:tc>
      </w:tr>
      <w:tr>
        <w:trPr>
          <w:trHeight w:val="286" w:hRule="exact"/>
        </w:trPr>
        <w:tc>
          <w:tcPr>
            <w:tcW w:w="33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19"/>
              <w:jc w:val="right"/>
              <w:rPr>
                <w:rFonts w:ascii="宋体" w:hAnsi="宋体" w:cs="宋体" w:eastAsia="宋体" w:hint="default"/>
                <w:sz w:val="16"/>
                <w:szCs w:val="16"/>
              </w:rPr>
            </w:pPr>
            <w:r>
              <w:rPr>
                <w:rFonts w:ascii="宋体" w:hAnsi="宋体" w:cs="宋体" w:eastAsia="宋体" w:hint="default"/>
                <w:sz w:val="16"/>
                <w:szCs w:val="16"/>
              </w:rPr>
              <w:t>合计</w:t>
            </w:r>
          </w:p>
        </w:tc>
        <w:tc>
          <w:tcPr>
            <w:tcW w:w="24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110,820,725.29</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110,747,682.77</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长期借款</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89"/>
        <w:gridCol w:w="2408"/>
        <w:gridCol w:w="2408"/>
      </w:tblGrid>
      <w:tr>
        <w:trPr>
          <w:trHeight w:val="283" w:hRule="exact"/>
        </w:trPr>
        <w:tc>
          <w:tcPr>
            <w:tcW w:w="33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519"/>
              <w:jc w:val="right"/>
              <w:rPr>
                <w:rFonts w:ascii="宋体" w:hAnsi="宋体" w:cs="宋体" w:eastAsia="宋体" w:hint="default"/>
                <w:sz w:val="16"/>
                <w:szCs w:val="16"/>
              </w:rPr>
            </w:pPr>
            <w:r>
              <w:rPr>
                <w:rFonts w:ascii="宋体" w:hAnsi="宋体" w:cs="宋体" w:eastAsia="宋体" w:hint="default"/>
                <w:sz w:val="16"/>
                <w:szCs w:val="16"/>
              </w:rPr>
              <w:t>项目</w:t>
            </w:r>
          </w:p>
        </w:tc>
        <w:tc>
          <w:tcPr>
            <w:tcW w:w="24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1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抵押借款「注</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1,703,104,307.23</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595,584,695.47</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保证借款「注</w:t>
            </w:r>
            <w:r>
              <w:rPr>
                <w:rFonts w:ascii="宋体" w:hAnsi="宋体" w:cs="宋体" w:eastAsia="宋体" w:hint="default"/>
                <w:spacing w:val="-38"/>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104,000,000.00</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148,000,000.00</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信用借款</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400,000,000.00</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500,000,000.00</w:t>
            </w:r>
          </w:p>
        </w:tc>
      </w:tr>
      <w:tr>
        <w:trPr>
          <w:trHeight w:val="283" w:hRule="exact"/>
        </w:trPr>
        <w:tc>
          <w:tcPr>
            <w:tcW w:w="33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19"/>
              <w:jc w:val="right"/>
              <w:rPr>
                <w:rFonts w:ascii="宋体" w:hAnsi="宋体" w:cs="宋体" w:eastAsia="宋体" w:hint="default"/>
                <w:sz w:val="16"/>
                <w:szCs w:val="16"/>
              </w:rPr>
            </w:pPr>
            <w:r>
              <w:rPr>
                <w:rFonts w:ascii="宋体" w:hAnsi="宋体" w:cs="宋体" w:eastAsia="宋体" w:hint="default"/>
                <w:sz w:val="16"/>
                <w:szCs w:val="16"/>
              </w:rPr>
              <w:t>合计</w:t>
            </w:r>
          </w:p>
        </w:tc>
        <w:tc>
          <w:tcPr>
            <w:tcW w:w="24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2,207,104,307.23</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1,243,584,695.47</w:t>
            </w:r>
          </w:p>
        </w:tc>
      </w:tr>
    </w:tbl>
    <w:p>
      <w:pPr>
        <w:pStyle w:val="BodyText"/>
        <w:spacing w:line="247" w:lineRule="auto" w:before="10"/>
        <w:ind w:left="850" w:right="1791" w:firstLine="55"/>
        <w:jc w:val="center"/>
      </w:pPr>
      <w:r>
        <w:rPr/>
        <w:t>注</w:t>
      </w:r>
      <w:r>
        <w:rPr>
          <w:spacing w:val="-54"/>
        </w:rPr>
        <w:t> </w:t>
      </w:r>
      <w:r>
        <w:rPr>
          <w:rFonts w:ascii="Times New Roman" w:hAnsi="Times New Roman" w:cs="Times New Roman" w:eastAsia="Times New Roman" w:hint="default"/>
        </w:rPr>
        <w:t>1</w:t>
      </w:r>
      <w:r>
        <w:rPr/>
        <w:t>：</w:t>
      </w:r>
      <w:r>
        <w:rPr>
          <w:spacing w:val="-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日，本公司同中国建设银行深圳市分行（以下称为</w:t>
      </w:r>
      <w:r>
        <w:rPr>
          <w:rFonts w:ascii="Times New Roman" w:hAnsi="Times New Roman" w:cs="Times New Roman" w:eastAsia="Times New Roman" w:hint="default"/>
        </w:rPr>
        <w:t>“</w:t>
      </w:r>
      <w:r>
        <w:rPr/>
        <w:t>建行深</w:t>
      </w:r>
      <w:r>
        <w:rPr>
          <w:w w:val="100"/>
        </w:rPr>
        <w:t> </w:t>
      </w:r>
      <w:r>
        <w:rPr>
          <w:spacing w:val="-3"/>
        </w:rPr>
        <w:t>圳分行</w:t>
      </w:r>
      <w:r>
        <w:rPr>
          <w:rFonts w:ascii="Times New Roman" w:hAnsi="Times New Roman" w:cs="Times New Roman" w:eastAsia="Times New Roman" w:hint="default"/>
          <w:spacing w:val="-3"/>
        </w:rPr>
        <w:t>”</w:t>
      </w:r>
      <w:r>
        <w:rPr>
          <w:spacing w:val="-3"/>
        </w:rPr>
        <w:t>）和平安银行深圳分行（以下称为</w:t>
      </w:r>
      <w:r>
        <w:rPr>
          <w:rFonts w:ascii="Times New Roman" w:hAnsi="Times New Roman" w:cs="Times New Roman" w:eastAsia="Times New Roman" w:hint="default"/>
          <w:spacing w:val="-3"/>
        </w:rPr>
        <w:t>“</w:t>
      </w:r>
      <w:r>
        <w:rPr>
          <w:spacing w:val="-3"/>
        </w:rPr>
        <w:t>平安银行</w:t>
      </w:r>
      <w:r>
        <w:rPr>
          <w:rFonts w:ascii="Times New Roman" w:hAnsi="Times New Roman" w:cs="Times New Roman" w:eastAsia="Times New Roman" w:hint="default"/>
          <w:spacing w:val="-3"/>
        </w:rPr>
        <w:t>”</w:t>
      </w:r>
      <w:r>
        <w:rPr>
          <w:spacing w:val="-3"/>
        </w:rPr>
        <w:t>）签署深圳中电长城大厦项目</w:t>
      </w:r>
    </w:p>
    <w:p>
      <w:pPr>
        <w:pStyle w:val="BodyText"/>
        <w:spacing w:line="252" w:lineRule="auto" w:before="2"/>
        <w:ind w:left="850" w:right="1784"/>
        <w:jc w:val="left"/>
      </w:pPr>
      <w:r>
        <w:rPr>
          <w:spacing w:val="-6"/>
          <w:w w:val="100"/>
        </w:rPr>
        <w:t>《银团贷款协议》，就本公司投资建设的深圳中电长城大厦项目提供专门借款，约定</w:t>
      </w:r>
      <w:r>
        <w:rPr>
          <w:spacing w:val="-103"/>
          <w:w w:val="100"/>
        </w:rPr>
        <w:t> </w:t>
      </w:r>
      <w:r>
        <w:rPr>
          <w:spacing w:val="-103"/>
          <w:w w:val="100"/>
        </w:rPr>
      </w:r>
      <w:r>
        <w:rPr/>
        <w:t>借款最高总额为人民币</w:t>
      </w:r>
      <w:r>
        <w:rPr>
          <w:spacing w:val="-54"/>
        </w:rPr>
        <w:t> </w:t>
      </w:r>
      <w:r>
        <w:rPr>
          <w:rFonts w:ascii="Times New Roman" w:hAnsi="Times New Roman" w:cs="Times New Roman" w:eastAsia="Times New Roman" w:hint="default"/>
        </w:rPr>
        <w:t>13.00</w:t>
      </w:r>
      <w:r>
        <w:rPr>
          <w:rFonts w:ascii="Times New Roman" w:hAnsi="Times New Roman" w:cs="Times New Roman" w:eastAsia="Times New Roman" w:hint="default"/>
          <w:spacing w:val="-2"/>
        </w:rPr>
        <w:t> </w:t>
      </w:r>
      <w:r>
        <w:rPr/>
        <w:t>亿元，其中建行深圳分行承贷人民币</w:t>
      </w:r>
      <w:r>
        <w:rPr>
          <w:spacing w:val="-55"/>
        </w:rPr>
        <w:t> </w:t>
      </w:r>
      <w:r>
        <w:rPr>
          <w:rFonts w:ascii="Times New Roman" w:hAnsi="Times New Roman" w:cs="Times New Roman" w:eastAsia="Times New Roman" w:hint="default"/>
        </w:rPr>
        <w:t>9.00</w:t>
      </w:r>
      <w:r>
        <w:rPr>
          <w:rFonts w:ascii="Times New Roman" w:hAnsi="Times New Roman" w:cs="Times New Roman" w:eastAsia="Times New Roman" w:hint="default"/>
          <w:spacing w:val="-5"/>
        </w:rPr>
        <w:t> </w:t>
      </w:r>
      <w:r>
        <w:rPr/>
        <w:t>亿元，平安</w:t>
      </w:r>
      <w:r>
        <w:rPr>
          <w:w w:val="100"/>
        </w:rPr>
        <w:t> </w:t>
      </w:r>
      <w:r>
        <w:rPr/>
        <w:t>银行承贷人民币</w:t>
      </w:r>
      <w:r>
        <w:rPr>
          <w:spacing w:val="-53"/>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亿元，本年利率为</w:t>
      </w:r>
      <w:r>
        <w:rPr>
          <w:spacing w:val="-54"/>
        </w:rPr>
        <w:t> </w:t>
      </w:r>
      <w:r>
        <w:rPr>
          <w:rFonts w:ascii="Times New Roman" w:hAnsi="Times New Roman" w:cs="Times New Roman" w:eastAsia="Times New Roman" w:hint="default"/>
        </w:rPr>
        <w:t>5.37%</w:t>
      </w:r>
      <w:r>
        <w:rPr/>
        <w:t>至</w:t>
      </w:r>
      <w:r>
        <w:rPr>
          <w:spacing w:val="-54"/>
        </w:rPr>
        <w:t> </w:t>
      </w:r>
      <w:r>
        <w:rPr>
          <w:rFonts w:ascii="Times New Roman" w:hAnsi="Times New Roman" w:cs="Times New Roman" w:eastAsia="Times New Roman" w:hint="default"/>
        </w:rPr>
        <w:t>5.39%</w:t>
      </w:r>
      <w:r>
        <w:rPr/>
        <w:t>，贷款期限为</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年；就该项</w:t>
      </w:r>
      <w:r>
        <w:rPr>
          <w:w w:val="100"/>
        </w:rPr>
        <w:t> </w:t>
      </w:r>
      <w:r>
        <w:rPr>
          <w:spacing w:val="-8"/>
          <w:w w:val="100"/>
        </w:rPr>
        <w:t>借款合同签署了深圳中电长城大厦项目《抵押合同》，抵押物为</w:t>
      </w:r>
      <w:r>
        <w:rPr>
          <w:spacing w:val="-46"/>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0"/>
          <w:w w:val="100"/>
        </w:rPr>
        <w:t> </w:t>
      </w:r>
      <w:r>
        <w:rPr>
          <w:spacing w:val="-2"/>
          <w:w w:val="100"/>
        </w:rPr>
        <w:t>号食堂整栋和宗地</w:t>
      </w:r>
      <w:r>
        <w:rPr>
          <w:spacing w:val="-102"/>
          <w:w w:val="100"/>
        </w:rPr>
        <w:t> </w:t>
      </w:r>
      <w:r>
        <w:rPr>
          <w:spacing w:val="-102"/>
          <w:w w:val="100"/>
        </w:rPr>
      </w:r>
      <w:r>
        <w:rPr/>
        <w:t>号</w:t>
      </w:r>
      <w:r>
        <w:rPr>
          <w:spacing w:val="-53"/>
        </w:rPr>
        <w:t> </w:t>
      </w:r>
      <w:r>
        <w:rPr>
          <w:rFonts w:ascii="Times New Roman" w:hAnsi="Times New Roman" w:cs="Times New Roman" w:eastAsia="Times New Roman" w:hint="default"/>
        </w:rPr>
        <w:t>T305-0001 </w:t>
      </w:r>
      <w:r>
        <w:rPr/>
        <w:t>的土地使用权；</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日，公司第七届董事会第二次会议决</w:t>
      </w:r>
      <w:r>
        <w:rPr>
          <w:w w:val="100"/>
        </w:rPr>
        <w:t> </w:t>
      </w:r>
      <w:r>
        <w:rPr>
          <w:spacing w:val="-2"/>
        </w:rPr>
        <w:t>议通过同意更换中电长城大厦基建项目银团贷款抵押物，并签订补充贷款协议，更</w:t>
      </w:r>
      <w:r>
        <w:rPr>
          <w:spacing w:val="-35"/>
        </w:rPr>
        <w:t> </w:t>
      </w:r>
      <w:r>
        <w:rPr>
          <w:spacing w:val="-35"/>
        </w:rPr>
      </w:r>
      <w:r>
        <w:rPr/>
        <w:t>换抵押的资产为位于深圳市宝安区石岩街道长城计算机厂区</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号厂房的房屋和土地</w:t>
      </w:r>
    </w:p>
    <w:p>
      <w:pPr>
        <w:pStyle w:val="BodyText"/>
        <w:spacing w:line="288" w:lineRule="exact" w:before="0"/>
        <w:ind w:left="850" w:right="1468"/>
        <w:jc w:val="left"/>
      </w:pPr>
      <w:r>
        <w:rPr/>
        <w:t>使用权。建行深圳分行期末实际借款余额</w:t>
      </w:r>
      <w:r>
        <w:rPr>
          <w:spacing w:val="-56"/>
        </w:rPr>
        <w:t> </w:t>
      </w:r>
      <w:r>
        <w:rPr>
          <w:rFonts w:ascii="Times New Roman" w:hAnsi="Times New Roman" w:cs="Times New Roman" w:eastAsia="Times New Roman" w:hint="default"/>
        </w:rPr>
        <w:t>703,104,307.23</w:t>
      </w:r>
      <w:r>
        <w:rPr>
          <w:rFonts w:ascii="Times New Roman" w:hAnsi="Times New Roman" w:cs="Times New Roman" w:eastAsia="Times New Roman" w:hint="default"/>
          <w:spacing w:val="-5"/>
        </w:rPr>
        <w:t> </w:t>
      </w:r>
      <w:r>
        <w:rPr/>
        <w:t>元，其中本期新增抵押借</w:t>
      </w:r>
    </w:p>
    <w:p>
      <w:pPr>
        <w:pStyle w:val="BodyText"/>
        <w:spacing w:line="240" w:lineRule="auto" w:before="9"/>
        <w:ind w:left="850" w:right="3683"/>
        <w:jc w:val="left"/>
      </w:pPr>
      <w:r>
        <w:rPr/>
        <w:t>款</w:t>
      </w:r>
      <w:r>
        <w:rPr>
          <w:spacing w:val="-56"/>
        </w:rPr>
        <w:t> </w:t>
      </w:r>
      <w:r>
        <w:rPr>
          <w:rFonts w:ascii="Times New Roman" w:hAnsi="Times New Roman" w:cs="Times New Roman" w:eastAsia="Times New Roman" w:hint="default"/>
        </w:rPr>
        <w:t>107,519,611.76</w:t>
      </w:r>
      <w:r>
        <w:rPr>
          <w:rFonts w:ascii="Times New Roman" w:hAnsi="Times New Roman" w:cs="Times New Roman" w:eastAsia="Times New Roman" w:hint="default"/>
          <w:spacing w:val="-5"/>
        </w:rPr>
        <w:t> </w:t>
      </w:r>
      <w:r>
        <w:rPr/>
        <w:t>元，平安银行期末实际借款余额为</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spacing w:val="-3"/>
        </w:rPr>
        <w:t>元。</w:t>
      </w:r>
      <w:r>
        <w:rPr/>
      </w:r>
    </w:p>
    <w:p>
      <w:pPr>
        <w:pStyle w:val="BodyText"/>
        <w:spacing w:line="247" w:lineRule="auto" w:before="9"/>
        <w:ind w:left="850" w:right="1468"/>
        <w:jc w:val="left"/>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4 </w:t>
      </w:r>
      <w:r>
        <w:rPr>
          <w:spacing w:val="-8"/>
          <w:w w:val="100"/>
        </w:rPr>
        <w:t>日，本公司与中国电子信息产业集团有限公司（以下称为</w:t>
      </w:r>
      <w:r>
        <w:rPr>
          <w:rFonts w:ascii="Times New Roman" w:hAnsi="Times New Roman" w:cs="Times New Roman" w:eastAsia="Times New Roman" w:hint="default"/>
          <w:spacing w:val="-8"/>
          <w:w w:val="100"/>
        </w:rPr>
        <w:t>“</w:t>
      </w:r>
      <w:r>
        <w:rPr>
          <w:spacing w:val="-8"/>
          <w:w w:val="100"/>
        </w:rPr>
        <w:t>中国电子</w:t>
      </w:r>
      <w:r>
        <w:rPr>
          <w:rFonts w:ascii="Times New Roman" w:hAnsi="Times New Roman" w:cs="Times New Roman" w:eastAsia="Times New Roman" w:hint="default"/>
          <w:spacing w:val="-8"/>
          <w:w w:val="100"/>
        </w:rPr>
        <w:t>”</w:t>
      </w:r>
      <w:r>
        <w:rPr>
          <w:spacing w:val="-8"/>
          <w:w w:val="100"/>
        </w:rPr>
        <w:t>）</w:t>
      </w:r>
      <w:r>
        <w:rPr>
          <w:w w:val="100"/>
        </w:rPr>
        <w:t> </w:t>
      </w:r>
      <w:r>
        <w:rPr/>
        <w:t>及中国电子财务有限责任公司（以下称为</w:t>
      </w:r>
      <w:r>
        <w:rPr>
          <w:rFonts w:ascii="Times New Roman" w:hAnsi="Times New Roman" w:cs="Times New Roman" w:eastAsia="Times New Roman" w:hint="default"/>
        </w:rPr>
        <w:t>“</w:t>
      </w:r>
      <w:r>
        <w:rPr/>
        <w:t>中电财务</w:t>
      </w:r>
      <w:r>
        <w:rPr>
          <w:rFonts w:ascii="Times New Roman" w:hAnsi="Times New Roman" w:cs="Times New Roman" w:eastAsia="Times New Roman" w:hint="default"/>
        </w:rPr>
        <w:t>”</w:t>
      </w:r>
      <w:r>
        <w:rPr/>
        <w:t>）签订《委托贷款借款合同》</w:t>
      </w:r>
      <w:r>
        <w:rPr>
          <w:w w:val="100"/>
        </w:rPr>
        <w:t> </w:t>
      </w:r>
      <w:r>
        <w:rPr/>
        <w:t>分批发放委托贷款，其中</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日中国电子委托中电财务向本公司发放委</w:t>
      </w:r>
    </w:p>
    <w:p>
      <w:pPr>
        <w:pStyle w:val="BodyText"/>
        <w:spacing w:line="240" w:lineRule="auto" w:before="2"/>
        <w:ind w:left="850" w:right="1468"/>
        <w:jc w:val="left"/>
      </w:pPr>
      <w:r>
        <w:rPr/>
        <w:t>托贷款</w:t>
      </w:r>
      <w:r>
        <w:rPr>
          <w:spacing w:val="-53"/>
        </w:rPr>
        <w:t> </w:t>
      </w:r>
      <w:r>
        <w:rPr>
          <w:rFonts w:ascii="Times New Roman" w:hAnsi="Times New Roman" w:cs="Times New Roman" w:eastAsia="Times New Roman" w:hint="default"/>
        </w:rPr>
        <w:t>500,000,000.00 </w:t>
      </w:r>
      <w:r>
        <w:rPr/>
        <w:t>元，</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5 </w:t>
      </w:r>
      <w:r>
        <w:rPr/>
        <w:t>月</w:t>
      </w:r>
      <w:r>
        <w:rPr>
          <w:spacing w:val="-53"/>
        </w:rPr>
        <w:t> </w:t>
      </w:r>
      <w:r>
        <w:rPr>
          <w:rFonts w:ascii="Times New Roman" w:hAnsi="Times New Roman" w:cs="Times New Roman" w:eastAsia="Times New Roman" w:hint="default"/>
        </w:rPr>
        <w:t>22 </w:t>
      </w:r>
      <w:r>
        <w:rPr/>
        <w:t>日发放</w:t>
      </w:r>
      <w:r>
        <w:rPr>
          <w:spacing w:val="-55"/>
        </w:rPr>
        <w:t> </w:t>
      </w:r>
      <w:r>
        <w:rPr>
          <w:rFonts w:ascii="Times New Roman" w:hAnsi="Times New Roman" w:cs="Times New Roman" w:eastAsia="Times New Roman" w:hint="default"/>
        </w:rPr>
        <w:t>300,000,000.00 </w:t>
      </w:r>
      <w:r>
        <w:rPr/>
        <w:t>元，</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7 </w:t>
      </w:r>
      <w:r>
        <w:rPr/>
        <w:t>月</w:t>
      </w:r>
    </w:p>
    <w:p>
      <w:pPr>
        <w:pStyle w:val="BodyText"/>
        <w:spacing w:line="254" w:lineRule="auto" w:before="9"/>
        <w:ind w:left="850" w:right="1681"/>
        <w:jc w:val="left"/>
      </w:pP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日发放</w:t>
      </w:r>
      <w:r>
        <w:rPr>
          <w:spacing w:val="-54"/>
        </w:rPr>
        <w:t> </w:t>
      </w:r>
      <w:r>
        <w:rPr>
          <w:rFonts w:ascii="Times New Roman" w:hAnsi="Times New Roman" w:cs="Times New Roman" w:eastAsia="Times New Roman" w:hint="default"/>
        </w:rPr>
        <w:t>200,000,000.00</w:t>
      </w:r>
      <w:r>
        <w:rPr>
          <w:rFonts w:ascii="Times New Roman" w:hAnsi="Times New Roman" w:cs="Times New Roman" w:eastAsia="Times New Roman" w:hint="default"/>
          <w:spacing w:val="-3"/>
        </w:rPr>
        <w:t> </w:t>
      </w:r>
      <w:r>
        <w:rPr/>
        <w:t>元，贷款期限三年。</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日，本公司与中国电</w:t>
      </w:r>
      <w:r>
        <w:rPr>
          <w:w w:val="100"/>
        </w:rPr>
        <w:t> </w:t>
      </w:r>
      <w:r>
        <w:rPr>
          <w:spacing w:val="-9"/>
          <w:w w:val="100"/>
        </w:rPr>
        <w:t>子签订《抵押合同》，将位于北京、长沙以及武汉等一批房屋及建筑物设定为抵押物。</w:t>
      </w:r>
      <w:r>
        <w:rPr>
          <w:spacing w:val="-90"/>
          <w:w w:val="100"/>
        </w:rPr>
        <w:t> </w:t>
      </w:r>
      <w:r>
        <w:rPr>
          <w:spacing w:val="-90"/>
          <w:w w:val="100"/>
        </w:rPr>
      </w:r>
      <w:r>
        <w:rPr/>
        <w:t>注</w:t>
      </w:r>
      <w:r>
        <w:rPr>
          <w:spacing w:val="-53"/>
        </w:rPr>
        <w:t> </w:t>
      </w:r>
      <w:r>
        <w:rPr>
          <w:rFonts w:ascii="Times New Roman" w:hAnsi="Times New Roman" w:cs="Times New Roman" w:eastAsia="Times New Roman" w:hint="default"/>
        </w:rPr>
        <w:t>2</w:t>
      </w:r>
      <w:r>
        <w:rPr/>
        <w:t>：保证借款</w:t>
      </w:r>
      <w:r>
        <w:rPr>
          <w:spacing w:val="-55"/>
        </w:rPr>
        <w:t> </w:t>
      </w:r>
      <w:r>
        <w:rPr>
          <w:rFonts w:ascii="Times New Roman" w:hAnsi="Times New Roman" w:cs="Times New Roman" w:eastAsia="Times New Roman" w:hint="default"/>
        </w:rPr>
        <w:t>104,000,000.00 </w:t>
      </w:r>
      <w:r>
        <w:rPr/>
        <w:t>元为</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日本公司向国家开发银行股份</w:t>
      </w:r>
    </w:p>
    <w:p>
      <w:pPr>
        <w:pStyle w:val="BodyText"/>
        <w:spacing w:line="247" w:lineRule="auto" w:before="0"/>
        <w:ind w:left="850" w:right="1468"/>
        <w:jc w:val="left"/>
      </w:pPr>
      <w:r>
        <w:rPr/>
        <w:t>有限公司湖南省分行取得保证借款</w:t>
      </w:r>
      <w:r>
        <w:rPr>
          <w:spacing w:val="-58"/>
        </w:rPr>
        <w:t> </w:t>
      </w:r>
      <w:r>
        <w:rPr>
          <w:rFonts w:ascii="Times New Roman" w:hAnsi="Times New Roman" w:cs="Times New Roman" w:eastAsia="Times New Roman" w:hint="default"/>
        </w:rPr>
        <w:t>112,000,000.00</w:t>
      </w:r>
      <w:r>
        <w:rPr>
          <w:rFonts w:ascii="Times New Roman" w:hAnsi="Times New Roman" w:cs="Times New Roman" w:eastAsia="Times New Roman" w:hint="default"/>
          <w:spacing w:val="-5"/>
        </w:rPr>
        <w:t> </w:t>
      </w:r>
      <w:r>
        <w:rPr/>
        <w:t>元，由中国电子财务有限责任公</w:t>
      </w:r>
      <w:r>
        <w:rPr>
          <w:w w:val="100"/>
        </w:rPr>
        <w:t> </w:t>
      </w:r>
      <w:r>
        <w:rPr>
          <w:spacing w:val="-2"/>
        </w:rPr>
        <w:t>司为公司提供全额信用担保，同时公司与中国电子财务有限责任公司签署《反担保</w:t>
      </w:r>
    </w:p>
    <w:p>
      <w:pPr>
        <w:pStyle w:val="BodyText"/>
        <w:spacing w:line="247" w:lineRule="auto" w:before="19"/>
        <w:ind w:left="850" w:right="1787"/>
        <w:jc w:val="left"/>
      </w:pPr>
      <w:r>
        <w:rPr>
          <w:spacing w:val="-10"/>
          <w:w w:val="100"/>
        </w:rPr>
        <w:t>（存单质押）协议书》。其中，</w:t>
      </w:r>
      <w:r>
        <w:rPr>
          <w:rFonts w:ascii="Times New Roman" w:hAnsi="Times New Roman" w:cs="Times New Roman" w:eastAsia="Times New Roman" w:hint="default"/>
          <w:spacing w:val="-10"/>
          <w:w w:val="100"/>
        </w:rPr>
        <w:t>2019</w:t>
      </w:r>
      <w:r>
        <w:rPr>
          <w:rFonts w:ascii="Times New Roman" w:hAnsi="Times New Roman" w:cs="Times New Roman" w:eastAsia="Times New Roman" w:hint="default"/>
          <w:spacing w:val="3"/>
          <w:w w:val="100"/>
        </w:rPr>
        <w:t> </w:t>
      </w:r>
      <w:r>
        <w:rPr>
          <w:spacing w:val="-2"/>
          <w:w w:val="100"/>
        </w:rPr>
        <w:t>年本公司偿还</w:t>
      </w:r>
      <w:r>
        <w:rPr>
          <w:spacing w:val="-50"/>
          <w:w w:val="100"/>
        </w:rPr>
        <w:t> </w:t>
      </w:r>
      <w:r>
        <w:rPr>
          <w:rFonts w:ascii="Times New Roman" w:hAnsi="Times New Roman" w:cs="Times New Roman" w:eastAsia="Times New Roman" w:hint="default"/>
          <w:spacing w:val="-1"/>
          <w:w w:val="100"/>
        </w:rPr>
        <w:t>4,000,000.00</w:t>
      </w:r>
      <w:r>
        <w:rPr>
          <w:rFonts w:ascii="Times New Roman" w:hAnsi="Times New Roman" w:cs="Times New Roman" w:eastAsia="Times New Roman" w:hint="default"/>
          <w:w w:val="100"/>
        </w:rPr>
        <w:t> </w:t>
      </w:r>
      <w:r>
        <w:rPr>
          <w:spacing w:val="-3"/>
          <w:w w:val="100"/>
        </w:rPr>
        <w:t>元，划分至一年内到</w:t>
      </w:r>
      <w:r>
        <w:rPr>
          <w:w w:val="100"/>
        </w:rPr>
        <w:t> </w:t>
      </w:r>
      <w:r>
        <w:rPr/>
        <w:t>期的金额</w:t>
      </w:r>
      <w:r>
        <w:rPr>
          <w:spacing w:val="-53"/>
        </w:rPr>
        <w:t> </w:t>
      </w:r>
      <w:r>
        <w:rPr>
          <w:rFonts w:ascii="Times New Roman" w:hAnsi="Times New Roman" w:cs="Times New Roman" w:eastAsia="Times New Roman" w:hint="default"/>
        </w:rPr>
        <w:t>4,000,000.00 </w:t>
      </w:r>
      <w:r>
        <w:rPr>
          <w:spacing w:val="-3"/>
        </w:rPr>
        <w:t>元。</w:t>
      </w:r>
      <w:r>
        <w:rPr/>
      </w:r>
    </w:p>
    <w:p>
      <w:pPr>
        <w:spacing w:line="240" w:lineRule="auto" w:before="12"/>
        <w:rPr>
          <w:rFonts w:ascii="宋体" w:hAnsi="宋体" w:cs="宋体" w:eastAsia="宋体" w:hint="default"/>
          <w:sz w:val="29"/>
          <w:szCs w:val="29"/>
        </w:rPr>
      </w:pPr>
    </w:p>
    <w:p>
      <w:pPr>
        <w:pStyle w:val="Heading5"/>
        <w:spacing w:line="240" w:lineRule="auto" w:before="0"/>
        <w:ind w:right="3683"/>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长期应付款</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723"/>
        <w:gridCol w:w="2204"/>
        <w:gridCol w:w="2278"/>
      </w:tblGrid>
      <w:tr>
        <w:trPr>
          <w:trHeight w:val="283" w:hRule="exact"/>
        </w:trPr>
        <w:tc>
          <w:tcPr>
            <w:tcW w:w="372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685"/>
              <w:jc w:val="right"/>
              <w:rPr>
                <w:rFonts w:ascii="宋体" w:hAnsi="宋体" w:cs="宋体" w:eastAsia="宋体" w:hint="default"/>
                <w:sz w:val="16"/>
                <w:szCs w:val="16"/>
              </w:rPr>
            </w:pPr>
            <w:r>
              <w:rPr>
                <w:rFonts w:ascii="宋体" w:hAnsi="宋体" w:cs="宋体" w:eastAsia="宋体" w:hint="default"/>
                <w:sz w:val="16"/>
                <w:szCs w:val="16"/>
              </w:rPr>
              <w:t>项目</w:t>
            </w:r>
          </w:p>
        </w:tc>
        <w:tc>
          <w:tcPr>
            <w:tcW w:w="22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27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65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7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长期应付款</w:t>
            </w:r>
          </w:p>
        </w:tc>
        <w:tc>
          <w:tcPr>
            <w:tcW w:w="22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2"/>
                <w:sz w:val="16"/>
              </w:rPr>
              <w:t>88,000,000.00</w:t>
            </w:r>
          </w:p>
        </w:tc>
        <w:tc>
          <w:tcPr>
            <w:tcW w:w="22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6"/>
                <w:szCs w:val="16"/>
              </w:rPr>
            </w:pPr>
            <w:r>
              <w:rPr>
                <w:rFonts w:ascii="Times New Roman"/>
                <w:spacing w:val="-1"/>
                <w:sz w:val="16"/>
              </w:rPr>
              <w:t>100,000,000.00</w:t>
            </w:r>
          </w:p>
        </w:tc>
      </w:tr>
      <w:tr>
        <w:trPr>
          <w:trHeight w:val="274" w:hRule="exact"/>
        </w:trPr>
        <w:tc>
          <w:tcPr>
            <w:tcW w:w="37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专项应付款</w:t>
            </w:r>
          </w:p>
        </w:tc>
        <w:tc>
          <w:tcPr>
            <w:tcW w:w="22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354,829,859.46</w:t>
            </w:r>
          </w:p>
        </w:tc>
        <w:tc>
          <w:tcPr>
            <w:tcW w:w="22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435,381,362.88</w:t>
            </w:r>
          </w:p>
        </w:tc>
      </w:tr>
      <w:tr>
        <w:trPr>
          <w:trHeight w:val="283" w:hRule="exact"/>
        </w:trPr>
        <w:tc>
          <w:tcPr>
            <w:tcW w:w="37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685"/>
              <w:jc w:val="right"/>
              <w:rPr>
                <w:rFonts w:ascii="宋体" w:hAnsi="宋体" w:cs="宋体" w:eastAsia="宋体" w:hint="default"/>
                <w:sz w:val="16"/>
                <w:szCs w:val="16"/>
              </w:rPr>
            </w:pPr>
            <w:r>
              <w:rPr>
                <w:rFonts w:ascii="宋体" w:hAnsi="宋体" w:cs="宋体" w:eastAsia="宋体" w:hint="default"/>
                <w:sz w:val="16"/>
                <w:szCs w:val="16"/>
              </w:rPr>
              <w:t>合计</w:t>
            </w:r>
          </w:p>
        </w:tc>
        <w:tc>
          <w:tcPr>
            <w:tcW w:w="22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442,829,859.46</w:t>
            </w:r>
          </w:p>
        </w:tc>
        <w:tc>
          <w:tcPr>
            <w:tcW w:w="227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535,381,362.88</w:t>
            </w:r>
          </w:p>
        </w:tc>
      </w:tr>
    </w:tbl>
    <w:p>
      <w:pPr>
        <w:spacing w:line="240" w:lineRule="auto" w:before="9"/>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1</w:t>
      </w:r>
      <w:r>
        <w:rPr/>
        <w:t>、</w:t>
        <w:tab/>
        <w:t>长期应付款</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92"/>
        <w:gridCol w:w="2405"/>
        <w:gridCol w:w="2408"/>
      </w:tblGrid>
      <w:tr>
        <w:trPr>
          <w:trHeight w:val="283" w:hRule="exact"/>
        </w:trPr>
        <w:tc>
          <w:tcPr>
            <w:tcW w:w="339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4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17"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83" w:hRule="exact"/>
        </w:trPr>
        <w:tc>
          <w:tcPr>
            <w:tcW w:w="339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中国电子专项建设基金借款「注」</w:t>
            </w:r>
          </w:p>
        </w:tc>
        <w:tc>
          <w:tcPr>
            <w:tcW w:w="24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1373" w:right="0"/>
              <w:jc w:val="left"/>
              <w:rPr>
                <w:rFonts w:ascii="Times New Roman" w:hAnsi="Times New Roman" w:cs="Times New Roman" w:eastAsia="Times New Roman" w:hint="default"/>
                <w:sz w:val="16"/>
                <w:szCs w:val="16"/>
              </w:rPr>
            </w:pPr>
            <w:r>
              <w:rPr>
                <w:rFonts w:ascii="Times New Roman"/>
                <w:sz w:val="16"/>
              </w:rPr>
              <w:t>88,000,000.00</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left="1294" w:right="0"/>
              <w:jc w:val="left"/>
              <w:rPr>
                <w:rFonts w:ascii="Times New Roman" w:hAnsi="Times New Roman" w:cs="Times New Roman" w:eastAsia="Times New Roman" w:hint="default"/>
                <w:sz w:val="16"/>
                <w:szCs w:val="16"/>
              </w:rPr>
            </w:pPr>
            <w:r>
              <w:rPr>
                <w:rFonts w:ascii="Times New Roman"/>
                <w:sz w:val="16"/>
              </w:rPr>
              <w:t>100,000,000.00</w:t>
            </w:r>
          </w:p>
        </w:tc>
      </w:tr>
    </w:tbl>
    <w:p>
      <w:pPr>
        <w:spacing w:after="0" w:line="240" w:lineRule="auto"/>
        <w:jc w:val="left"/>
        <w:rPr>
          <w:rFonts w:ascii="Times New Roman" w:hAnsi="Times New Roman" w:cs="Times New Roman" w:eastAsia="Times New Roman" w:hint="default"/>
          <w:sz w:val="16"/>
          <w:szCs w:val="16"/>
        </w:rPr>
        <w:sectPr>
          <w:pgSz w:w="11910" w:h="16840"/>
          <w:pgMar w:header="0" w:footer="997" w:top="1500" w:bottom="1180" w:left="1660" w:right="0"/>
        </w:sectPr>
      </w:pPr>
    </w:p>
    <w:p>
      <w:pPr>
        <w:spacing w:line="240" w:lineRule="auto" w:before="7"/>
        <w:rPr>
          <w:rFonts w:ascii="宋体" w:hAnsi="宋体" w:cs="宋体" w:eastAsia="宋体" w:hint="default"/>
          <w:b/>
          <w:bCs/>
          <w:sz w:val="18"/>
          <w:szCs w:val="18"/>
        </w:rPr>
      </w:pPr>
    </w:p>
    <w:tbl>
      <w:tblPr>
        <w:tblW w:w="0" w:type="auto"/>
        <w:jc w:val="left"/>
        <w:tblInd w:w="721" w:type="dxa"/>
        <w:tblLayout w:type="fixed"/>
        <w:tblCellMar>
          <w:top w:w="0" w:type="dxa"/>
          <w:left w:w="0" w:type="dxa"/>
          <w:bottom w:w="0" w:type="dxa"/>
          <w:right w:w="0" w:type="dxa"/>
        </w:tblCellMar>
        <w:tblLook w:val="01E0"/>
      </w:tblPr>
      <w:tblGrid>
        <w:gridCol w:w="3392"/>
        <w:gridCol w:w="2405"/>
        <w:gridCol w:w="2408"/>
      </w:tblGrid>
      <w:tr>
        <w:trPr>
          <w:trHeight w:val="284" w:hRule="exact"/>
        </w:trPr>
        <w:tc>
          <w:tcPr>
            <w:tcW w:w="339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4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717"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86" w:hRule="exact"/>
        </w:trPr>
        <w:tc>
          <w:tcPr>
            <w:tcW w:w="339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4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1373" w:right="0"/>
              <w:jc w:val="left"/>
              <w:rPr>
                <w:rFonts w:ascii="Times New Roman" w:hAnsi="Times New Roman" w:cs="Times New Roman" w:eastAsia="Times New Roman" w:hint="default"/>
                <w:sz w:val="16"/>
                <w:szCs w:val="16"/>
              </w:rPr>
            </w:pPr>
            <w:r>
              <w:rPr>
                <w:rFonts w:ascii="Times New Roman"/>
                <w:sz w:val="16"/>
              </w:rPr>
              <w:t>88,000,000.00</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left="1294" w:right="0"/>
              <w:jc w:val="left"/>
              <w:rPr>
                <w:rFonts w:ascii="Times New Roman" w:hAnsi="Times New Roman" w:cs="Times New Roman" w:eastAsia="Times New Roman" w:hint="default"/>
                <w:sz w:val="16"/>
                <w:szCs w:val="16"/>
              </w:rPr>
            </w:pPr>
            <w:r>
              <w:rPr>
                <w:rFonts w:ascii="Times New Roman"/>
                <w:sz w:val="16"/>
              </w:rPr>
              <w:t>100,000,000.00</w:t>
            </w:r>
          </w:p>
        </w:tc>
      </w:tr>
    </w:tbl>
    <w:p>
      <w:pPr>
        <w:pStyle w:val="BodyText"/>
        <w:spacing w:line="240" w:lineRule="auto" w:before="93"/>
        <w:ind w:right="1468"/>
        <w:jc w:val="left"/>
      </w:pPr>
      <w:r>
        <w:rPr>
          <w:spacing w:val="-5"/>
        </w:rPr>
        <w:t>注：</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spacing w:val="-3"/>
        </w:rPr>
        <w:t>日，本公司与中国电子信息产业集团有限公司签订专项资</w:t>
      </w:r>
    </w:p>
    <w:p>
      <w:pPr>
        <w:pStyle w:val="BodyText"/>
        <w:spacing w:line="240" w:lineRule="auto" w:before="110"/>
        <w:ind w:right="1468"/>
        <w:jc w:val="left"/>
      </w:pPr>
      <w:r>
        <w:rPr>
          <w:spacing w:val="-5"/>
        </w:rPr>
        <w:t>金借款协议，借款金额</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6"/>
        </w:rPr>
        <w:t>亿元。</w:t>
      </w:r>
      <w:r>
        <w:rPr>
          <w:rFonts w:ascii="Times New Roman" w:hAnsi="Times New Roman" w:cs="Times New Roman" w:eastAsia="Times New Roman" w:hint="default"/>
          <w:spacing w:val="-6"/>
        </w:rPr>
        <w:t>2019</w:t>
      </w:r>
      <w:r>
        <w:rPr>
          <w:rFonts w:ascii="Times New Roman" w:hAnsi="Times New Roman" w:cs="Times New Roman" w:eastAsia="Times New Roman" w:hint="default"/>
          <w:spacing w:val="7"/>
        </w:rPr>
        <w:t> </w:t>
      </w:r>
      <w:r>
        <w:rPr/>
        <w:t>年本公司偿还</w:t>
      </w:r>
      <w:r>
        <w:rPr>
          <w:spacing w:val="-48"/>
        </w:rPr>
        <w:t> </w:t>
      </w:r>
      <w:r>
        <w:rPr>
          <w:rFonts w:ascii="Times New Roman" w:hAnsi="Times New Roman" w:cs="Times New Roman" w:eastAsia="Times New Roman" w:hint="default"/>
        </w:rPr>
        <w:t>6,000,000.00</w:t>
      </w:r>
      <w:r>
        <w:rPr>
          <w:rFonts w:ascii="Times New Roman" w:hAnsi="Times New Roman" w:cs="Times New Roman" w:eastAsia="Times New Roman" w:hint="default"/>
          <w:spacing w:val="7"/>
        </w:rPr>
        <w:t> </w:t>
      </w:r>
      <w:r>
        <w:rPr>
          <w:spacing w:val="-8"/>
        </w:rPr>
        <w:t>元，划分至一</w:t>
      </w:r>
    </w:p>
    <w:p>
      <w:pPr>
        <w:pStyle w:val="BodyText"/>
        <w:spacing w:line="240" w:lineRule="auto" w:before="110"/>
        <w:ind w:right="3683"/>
        <w:jc w:val="left"/>
      </w:pPr>
      <w:r>
        <w:rPr/>
        <w:t>年内到期的金额</w:t>
      </w:r>
      <w:r>
        <w:rPr>
          <w:spacing w:val="-53"/>
        </w:rPr>
        <w:t> </w:t>
      </w:r>
      <w:r>
        <w:rPr>
          <w:rFonts w:ascii="Times New Roman" w:hAnsi="Times New Roman" w:cs="Times New Roman" w:eastAsia="Times New Roman" w:hint="default"/>
        </w:rPr>
        <w:t>6,000,000.00</w:t>
      </w:r>
      <w:r>
        <w:rPr>
          <w:rFonts w:ascii="Times New Roman" w:hAnsi="Times New Roman" w:cs="Times New Roman" w:eastAsia="Times New Roman" w:hint="default"/>
          <w:spacing w:val="-1"/>
        </w:rPr>
        <w:t> </w:t>
      </w:r>
      <w:r>
        <w:rPr>
          <w:spacing w:val="-3"/>
        </w:rPr>
        <w:t>元。</w:t>
      </w:r>
      <w:r>
        <w:rPr/>
      </w:r>
    </w:p>
    <w:p>
      <w:pPr>
        <w:spacing w:line="240" w:lineRule="auto" w:before="3"/>
        <w:rPr>
          <w:rFonts w:ascii="宋体" w:hAnsi="宋体" w:cs="宋体" w:eastAsia="宋体" w:hint="default"/>
          <w:sz w:val="30"/>
          <w:szCs w:val="30"/>
        </w:rPr>
      </w:pPr>
    </w:p>
    <w:p>
      <w:pPr>
        <w:pStyle w:val="Heading5"/>
        <w:tabs>
          <w:tab w:pos="1397" w:val="left" w:leader="none"/>
        </w:tabs>
        <w:spacing w:line="240" w:lineRule="auto" w:before="0"/>
        <w:ind w:left="846" w:right="3683"/>
        <w:jc w:val="left"/>
        <w:rPr>
          <w:b w:val="0"/>
          <w:bCs w:val="0"/>
        </w:rPr>
      </w:pPr>
      <w:r>
        <w:rPr>
          <w:rFonts w:ascii="Times New Roman" w:hAnsi="Times New Roman" w:cs="Times New Roman" w:eastAsia="Times New Roman" w:hint="default"/>
        </w:rPr>
        <w:t>2</w:t>
      </w:r>
      <w:r>
        <w:rPr/>
        <w:t>、</w:t>
        <w:tab/>
        <w:t>专项应付款</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717"/>
        <w:gridCol w:w="1404"/>
        <w:gridCol w:w="1224"/>
        <w:gridCol w:w="1310"/>
        <w:gridCol w:w="1405"/>
        <w:gridCol w:w="1224"/>
      </w:tblGrid>
      <w:tr>
        <w:trPr>
          <w:trHeight w:val="283" w:hRule="exact"/>
        </w:trPr>
        <w:tc>
          <w:tcPr>
            <w:tcW w:w="17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13"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2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85"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3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328"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4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376"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285" w:right="0"/>
              <w:jc w:val="left"/>
              <w:rPr>
                <w:rFonts w:ascii="宋体" w:hAnsi="宋体" w:cs="宋体" w:eastAsia="宋体" w:hint="default"/>
                <w:sz w:val="16"/>
                <w:szCs w:val="16"/>
              </w:rPr>
            </w:pPr>
            <w:r>
              <w:rPr>
                <w:rFonts w:ascii="宋体" w:hAnsi="宋体" w:cs="宋体" w:eastAsia="宋体" w:hint="default"/>
                <w:sz w:val="16"/>
                <w:szCs w:val="16"/>
              </w:rPr>
              <w:t>形成原因</w:t>
            </w:r>
          </w:p>
        </w:tc>
      </w:tr>
      <w:tr>
        <w:trPr>
          <w:trHeight w:val="274"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某项目</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373,100,000.00</w:t>
            </w:r>
          </w:p>
        </w:tc>
        <w:tc>
          <w:tcPr>
            <w:tcW w:w="1224"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278" w:right="0"/>
              <w:jc w:val="left"/>
              <w:rPr>
                <w:rFonts w:ascii="Times New Roman" w:hAnsi="Times New Roman" w:cs="Times New Roman" w:eastAsia="Times New Roman" w:hint="default"/>
                <w:sz w:val="16"/>
                <w:szCs w:val="16"/>
              </w:rPr>
            </w:pPr>
            <w:r>
              <w:rPr>
                <w:rFonts w:ascii="Times New Roman"/>
                <w:sz w:val="16"/>
              </w:rPr>
              <w:t>25,800,000.00</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347,300,000.00</w:t>
            </w:r>
          </w:p>
        </w:tc>
        <w:tc>
          <w:tcPr>
            <w:tcW w:w="1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技术改造费</w:t>
            </w:r>
          </w:p>
        </w:tc>
      </w:tr>
      <w:tr>
        <w:trPr>
          <w:trHeight w:val="274"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锂电池等相关项目款</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24,801,362.88</w:t>
            </w:r>
          </w:p>
        </w:tc>
        <w:tc>
          <w:tcPr>
            <w:tcW w:w="1224"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278" w:right="0"/>
              <w:jc w:val="left"/>
              <w:rPr>
                <w:rFonts w:ascii="Times New Roman" w:hAnsi="Times New Roman" w:cs="Times New Roman" w:eastAsia="Times New Roman" w:hint="default"/>
                <w:sz w:val="16"/>
                <w:szCs w:val="16"/>
              </w:rPr>
            </w:pPr>
            <w:r>
              <w:rPr>
                <w:rFonts w:ascii="Times New Roman"/>
                <w:sz w:val="16"/>
              </w:rPr>
              <w:t>17,871,503.42</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6,929,859.46</w:t>
            </w:r>
          </w:p>
        </w:tc>
        <w:tc>
          <w:tcPr>
            <w:tcW w:w="1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技术改造费</w:t>
            </w:r>
          </w:p>
        </w:tc>
      </w:tr>
      <w:tr>
        <w:trPr>
          <w:trHeight w:val="274"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镁海水项目</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600,000.00</w:t>
            </w:r>
          </w:p>
        </w:tc>
        <w:tc>
          <w:tcPr>
            <w:tcW w:w="1224"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600,000.00</w:t>
            </w:r>
          </w:p>
        </w:tc>
        <w:tc>
          <w:tcPr>
            <w:tcW w:w="1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上级拨入</w:t>
            </w:r>
          </w:p>
        </w:tc>
      </w:tr>
      <w:tr>
        <w:trPr>
          <w:trHeight w:val="274"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生产能力建设</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36,880,000.00</w:t>
            </w:r>
          </w:p>
        </w:tc>
        <w:tc>
          <w:tcPr>
            <w:tcW w:w="1224"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278" w:right="0"/>
              <w:jc w:val="left"/>
              <w:rPr>
                <w:rFonts w:ascii="Times New Roman" w:hAnsi="Times New Roman" w:cs="Times New Roman" w:eastAsia="Times New Roman" w:hint="default"/>
                <w:sz w:val="16"/>
                <w:szCs w:val="16"/>
              </w:rPr>
            </w:pPr>
            <w:r>
              <w:rPr>
                <w:rFonts w:ascii="Times New Roman"/>
                <w:sz w:val="16"/>
              </w:rPr>
              <w:t>36,880,000.00</w:t>
            </w:r>
          </w:p>
        </w:tc>
        <w:tc>
          <w:tcPr>
            <w:tcW w:w="1405"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nil" w:sz="6" w:space="0" w:color="auto"/>
            </w:tcBorders>
          </w:tcPr>
          <w:p>
            <w:pPr/>
          </w:p>
        </w:tc>
      </w:tr>
      <w:tr>
        <w:trPr>
          <w:trHeight w:val="284" w:hRule="exact"/>
        </w:trPr>
        <w:tc>
          <w:tcPr>
            <w:tcW w:w="17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6"/>
                <w:szCs w:val="16"/>
              </w:rPr>
            </w:pPr>
            <w:r>
              <w:rPr>
                <w:rFonts w:ascii="Times New Roman"/>
                <w:spacing w:val="-1"/>
                <w:sz w:val="16"/>
              </w:rPr>
              <w:t>435,381,362.88</w:t>
            </w:r>
          </w:p>
        </w:tc>
        <w:tc>
          <w:tcPr>
            <w:tcW w:w="1224" w:type="dxa"/>
            <w:tcBorders>
              <w:top w:val="dotted" w:sz="4" w:space="0" w:color="000000"/>
              <w:left w:val="dotted" w:sz="4" w:space="0" w:color="000000"/>
              <w:bottom w:val="single" w:sz="12" w:space="0" w:color="000000"/>
              <w:right w:val="dotted" w:sz="4" w:space="0" w:color="000000"/>
            </w:tcBorders>
          </w:tcPr>
          <w:p>
            <w:pPr/>
          </w:p>
        </w:tc>
        <w:tc>
          <w:tcPr>
            <w:tcW w:w="13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left="278" w:right="0"/>
              <w:jc w:val="left"/>
              <w:rPr>
                <w:rFonts w:ascii="Times New Roman" w:hAnsi="Times New Roman" w:cs="Times New Roman" w:eastAsia="Times New Roman" w:hint="default"/>
                <w:sz w:val="16"/>
                <w:szCs w:val="16"/>
              </w:rPr>
            </w:pPr>
            <w:r>
              <w:rPr>
                <w:rFonts w:ascii="Times New Roman"/>
                <w:sz w:val="16"/>
              </w:rPr>
              <w:t>80,551,503.42</w:t>
            </w:r>
          </w:p>
        </w:tc>
        <w:tc>
          <w:tcPr>
            <w:tcW w:w="14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6"/>
                <w:szCs w:val="16"/>
              </w:rPr>
            </w:pPr>
            <w:r>
              <w:rPr>
                <w:rFonts w:ascii="Times New Roman"/>
                <w:spacing w:val="-1"/>
                <w:sz w:val="16"/>
              </w:rPr>
              <w:t>354,829,859.46</w:t>
            </w:r>
          </w:p>
        </w:tc>
        <w:tc>
          <w:tcPr>
            <w:tcW w:w="122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长期应付职工薪酬</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92"/>
        <w:gridCol w:w="2405"/>
        <w:gridCol w:w="2408"/>
      </w:tblGrid>
      <w:tr>
        <w:trPr>
          <w:trHeight w:val="283" w:hRule="exact"/>
        </w:trPr>
        <w:tc>
          <w:tcPr>
            <w:tcW w:w="339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4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17"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3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一、离职后福利</w:t>
            </w:r>
            <w:r>
              <w:rPr>
                <w:rFonts w:ascii="Times New Roman" w:hAnsi="Times New Roman" w:cs="Times New Roman" w:eastAsia="Times New Roman" w:hint="default"/>
                <w:sz w:val="16"/>
                <w:szCs w:val="16"/>
              </w:rPr>
              <w:t>-</w:t>
            </w:r>
            <w:r>
              <w:rPr>
                <w:rFonts w:ascii="宋体" w:hAnsi="宋体" w:cs="宋体" w:eastAsia="宋体" w:hint="default"/>
                <w:sz w:val="16"/>
                <w:szCs w:val="16"/>
              </w:rPr>
              <w:t>设定受益计划净负债</w:t>
            </w:r>
          </w:p>
        </w:tc>
        <w:tc>
          <w:tcPr>
            <w:tcW w:w="2405" w:type="dxa"/>
            <w:tcBorders>
              <w:top w:val="dotted" w:sz="4" w:space="0" w:color="000000"/>
              <w:left w:val="dotted" w:sz="4" w:space="0" w:color="000000"/>
              <w:bottom w:val="dotted" w:sz="4" w:space="0" w:color="000000"/>
              <w:right w:val="dotted" w:sz="4" w:space="0" w:color="000000"/>
            </w:tcBorders>
          </w:tcPr>
          <w:p>
            <w:pPr/>
          </w:p>
        </w:tc>
        <w:tc>
          <w:tcPr>
            <w:tcW w:w="2408"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3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二、辞退福利</w:t>
            </w:r>
          </w:p>
        </w:tc>
        <w:tc>
          <w:tcPr>
            <w:tcW w:w="2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490,191.34</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721,678.96</w:t>
            </w:r>
          </w:p>
        </w:tc>
      </w:tr>
      <w:tr>
        <w:trPr>
          <w:trHeight w:val="274" w:hRule="exact"/>
        </w:trPr>
        <w:tc>
          <w:tcPr>
            <w:tcW w:w="33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三、其他长期福利</w:t>
            </w:r>
          </w:p>
        </w:tc>
        <w:tc>
          <w:tcPr>
            <w:tcW w:w="2405" w:type="dxa"/>
            <w:tcBorders>
              <w:top w:val="dotted" w:sz="4" w:space="0" w:color="000000"/>
              <w:left w:val="dotted" w:sz="4" w:space="0" w:color="000000"/>
              <w:bottom w:val="dotted" w:sz="4" w:space="0" w:color="000000"/>
              <w:right w:val="dotted" w:sz="4" w:space="0" w:color="000000"/>
            </w:tcBorders>
          </w:tcPr>
          <w:p>
            <w:pPr/>
          </w:p>
        </w:tc>
        <w:tc>
          <w:tcPr>
            <w:tcW w:w="2408" w:type="dxa"/>
            <w:tcBorders>
              <w:top w:val="dotted" w:sz="4" w:space="0" w:color="000000"/>
              <w:left w:val="dotted" w:sz="4" w:space="0" w:color="000000"/>
              <w:bottom w:val="dotted" w:sz="4" w:space="0" w:color="000000"/>
              <w:right w:val="nil" w:sz="6" w:space="0" w:color="auto"/>
            </w:tcBorders>
          </w:tcPr>
          <w:p>
            <w:pPr/>
          </w:p>
        </w:tc>
      </w:tr>
      <w:tr>
        <w:trPr>
          <w:trHeight w:val="283" w:hRule="exact"/>
        </w:trPr>
        <w:tc>
          <w:tcPr>
            <w:tcW w:w="339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4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490,191.34</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721,678.96</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预计负债</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750"/>
        <w:gridCol w:w="1380"/>
        <w:gridCol w:w="1306"/>
        <w:gridCol w:w="1212"/>
        <w:gridCol w:w="1304"/>
        <w:gridCol w:w="1253"/>
      </w:tblGrid>
      <w:tr>
        <w:trPr>
          <w:trHeight w:val="286" w:hRule="exact"/>
        </w:trPr>
        <w:tc>
          <w:tcPr>
            <w:tcW w:w="175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03"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3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326"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2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80"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3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323"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25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300" w:right="0"/>
              <w:jc w:val="left"/>
              <w:rPr>
                <w:rFonts w:ascii="宋体" w:hAnsi="宋体" w:cs="宋体" w:eastAsia="宋体" w:hint="default"/>
                <w:sz w:val="16"/>
                <w:szCs w:val="16"/>
              </w:rPr>
            </w:pPr>
            <w:r>
              <w:rPr>
                <w:rFonts w:ascii="宋体" w:hAnsi="宋体" w:cs="宋体" w:eastAsia="宋体" w:hint="default"/>
                <w:sz w:val="16"/>
                <w:szCs w:val="16"/>
              </w:rPr>
              <w:t>形成原因</w:t>
            </w:r>
          </w:p>
        </w:tc>
      </w:tr>
      <w:tr>
        <w:trPr>
          <w:trHeight w:val="274" w:hRule="exact"/>
        </w:trPr>
        <w:tc>
          <w:tcPr>
            <w:tcW w:w="17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产品质量保证</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22,334,893.04</w:t>
            </w:r>
          </w:p>
        </w:tc>
        <w:tc>
          <w:tcPr>
            <w:tcW w:w="1306"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3,584,092.59</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271" w:right="0"/>
              <w:jc w:val="left"/>
              <w:rPr>
                <w:rFonts w:ascii="Times New Roman" w:hAnsi="Times New Roman" w:cs="Times New Roman" w:eastAsia="Times New Roman" w:hint="default"/>
                <w:sz w:val="16"/>
                <w:szCs w:val="16"/>
              </w:rPr>
            </w:pPr>
            <w:r>
              <w:rPr>
                <w:rFonts w:ascii="Times New Roman"/>
                <w:sz w:val="16"/>
              </w:rPr>
              <w:t>18,750,800.45</w:t>
            </w:r>
          </w:p>
        </w:tc>
        <w:tc>
          <w:tcPr>
            <w:tcW w:w="12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维修责任</w:t>
            </w:r>
          </w:p>
        </w:tc>
      </w:tr>
      <w:tr>
        <w:trPr>
          <w:trHeight w:val="274" w:hRule="exact"/>
        </w:trPr>
        <w:tc>
          <w:tcPr>
            <w:tcW w:w="17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待执行的亏损合同</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92,180.39</w:t>
            </w:r>
          </w:p>
        </w:tc>
        <w:tc>
          <w:tcPr>
            <w:tcW w:w="1306"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92,180.39</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12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left="103" w:right="0"/>
              <w:jc w:val="left"/>
              <w:rPr>
                <w:rFonts w:ascii="宋体" w:hAnsi="宋体" w:cs="宋体" w:eastAsia="宋体" w:hint="default"/>
                <w:sz w:val="16"/>
                <w:szCs w:val="16"/>
              </w:rPr>
            </w:pPr>
            <w:r>
              <w:rPr>
                <w:rFonts w:ascii="宋体" w:hAnsi="宋体" w:cs="宋体" w:eastAsia="宋体" w:hint="default"/>
                <w:sz w:val="16"/>
                <w:szCs w:val="16"/>
              </w:rPr>
              <w:t>客户破产</w:t>
            </w:r>
          </w:p>
        </w:tc>
      </w:tr>
      <w:tr>
        <w:trPr>
          <w:trHeight w:val="283" w:hRule="exact"/>
        </w:trPr>
        <w:tc>
          <w:tcPr>
            <w:tcW w:w="175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22,427,073.43</w:t>
            </w:r>
          </w:p>
        </w:tc>
        <w:tc>
          <w:tcPr>
            <w:tcW w:w="1306" w:type="dxa"/>
            <w:tcBorders>
              <w:top w:val="dotted" w:sz="4" w:space="0" w:color="000000"/>
              <w:left w:val="dotted" w:sz="4" w:space="0" w:color="000000"/>
              <w:bottom w:val="single" w:sz="12" w:space="0" w:color="000000"/>
              <w:right w:val="dotted" w:sz="4" w:space="0" w:color="000000"/>
            </w:tcBorders>
          </w:tcPr>
          <w:p>
            <w:pPr/>
          </w:p>
        </w:tc>
        <w:tc>
          <w:tcPr>
            <w:tcW w:w="12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3,676,272.98</w:t>
            </w:r>
          </w:p>
        </w:tc>
        <w:tc>
          <w:tcPr>
            <w:tcW w:w="13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271" w:right="0"/>
              <w:jc w:val="left"/>
              <w:rPr>
                <w:rFonts w:ascii="Times New Roman" w:hAnsi="Times New Roman" w:cs="Times New Roman" w:eastAsia="Times New Roman" w:hint="default"/>
                <w:sz w:val="16"/>
                <w:szCs w:val="16"/>
              </w:rPr>
            </w:pPr>
            <w:r>
              <w:rPr>
                <w:rFonts w:ascii="Times New Roman"/>
                <w:sz w:val="16"/>
              </w:rPr>
              <w:t>18,750,800.45</w:t>
            </w:r>
          </w:p>
        </w:tc>
        <w:tc>
          <w:tcPr>
            <w:tcW w:w="125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递延收益</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202"/>
        <w:gridCol w:w="1421"/>
        <w:gridCol w:w="1358"/>
        <w:gridCol w:w="1356"/>
        <w:gridCol w:w="1421"/>
        <w:gridCol w:w="1445"/>
      </w:tblGrid>
      <w:tr>
        <w:trPr>
          <w:trHeight w:val="286" w:hRule="exact"/>
        </w:trPr>
        <w:tc>
          <w:tcPr>
            <w:tcW w:w="120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425"/>
              <w:jc w:val="right"/>
              <w:rPr>
                <w:rFonts w:ascii="宋体" w:hAnsi="宋体" w:cs="宋体" w:eastAsia="宋体" w:hint="default"/>
                <w:sz w:val="16"/>
                <w:szCs w:val="16"/>
              </w:rPr>
            </w:pPr>
            <w:r>
              <w:rPr>
                <w:rFonts w:ascii="宋体" w:hAnsi="宋体" w:cs="宋体" w:eastAsia="宋体" w:hint="default"/>
                <w:sz w:val="16"/>
                <w:szCs w:val="16"/>
              </w:rPr>
              <w:t>项目</w:t>
            </w:r>
          </w:p>
        </w:tc>
        <w:tc>
          <w:tcPr>
            <w:tcW w:w="14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2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3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352"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3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350"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4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383"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4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393" w:right="0"/>
              <w:jc w:val="left"/>
              <w:rPr>
                <w:rFonts w:ascii="宋体" w:hAnsi="宋体" w:cs="宋体" w:eastAsia="宋体" w:hint="default"/>
                <w:sz w:val="16"/>
                <w:szCs w:val="16"/>
              </w:rPr>
            </w:pPr>
            <w:r>
              <w:rPr>
                <w:rFonts w:ascii="宋体" w:hAnsi="宋体" w:cs="宋体" w:eastAsia="宋体" w:hint="default"/>
                <w:sz w:val="16"/>
                <w:szCs w:val="16"/>
              </w:rPr>
              <w:t>形成原因</w:t>
            </w:r>
          </w:p>
        </w:tc>
      </w:tr>
      <w:tr>
        <w:trPr>
          <w:trHeight w:val="274" w:hRule="exact"/>
        </w:trPr>
        <w:tc>
          <w:tcPr>
            <w:tcW w:w="120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431"/>
              <w:jc w:val="right"/>
              <w:rPr>
                <w:rFonts w:ascii="宋体" w:hAnsi="宋体" w:cs="宋体" w:eastAsia="宋体" w:hint="default"/>
                <w:sz w:val="16"/>
                <w:szCs w:val="16"/>
              </w:rPr>
            </w:pPr>
            <w:r>
              <w:rPr>
                <w:rFonts w:ascii="宋体" w:hAnsi="宋体" w:cs="宋体" w:eastAsia="宋体" w:hint="default"/>
                <w:sz w:val="16"/>
                <w:szCs w:val="16"/>
              </w:rPr>
              <w:t>政府补助</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349,014,327.29</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324" w:right="0"/>
              <w:jc w:val="left"/>
              <w:rPr>
                <w:rFonts w:ascii="Times New Roman" w:hAnsi="Times New Roman" w:cs="Times New Roman" w:eastAsia="Times New Roman" w:hint="default"/>
                <w:sz w:val="16"/>
                <w:szCs w:val="16"/>
              </w:rPr>
            </w:pPr>
            <w:r>
              <w:rPr>
                <w:rFonts w:ascii="Times New Roman"/>
                <w:sz w:val="16"/>
              </w:rPr>
              <w:t>94,943,000.00</w:t>
            </w:r>
          </w:p>
        </w:tc>
        <w:tc>
          <w:tcPr>
            <w:tcW w:w="13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322" w:right="0"/>
              <w:jc w:val="left"/>
              <w:rPr>
                <w:rFonts w:ascii="Times New Roman" w:hAnsi="Times New Roman" w:cs="Times New Roman" w:eastAsia="Times New Roman" w:hint="default"/>
                <w:sz w:val="16"/>
                <w:szCs w:val="16"/>
              </w:rPr>
            </w:pPr>
            <w:r>
              <w:rPr>
                <w:rFonts w:ascii="Times New Roman"/>
                <w:sz w:val="16"/>
              </w:rPr>
              <w:t>74,271,060.91</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369,686,266.38</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财政拨款</w:t>
            </w:r>
          </w:p>
        </w:tc>
      </w:tr>
      <w:tr>
        <w:trPr>
          <w:trHeight w:val="283" w:hRule="exact"/>
        </w:trPr>
        <w:tc>
          <w:tcPr>
            <w:tcW w:w="1202"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425"/>
              <w:jc w:val="right"/>
              <w:rPr>
                <w:rFonts w:ascii="宋体" w:hAnsi="宋体" w:cs="宋体" w:eastAsia="宋体" w:hint="default"/>
                <w:sz w:val="16"/>
                <w:szCs w:val="16"/>
              </w:rPr>
            </w:pPr>
            <w:r>
              <w:rPr>
                <w:rFonts w:ascii="宋体" w:hAnsi="宋体" w:cs="宋体" w:eastAsia="宋体" w:hint="default"/>
                <w:sz w:val="16"/>
                <w:szCs w:val="16"/>
              </w:rPr>
              <w:t>合计</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349,014,327.29</w:t>
            </w:r>
          </w:p>
        </w:tc>
        <w:tc>
          <w:tcPr>
            <w:tcW w:w="13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324" w:right="0"/>
              <w:jc w:val="left"/>
              <w:rPr>
                <w:rFonts w:ascii="Times New Roman" w:hAnsi="Times New Roman" w:cs="Times New Roman" w:eastAsia="Times New Roman" w:hint="default"/>
                <w:sz w:val="16"/>
                <w:szCs w:val="16"/>
              </w:rPr>
            </w:pPr>
            <w:r>
              <w:rPr>
                <w:rFonts w:ascii="Times New Roman"/>
                <w:sz w:val="16"/>
              </w:rPr>
              <w:t>94,943,000.00</w:t>
            </w:r>
          </w:p>
        </w:tc>
        <w:tc>
          <w:tcPr>
            <w:tcW w:w="13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322" w:right="0"/>
              <w:jc w:val="left"/>
              <w:rPr>
                <w:rFonts w:ascii="Times New Roman" w:hAnsi="Times New Roman" w:cs="Times New Roman" w:eastAsia="Times New Roman" w:hint="default"/>
                <w:sz w:val="16"/>
                <w:szCs w:val="16"/>
              </w:rPr>
            </w:pPr>
            <w:r>
              <w:rPr>
                <w:rFonts w:ascii="Times New Roman"/>
                <w:sz w:val="16"/>
              </w:rPr>
              <w:t>74,271,060.91</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369,686,266.38</w:t>
            </w:r>
          </w:p>
        </w:tc>
        <w:tc>
          <w:tcPr>
            <w:tcW w:w="144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27"/>
          <w:szCs w:val="27"/>
        </w:rPr>
      </w:pPr>
    </w:p>
    <w:p>
      <w:pPr>
        <w:pStyle w:val="BodyText"/>
        <w:spacing w:line="240" w:lineRule="auto"/>
        <w:ind w:left="850" w:right="3683"/>
        <w:jc w:val="left"/>
      </w:pPr>
      <w:r>
        <w:rPr/>
        <w:t>涉及政府补助的项目：</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737"/>
        <w:gridCol w:w="1214"/>
        <w:gridCol w:w="1138"/>
        <w:gridCol w:w="1226"/>
        <w:gridCol w:w="1112"/>
        <w:gridCol w:w="1214"/>
        <w:gridCol w:w="1061"/>
      </w:tblGrid>
      <w:tr>
        <w:trPr>
          <w:trHeight w:val="780" w:hRule="exact"/>
        </w:trPr>
        <w:tc>
          <w:tcPr>
            <w:tcW w:w="27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负债项目</w:t>
            </w:r>
          </w:p>
        </w:tc>
        <w:tc>
          <w:tcPr>
            <w:tcW w:w="1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8"/>
              <w:jc w:val="right"/>
              <w:rPr>
                <w:rFonts w:ascii="宋体" w:hAnsi="宋体" w:cs="宋体" w:eastAsia="宋体" w:hint="default"/>
                <w:sz w:val="16"/>
                <w:szCs w:val="16"/>
              </w:rPr>
            </w:pPr>
            <w:r>
              <w:rPr>
                <w:rFonts w:ascii="宋体" w:hAnsi="宋体" w:cs="宋体" w:eastAsia="宋体" w:hint="default"/>
                <w:spacing w:val="-1"/>
                <w:sz w:val="16"/>
                <w:szCs w:val="16"/>
              </w:rPr>
              <w:t>上年年末余额</w:t>
            </w:r>
          </w:p>
        </w:tc>
        <w:tc>
          <w:tcPr>
            <w:tcW w:w="11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06" w:lineRule="exact"/>
              <w:ind w:left="321" w:right="161" w:hanging="159"/>
              <w:jc w:val="left"/>
              <w:rPr>
                <w:rFonts w:ascii="宋体" w:hAnsi="宋体" w:cs="宋体" w:eastAsia="宋体" w:hint="default"/>
                <w:sz w:val="16"/>
                <w:szCs w:val="16"/>
              </w:rPr>
            </w:pPr>
            <w:r>
              <w:rPr>
                <w:rFonts w:ascii="宋体" w:hAnsi="宋体" w:cs="宋体" w:eastAsia="宋体" w:hint="default"/>
                <w:sz w:val="16"/>
                <w:szCs w:val="16"/>
              </w:rPr>
              <w:t>本期新增补</w:t>
            </w:r>
            <w:r>
              <w:rPr>
                <w:rFonts w:ascii="宋体" w:hAnsi="宋体" w:cs="宋体" w:eastAsia="宋体" w:hint="default"/>
                <w:w w:val="100"/>
                <w:sz w:val="16"/>
                <w:szCs w:val="16"/>
              </w:rPr>
              <w:t> </w:t>
            </w:r>
            <w:r>
              <w:rPr>
                <w:rFonts w:ascii="宋体" w:hAnsi="宋体" w:cs="宋体" w:eastAsia="宋体" w:hint="default"/>
                <w:sz w:val="16"/>
                <w:szCs w:val="16"/>
              </w:rPr>
              <w:t>助金额</w:t>
            </w:r>
          </w:p>
        </w:tc>
        <w:tc>
          <w:tcPr>
            <w:tcW w:w="12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06" w:lineRule="exact"/>
              <w:ind w:left="285" w:right="127" w:hanging="161"/>
              <w:jc w:val="left"/>
              <w:rPr>
                <w:rFonts w:ascii="宋体" w:hAnsi="宋体" w:cs="宋体" w:eastAsia="宋体" w:hint="default"/>
                <w:sz w:val="16"/>
                <w:szCs w:val="16"/>
              </w:rPr>
            </w:pPr>
            <w:r>
              <w:rPr>
                <w:rFonts w:ascii="宋体" w:hAnsi="宋体" w:cs="宋体" w:eastAsia="宋体" w:hint="default"/>
                <w:sz w:val="16"/>
                <w:szCs w:val="16"/>
              </w:rPr>
              <w:t>本期计入当期</w:t>
            </w:r>
            <w:r>
              <w:rPr>
                <w:rFonts w:ascii="宋体" w:hAnsi="宋体" w:cs="宋体" w:eastAsia="宋体" w:hint="default"/>
                <w:w w:val="100"/>
                <w:sz w:val="16"/>
                <w:szCs w:val="16"/>
              </w:rPr>
              <w:t> </w:t>
            </w:r>
            <w:r>
              <w:rPr>
                <w:rFonts w:ascii="宋体" w:hAnsi="宋体" w:cs="宋体" w:eastAsia="宋体" w:hint="default"/>
                <w:sz w:val="16"/>
                <w:szCs w:val="16"/>
              </w:rPr>
              <w:t>损益金额</w:t>
            </w:r>
          </w:p>
        </w:tc>
        <w:tc>
          <w:tcPr>
            <w:tcW w:w="11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16"/>
                <w:szCs w:val="16"/>
              </w:rPr>
            </w:pPr>
            <w:r>
              <w:rPr>
                <w:rFonts w:ascii="宋体" w:hAnsi="宋体" w:cs="宋体" w:eastAsia="宋体" w:hint="default"/>
                <w:sz w:val="16"/>
                <w:szCs w:val="16"/>
              </w:rPr>
              <w:t>其他变动</w:t>
            </w:r>
          </w:p>
        </w:tc>
        <w:tc>
          <w:tcPr>
            <w:tcW w:w="1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1061" w:type="dxa"/>
            <w:tcBorders>
              <w:top w:val="single" w:sz="12" w:space="0" w:color="000000"/>
              <w:left w:val="dotted" w:sz="4" w:space="0" w:color="000000"/>
              <w:bottom w:val="dotted" w:sz="4" w:space="0" w:color="000000"/>
              <w:right w:val="nil" w:sz="6" w:space="0" w:color="auto"/>
            </w:tcBorders>
          </w:tcPr>
          <w:p>
            <w:pPr>
              <w:pStyle w:val="TableParagraph"/>
              <w:spacing w:line="209" w:lineRule="exact" w:before="43"/>
              <w:ind w:left="124" w:right="0"/>
              <w:jc w:val="left"/>
              <w:rPr>
                <w:rFonts w:ascii="宋体" w:hAnsi="宋体" w:cs="宋体" w:eastAsia="宋体" w:hint="default"/>
                <w:sz w:val="16"/>
                <w:szCs w:val="16"/>
              </w:rPr>
            </w:pPr>
            <w:r>
              <w:rPr>
                <w:rFonts w:ascii="宋体" w:hAnsi="宋体" w:cs="宋体" w:eastAsia="宋体" w:hint="default"/>
                <w:sz w:val="16"/>
                <w:szCs w:val="16"/>
              </w:rPr>
              <w:t>与资产相关</w:t>
            </w:r>
          </w:p>
          <w:p>
            <w:pPr>
              <w:pStyle w:val="TableParagraph"/>
              <w:spacing w:line="206" w:lineRule="exact" w:before="21"/>
              <w:ind w:left="444" w:right="185" w:hanging="262"/>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与收益相</w:t>
            </w:r>
            <w:r>
              <w:rPr>
                <w:rFonts w:ascii="宋体" w:hAnsi="宋体" w:cs="宋体" w:eastAsia="宋体" w:hint="default"/>
                <w:w w:val="100"/>
                <w:sz w:val="16"/>
                <w:szCs w:val="16"/>
              </w:rPr>
              <w:t> </w:t>
            </w:r>
            <w:r>
              <w:rPr>
                <w:rFonts w:ascii="宋体" w:hAnsi="宋体" w:cs="宋体" w:eastAsia="宋体" w:hint="default"/>
                <w:sz w:val="16"/>
                <w:szCs w:val="16"/>
              </w:rPr>
              <w:t>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长沙市财政局高新区分局专项资金</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1"/>
                <w:sz w:val="16"/>
              </w:rPr>
              <w:t>151,152,823.83</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6,537,820.71</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6"/>
                <w:szCs w:val="16"/>
              </w:rPr>
            </w:pPr>
            <w:r>
              <w:rPr>
                <w:rFonts w:ascii="Times New Roman"/>
                <w:sz w:val="16"/>
              </w:rPr>
              <w:t>144,615,003.12</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工业发展基金</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98"/>
              <w:jc w:val="right"/>
              <w:rPr>
                <w:rFonts w:ascii="Times New Roman" w:hAnsi="Times New Roman" w:cs="Times New Roman" w:eastAsia="Times New Roman" w:hint="default"/>
                <w:sz w:val="16"/>
                <w:szCs w:val="16"/>
              </w:rPr>
            </w:pPr>
            <w:r>
              <w:rPr>
                <w:rFonts w:ascii="Times New Roman"/>
                <w:spacing w:val="-2"/>
                <w:sz w:val="16"/>
              </w:rPr>
              <w:t>89,665,568.36</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2,930,671.15</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79" w:right="0"/>
              <w:jc w:val="center"/>
              <w:rPr>
                <w:rFonts w:ascii="Times New Roman" w:hAnsi="Times New Roman" w:cs="Times New Roman" w:eastAsia="Times New Roman" w:hint="default"/>
                <w:sz w:val="16"/>
                <w:szCs w:val="16"/>
              </w:rPr>
            </w:pPr>
            <w:r>
              <w:rPr>
                <w:rFonts w:ascii="Times New Roman"/>
                <w:sz w:val="16"/>
              </w:rPr>
              <w:t>86,734,897.21</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5"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安全可靠技术支持</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98"/>
              <w:jc w:val="right"/>
              <w:rPr>
                <w:rFonts w:ascii="Times New Roman" w:hAnsi="Times New Roman" w:cs="Times New Roman" w:eastAsia="Times New Roman" w:hint="default"/>
                <w:sz w:val="16"/>
                <w:szCs w:val="16"/>
              </w:rPr>
            </w:pPr>
            <w:r>
              <w:rPr>
                <w:rFonts w:ascii="Times New Roman"/>
                <w:spacing w:val="-2"/>
                <w:sz w:val="16"/>
              </w:rPr>
              <w:t>24,864,000.00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79" w:right="0"/>
              <w:jc w:val="center"/>
              <w:rPr>
                <w:rFonts w:ascii="Times New Roman" w:hAnsi="Times New Roman" w:cs="Times New Roman" w:eastAsia="Times New Roman" w:hint="default"/>
                <w:sz w:val="16"/>
                <w:szCs w:val="16"/>
              </w:rPr>
            </w:pPr>
            <w:r>
              <w:rPr>
                <w:rFonts w:ascii="Times New Roman"/>
                <w:sz w:val="16"/>
              </w:rPr>
              <w:t>24,864,000.00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80"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96"/>
              <w:jc w:val="left"/>
              <w:rPr>
                <w:rFonts w:ascii="宋体" w:hAnsi="宋体" w:cs="宋体" w:eastAsia="宋体" w:hint="default"/>
                <w:sz w:val="16"/>
                <w:szCs w:val="16"/>
              </w:rPr>
            </w:pPr>
            <w:r>
              <w:rPr>
                <w:rFonts w:ascii="宋体" w:hAnsi="宋体" w:cs="宋体" w:eastAsia="宋体" w:hint="default"/>
                <w:spacing w:val="5"/>
                <w:sz w:val="16"/>
                <w:szCs w:val="16"/>
              </w:rPr>
              <w:t>长沙市财政局高新区分局公租房项</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z w:val="16"/>
                <w:szCs w:val="16"/>
              </w:rPr>
              <w:t>目专项补助资金</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12,215,408.00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265,400.00</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84" w:right="0"/>
              <w:jc w:val="center"/>
              <w:rPr>
                <w:rFonts w:ascii="Times New Roman" w:hAnsi="Times New Roman" w:cs="Times New Roman" w:eastAsia="Times New Roman" w:hint="default"/>
                <w:sz w:val="16"/>
                <w:szCs w:val="16"/>
              </w:rPr>
            </w:pPr>
            <w:r>
              <w:rPr>
                <w:rFonts w:ascii="Times New Roman"/>
                <w:sz w:val="16"/>
              </w:rPr>
              <w:t>11,950,008.00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ZZKK</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云平台实验室</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98"/>
              <w:jc w:val="right"/>
              <w:rPr>
                <w:rFonts w:ascii="Times New Roman" w:hAnsi="Times New Roman" w:cs="Times New Roman" w:eastAsia="Times New Roman" w:hint="default"/>
                <w:sz w:val="16"/>
                <w:szCs w:val="16"/>
              </w:rPr>
            </w:pPr>
            <w:r>
              <w:rPr>
                <w:rFonts w:ascii="Times New Roman"/>
                <w:spacing w:val="-1"/>
                <w:sz w:val="16"/>
              </w:rPr>
              <w:t>9,234,159.06</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2"/>
              <w:jc w:val="right"/>
              <w:rPr>
                <w:rFonts w:ascii="Times New Roman" w:hAnsi="Times New Roman" w:cs="Times New Roman" w:eastAsia="Times New Roman" w:hint="default"/>
                <w:sz w:val="16"/>
                <w:szCs w:val="16"/>
              </w:rPr>
            </w:pPr>
            <w:r>
              <w:rPr>
                <w:rFonts w:ascii="Times New Roman"/>
                <w:spacing w:val="-1"/>
                <w:sz w:val="16"/>
              </w:rPr>
              <w:t>179,283.89</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58" w:right="0"/>
              <w:jc w:val="center"/>
              <w:rPr>
                <w:rFonts w:ascii="Times New Roman" w:hAnsi="Times New Roman" w:cs="Times New Roman" w:eastAsia="Times New Roman" w:hint="default"/>
                <w:sz w:val="16"/>
                <w:szCs w:val="16"/>
              </w:rPr>
            </w:pPr>
            <w:r>
              <w:rPr>
                <w:rFonts w:ascii="Times New Roman"/>
                <w:sz w:val="16"/>
              </w:rPr>
              <w:t>9,054,875.17</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65" w:hRule="exact"/>
        </w:trPr>
        <w:tc>
          <w:tcPr>
            <w:tcW w:w="27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财政局移动互联产业补助资金</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98"/>
              <w:jc w:val="right"/>
              <w:rPr>
                <w:rFonts w:ascii="Times New Roman" w:hAnsi="Times New Roman" w:cs="Times New Roman" w:eastAsia="Times New Roman" w:hint="default"/>
                <w:sz w:val="16"/>
                <w:szCs w:val="16"/>
              </w:rPr>
            </w:pPr>
            <w:r>
              <w:rPr>
                <w:rFonts w:ascii="Times New Roman"/>
                <w:spacing w:val="-1"/>
                <w:sz w:val="16"/>
              </w:rPr>
              <w:t>8,163,336.83</w:t>
            </w:r>
          </w:p>
        </w:tc>
        <w:tc>
          <w:tcPr>
            <w:tcW w:w="11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left="302" w:right="0"/>
              <w:jc w:val="left"/>
              <w:rPr>
                <w:rFonts w:ascii="Times New Roman" w:hAnsi="Times New Roman" w:cs="Times New Roman" w:eastAsia="Times New Roman" w:hint="default"/>
                <w:sz w:val="16"/>
                <w:szCs w:val="16"/>
              </w:rPr>
            </w:pPr>
            <w:r>
              <w:rPr>
                <w:rFonts w:ascii="Times New Roman"/>
                <w:sz w:val="16"/>
              </w:rPr>
              <w:t>500,000.00</w:t>
            </w:r>
          </w:p>
        </w:tc>
        <w:tc>
          <w:tcPr>
            <w:tcW w:w="12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2"/>
              <w:jc w:val="right"/>
              <w:rPr>
                <w:rFonts w:ascii="Times New Roman" w:hAnsi="Times New Roman" w:cs="Times New Roman" w:eastAsia="Times New Roman" w:hint="default"/>
                <w:sz w:val="16"/>
                <w:szCs w:val="16"/>
              </w:rPr>
            </w:pPr>
            <w:r>
              <w:rPr>
                <w:rFonts w:ascii="Times New Roman"/>
                <w:spacing w:val="-1"/>
                <w:sz w:val="16"/>
              </w:rPr>
              <w:t>359,601.97</w:t>
            </w:r>
          </w:p>
        </w:tc>
        <w:tc>
          <w:tcPr>
            <w:tcW w:w="1112" w:type="dxa"/>
            <w:tcBorders>
              <w:top w:val="dotted" w:sz="4" w:space="0" w:color="000000"/>
              <w:left w:val="dotted" w:sz="4" w:space="0" w:color="000000"/>
              <w:bottom w:val="single" w:sz="12" w:space="0" w:color="000000"/>
              <w:right w:val="dotted" w:sz="4" w:space="0" w:color="000000"/>
            </w:tcBorders>
          </w:tcPr>
          <w:p>
            <w:pP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left="158" w:right="0"/>
              <w:jc w:val="center"/>
              <w:rPr>
                <w:rFonts w:ascii="Times New Roman" w:hAnsi="Times New Roman" w:cs="Times New Roman" w:eastAsia="Times New Roman" w:hint="default"/>
                <w:sz w:val="16"/>
                <w:szCs w:val="16"/>
              </w:rPr>
            </w:pPr>
            <w:r>
              <w:rPr>
                <w:rFonts w:ascii="Times New Roman"/>
                <w:sz w:val="16"/>
              </w:rPr>
              <w:t>8,303,734.86</w:t>
            </w:r>
          </w:p>
        </w:tc>
        <w:tc>
          <w:tcPr>
            <w:tcW w:w="10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bl>
    <w:p>
      <w:pPr>
        <w:spacing w:after="0" w:line="240" w:lineRule="auto"/>
        <w:jc w:val="center"/>
        <w:rPr>
          <w:rFonts w:ascii="宋体" w:hAnsi="宋体" w:cs="宋体" w:eastAsia="宋体" w:hint="default"/>
          <w:sz w:val="16"/>
          <w:szCs w:val="16"/>
        </w:rPr>
        <w:sectPr>
          <w:pgSz w:w="11910" w:h="16840"/>
          <w:pgMar w:header="0"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737"/>
        <w:gridCol w:w="1214"/>
        <w:gridCol w:w="1138"/>
        <w:gridCol w:w="1226"/>
        <w:gridCol w:w="1112"/>
        <w:gridCol w:w="1214"/>
        <w:gridCol w:w="1061"/>
      </w:tblGrid>
      <w:tr>
        <w:trPr>
          <w:trHeight w:val="778" w:hRule="exact"/>
        </w:trPr>
        <w:tc>
          <w:tcPr>
            <w:tcW w:w="27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负债项目</w:t>
            </w:r>
          </w:p>
        </w:tc>
        <w:tc>
          <w:tcPr>
            <w:tcW w:w="1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1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06" w:lineRule="exact"/>
              <w:ind w:left="321" w:right="161" w:hanging="159"/>
              <w:jc w:val="left"/>
              <w:rPr>
                <w:rFonts w:ascii="宋体" w:hAnsi="宋体" w:cs="宋体" w:eastAsia="宋体" w:hint="default"/>
                <w:sz w:val="16"/>
                <w:szCs w:val="16"/>
              </w:rPr>
            </w:pPr>
            <w:r>
              <w:rPr>
                <w:rFonts w:ascii="宋体" w:hAnsi="宋体" w:cs="宋体" w:eastAsia="宋体" w:hint="default"/>
                <w:sz w:val="16"/>
                <w:szCs w:val="16"/>
              </w:rPr>
              <w:t>本期新增补</w:t>
            </w:r>
            <w:r>
              <w:rPr>
                <w:rFonts w:ascii="宋体" w:hAnsi="宋体" w:cs="宋体" w:eastAsia="宋体" w:hint="default"/>
                <w:w w:val="100"/>
                <w:sz w:val="16"/>
                <w:szCs w:val="16"/>
              </w:rPr>
              <w:t> </w:t>
            </w:r>
            <w:r>
              <w:rPr>
                <w:rFonts w:ascii="宋体" w:hAnsi="宋体" w:cs="宋体" w:eastAsia="宋体" w:hint="default"/>
                <w:sz w:val="16"/>
                <w:szCs w:val="16"/>
              </w:rPr>
              <w:t>助金额</w:t>
            </w:r>
          </w:p>
        </w:tc>
        <w:tc>
          <w:tcPr>
            <w:tcW w:w="12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06" w:lineRule="exact"/>
              <w:ind w:left="285" w:right="127" w:hanging="161"/>
              <w:jc w:val="left"/>
              <w:rPr>
                <w:rFonts w:ascii="宋体" w:hAnsi="宋体" w:cs="宋体" w:eastAsia="宋体" w:hint="default"/>
                <w:sz w:val="16"/>
                <w:szCs w:val="16"/>
              </w:rPr>
            </w:pPr>
            <w:r>
              <w:rPr>
                <w:rFonts w:ascii="宋体" w:hAnsi="宋体" w:cs="宋体" w:eastAsia="宋体" w:hint="default"/>
                <w:sz w:val="16"/>
                <w:szCs w:val="16"/>
              </w:rPr>
              <w:t>本期计入当期</w:t>
            </w:r>
            <w:r>
              <w:rPr>
                <w:rFonts w:ascii="宋体" w:hAnsi="宋体" w:cs="宋体" w:eastAsia="宋体" w:hint="default"/>
                <w:w w:val="100"/>
                <w:sz w:val="16"/>
                <w:szCs w:val="16"/>
              </w:rPr>
              <w:t> </w:t>
            </w:r>
            <w:r>
              <w:rPr>
                <w:rFonts w:ascii="宋体" w:hAnsi="宋体" w:cs="宋体" w:eastAsia="宋体" w:hint="default"/>
                <w:sz w:val="16"/>
                <w:szCs w:val="16"/>
              </w:rPr>
              <w:t>损益金额</w:t>
            </w:r>
          </w:p>
        </w:tc>
        <w:tc>
          <w:tcPr>
            <w:tcW w:w="11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7" w:right="0"/>
              <w:jc w:val="left"/>
              <w:rPr>
                <w:rFonts w:ascii="宋体" w:hAnsi="宋体" w:cs="宋体" w:eastAsia="宋体" w:hint="default"/>
                <w:sz w:val="16"/>
                <w:szCs w:val="16"/>
              </w:rPr>
            </w:pPr>
            <w:r>
              <w:rPr>
                <w:rFonts w:ascii="宋体" w:hAnsi="宋体" w:cs="宋体" w:eastAsia="宋体" w:hint="default"/>
                <w:sz w:val="16"/>
                <w:szCs w:val="16"/>
              </w:rPr>
              <w:t>其他变动</w:t>
            </w:r>
          </w:p>
        </w:tc>
        <w:tc>
          <w:tcPr>
            <w:tcW w:w="1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0"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061" w:type="dxa"/>
            <w:tcBorders>
              <w:top w:val="single" w:sz="12" w:space="0" w:color="000000"/>
              <w:left w:val="dotted" w:sz="4" w:space="0" w:color="000000"/>
              <w:bottom w:val="dotted" w:sz="4" w:space="0" w:color="000000"/>
              <w:right w:val="nil" w:sz="6" w:space="0" w:color="auto"/>
            </w:tcBorders>
          </w:tcPr>
          <w:p>
            <w:pPr>
              <w:pStyle w:val="TableParagraph"/>
              <w:spacing w:line="208" w:lineRule="exact" w:before="44"/>
              <w:ind w:left="124" w:right="0"/>
              <w:jc w:val="left"/>
              <w:rPr>
                <w:rFonts w:ascii="宋体" w:hAnsi="宋体" w:cs="宋体" w:eastAsia="宋体" w:hint="default"/>
                <w:sz w:val="16"/>
                <w:szCs w:val="16"/>
              </w:rPr>
            </w:pPr>
            <w:r>
              <w:rPr>
                <w:rFonts w:ascii="宋体" w:hAnsi="宋体" w:cs="宋体" w:eastAsia="宋体" w:hint="default"/>
                <w:sz w:val="16"/>
                <w:szCs w:val="16"/>
              </w:rPr>
              <w:t>与资产相关</w:t>
            </w:r>
          </w:p>
          <w:p>
            <w:pPr>
              <w:pStyle w:val="TableParagraph"/>
              <w:spacing w:line="208" w:lineRule="exact" w:before="19"/>
              <w:ind w:left="444" w:right="185" w:hanging="262"/>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与收益相</w:t>
            </w:r>
            <w:r>
              <w:rPr>
                <w:rFonts w:ascii="宋体" w:hAnsi="宋体" w:cs="宋体" w:eastAsia="宋体" w:hint="default"/>
                <w:w w:val="100"/>
                <w:sz w:val="16"/>
                <w:szCs w:val="16"/>
              </w:rPr>
              <w:t> </w:t>
            </w:r>
            <w:r>
              <w:rPr>
                <w:rFonts w:ascii="宋体" w:hAnsi="宋体" w:cs="宋体" w:eastAsia="宋体" w:hint="default"/>
                <w:sz w:val="16"/>
                <w:szCs w:val="16"/>
              </w:rPr>
              <w:t>关</w:t>
            </w:r>
          </w:p>
        </w:tc>
      </w:tr>
      <w:tr>
        <w:trPr>
          <w:trHeight w:val="482"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15" w:lineRule="exact" w:before="2"/>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湖南省湘江新区管委会财政局</w:t>
            </w:r>
            <w:r>
              <w:rPr>
                <w:rFonts w:ascii="宋体" w:hAnsi="宋体" w:cs="宋体" w:eastAsia="宋体" w:hint="default"/>
                <w:spacing w:val="18"/>
                <w:sz w:val="16"/>
                <w:szCs w:val="16"/>
              </w:rPr>
              <w:t> </w:t>
            </w:r>
            <w:r>
              <w:rPr>
                <w:rFonts w:ascii="Times New Roman" w:hAnsi="Times New Roman" w:cs="Times New Roman" w:eastAsia="Times New Roman" w:hint="default"/>
                <w:sz w:val="16"/>
                <w:szCs w:val="16"/>
              </w:rPr>
              <w:t>2018</w:t>
            </w:r>
          </w:p>
          <w:p>
            <w:pPr>
              <w:pStyle w:val="TableParagraph"/>
              <w:spacing w:line="203" w:lineRule="exact"/>
              <w:ind w:left="122" w:right="0"/>
              <w:jc w:val="left"/>
              <w:rPr>
                <w:rFonts w:ascii="宋体" w:hAnsi="宋体" w:cs="宋体" w:eastAsia="宋体" w:hint="default"/>
                <w:sz w:val="16"/>
                <w:szCs w:val="16"/>
              </w:rPr>
            </w:pPr>
            <w:r>
              <w:rPr>
                <w:rFonts w:ascii="宋体" w:hAnsi="宋体" w:cs="宋体" w:eastAsia="宋体" w:hint="default"/>
                <w:sz w:val="16"/>
                <w:szCs w:val="16"/>
              </w:rPr>
              <w:t>年双创项目款</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63" w:right="0"/>
              <w:jc w:val="left"/>
              <w:rPr>
                <w:rFonts w:ascii="Times New Roman" w:hAnsi="Times New Roman" w:cs="Times New Roman" w:eastAsia="Times New Roman" w:hint="default"/>
                <w:sz w:val="16"/>
                <w:szCs w:val="16"/>
              </w:rPr>
            </w:pPr>
            <w:r>
              <w:rPr>
                <w:rFonts w:ascii="Times New Roman"/>
                <w:sz w:val="16"/>
              </w:rPr>
              <w:t>6,400,000.00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6,400,000.00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虚拟化安全防护系统</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63" w:right="0"/>
              <w:jc w:val="left"/>
              <w:rPr>
                <w:rFonts w:ascii="Times New Roman" w:hAnsi="Times New Roman" w:cs="Times New Roman" w:eastAsia="Times New Roman" w:hint="default"/>
                <w:sz w:val="16"/>
                <w:szCs w:val="16"/>
              </w:rPr>
            </w:pPr>
            <w:r>
              <w:rPr>
                <w:rFonts w:ascii="Times New Roman"/>
                <w:sz w:val="16"/>
              </w:rPr>
              <w:t>5,000,000.00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5,000,000.00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“508”</w:t>
            </w:r>
            <w:r>
              <w:rPr>
                <w:rFonts w:ascii="宋体" w:hAnsi="宋体" w:cs="宋体" w:eastAsia="宋体" w:hint="default"/>
                <w:sz w:val="16"/>
                <w:szCs w:val="16"/>
              </w:rPr>
              <w:t>工程建设</w:t>
            </w:r>
          </w:p>
        </w:tc>
        <w:tc>
          <w:tcPr>
            <w:tcW w:w="1214"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5,000,000.00</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1"/>
                <w:sz w:val="16"/>
              </w:rPr>
              <w:t>862,068.95</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4,137,931.05</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5"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信息通信设备及系统</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63" w:right="0"/>
              <w:jc w:val="left"/>
              <w:rPr>
                <w:rFonts w:ascii="Times New Roman" w:hAnsi="Times New Roman" w:cs="Times New Roman" w:eastAsia="Times New Roman" w:hint="default"/>
                <w:sz w:val="16"/>
                <w:szCs w:val="16"/>
              </w:rPr>
            </w:pPr>
            <w:r>
              <w:rPr>
                <w:rFonts w:ascii="Times New Roman"/>
                <w:sz w:val="16"/>
              </w:rPr>
              <w:t>4,000,000.00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4,000,000.00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科研、创新项目</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63" w:right="0"/>
              <w:jc w:val="left"/>
              <w:rPr>
                <w:rFonts w:ascii="Times New Roman" w:hAnsi="Times New Roman" w:cs="Times New Roman" w:eastAsia="Times New Roman" w:hint="default"/>
                <w:sz w:val="16"/>
                <w:szCs w:val="16"/>
              </w:rPr>
            </w:pPr>
            <w:r>
              <w:rPr>
                <w:rFonts w:ascii="Times New Roman"/>
                <w:sz w:val="16"/>
              </w:rPr>
              <w:t>4,331,143.88</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1"/>
                <w:sz w:val="16"/>
              </w:rPr>
              <w:t>401,950.22</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3,929,193.66</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80"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03"/>
              <w:jc w:val="left"/>
              <w:rPr>
                <w:rFonts w:ascii="宋体" w:hAnsi="宋体" w:cs="宋体" w:eastAsia="宋体" w:hint="default"/>
                <w:sz w:val="16"/>
                <w:szCs w:val="16"/>
              </w:rPr>
            </w:pPr>
            <w:r>
              <w:rPr>
                <w:rFonts w:ascii="宋体" w:hAnsi="宋体" w:cs="宋体" w:eastAsia="宋体" w:hint="default"/>
                <w:spacing w:val="5"/>
                <w:sz w:val="16"/>
                <w:szCs w:val="16"/>
              </w:rPr>
              <w:t>可信计算机系统研发与标准制定项</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目</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63" w:right="0"/>
              <w:jc w:val="left"/>
              <w:rPr>
                <w:rFonts w:ascii="Times New Roman" w:hAnsi="Times New Roman" w:cs="Times New Roman" w:eastAsia="Times New Roman" w:hint="default"/>
                <w:sz w:val="16"/>
                <w:szCs w:val="16"/>
              </w:rPr>
            </w:pPr>
            <w:r>
              <w:rPr>
                <w:rFonts w:ascii="Times New Roman"/>
                <w:sz w:val="16"/>
              </w:rPr>
              <w:t>3,000,000.00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3,000,000.00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82"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102"/>
              <w:jc w:val="left"/>
              <w:rPr>
                <w:rFonts w:ascii="宋体" w:hAnsi="宋体" w:cs="宋体" w:eastAsia="宋体" w:hint="default"/>
                <w:sz w:val="16"/>
                <w:szCs w:val="16"/>
              </w:rPr>
            </w:pPr>
            <w:r>
              <w:rPr>
                <w:rFonts w:ascii="宋体" w:hAnsi="宋体" w:cs="宋体" w:eastAsia="宋体" w:hint="default"/>
                <w:spacing w:val="5"/>
                <w:sz w:val="16"/>
                <w:szCs w:val="16"/>
              </w:rPr>
              <w:t>湖南湘江新区管委会财政局拨付重</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大双创示范平台扶持款</w:t>
            </w:r>
          </w:p>
        </w:tc>
        <w:tc>
          <w:tcPr>
            <w:tcW w:w="1214"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2,000,000.00</w:t>
            </w: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装修补贴</w:t>
            </w:r>
          </w:p>
        </w:tc>
        <w:tc>
          <w:tcPr>
            <w:tcW w:w="1214"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5,986,000.00</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3,990,666.67</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1,995,333.33</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80"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03"/>
              <w:jc w:val="left"/>
              <w:rPr>
                <w:rFonts w:ascii="宋体" w:hAnsi="宋体" w:cs="宋体" w:eastAsia="宋体" w:hint="default"/>
                <w:sz w:val="16"/>
                <w:szCs w:val="16"/>
              </w:rPr>
            </w:pPr>
            <w:r>
              <w:rPr>
                <w:rFonts w:ascii="宋体" w:hAnsi="宋体" w:cs="宋体" w:eastAsia="宋体" w:hint="default"/>
                <w:spacing w:val="5"/>
                <w:sz w:val="16"/>
                <w:szCs w:val="16"/>
              </w:rPr>
              <w:t>长沙市财政局战略性新兴产业和新</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型工业化专项资金</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63" w:right="0"/>
              <w:jc w:val="left"/>
              <w:rPr>
                <w:rFonts w:ascii="Times New Roman" w:hAnsi="Times New Roman" w:cs="Times New Roman" w:eastAsia="Times New Roman" w:hint="default"/>
                <w:sz w:val="16"/>
                <w:szCs w:val="16"/>
              </w:rPr>
            </w:pPr>
            <w:r>
              <w:rPr>
                <w:rFonts w:ascii="Times New Roman"/>
                <w:sz w:val="16"/>
              </w:rPr>
              <w:t>1,899,663.76</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138,308.45</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1,761,355.31</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5"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制造强省补助</w:t>
            </w:r>
          </w:p>
        </w:tc>
        <w:tc>
          <w:tcPr>
            <w:tcW w:w="1214"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1,400,000.00</w:t>
            </w: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1,400,000.00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80"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03"/>
              <w:jc w:val="left"/>
              <w:rPr>
                <w:rFonts w:ascii="宋体" w:hAnsi="宋体" w:cs="宋体" w:eastAsia="宋体" w:hint="default"/>
                <w:sz w:val="16"/>
                <w:szCs w:val="16"/>
              </w:rPr>
            </w:pPr>
            <w:r>
              <w:rPr>
                <w:rFonts w:ascii="宋体" w:hAnsi="宋体" w:cs="宋体" w:eastAsia="宋体" w:hint="default"/>
                <w:spacing w:val="5"/>
                <w:sz w:val="16"/>
                <w:szCs w:val="16"/>
              </w:rPr>
              <w:t>湘江新区管委会财政局创新创业示</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范基地项目基金</w:t>
            </w:r>
          </w:p>
        </w:tc>
        <w:tc>
          <w:tcPr>
            <w:tcW w:w="1214"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1,300,000.00</w:t>
            </w: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高密度服务器结项转入资产</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63" w:right="0"/>
              <w:jc w:val="left"/>
              <w:rPr>
                <w:rFonts w:ascii="Times New Roman" w:hAnsi="Times New Roman" w:cs="Times New Roman" w:eastAsia="Times New Roman" w:hint="default"/>
                <w:sz w:val="16"/>
                <w:szCs w:val="16"/>
              </w:rPr>
            </w:pPr>
            <w:r>
              <w:rPr>
                <w:rFonts w:ascii="Times New Roman"/>
                <w:sz w:val="16"/>
              </w:rPr>
              <w:t>1,000,000.00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1,000,000.00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5"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基于</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RAM</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的国产处理器</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383" w:right="0"/>
              <w:jc w:val="left"/>
              <w:rPr>
                <w:rFonts w:ascii="Times New Roman" w:hAnsi="Times New Roman" w:cs="Times New Roman" w:eastAsia="Times New Roman" w:hint="default"/>
                <w:sz w:val="16"/>
                <w:szCs w:val="16"/>
              </w:rPr>
            </w:pPr>
            <w:r>
              <w:rPr>
                <w:rFonts w:ascii="Times New Roman"/>
                <w:sz w:val="16"/>
              </w:rPr>
              <w:t>566,524.32</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2"/>
              <w:jc w:val="right"/>
              <w:rPr>
                <w:rFonts w:ascii="Times New Roman" w:hAnsi="Times New Roman" w:cs="Times New Roman" w:eastAsia="Times New Roman" w:hint="default"/>
                <w:sz w:val="16"/>
                <w:szCs w:val="16"/>
              </w:rPr>
            </w:pPr>
            <w:r>
              <w:rPr>
                <w:rFonts w:ascii="Times New Roman"/>
                <w:spacing w:val="-1"/>
                <w:sz w:val="16"/>
              </w:rPr>
              <w:t>78,760.71</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487,763.61</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其他小额合计</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63" w:right="0"/>
              <w:jc w:val="left"/>
              <w:rPr>
                <w:rFonts w:ascii="Times New Roman" w:hAnsi="Times New Roman" w:cs="Times New Roman" w:eastAsia="Times New Roman" w:hint="default"/>
                <w:sz w:val="16"/>
                <w:szCs w:val="16"/>
              </w:rPr>
            </w:pPr>
            <w:r>
              <w:rPr>
                <w:rFonts w:ascii="Times New Roman"/>
                <w:sz w:val="16"/>
              </w:rPr>
              <w:t>3,891,699.25</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450,000.00</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1"/>
                <w:sz w:val="16"/>
              </w:rPr>
              <w:t>682,243.33</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3,659,455.92</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产业补贴</w:t>
            </w:r>
          </w:p>
        </w:tc>
        <w:tc>
          <w:tcPr>
            <w:tcW w:w="1214"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22,999,000.00</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12,844,284.86</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10,154,715.14</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355"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百万产能提升</w:t>
            </w:r>
          </w:p>
        </w:tc>
        <w:tc>
          <w:tcPr>
            <w:tcW w:w="1214"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5,000,000.00</w:t>
            </w: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5,000,000.00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通信指挥系统及设备军贸</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63" w:right="0"/>
              <w:jc w:val="left"/>
              <w:rPr>
                <w:rFonts w:ascii="Times New Roman" w:hAnsi="Times New Roman" w:cs="Times New Roman" w:eastAsia="Times New Roman" w:hint="default"/>
                <w:sz w:val="16"/>
                <w:szCs w:val="16"/>
              </w:rPr>
            </w:pPr>
            <w:r>
              <w:rPr>
                <w:rFonts w:ascii="Times New Roman"/>
                <w:sz w:val="16"/>
              </w:rPr>
              <w:t>4,800,000.00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4,800,000.00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湖南制造强省专项资金</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63" w:right="0"/>
              <w:jc w:val="left"/>
              <w:rPr>
                <w:rFonts w:ascii="Times New Roman" w:hAnsi="Times New Roman" w:cs="Times New Roman" w:eastAsia="Times New Roman" w:hint="default"/>
                <w:sz w:val="16"/>
                <w:szCs w:val="16"/>
              </w:rPr>
            </w:pPr>
            <w:r>
              <w:rPr>
                <w:rFonts w:ascii="Times New Roman"/>
                <w:sz w:val="16"/>
              </w:rPr>
              <w:t>4,000,000.00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4,000,000.00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82"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01"/>
              <w:jc w:val="left"/>
              <w:rPr>
                <w:rFonts w:ascii="宋体" w:hAnsi="宋体" w:cs="宋体" w:eastAsia="宋体" w:hint="default"/>
                <w:sz w:val="16"/>
                <w:szCs w:val="16"/>
              </w:rPr>
            </w:pPr>
            <w:r>
              <w:rPr>
                <w:rFonts w:ascii="宋体" w:hAnsi="宋体" w:cs="宋体" w:eastAsia="宋体" w:hint="default"/>
                <w:sz w:val="16"/>
                <w:szCs w:val="16"/>
              </w:rPr>
              <w:t>湖南省 </w:t>
            </w: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0"/>
                <w:sz w:val="16"/>
                <w:szCs w:val="16"/>
              </w:rPr>
              <w:t> </w:t>
            </w:r>
            <w:r>
              <w:rPr>
                <w:rFonts w:ascii="宋体" w:hAnsi="宋体" w:cs="宋体" w:eastAsia="宋体" w:hint="default"/>
                <w:sz w:val="16"/>
                <w:szCs w:val="16"/>
              </w:rPr>
              <w:t>年中央制造业高质量发</w:t>
            </w:r>
            <w:r>
              <w:rPr>
                <w:rFonts w:ascii="宋体" w:hAnsi="宋体" w:cs="宋体" w:eastAsia="宋体" w:hint="default"/>
                <w:w w:val="100"/>
                <w:sz w:val="16"/>
                <w:szCs w:val="16"/>
              </w:rPr>
              <w:t> </w:t>
            </w:r>
            <w:r>
              <w:rPr>
                <w:rFonts w:ascii="宋体" w:hAnsi="宋体" w:cs="宋体" w:eastAsia="宋体" w:hint="default"/>
                <w:sz w:val="16"/>
                <w:szCs w:val="16"/>
              </w:rPr>
              <w:t>展资金</w:t>
            </w:r>
          </w:p>
        </w:tc>
        <w:tc>
          <w:tcPr>
            <w:tcW w:w="1214"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4,000,000.00</w:t>
            </w: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4,000,000.00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80"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20"/>
              <w:ind w:left="122" w:right="102"/>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7"/>
                <w:sz w:val="16"/>
                <w:szCs w:val="16"/>
              </w:rPr>
              <w:t> </w:t>
            </w:r>
            <w:r>
              <w:rPr>
                <w:rFonts w:ascii="宋体" w:hAnsi="宋体" w:cs="宋体" w:eastAsia="宋体" w:hint="default"/>
                <w:sz w:val="16"/>
                <w:szCs w:val="16"/>
              </w:rPr>
              <w:t>年智能制造综合标准化与新模</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式应用项目</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63" w:right="0"/>
              <w:jc w:val="left"/>
              <w:rPr>
                <w:rFonts w:ascii="Times New Roman" w:hAnsi="Times New Roman" w:cs="Times New Roman" w:eastAsia="Times New Roman" w:hint="default"/>
                <w:sz w:val="16"/>
                <w:szCs w:val="16"/>
              </w:rPr>
            </w:pPr>
            <w:r>
              <w:rPr>
                <w:rFonts w:ascii="Times New Roman"/>
                <w:sz w:val="16"/>
              </w:rPr>
              <w:t>5,000,000.00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-1,500,000.00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3,500,000.00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财政局移动互联产业补助资金</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63" w:right="0"/>
              <w:jc w:val="left"/>
              <w:rPr>
                <w:rFonts w:ascii="Times New Roman" w:hAnsi="Times New Roman" w:cs="Times New Roman" w:eastAsia="Times New Roman" w:hint="default"/>
                <w:sz w:val="16"/>
                <w:szCs w:val="16"/>
              </w:rPr>
            </w:pPr>
            <w:r>
              <w:rPr>
                <w:rFonts w:ascii="Times New Roman"/>
                <w:sz w:val="16"/>
              </w:rPr>
              <w:t>3,000,000.00</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400,000.00</w:t>
            </w: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3,400,000.00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82"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23"/>
              <w:ind w:left="122" w:right="101"/>
              <w:jc w:val="left"/>
              <w:rPr>
                <w:rFonts w:ascii="宋体" w:hAnsi="宋体" w:cs="宋体" w:eastAsia="宋体" w:hint="default"/>
                <w:sz w:val="16"/>
                <w:szCs w:val="16"/>
              </w:rPr>
            </w:pPr>
            <w:r>
              <w:rPr>
                <w:rFonts w:ascii="宋体" w:hAnsi="宋体" w:cs="宋体" w:eastAsia="宋体" w:hint="default"/>
                <w:sz w:val="16"/>
                <w:szCs w:val="16"/>
              </w:rPr>
              <w:t>《智能网联汽车整车控制器</w:t>
            </w:r>
            <w:r>
              <w:rPr>
                <w:rFonts w:ascii="宋体" w:hAnsi="宋体" w:cs="宋体" w:eastAsia="宋体" w:hint="default"/>
                <w:spacing w:val="-37"/>
                <w:sz w:val="16"/>
                <w:szCs w:val="16"/>
              </w:rPr>
              <w:t> </w:t>
            </w:r>
            <w:r>
              <w:rPr>
                <w:rFonts w:ascii="Times New Roman" w:hAnsi="Times New Roman" w:cs="Times New Roman" w:eastAsia="Times New Roman" w:hint="default"/>
                <w:sz w:val="16"/>
                <w:szCs w:val="16"/>
              </w:rPr>
              <w:t>VCU </w:t>
            </w:r>
            <w:r>
              <w:rPr>
                <w:rFonts w:ascii="宋体" w:hAnsi="宋体" w:cs="宋体" w:eastAsia="宋体" w:hint="default"/>
                <w:sz w:val="16"/>
                <w:szCs w:val="16"/>
              </w:rPr>
              <w:t>关</w:t>
            </w:r>
            <w:r>
              <w:rPr>
                <w:rFonts w:ascii="宋体" w:hAnsi="宋体" w:cs="宋体" w:eastAsia="宋体" w:hint="default"/>
                <w:w w:val="100"/>
                <w:sz w:val="16"/>
                <w:szCs w:val="16"/>
              </w:rPr>
              <w:t> </w:t>
            </w:r>
            <w:r>
              <w:rPr>
                <w:rFonts w:ascii="宋体" w:hAnsi="宋体" w:cs="宋体" w:eastAsia="宋体" w:hint="default"/>
                <w:sz w:val="16"/>
                <w:szCs w:val="16"/>
              </w:rPr>
              <w:t>键技术研究与应用》项目</w:t>
            </w:r>
          </w:p>
        </w:tc>
        <w:tc>
          <w:tcPr>
            <w:tcW w:w="1214"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1,400,000.00</w:t>
            </w: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1,400,000.00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80"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01"/>
              <w:jc w:val="left"/>
              <w:rPr>
                <w:rFonts w:ascii="宋体" w:hAnsi="宋体" w:cs="宋体" w:eastAsia="宋体" w:hint="default"/>
                <w:sz w:val="16"/>
                <w:szCs w:val="16"/>
              </w:rPr>
            </w:pPr>
            <w:r>
              <w:rPr>
                <w:rFonts w:ascii="宋体" w:hAnsi="宋体" w:cs="宋体" w:eastAsia="宋体" w:hint="default"/>
                <w:sz w:val="16"/>
                <w:szCs w:val="16"/>
              </w:rPr>
              <w:t>长沙市经开区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20"/>
                <w:sz w:val="16"/>
                <w:szCs w:val="16"/>
              </w:rPr>
              <w:t> </w:t>
            </w:r>
            <w:r>
              <w:rPr>
                <w:rFonts w:ascii="宋体" w:hAnsi="宋体" w:cs="宋体" w:eastAsia="宋体" w:hint="default"/>
                <w:sz w:val="16"/>
                <w:szCs w:val="16"/>
              </w:rPr>
              <w:t>年智能制造专项</w:t>
            </w:r>
            <w:r>
              <w:rPr>
                <w:rFonts w:ascii="宋体" w:hAnsi="宋体" w:cs="宋体" w:eastAsia="宋体" w:hint="default"/>
                <w:w w:val="100"/>
                <w:sz w:val="16"/>
                <w:szCs w:val="16"/>
              </w:rPr>
              <w:t> </w:t>
            </w:r>
            <w:r>
              <w:rPr>
                <w:rFonts w:ascii="宋体" w:hAnsi="宋体" w:cs="宋体" w:eastAsia="宋体" w:hint="default"/>
                <w:sz w:val="16"/>
                <w:szCs w:val="16"/>
              </w:rPr>
              <w:t>项目第一批专项资金</w:t>
            </w:r>
          </w:p>
        </w:tc>
        <w:tc>
          <w:tcPr>
            <w:tcW w:w="1214"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1,138,000.00</w:t>
            </w: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1,138,000.00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82"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01"/>
              <w:jc w:val="left"/>
              <w:rPr>
                <w:rFonts w:ascii="宋体" w:hAnsi="宋体" w:cs="宋体" w:eastAsia="宋体" w:hint="default"/>
                <w:sz w:val="16"/>
                <w:szCs w:val="16"/>
              </w:rPr>
            </w:pPr>
            <w:r>
              <w:rPr>
                <w:rFonts w:ascii="宋体" w:hAnsi="宋体" w:cs="宋体" w:eastAsia="宋体" w:hint="default"/>
                <w:sz w:val="16"/>
                <w:szCs w:val="16"/>
              </w:rPr>
              <w:t>长沙市经开区财政局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20"/>
                <w:sz w:val="16"/>
                <w:szCs w:val="16"/>
              </w:rPr>
              <w:t> </w:t>
            </w:r>
            <w:r>
              <w:rPr>
                <w:rFonts w:ascii="宋体" w:hAnsi="宋体" w:cs="宋体" w:eastAsia="宋体" w:hint="default"/>
                <w:sz w:val="16"/>
                <w:szCs w:val="16"/>
              </w:rPr>
              <w:t>年度第四</w:t>
            </w:r>
            <w:r>
              <w:rPr>
                <w:rFonts w:ascii="宋体" w:hAnsi="宋体" w:cs="宋体" w:eastAsia="宋体" w:hint="default"/>
                <w:w w:val="100"/>
                <w:sz w:val="16"/>
                <w:szCs w:val="16"/>
              </w:rPr>
              <w:t> </w:t>
            </w:r>
            <w:r>
              <w:rPr>
                <w:rFonts w:ascii="宋体" w:hAnsi="宋体" w:cs="宋体" w:eastAsia="宋体" w:hint="default"/>
                <w:sz w:val="16"/>
                <w:szCs w:val="16"/>
              </w:rPr>
              <w:t>批制造强省专项资金</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63" w:right="0"/>
              <w:jc w:val="left"/>
              <w:rPr>
                <w:rFonts w:ascii="Times New Roman" w:hAnsi="Times New Roman" w:cs="Times New Roman" w:eastAsia="Times New Roman" w:hint="default"/>
                <w:sz w:val="16"/>
                <w:szCs w:val="16"/>
              </w:rPr>
            </w:pPr>
            <w:r>
              <w:rPr>
                <w:rFonts w:ascii="Times New Roman"/>
                <w:sz w:val="16"/>
              </w:rPr>
              <w:t>1,000,000.00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80"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21"/>
              <w:ind w:left="122" w:right="101"/>
              <w:jc w:val="left"/>
              <w:rPr>
                <w:rFonts w:ascii="宋体" w:hAnsi="宋体" w:cs="宋体" w:eastAsia="宋体" w:hint="default"/>
                <w:sz w:val="16"/>
                <w:szCs w:val="16"/>
              </w:rPr>
            </w:pPr>
            <w:r>
              <w:rPr>
                <w:rFonts w:ascii="宋体" w:hAnsi="宋体" w:cs="宋体" w:eastAsia="宋体" w:hint="default"/>
                <w:sz w:val="16"/>
                <w:szCs w:val="16"/>
              </w:rPr>
              <w:t>长沙市经开区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20"/>
                <w:sz w:val="16"/>
                <w:szCs w:val="16"/>
              </w:rPr>
              <w:t> </w:t>
            </w:r>
            <w:r>
              <w:rPr>
                <w:rFonts w:ascii="宋体" w:hAnsi="宋体" w:cs="宋体" w:eastAsia="宋体" w:hint="default"/>
                <w:sz w:val="16"/>
                <w:szCs w:val="16"/>
              </w:rPr>
              <w:t>年度国家智能制</w:t>
            </w:r>
            <w:r>
              <w:rPr>
                <w:rFonts w:ascii="宋体" w:hAnsi="宋体" w:cs="宋体" w:eastAsia="宋体" w:hint="default"/>
                <w:w w:val="100"/>
                <w:sz w:val="16"/>
                <w:szCs w:val="16"/>
              </w:rPr>
              <w:t> </w:t>
            </w:r>
            <w:r>
              <w:rPr>
                <w:rFonts w:ascii="宋体" w:hAnsi="宋体" w:cs="宋体" w:eastAsia="宋体" w:hint="default"/>
                <w:sz w:val="16"/>
                <w:szCs w:val="16"/>
              </w:rPr>
              <w:t>造师范企业补助资金</w:t>
            </w:r>
          </w:p>
        </w:tc>
        <w:tc>
          <w:tcPr>
            <w:tcW w:w="1214"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1,000,000.00</w:t>
            </w: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81"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03"/>
              <w:jc w:val="left"/>
              <w:rPr>
                <w:rFonts w:ascii="宋体" w:hAnsi="宋体" w:cs="宋体" w:eastAsia="宋体" w:hint="default"/>
                <w:sz w:val="16"/>
                <w:szCs w:val="16"/>
              </w:rPr>
            </w:pPr>
            <w:r>
              <w:rPr>
                <w:rFonts w:ascii="宋体" w:hAnsi="宋体" w:cs="宋体" w:eastAsia="宋体" w:hint="default"/>
                <w:spacing w:val="5"/>
                <w:sz w:val="16"/>
                <w:szCs w:val="16"/>
              </w:rPr>
              <w:t>基于大数据的非入侵式负荷检测平</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台及传感器研发</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83" w:right="0"/>
              <w:jc w:val="left"/>
              <w:rPr>
                <w:rFonts w:ascii="Times New Roman" w:hAnsi="Times New Roman" w:cs="Times New Roman" w:eastAsia="Times New Roman" w:hint="default"/>
                <w:sz w:val="16"/>
                <w:szCs w:val="16"/>
              </w:rPr>
            </w:pPr>
            <w:r>
              <w:rPr>
                <w:rFonts w:ascii="Times New Roman"/>
                <w:sz w:val="16"/>
              </w:rPr>
              <w:t>520,000.00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520,000.00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355"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科研、创新项目</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63" w:right="0"/>
              <w:jc w:val="left"/>
              <w:rPr>
                <w:rFonts w:ascii="Times New Roman" w:hAnsi="Times New Roman" w:cs="Times New Roman" w:eastAsia="Times New Roman" w:hint="default"/>
                <w:sz w:val="16"/>
                <w:szCs w:val="16"/>
              </w:rPr>
            </w:pPr>
            <w:r>
              <w:rPr>
                <w:rFonts w:ascii="Times New Roman"/>
                <w:sz w:val="16"/>
              </w:rPr>
              <w:t>3,500,000.00</w:t>
            </w:r>
          </w:p>
        </w:tc>
        <w:tc>
          <w:tcPr>
            <w:tcW w:w="1138"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3,000,000.00</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500,000.00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80"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103"/>
              <w:jc w:val="left"/>
              <w:rPr>
                <w:rFonts w:ascii="宋体" w:hAnsi="宋体" w:cs="宋体" w:eastAsia="宋体" w:hint="default"/>
                <w:sz w:val="16"/>
                <w:szCs w:val="16"/>
              </w:rPr>
            </w:pPr>
            <w:r>
              <w:rPr>
                <w:rFonts w:ascii="宋体" w:hAnsi="宋体" w:cs="宋体" w:eastAsia="宋体" w:hint="default"/>
                <w:spacing w:val="5"/>
                <w:sz w:val="16"/>
                <w:szCs w:val="16"/>
              </w:rPr>
              <w:t>中国长城海洋信息安全产业化项目</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补贴</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18"/>
              <w:jc w:val="right"/>
              <w:rPr>
                <w:rFonts w:ascii="宋体" w:hAnsi="宋体" w:cs="宋体" w:eastAsia="宋体" w:hint="default"/>
                <w:sz w:val="16"/>
                <w:szCs w:val="16"/>
              </w:rPr>
            </w:pPr>
            <w:r>
              <w:rPr>
                <w:rFonts w:ascii="宋体"/>
                <w:w w:val="100"/>
                <w:sz w:val="16"/>
              </w:rPr>
              <w:t> </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40,000,000.00</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40,000,000.00</w:t>
            </w:r>
          </w:p>
        </w:tc>
        <w:tc>
          <w:tcPr>
            <w:tcW w:w="1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23"/>
              <w:jc w:val="right"/>
              <w:rPr>
                <w:rFonts w:ascii="宋体" w:hAnsi="宋体" w:cs="宋体" w:eastAsia="宋体" w:hint="default"/>
                <w:sz w:val="16"/>
                <w:szCs w:val="16"/>
              </w:rPr>
            </w:pPr>
            <w:r>
              <w:rPr>
                <w:rFonts w:ascii="宋体"/>
                <w:w w:val="100"/>
                <w:sz w:val="16"/>
              </w:rPr>
              <w:t> </w:t>
            </w:r>
          </w:p>
        </w:tc>
        <w:tc>
          <w:tcPr>
            <w:tcW w:w="1214" w:type="dxa"/>
            <w:tcBorders>
              <w:top w:val="dotted" w:sz="4" w:space="0" w:color="000000"/>
              <w:left w:val="dotted" w:sz="4" w:space="0" w:color="000000"/>
              <w:bottom w:val="dotted" w:sz="4" w:space="0" w:color="000000"/>
              <w:right w:val="dotted" w:sz="4" w:space="0" w:color="000000"/>
            </w:tcBorders>
          </w:tcPr>
          <w:p>
            <w:pP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353" w:hRule="exact"/>
        </w:trPr>
        <w:tc>
          <w:tcPr>
            <w:tcW w:w="27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其他小额合计</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63" w:right="0"/>
              <w:jc w:val="left"/>
              <w:rPr>
                <w:rFonts w:ascii="Times New Roman" w:hAnsi="Times New Roman" w:cs="Times New Roman" w:eastAsia="Times New Roman" w:hint="default"/>
                <w:sz w:val="16"/>
                <w:szCs w:val="16"/>
              </w:rPr>
            </w:pPr>
            <w:r>
              <w:rPr>
                <w:rFonts w:ascii="Times New Roman"/>
                <w:sz w:val="16"/>
              </w:rPr>
              <w:t>1,810,000.00</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2,370,000.00</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1"/>
                <w:sz w:val="16"/>
              </w:rPr>
              <w:t>500,000.00</w:t>
            </w:r>
          </w:p>
        </w:tc>
        <w:tc>
          <w:tcPr>
            <w:tcW w:w="1112"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3,680,000.00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46"/>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360" w:hRule="exact"/>
        </w:trPr>
        <w:tc>
          <w:tcPr>
            <w:tcW w:w="27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349,014,327.29</w:t>
            </w:r>
          </w:p>
        </w:tc>
        <w:tc>
          <w:tcPr>
            <w:tcW w:w="11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94,943,000.00</w:t>
            </w:r>
          </w:p>
        </w:tc>
        <w:tc>
          <w:tcPr>
            <w:tcW w:w="12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72,771,060.91</w:t>
            </w:r>
          </w:p>
        </w:tc>
        <w:tc>
          <w:tcPr>
            <w:tcW w:w="11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-1,500,000.00</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369,686,266.38</w:t>
            </w:r>
          </w:p>
        </w:tc>
        <w:tc>
          <w:tcPr>
            <w:tcW w:w="1061"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7" w:top="1500" w:bottom="1180" w:left="1660" w:right="0"/>
        </w:sectPr>
      </w:pPr>
    </w:p>
    <w:p>
      <w:pPr>
        <w:spacing w:line="240" w:lineRule="auto" w:before="6"/>
        <w:rPr>
          <w:rFonts w:ascii="Times New Roman" w:hAnsi="Times New Roman" w:cs="Times New Roman" w:eastAsia="Times New Roman" w:hint="default"/>
          <w:sz w:val="17"/>
          <w:szCs w:val="1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股本</w:t>
      </w:r>
      <w:r>
        <w:rPr>
          <w:b w:val="0"/>
          <w:bCs w:val="0"/>
        </w:rPr>
      </w:r>
    </w:p>
    <w:tbl>
      <w:tblPr>
        <w:tblW w:w="0" w:type="auto"/>
        <w:jc w:val="left"/>
        <w:tblInd w:w="109" w:type="dxa"/>
        <w:tblLayout w:type="fixed"/>
        <w:tblCellMar>
          <w:top w:w="0" w:type="dxa"/>
          <w:left w:w="0" w:type="dxa"/>
          <w:bottom w:w="0" w:type="dxa"/>
          <w:right w:w="0" w:type="dxa"/>
        </w:tblCellMar>
        <w:tblLook w:val="01E0"/>
      </w:tblPr>
      <w:tblGrid>
        <w:gridCol w:w="1111"/>
        <w:gridCol w:w="1469"/>
        <w:gridCol w:w="550"/>
        <w:gridCol w:w="533"/>
        <w:gridCol w:w="746"/>
        <w:gridCol w:w="1277"/>
        <w:gridCol w:w="1181"/>
        <w:gridCol w:w="1337"/>
      </w:tblGrid>
      <w:tr>
        <w:trPr>
          <w:trHeight w:val="283" w:hRule="exact"/>
        </w:trPr>
        <w:tc>
          <w:tcPr>
            <w:tcW w:w="1111"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69"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49"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4287"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1211" w:right="0"/>
              <w:jc w:val="left"/>
              <w:rPr>
                <w:rFonts w:ascii="宋体" w:hAnsi="宋体" w:cs="宋体" w:eastAsia="宋体" w:hint="default"/>
                <w:sz w:val="16"/>
                <w:szCs w:val="16"/>
              </w:rPr>
            </w:pPr>
            <w:r>
              <w:rPr>
                <w:rFonts w:ascii="宋体" w:hAnsi="宋体" w:cs="宋体" w:eastAsia="宋体" w:hint="default"/>
                <w:sz w:val="16"/>
                <w:szCs w:val="16"/>
              </w:rPr>
              <w:t>本期变动增（</w:t>
            </w:r>
            <w:r>
              <w:rPr>
                <w:rFonts w:ascii="Times New Roman" w:hAnsi="Times New Roman" w:cs="Times New Roman" w:eastAsia="Times New Roman" w:hint="default"/>
                <w:sz w:val="16"/>
                <w:szCs w:val="16"/>
              </w:rPr>
              <w:t>+</w:t>
            </w:r>
            <w:r>
              <w:rPr>
                <w:rFonts w:ascii="宋体" w:hAnsi="宋体" w:cs="宋体" w:eastAsia="宋体" w:hint="default"/>
                <w:sz w:val="16"/>
                <w:szCs w:val="16"/>
              </w:rPr>
              <w:t>）减（－）</w:t>
            </w:r>
          </w:p>
        </w:tc>
        <w:tc>
          <w:tcPr>
            <w:tcW w:w="1337"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43"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480" w:hRule="exact"/>
        </w:trPr>
        <w:tc>
          <w:tcPr>
            <w:tcW w:w="1111" w:type="dxa"/>
            <w:vMerge/>
            <w:tcBorders>
              <w:left w:val="nil" w:sz="6" w:space="0" w:color="auto"/>
              <w:bottom w:val="dotted" w:sz="4" w:space="0" w:color="000000"/>
              <w:right w:val="dotted" w:sz="4" w:space="0" w:color="000000"/>
            </w:tcBorders>
          </w:tcPr>
          <w:p>
            <w:pPr/>
          </w:p>
        </w:tc>
        <w:tc>
          <w:tcPr>
            <w:tcW w:w="1469" w:type="dxa"/>
            <w:vMerge/>
            <w:tcBorders>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110" w:right="107"/>
              <w:jc w:val="left"/>
              <w:rPr>
                <w:rFonts w:ascii="宋体" w:hAnsi="宋体" w:cs="宋体" w:eastAsia="宋体" w:hint="default"/>
                <w:sz w:val="16"/>
                <w:szCs w:val="16"/>
              </w:rPr>
            </w:pPr>
            <w:r>
              <w:rPr>
                <w:rFonts w:ascii="宋体" w:hAnsi="宋体" w:cs="宋体" w:eastAsia="宋体" w:hint="default"/>
                <w:sz w:val="16"/>
                <w:szCs w:val="16"/>
              </w:rPr>
              <w:t>发行</w:t>
            </w:r>
            <w:r>
              <w:rPr>
                <w:rFonts w:ascii="宋体" w:hAnsi="宋体" w:cs="宋体" w:eastAsia="宋体" w:hint="default"/>
                <w:w w:val="100"/>
                <w:sz w:val="16"/>
                <w:szCs w:val="16"/>
              </w:rPr>
              <w:t> </w:t>
            </w:r>
            <w:r>
              <w:rPr>
                <w:rFonts w:ascii="宋体" w:hAnsi="宋体" w:cs="宋体" w:eastAsia="宋体" w:hint="default"/>
                <w:sz w:val="16"/>
                <w:szCs w:val="16"/>
              </w:rPr>
              <w:t>新股</w:t>
            </w:r>
          </w:p>
        </w:tc>
        <w:tc>
          <w:tcPr>
            <w:tcW w:w="533"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180" w:right="180"/>
              <w:jc w:val="center"/>
              <w:rPr>
                <w:rFonts w:ascii="宋体" w:hAnsi="宋体" w:cs="宋体" w:eastAsia="宋体" w:hint="default"/>
                <w:sz w:val="16"/>
                <w:szCs w:val="16"/>
              </w:rPr>
            </w:pPr>
            <w:r>
              <w:rPr>
                <w:rFonts w:ascii="宋体" w:hAnsi="宋体" w:cs="宋体" w:eastAsia="宋体" w:hint="default"/>
                <w:sz w:val="16"/>
                <w:szCs w:val="16"/>
              </w:rPr>
              <w:t>送</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746"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208" w:right="125" w:hanging="82"/>
              <w:jc w:val="left"/>
              <w:rPr>
                <w:rFonts w:ascii="宋体" w:hAnsi="宋体" w:cs="宋体" w:eastAsia="宋体" w:hint="default"/>
                <w:sz w:val="16"/>
                <w:szCs w:val="16"/>
              </w:rPr>
            </w:pPr>
            <w:r>
              <w:rPr>
                <w:rFonts w:ascii="宋体" w:hAnsi="宋体" w:cs="宋体" w:eastAsia="宋体" w:hint="default"/>
                <w:sz w:val="16"/>
                <w:szCs w:val="16"/>
              </w:rPr>
              <w:t>公积金</w:t>
            </w:r>
            <w:r>
              <w:rPr>
                <w:rFonts w:ascii="宋体" w:hAnsi="宋体" w:cs="宋体" w:eastAsia="宋体" w:hint="default"/>
                <w:spacing w:val="-78"/>
                <w:sz w:val="16"/>
                <w:szCs w:val="16"/>
              </w:rPr>
              <w:t> </w:t>
            </w:r>
            <w:r>
              <w:rPr>
                <w:rFonts w:ascii="宋体" w:hAnsi="宋体" w:cs="宋体" w:eastAsia="宋体" w:hint="default"/>
                <w:sz w:val="16"/>
                <w:szCs w:val="16"/>
              </w:rPr>
              <w:t>转股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1337" w:type="dxa"/>
            <w:vMerge/>
            <w:tcBorders>
              <w:left w:val="dotted" w:sz="4" w:space="0" w:color="000000"/>
              <w:bottom w:val="dotted" w:sz="4" w:space="0" w:color="000000"/>
              <w:right w:val="nil" w:sz="6" w:space="0" w:color="auto"/>
            </w:tcBorders>
          </w:tcPr>
          <w:p>
            <w:pPr/>
          </w:p>
        </w:tc>
      </w:tr>
      <w:tr>
        <w:trPr>
          <w:trHeight w:val="286" w:hRule="exact"/>
        </w:trPr>
        <w:tc>
          <w:tcPr>
            <w:tcW w:w="11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股份总额</w:t>
            </w:r>
          </w:p>
        </w:tc>
        <w:tc>
          <w:tcPr>
            <w:tcW w:w="14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left="235" w:right="0"/>
              <w:jc w:val="left"/>
              <w:rPr>
                <w:rFonts w:ascii="Times New Roman" w:hAnsi="Times New Roman" w:cs="Times New Roman" w:eastAsia="Times New Roman" w:hint="default"/>
                <w:sz w:val="16"/>
                <w:szCs w:val="16"/>
              </w:rPr>
            </w:pPr>
            <w:r>
              <w:rPr>
                <w:rFonts w:ascii="Times New Roman"/>
                <w:sz w:val="16"/>
              </w:rPr>
              <w:t>2,936,165,560.00</w:t>
            </w:r>
          </w:p>
        </w:tc>
        <w:tc>
          <w:tcPr>
            <w:tcW w:w="550" w:type="dxa"/>
            <w:tcBorders>
              <w:top w:val="dotted" w:sz="4" w:space="0" w:color="000000"/>
              <w:left w:val="dotted" w:sz="4" w:space="0" w:color="000000"/>
              <w:bottom w:val="single" w:sz="12" w:space="0" w:color="000000"/>
              <w:right w:val="dotted" w:sz="4" w:space="0" w:color="000000"/>
            </w:tcBorders>
          </w:tcPr>
          <w:p>
            <w:pPr/>
          </w:p>
        </w:tc>
        <w:tc>
          <w:tcPr>
            <w:tcW w:w="533" w:type="dxa"/>
            <w:tcBorders>
              <w:top w:val="dotted" w:sz="4" w:space="0" w:color="000000"/>
              <w:left w:val="dotted" w:sz="4" w:space="0" w:color="000000"/>
              <w:bottom w:val="single" w:sz="12" w:space="0" w:color="000000"/>
              <w:right w:val="dotted" w:sz="4" w:space="0" w:color="000000"/>
            </w:tcBorders>
          </w:tcPr>
          <w:p>
            <w:pPr/>
          </w:p>
        </w:tc>
        <w:tc>
          <w:tcPr>
            <w:tcW w:w="746"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left="269" w:right="0"/>
              <w:jc w:val="left"/>
              <w:rPr>
                <w:rFonts w:ascii="Times New Roman" w:hAnsi="Times New Roman" w:cs="Times New Roman" w:eastAsia="Times New Roman" w:hint="default"/>
                <w:sz w:val="16"/>
                <w:szCs w:val="16"/>
              </w:rPr>
            </w:pPr>
            <w:r>
              <w:rPr>
                <w:rFonts w:ascii="Times New Roman"/>
                <w:sz w:val="16"/>
              </w:rPr>
              <w:t>-7,983,507.00</w:t>
            </w:r>
          </w:p>
        </w:tc>
        <w:tc>
          <w:tcPr>
            <w:tcW w:w="11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left="72" w:right="0"/>
              <w:jc w:val="center"/>
              <w:rPr>
                <w:rFonts w:ascii="Times New Roman" w:hAnsi="Times New Roman" w:cs="Times New Roman" w:eastAsia="Times New Roman" w:hint="default"/>
                <w:sz w:val="16"/>
                <w:szCs w:val="16"/>
              </w:rPr>
            </w:pPr>
            <w:r>
              <w:rPr>
                <w:rFonts w:ascii="Times New Roman"/>
                <w:sz w:val="16"/>
              </w:rPr>
              <w:t>-7,983,507.00</w:t>
            </w:r>
          </w:p>
        </w:tc>
        <w:tc>
          <w:tcPr>
            <w:tcW w:w="13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6"/>
                <w:szCs w:val="16"/>
              </w:rPr>
            </w:pPr>
            <w:r>
              <w:rPr>
                <w:rFonts w:ascii="Times New Roman"/>
                <w:sz w:val="16"/>
              </w:rPr>
              <w:t>2,928,182,053.00</w:t>
            </w:r>
          </w:p>
        </w:tc>
      </w:tr>
    </w:tbl>
    <w:p>
      <w:pPr>
        <w:pStyle w:val="BodyText"/>
        <w:spacing w:line="240" w:lineRule="auto" w:before="9"/>
        <w:ind w:left="850" w:right="1468"/>
        <w:jc w:val="left"/>
      </w:pPr>
      <w:r>
        <w:rPr>
          <w:spacing w:val="-5"/>
        </w:rPr>
        <w:t>说明：公司于</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日召开</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4"/>
        </w:rPr>
        <w:t>年度股东大会，审议通过了《关于重大资</w:t>
      </w:r>
    </w:p>
    <w:p>
      <w:pPr>
        <w:pStyle w:val="BodyText"/>
        <w:spacing w:line="247" w:lineRule="auto" w:before="9"/>
        <w:ind w:left="850" w:right="1468"/>
        <w:jc w:val="left"/>
      </w:pPr>
      <w:r>
        <w:rPr/>
        <w:t>产重组购入资产</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spacing w:val="-4"/>
        </w:rPr>
        <w:t>年度业绩承诺实现情况及业绩补偿方案的议案》和《关于提请</w:t>
      </w:r>
      <w:r>
        <w:rPr>
          <w:spacing w:val="-100"/>
        </w:rPr>
        <w:t> </w:t>
      </w:r>
      <w:r>
        <w:rPr>
          <w:spacing w:val="-100"/>
        </w:rPr>
      </w:r>
      <w:r>
        <w:rPr>
          <w:spacing w:val="-4"/>
        </w:rPr>
        <w:t>股东大会授权董事会全权办理补偿股份回购、注销相关事宜并因注册资本变更修订</w:t>
      </w:r>
      <w:r>
        <w:rPr>
          <w:rFonts w:ascii="Times New Roman" w:hAnsi="Times New Roman" w:cs="Times New Roman" w:eastAsia="Times New Roman" w:hint="default"/>
          <w:spacing w:val="-4"/>
        </w:rPr>
        <w:t>&lt;</w:t>
      </w:r>
      <w:r>
        <w:rPr>
          <w:rFonts w:ascii="Times New Roman" w:hAnsi="Times New Roman" w:cs="Times New Roman" w:eastAsia="Times New Roman" w:hint="default"/>
          <w:spacing w:val="8"/>
        </w:rPr>
        <w:t> </w:t>
      </w:r>
      <w:r>
        <w:rPr>
          <w:spacing w:val="-5"/>
          <w:w w:val="100"/>
        </w:rPr>
        <w:t>公司章程</w:t>
      </w:r>
      <w:r>
        <w:rPr>
          <w:rFonts w:ascii="Times New Roman" w:hAnsi="Times New Roman" w:cs="Times New Roman" w:eastAsia="Times New Roman" w:hint="default"/>
          <w:spacing w:val="-5"/>
          <w:w w:val="100"/>
        </w:rPr>
        <w:t>&gt;</w:t>
      </w:r>
      <w:r>
        <w:rPr>
          <w:spacing w:val="-5"/>
          <w:w w:val="100"/>
        </w:rPr>
        <w:t>的议案》，由于公司重大资产重组购入资产北京圣非凡电子系统技术开发</w:t>
      </w:r>
      <w:r>
        <w:rPr>
          <w:spacing w:val="-74"/>
          <w:w w:val="100"/>
        </w:rPr>
        <w:t> </w:t>
      </w:r>
      <w:r>
        <w:rPr>
          <w:spacing w:val="-74"/>
          <w:w w:val="100"/>
        </w:rPr>
      </w:r>
      <w:r>
        <w:rPr/>
        <w:t>有限公司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年度扣除非经常性损益归属于母公司所有者的净利润未能达到承诺</w:t>
      </w:r>
      <w:r>
        <w:rPr>
          <w:w w:val="100"/>
        </w:rPr>
        <w:t> </w:t>
      </w:r>
      <w:r>
        <w:rPr/>
        <w:t>业绩，根据公司与中国电子信息产业集团有限公司（简称</w:t>
      </w:r>
      <w:r>
        <w:rPr>
          <w:rFonts w:ascii="Times New Roman" w:hAnsi="Times New Roman" w:cs="Times New Roman" w:eastAsia="Times New Roman" w:hint="default"/>
        </w:rPr>
        <w:t>“</w:t>
      </w:r>
      <w:r>
        <w:rPr/>
        <w:t>中国电子</w:t>
      </w:r>
      <w:r>
        <w:rPr>
          <w:rFonts w:ascii="Times New Roman" w:hAnsi="Times New Roman" w:cs="Times New Roman" w:eastAsia="Times New Roman" w:hint="default"/>
        </w:rPr>
        <w:t>”</w:t>
      </w:r>
      <w:r>
        <w:rPr/>
        <w:t>）签署的《盈</w:t>
      </w:r>
      <w:r>
        <w:rPr>
          <w:w w:val="100"/>
        </w:rPr>
        <w:t> </w:t>
      </w:r>
      <w:r>
        <w:rPr>
          <w:spacing w:val="-9"/>
          <w:w w:val="100"/>
        </w:rPr>
        <w:t>利预测补偿协议》、《盈利预测补偿协议之补充协议》约定，公司将以</w:t>
      </w:r>
      <w:r>
        <w:rPr>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7"/>
          <w:w w:val="100"/>
        </w:rPr>
        <w:t> </w:t>
      </w:r>
      <w:r>
        <w:rPr>
          <w:spacing w:val="-1"/>
          <w:w w:val="100"/>
        </w:rPr>
        <w:t>元的价格回</w:t>
      </w:r>
    </w:p>
    <w:p>
      <w:pPr>
        <w:pStyle w:val="BodyText"/>
        <w:spacing w:line="247" w:lineRule="auto" w:before="2"/>
        <w:ind w:left="850" w:right="1787"/>
        <w:jc w:val="left"/>
      </w:pPr>
      <w:r>
        <w:rPr/>
        <w:t>购中国电子</w:t>
      </w:r>
      <w:r>
        <w:rPr>
          <w:spacing w:val="-62"/>
        </w:rPr>
        <w:t> </w:t>
      </w:r>
      <w:r>
        <w:rPr>
          <w:rFonts w:ascii="Times New Roman" w:hAnsi="Times New Roman" w:cs="Times New Roman" w:eastAsia="Times New Roman" w:hint="default"/>
        </w:rPr>
        <w:t>7,983,507</w:t>
      </w:r>
      <w:r>
        <w:rPr>
          <w:rFonts w:ascii="Times New Roman" w:hAnsi="Times New Roman" w:cs="Times New Roman" w:eastAsia="Times New Roman" w:hint="default"/>
          <w:spacing w:val="-9"/>
        </w:rPr>
        <w:t> </w:t>
      </w:r>
      <w:r>
        <w:rPr/>
        <w:t>股并于</w:t>
      </w:r>
      <w:r>
        <w:rPr>
          <w:spacing w:val="-6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日在中国证券登记结算有限责任公司深</w:t>
      </w:r>
      <w:r>
        <w:rPr>
          <w:w w:val="100"/>
        </w:rPr>
        <w:t> </w:t>
      </w:r>
      <w:r>
        <w:rPr/>
        <w:t>圳分公司完成注销手续。</w:t>
      </w:r>
    </w:p>
    <w:p>
      <w:pPr>
        <w:pStyle w:val="Heading5"/>
        <w:spacing w:line="240" w:lineRule="auto" w:before="19"/>
        <w:ind w:right="3683"/>
        <w:jc w:val="left"/>
        <w:rPr>
          <w:b w:val="0"/>
          <w:bCs w:val="0"/>
        </w:rPr>
      </w:pPr>
      <w:r>
        <w:rPr>
          <w:rFonts w:ascii="Times New Roman" w:hAnsi="Times New Roman" w:cs="Times New Roman" w:eastAsia="Times New Roman" w:hint="default"/>
        </w:rPr>
        <w:t>(</w:t>
      </w:r>
      <w:r>
        <w:rPr/>
        <w:t>四十</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资本公积</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060"/>
        <w:gridCol w:w="1536"/>
        <w:gridCol w:w="1536"/>
        <w:gridCol w:w="1537"/>
        <w:gridCol w:w="1536"/>
      </w:tblGrid>
      <w:tr>
        <w:trPr>
          <w:trHeight w:val="283" w:hRule="exact"/>
        </w:trPr>
        <w:tc>
          <w:tcPr>
            <w:tcW w:w="20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80"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39"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5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39"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53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439"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20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资本溢价（股本溢价）</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10,000,000.00</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8,382,682.35</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left="501" w:right="0"/>
              <w:jc w:val="left"/>
              <w:rPr>
                <w:rFonts w:ascii="Times New Roman" w:hAnsi="Times New Roman" w:cs="Times New Roman" w:eastAsia="Times New Roman" w:hint="default"/>
                <w:sz w:val="16"/>
                <w:szCs w:val="16"/>
              </w:rPr>
            </w:pPr>
            <w:r>
              <w:rPr>
                <w:rFonts w:ascii="Times New Roman"/>
                <w:sz w:val="16"/>
              </w:rPr>
              <w:t>10,000,000.00</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8,382,682.35</w:t>
            </w:r>
          </w:p>
        </w:tc>
      </w:tr>
      <w:tr>
        <w:trPr>
          <w:trHeight w:val="274" w:hRule="exact"/>
        </w:trPr>
        <w:tc>
          <w:tcPr>
            <w:tcW w:w="20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其他资本公积</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556,164,360.16</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61,616,864.10</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left="501" w:right="0"/>
              <w:jc w:val="left"/>
              <w:rPr>
                <w:rFonts w:ascii="Times New Roman" w:hAnsi="Times New Roman" w:cs="Times New Roman" w:eastAsia="Times New Roman" w:hint="default"/>
                <w:sz w:val="16"/>
                <w:szCs w:val="16"/>
              </w:rPr>
            </w:pPr>
            <w:r>
              <w:rPr>
                <w:rFonts w:ascii="Times New Roman"/>
                <w:sz w:val="16"/>
              </w:rPr>
              <w:t>25,568,972.02</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592,212,252.24</w:t>
            </w:r>
          </w:p>
        </w:tc>
      </w:tr>
      <w:tr>
        <w:trPr>
          <w:trHeight w:val="286" w:hRule="exact"/>
        </w:trPr>
        <w:tc>
          <w:tcPr>
            <w:tcW w:w="20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566,164,360.16</w:t>
            </w:r>
          </w:p>
        </w:tc>
        <w:tc>
          <w:tcPr>
            <w:tcW w:w="1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69,999,546.45</w:t>
            </w:r>
          </w:p>
        </w:tc>
        <w:tc>
          <w:tcPr>
            <w:tcW w:w="15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left="501" w:right="0"/>
              <w:jc w:val="left"/>
              <w:rPr>
                <w:rFonts w:ascii="Times New Roman" w:hAnsi="Times New Roman" w:cs="Times New Roman" w:eastAsia="Times New Roman" w:hint="default"/>
                <w:sz w:val="16"/>
                <w:szCs w:val="16"/>
              </w:rPr>
            </w:pPr>
            <w:r>
              <w:rPr>
                <w:rFonts w:ascii="Times New Roman"/>
                <w:sz w:val="16"/>
              </w:rPr>
              <w:t>35,568,972.02</w:t>
            </w:r>
          </w:p>
        </w:tc>
        <w:tc>
          <w:tcPr>
            <w:tcW w:w="153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600,594,934.59</w:t>
            </w:r>
          </w:p>
        </w:tc>
      </w:tr>
    </w:tbl>
    <w:p>
      <w:pPr>
        <w:pStyle w:val="BodyText"/>
        <w:spacing w:line="240" w:lineRule="auto" w:before="9"/>
        <w:ind w:left="850" w:right="3683"/>
        <w:jc w:val="left"/>
      </w:pPr>
      <w:r>
        <w:rPr/>
        <w:t>说明：</w:t>
      </w:r>
    </w:p>
    <w:p>
      <w:pPr>
        <w:pStyle w:val="BodyText"/>
        <w:spacing w:line="254" w:lineRule="auto" w:before="25"/>
        <w:ind w:left="850" w:right="1724"/>
        <w:jc w:val="left"/>
      </w:pPr>
      <w:r>
        <w:rPr>
          <w:rFonts w:ascii="Times New Roman" w:hAnsi="Times New Roman" w:cs="Times New Roman" w:eastAsia="Times New Roman" w:hint="default"/>
          <w:spacing w:val="-6"/>
          <w:w w:val="100"/>
        </w:rPr>
        <w:t>1</w:t>
      </w:r>
      <w:r>
        <w:rPr>
          <w:spacing w:val="-6"/>
          <w:w w:val="100"/>
        </w:rPr>
        <w:t>、</w:t>
      </w:r>
      <w:r>
        <w:rPr>
          <w:rFonts w:ascii="Times New Roman" w:hAnsi="Times New Roman" w:cs="Times New Roman" w:eastAsia="Times New Roman" w:hint="default"/>
          <w:spacing w:val="-6"/>
          <w:w w:val="100"/>
        </w:rPr>
        <w:t>2019</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 </w:t>
      </w:r>
      <w:r>
        <w:rPr>
          <w:w w:val="100"/>
        </w:rPr>
        <w:t>月</w:t>
      </w:r>
      <w:r>
        <w:rPr>
          <w:spacing w:val="-52"/>
          <w:w w:val="10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w w:val="100"/>
        </w:rPr>
        <w:t> </w:t>
      </w:r>
      <w:r>
        <w:rPr>
          <w:spacing w:val="-2"/>
          <w:w w:val="100"/>
        </w:rPr>
        <w:t>日公司实施</w:t>
      </w:r>
      <w:r>
        <w:rPr>
          <w:spacing w:val="-53"/>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3"/>
          <w:w w:val="100"/>
        </w:rPr>
        <w:t> </w:t>
      </w:r>
      <w:r>
        <w:rPr>
          <w:spacing w:val="-15"/>
          <w:w w:val="100"/>
        </w:rPr>
        <w:t>年度权益分派，根据《盈利预测补偿协议》、《盈</w:t>
      </w:r>
      <w:r>
        <w:rPr>
          <w:w w:val="100"/>
        </w:rPr>
        <w:t> </w:t>
      </w:r>
      <w:r>
        <w:rPr/>
        <w:t>利预测补偿协议之补充协议》约定，公司在补偿期限内实施现金分配，现金分配的</w:t>
      </w:r>
      <w:r>
        <w:rPr>
          <w:w w:val="100"/>
        </w:rPr>
        <w:t> </w:t>
      </w:r>
      <w:r>
        <w:rPr/>
        <w:t>部分应作相应返还，据此，业绩补偿股份</w:t>
      </w:r>
      <w:r>
        <w:rPr>
          <w:spacing w:val="-55"/>
        </w:rPr>
        <w:t> </w:t>
      </w:r>
      <w:r>
        <w:rPr>
          <w:rFonts w:ascii="Times New Roman" w:hAnsi="Times New Roman" w:cs="Times New Roman" w:eastAsia="Times New Roman" w:hint="default"/>
        </w:rPr>
        <w:t>7,983,507</w:t>
      </w:r>
      <w:r>
        <w:rPr>
          <w:rFonts w:ascii="Times New Roman" w:hAnsi="Times New Roman" w:cs="Times New Roman" w:eastAsia="Times New Roman" w:hint="default"/>
          <w:spacing w:val="-4"/>
        </w:rPr>
        <w:t> </w:t>
      </w:r>
      <w:r>
        <w:rPr/>
        <w:t>股对应返还金额</w:t>
      </w:r>
      <w:r>
        <w:rPr>
          <w:spacing w:val="-55"/>
        </w:rPr>
        <w:t> </w:t>
      </w:r>
      <w:r>
        <w:rPr>
          <w:rFonts w:ascii="Times New Roman" w:hAnsi="Times New Roman" w:cs="Times New Roman" w:eastAsia="Times New Roman" w:hint="default"/>
        </w:rPr>
        <w:t>399,175.35</w:t>
      </w:r>
      <w:r>
        <w:rPr>
          <w:rFonts w:ascii="Times New Roman" w:hAnsi="Times New Roman" w:cs="Times New Roman" w:eastAsia="Times New Roman" w:hint="default"/>
          <w:spacing w:val="-2"/>
        </w:rPr>
        <w:t> </w:t>
      </w:r>
      <w:r>
        <w:rPr/>
        <w:t>元，</w:t>
      </w:r>
      <w:r>
        <w:rPr>
          <w:w w:val="100"/>
        </w:rPr>
        <w:t> </w:t>
      </w:r>
      <w:r>
        <w:rPr/>
        <w:t>公司在向中国电子信息产业集团有限公司派发现金红利时直接扣减应返还部分，对</w:t>
      </w:r>
      <w:r>
        <w:rPr>
          <w:w w:val="100"/>
        </w:rPr>
        <w:t> </w:t>
      </w:r>
      <w:r>
        <w:rPr/>
        <w:t>应增加资本公积</w:t>
      </w:r>
      <w:r>
        <w:rPr>
          <w:rFonts w:ascii="Times New Roman" w:hAnsi="Times New Roman" w:cs="Times New Roman" w:eastAsia="Times New Roman" w:hint="default"/>
        </w:rPr>
        <w:t>-</w:t>
      </w:r>
      <w:r>
        <w:rPr/>
        <w:t>股本溢价</w:t>
      </w:r>
      <w:r>
        <w:rPr>
          <w:spacing w:val="-53"/>
        </w:rPr>
        <w:t> </w:t>
      </w:r>
      <w:r>
        <w:rPr>
          <w:rFonts w:ascii="Times New Roman" w:hAnsi="Times New Roman" w:cs="Times New Roman" w:eastAsia="Times New Roman" w:hint="default"/>
        </w:rPr>
        <w:t>399,175.35</w:t>
      </w:r>
      <w:r>
        <w:rPr>
          <w:rFonts w:ascii="Times New Roman" w:hAnsi="Times New Roman" w:cs="Times New Roman" w:eastAsia="Times New Roman" w:hint="default"/>
          <w:spacing w:val="-1"/>
        </w:rPr>
        <w:t> </w:t>
      </w:r>
      <w:r>
        <w:rPr/>
        <w:t>元；</w:t>
      </w:r>
    </w:p>
    <w:p>
      <w:pPr>
        <w:pStyle w:val="BodyText"/>
        <w:spacing w:line="286" w:lineRule="exact" w:before="0"/>
        <w:ind w:left="850" w:right="1468"/>
        <w:jc w:val="left"/>
      </w:pPr>
      <w:r>
        <w:rPr>
          <w:rFonts w:ascii="Times New Roman" w:hAnsi="Times New Roman" w:cs="Times New Roman" w:eastAsia="Times New Roman" w:hint="default"/>
        </w:rPr>
        <w:t>2</w:t>
      </w:r>
      <w:r>
        <w:rPr/>
        <w:t>、公司以</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元的价格回购中国电子信息产业集团有限公司</w:t>
      </w:r>
      <w:r>
        <w:rPr>
          <w:spacing w:val="-54"/>
        </w:rPr>
        <w:t> </w:t>
      </w:r>
      <w:r>
        <w:rPr>
          <w:rFonts w:ascii="Times New Roman" w:hAnsi="Times New Roman" w:cs="Times New Roman" w:eastAsia="Times New Roman" w:hint="default"/>
        </w:rPr>
        <w:t>7,983,507</w:t>
      </w:r>
      <w:r>
        <w:rPr>
          <w:rFonts w:ascii="Times New Roman" w:hAnsi="Times New Roman" w:cs="Times New Roman" w:eastAsia="Times New Roman" w:hint="default"/>
          <w:spacing w:val="-2"/>
        </w:rPr>
        <w:t> </w:t>
      </w:r>
      <w:r>
        <w:rPr/>
        <w:t>股并注销，确</w:t>
      </w:r>
    </w:p>
    <w:p>
      <w:pPr>
        <w:pStyle w:val="BodyText"/>
        <w:spacing w:line="247" w:lineRule="auto" w:before="9"/>
        <w:ind w:left="850" w:right="1683"/>
        <w:jc w:val="left"/>
      </w:pPr>
      <w:r>
        <w:rPr>
          <w:spacing w:val="-2"/>
          <w:w w:val="100"/>
        </w:rPr>
        <w:t>认资本公积</w:t>
      </w:r>
      <w:r>
        <w:rPr>
          <w:rFonts w:ascii="Times New Roman" w:hAnsi="Times New Roman" w:cs="Times New Roman" w:eastAsia="Times New Roman" w:hint="default"/>
          <w:spacing w:val="-2"/>
          <w:w w:val="100"/>
        </w:rPr>
        <w:t>-</w:t>
      </w:r>
      <w:r>
        <w:rPr>
          <w:spacing w:val="-2"/>
          <w:w w:val="100"/>
        </w:rPr>
        <w:t>股本溢价</w:t>
      </w:r>
      <w:r>
        <w:rPr>
          <w:spacing w:val="-49"/>
          <w:w w:val="100"/>
        </w:rPr>
        <w:t> </w:t>
      </w:r>
      <w:r>
        <w:rPr>
          <w:rFonts w:ascii="Times New Roman" w:hAnsi="Times New Roman" w:cs="Times New Roman" w:eastAsia="Times New Roman" w:hint="default"/>
          <w:spacing w:val="-1"/>
          <w:w w:val="100"/>
        </w:rPr>
        <w:t>7,983,507.00</w:t>
      </w:r>
      <w:r>
        <w:rPr>
          <w:rFonts w:ascii="Times New Roman" w:hAnsi="Times New Roman" w:cs="Times New Roman" w:eastAsia="Times New Roman" w:hint="default"/>
          <w:spacing w:val="6"/>
          <w:w w:val="100"/>
        </w:rPr>
        <w:t> </w:t>
      </w:r>
      <w:r>
        <w:rPr>
          <w:spacing w:val="-9"/>
          <w:w w:val="100"/>
        </w:rPr>
        <w:t>元，冲减资本公积</w:t>
      </w:r>
      <w:r>
        <w:rPr>
          <w:rFonts w:ascii="Times New Roman" w:hAnsi="Times New Roman" w:cs="Times New Roman" w:eastAsia="Times New Roman" w:hint="default"/>
          <w:spacing w:val="-9"/>
          <w:w w:val="100"/>
        </w:rPr>
        <w:t>-</w:t>
      </w:r>
      <w:r>
        <w:rPr>
          <w:spacing w:val="-9"/>
          <w:w w:val="100"/>
        </w:rPr>
        <w:t>其他资本公积</w:t>
      </w:r>
      <w:r>
        <w:rPr>
          <w:spacing w:val="-47"/>
          <w:w w:val="100"/>
        </w:rPr>
        <w:t> </w:t>
      </w:r>
      <w:r>
        <w:rPr>
          <w:rFonts w:ascii="Times New Roman" w:hAnsi="Times New Roman" w:cs="Times New Roman" w:eastAsia="Times New Roman" w:hint="default"/>
          <w:spacing w:val="-1"/>
          <w:w w:val="100"/>
        </w:rPr>
        <w:t>7,983,507.00</w:t>
      </w:r>
      <w:r>
        <w:rPr>
          <w:rFonts w:ascii="Times New Roman" w:hAnsi="Times New Roman" w:cs="Times New Roman" w:eastAsia="Times New Roman" w:hint="default"/>
          <w:spacing w:val="6"/>
          <w:w w:val="100"/>
        </w:rPr>
        <w:t> </w:t>
      </w:r>
      <w:r>
        <w:rPr>
          <w:w w:val="100"/>
        </w:rPr>
        <w:t>元；</w:t>
      </w:r>
      <w:r>
        <w:rPr>
          <w:spacing w:val="-103"/>
          <w:w w:val="100"/>
        </w:rPr>
        <w:t> </w:t>
      </w:r>
      <w:r>
        <w:rPr>
          <w:rFonts w:ascii="Times New Roman" w:hAnsi="Times New Roman" w:cs="Times New Roman" w:eastAsia="Times New Roman" w:hint="default"/>
        </w:rPr>
        <w:t>3</w:t>
      </w:r>
      <w:r>
        <w:rPr/>
        <w:t>、本期公司同一控制下企业合并郑州轨道交通信息技术研究院减少资本公积</w:t>
      </w:r>
      <w:r>
        <w:rPr>
          <w:rFonts w:ascii="Times New Roman" w:hAnsi="Times New Roman" w:cs="Times New Roman" w:eastAsia="Times New Roman" w:hint="default"/>
        </w:rPr>
        <w:t>-</w:t>
      </w:r>
      <w:r>
        <w:rPr/>
        <w:t>股本</w:t>
      </w:r>
      <w:r>
        <w:rPr>
          <w:w w:val="100"/>
        </w:rPr>
        <w:t> </w:t>
      </w:r>
      <w:r>
        <w:rPr/>
        <w:t>溢价</w:t>
      </w:r>
      <w:r>
        <w:rPr>
          <w:spacing w:val="-52"/>
        </w:rPr>
        <w:t> </w:t>
      </w:r>
      <w:r>
        <w:rPr>
          <w:rFonts w:ascii="Times New Roman" w:hAnsi="Times New Roman" w:cs="Times New Roman" w:eastAsia="Times New Roman" w:hint="default"/>
        </w:rPr>
        <w:t>10,000,000.00</w:t>
      </w:r>
      <w:r>
        <w:rPr>
          <w:rFonts w:ascii="Times New Roman" w:hAnsi="Times New Roman" w:cs="Times New Roman" w:eastAsia="Times New Roman" w:hint="default"/>
          <w:spacing w:val="-1"/>
        </w:rPr>
        <w:t> </w:t>
      </w:r>
      <w:r>
        <w:rPr/>
        <w:t>元；</w:t>
      </w:r>
    </w:p>
    <w:p>
      <w:pPr>
        <w:pStyle w:val="BodyText"/>
        <w:spacing w:line="247" w:lineRule="auto" w:before="2"/>
        <w:ind w:left="850" w:right="1786"/>
        <w:jc w:val="both"/>
      </w:pPr>
      <w:r>
        <w:rPr>
          <w:rFonts w:ascii="Times New Roman" w:hAnsi="Times New Roman" w:cs="Times New Roman" w:eastAsia="Times New Roman" w:hint="default"/>
          <w:spacing w:val="-4"/>
        </w:rPr>
        <w:t>4</w:t>
      </w:r>
      <w:r>
        <w:rPr>
          <w:spacing w:val="-4"/>
        </w:rPr>
        <w:t>、本期二级子公司北京圣非凡电子系统技术开发有限公司因国防科工局拨款建造的</w:t>
      </w:r>
      <w:r>
        <w:rPr>
          <w:spacing w:val="-27"/>
        </w:rPr>
        <w:t> </w:t>
      </w:r>
      <w:r>
        <w:rPr>
          <w:spacing w:val="-27"/>
        </w:rPr>
      </w:r>
      <w:r>
        <w:rPr>
          <w:rFonts w:ascii="Times New Roman" w:hAnsi="Times New Roman" w:cs="Times New Roman" w:eastAsia="Times New Roman" w:hint="default"/>
        </w:rPr>
        <w:t>JM </w:t>
      </w:r>
      <w:r>
        <w:rPr>
          <w:spacing w:val="-4"/>
        </w:rPr>
        <w:t>项目竣工验收，公司根据拨款文件将国拨资金转为国有独享资本公积，增加资本</w:t>
      </w:r>
      <w:r>
        <w:rPr>
          <w:spacing w:val="-93"/>
        </w:rPr>
        <w:t> </w:t>
      </w:r>
      <w:r>
        <w:rPr>
          <w:spacing w:val="-93"/>
        </w:rPr>
      </w:r>
      <w:r>
        <w:rPr/>
        <w:t>公积</w:t>
      </w:r>
      <w:r>
        <w:rPr>
          <w:rFonts w:ascii="Times New Roman" w:hAnsi="Times New Roman" w:cs="Times New Roman" w:eastAsia="Times New Roman" w:hint="default"/>
        </w:rPr>
        <w:t>-</w:t>
      </w:r>
      <w:r>
        <w:rPr/>
        <w:t>其他资本公积</w:t>
      </w:r>
      <w:r>
        <w:rPr>
          <w:spacing w:val="-51"/>
        </w:rPr>
        <w:t> </w:t>
      </w:r>
      <w:r>
        <w:rPr>
          <w:rFonts w:ascii="Times New Roman" w:hAnsi="Times New Roman" w:cs="Times New Roman" w:eastAsia="Times New Roman" w:hint="default"/>
        </w:rPr>
        <w:t>48,880,000.00</w:t>
      </w:r>
      <w:r>
        <w:rPr>
          <w:rFonts w:ascii="Times New Roman" w:hAnsi="Times New Roman" w:cs="Times New Roman" w:eastAsia="Times New Roman" w:hint="default"/>
          <w:spacing w:val="-2"/>
        </w:rPr>
        <w:t> </w:t>
      </w:r>
      <w:r>
        <w:rPr/>
        <w:t>元；</w:t>
      </w:r>
    </w:p>
    <w:p>
      <w:pPr>
        <w:pStyle w:val="BodyText"/>
        <w:spacing w:line="240" w:lineRule="auto" w:before="2"/>
        <w:ind w:left="850" w:right="1468"/>
        <w:jc w:val="left"/>
      </w:pPr>
      <w:r>
        <w:rPr>
          <w:rFonts w:ascii="Times New Roman" w:hAnsi="Times New Roman" w:cs="Times New Roman" w:eastAsia="Times New Roman" w:hint="default"/>
          <w:spacing w:val="-3"/>
        </w:rPr>
        <w:t>5</w:t>
      </w:r>
      <w:r>
        <w:rPr>
          <w:spacing w:val="-3"/>
        </w:rPr>
        <w:t>、本期确认授予员工的股票期权激励费用增加资本公积</w:t>
      </w:r>
      <w:r>
        <w:rPr>
          <w:rFonts w:ascii="Times New Roman" w:hAnsi="Times New Roman" w:cs="Times New Roman" w:eastAsia="Times New Roman" w:hint="default"/>
          <w:spacing w:val="-3"/>
        </w:rPr>
        <w:t>-</w:t>
      </w:r>
      <w:r>
        <w:rPr>
          <w:spacing w:val="-3"/>
        </w:rPr>
        <w:t>其他资本公积 </w:t>
      </w:r>
      <w:r>
        <w:rPr>
          <w:rFonts w:ascii="Times New Roman" w:hAnsi="Times New Roman" w:cs="Times New Roman" w:eastAsia="Times New Roman" w:hint="default"/>
        </w:rPr>
        <w:t>703,301.58</w:t>
      </w:r>
      <w:r>
        <w:rPr>
          <w:rFonts w:ascii="Times New Roman" w:hAnsi="Times New Roman" w:cs="Times New Roman" w:eastAsia="Times New Roman" w:hint="default"/>
          <w:spacing w:val="-6"/>
        </w:rPr>
        <w:t> </w:t>
      </w:r>
      <w:r>
        <w:rPr>
          <w:spacing w:val="-3"/>
        </w:rPr>
        <w:t>元；</w:t>
      </w:r>
      <w:r>
        <w:rPr/>
      </w:r>
    </w:p>
    <w:p>
      <w:pPr>
        <w:pStyle w:val="BodyText"/>
        <w:spacing w:line="252" w:lineRule="auto" w:before="9"/>
        <w:ind w:left="850" w:right="1786"/>
        <w:jc w:val="left"/>
      </w:pPr>
      <w:r>
        <w:rPr>
          <w:rFonts w:ascii="Times New Roman" w:hAnsi="Times New Roman" w:cs="Times New Roman" w:eastAsia="Times New Roman" w:hint="default"/>
          <w:spacing w:val="-4"/>
        </w:rPr>
        <w:t>6</w:t>
      </w:r>
      <w:r>
        <w:rPr>
          <w:spacing w:val="-4"/>
        </w:rPr>
        <w:t>、因其他股东增资，本公司持有联营企业广州鼎甲计算机科技有限公司股权比例相</w:t>
      </w:r>
      <w:r>
        <w:rPr>
          <w:spacing w:val="-26"/>
        </w:rPr>
        <w:t> </w:t>
      </w:r>
      <w:r>
        <w:rPr>
          <w:spacing w:val="-26"/>
        </w:rPr>
      </w:r>
      <w:r>
        <w:rPr>
          <w:spacing w:val="-2"/>
        </w:rPr>
        <w:t>应稀释，本公司按原持股比例享有该联营企业净资产份额与稀释后持股比例享有净</w:t>
      </w:r>
      <w:r>
        <w:rPr>
          <w:spacing w:val="-35"/>
        </w:rPr>
        <w:t> </w:t>
      </w:r>
      <w:r>
        <w:rPr>
          <w:spacing w:val="-35"/>
        </w:rPr>
      </w:r>
      <w:r>
        <w:rPr/>
        <w:t>资产份额差额调整资本公积</w:t>
      </w:r>
      <w:r>
        <w:rPr>
          <w:rFonts w:ascii="Times New Roman" w:hAnsi="Times New Roman" w:cs="Times New Roman" w:eastAsia="Times New Roman" w:hint="default"/>
        </w:rPr>
        <w:t>-</w:t>
      </w:r>
      <w:r>
        <w:rPr/>
        <w:t>其他资本公积</w:t>
      </w:r>
      <w:r>
        <w:rPr>
          <w:spacing w:val="-55"/>
        </w:rPr>
        <w:t> </w:t>
      </w:r>
      <w:r>
        <w:rPr>
          <w:rFonts w:ascii="Times New Roman" w:hAnsi="Times New Roman" w:cs="Times New Roman" w:eastAsia="Times New Roman" w:hint="default"/>
        </w:rPr>
        <w:t>3,654,558.33 </w:t>
      </w:r>
      <w:r>
        <w:rPr>
          <w:spacing w:val="-3"/>
        </w:rPr>
        <w:t>元；</w:t>
      </w:r>
      <w:r>
        <w:rPr>
          <w:spacing w:val="-103"/>
        </w:rPr>
        <w:t> </w:t>
      </w:r>
      <w:r>
        <w:rPr>
          <w:rFonts w:ascii="Times New Roman" w:hAnsi="Times New Roman" w:cs="Times New Roman" w:eastAsia="Times New Roman" w:hint="default"/>
          <w:spacing w:val="-4"/>
        </w:rPr>
        <w:t>7</w:t>
      </w:r>
      <w:r>
        <w:rPr>
          <w:spacing w:val="-4"/>
        </w:rPr>
        <w:t>、因其他股东增资，本公司持有联营企业天津飞腾信息技术有限公司股权比例相应</w:t>
      </w:r>
      <w:r>
        <w:rPr>
          <w:spacing w:val="-26"/>
        </w:rPr>
        <w:t> </w:t>
      </w:r>
      <w:r>
        <w:rPr>
          <w:spacing w:val="-26"/>
        </w:rPr>
      </w:r>
      <w:r>
        <w:rPr>
          <w:spacing w:val="-2"/>
        </w:rPr>
        <w:t>稀释，本公司按原持股比例享有该联营企业净资产份额与稀释后持股比例享有净资</w:t>
      </w:r>
      <w:r>
        <w:rPr>
          <w:spacing w:val="-35"/>
        </w:rPr>
        <w:t> </w:t>
      </w:r>
      <w:r>
        <w:rPr>
          <w:spacing w:val="-35"/>
        </w:rPr>
      </w:r>
      <w:r>
        <w:rPr>
          <w:spacing w:val="-2"/>
          <w:w w:val="100"/>
        </w:rPr>
        <w:t>产份额差额调整资本公积</w:t>
      </w:r>
      <w:r>
        <w:rPr>
          <w:rFonts w:ascii="Times New Roman" w:hAnsi="Times New Roman" w:cs="Times New Roman" w:eastAsia="Times New Roman" w:hint="default"/>
          <w:spacing w:val="-2"/>
          <w:w w:val="100"/>
        </w:rPr>
        <w:t>-</w:t>
      </w:r>
      <w:r>
        <w:rPr>
          <w:spacing w:val="-2"/>
          <w:w w:val="100"/>
        </w:rPr>
        <w:t>其他资本公积</w:t>
      </w:r>
      <w:r>
        <w:rPr>
          <w:rFonts w:ascii="Times New Roman" w:hAnsi="Times New Roman" w:cs="Times New Roman" w:eastAsia="Times New Roman" w:hint="default"/>
          <w:spacing w:val="-2"/>
          <w:w w:val="100"/>
        </w:rPr>
        <w:t>-17,585,465.02</w:t>
      </w:r>
      <w:r>
        <w:rPr>
          <w:rFonts w:ascii="Times New Roman" w:hAnsi="Times New Roman" w:cs="Times New Roman" w:eastAsia="Times New Roman" w:hint="default"/>
          <w:spacing w:val="29"/>
          <w:w w:val="100"/>
        </w:rPr>
        <w:t> </w:t>
      </w:r>
      <w:r>
        <w:rPr>
          <w:spacing w:val="-10"/>
          <w:w w:val="100"/>
        </w:rPr>
        <w:t>元；本期按持股比例确认联营</w:t>
      </w:r>
      <w:r>
        <w:rPr>
          <w:spacing w:val="-94"/>
          <w:w w:val="100"/>
        </w:rPr>
        <w:t> </w:t>
      </w:r>
      <w:r>
        <w:rPr>
          <w:spacing w:val="-94"/>
          <w:w w:val="100"/>
        </w:rPr>
      </w:r>
      <w:r>
        <w:rPr/>
        <w:t>企业天津飞腾信息技术有限公司本期资本公积变动调整资本公积</w:t>
      </w:r>
      <w:r>
        <w:rPr>
          <w:rFonts w:ascii="Times New Roman" w:hAnsi="Times New Roman" w:cs="Times New Roman" w:eastAsia="Times New Roman" w:hint="default"/>
        </w:rPr>
        <w:t>-</w:t>
      </w:r>
      <w:r>
        <w:rPr/>
        <w:t>其他资本公积</w:t>
      </w:r>
      <w:r>
        <w:rPr>
          <w:w w:val="100"/>
        </w:rPr>
        <w:t> </w:t>
      </w:r>
      <w:r>
        <w:rPr>
          <w:rFonts w:ascii="Times New Roman" w:hAnsi="Times New Roman" w:cs="Times New Roman" w:eastAsia="Times New Roman" w:hint="default"/>
        </w:rPr>
        <w:t>8,379,004.19</w:t>
      </w:r>
      <w:r>
        <w:rPr>
          <w:rFonts w:ascii="Times New Roman" w:hAnsi="Times New Roman" w:cs="Times New Roman" w:eastAsia="Times New Roman" w:hint="default"/>
          <w:spacing w:val="2"/>
        </w:rPr>
        <w:t> </w:t>
      </w:r>
      <w:r>
        <w:rPr>
          <w:spacing w:val="-3"/>
        </w:rPr>
        <w:t>元。</w:t>
      </w:r>
      <w:r>
        <w:rPr/>
      </w:r>
    </w:p>
    <w:p>
      <w:pPr>
        <w:pStyle w:val="Heading5"/>
        <w:spacing w:line="288" w:lineRule="exact" w:before="0"/>
        <w:ind w:right="3683"/>
        <w:jc w:val="left"/>
        <w:rPr>
          <w:b w:val="0"/>
          <w:bCs w:val="0"/>
        </w:rPr>
      </w:pPr>
      <w:r>
        <w:rPr>
          <w:rFonts w:ascii="Times New Roman" w:hAnsi="Times New Roman" w:cs="Times New Roman" w:eastAsia="Times New Roman" w:hint="default"/>
        </w:rPr>
        <w:t>(</w:t>
      </w:r>
      <w:r>
        <w:rPr/>
        <w:t>四十一</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库存股</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072"/>
        <w:gridCol w:w="1531"/>
        <w:gridCol w:w="1534"/>
        <w:gridCol w:w="1534"/>
        <w:gridCol w:w="1534"/>
      </w:tblGrid>
      <w:tr>
        <w:trPr>
          <w:trHeight w:val="283" w:hRule="exact"/>
        </w:trPr>
        <w:tc>
          <w:tcPr>
            <w:tcW w:w="20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860"/>
              <w:jc w:val="right"/>
              <w:rPr>
                <w:rFonts w:ascii="宋体" w:hAnsi="宋体" w:cs="宋体" w:eastAsia="宋体" w:hint="default"/>
                <w:sz w:val="16"/>
                <w:szCs w:val="16"/>
              </w:rPr>
            </w:pPr>
            <w:r>
              <w:rPr>
                <w:rFonts w:ascii="宋体" w:hAnsi="宋体" w:cs="宋体" w:eastAsia="宋体" w:hint="default"/>
                <w:sz w:val="16"/>
                <w:szCs w:val="16"/>
              </w:rPr>
              <w:t>项目</w:t>
            </w:r>
          </w:p>
        </w:tc>
        <w:tc>
          <w:tcPr>
            <w:tcW w:w="15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78"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5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41"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5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41"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53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441"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20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819"/>
              <w:jc w:val="right"/>
              <w:rPr>
                <w:rFonts w:ascii="宋体" w:hAnsi="宋体" w:cs="宋体" w:eastAsia="宋体" w:hint="default"/>
                <w:sz w:val="16"/>
                <w:szCs w:val="16"/>
              </w:rPr>
            </w:pPr>
            <w:r>
              <w:rPr>
                <w:rFonts w:ascii="宋体" w:hAnsi="宋体" w:cs="宋体" w:eastAsia="宋体" w:hint="default"/>
                <w:spacing w:val="-1"/>
                <w:sz w:val="16"/>
                <w:szCs w:val="16"/>
              </w:rPr>
              <w:t>圣非凡业绩补偿</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7,983,507.00</w:t>
            </w:r>
          </w:p>
        </w:tc>
        <w:tc>
          <w:tcPr>
            <w:tcW w:w="1534" w:type="dxa"/>
            <w:tcBorders>
              <w:top w:val="dotted" w:sz="4" w:space="0" w:color="000000"/>
              <w:left w:val="dotted" w:sz="4" w:space="0" w:color="000000"/>
              <w:bottom w:val="dotted" w:sz="4" w:space="0" w:color="000000"/>
              <w:right w:val="dotted" w:sz="4" w:space="0" w:color="000000"/>
            </w:tcBorders>
          </w:tcPr>
          <w:p>
            <w:pPr/>
          </w:p>
        </w:tc>
        <w:tc>
          <w:tcPr>
            <w:tcW w:w="15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7,983,507.00</w:t>
            </w:r>
          </w:p>
        </w:tc>
        <w:tc>
          <w:tcPr>
            <w:tcW w:w="1534" w:type="dxa"/>
            <w:tcBorders>
              <w:top w:val="dotted" w:sz="4" w:space="0" w:color="000000"/>
              <w:left w:val="dotted" w:sz="4" w:space="0" w:color="000000"/>
              <w:bottom w:val="dotted" w:sz="4" w:space="0" w:color="000000"/>
              <w:right w:val="nil" w:sz="6" w:space="0" w:color="auto"/>
            </w:tcBorders>
          </w:tcPr>
          <w:p>
            <w:pPr/>
          </w:p>
        </w:tc>
      </w:tr>
      <w:tr>
        <w:trPr>
          <w:trHeight w:val="283" w:hRule="exact"/>
        </w:trPr>
        <w:tc>
          <w:tcPr>
            <w:tcW w:w="20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860"/>
              <w:jc w:val="right"/>
              <w:rPr>
                <w:rFonts w:ascii="宋体" w:hAnsi="宋体" w:cs="宋体" w:eastAsia="宋体" w:hint="default"/>
                <w:sz w:val="16"/>
                <w:szCs w:val="16"/>
              </w:rPr>
            </w:pPr>
            <w:r>
              <w:rPr>
                <w:rFonts w:ascii="宋体" w:hAnsi="宋体" w:cs="宋体" w:eastAsia="宋体" w:hint="default"/>
                <w:sz w:val="16"/>
                <w:szCs w:val="16"/>
              </w:rPr>
              <w:t>合计</w:t>
            </w:r>
          </w:p>
        </w:tc>
        <w:tc>
          <w:tcPr>
            <w:tcW w:w="15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7,983,507.00</w:t>
            </w:r>
          </w:p>
        </w:tc>
        <w:tc>
          <w:tcPr>
            <w:tcW w:w="1534" w:type="dxa"/>
            <w:tcBorders>
              <w:top w:val="dotted" w:sz="4" w:space="0" w:color="000000"/>
              <w:left w:val="dotted" w:sz="4" w:space="0" w:color="000000"/>
              <w:bottom w:val="single" w:sz="12" w:space="0" w:color="000000"/>
              <w:right w:val="dotted" w:sz="4" w:space="0" w:color="000000"/>
            </w:tcBorders>
          </w:tcPr>
          <w:p>
            <w:pPr/>
          </w:p>
        </w:tc>
        <w:tc>
          <w:tcPr>
            <w:tcW w:w="15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7,983,507.00</w:t>
            </w:r>
          </w:p>
        </w:tc>
        <w:tc>
          <w:tcPr>
            <w:tcW w:w="1534" w:type="dxa"/>
            <w:tcBorders>
              <w:top w:val="dotted" w:sz="4" w:space="0" w:color="000000"/>
              <w:left w:val="dotted" w:sz="4" w:space="0" w:color="000000"/>
              <w:bottom w:val="single" w:sz="12" w:space="0" w:color="000000"/>
              <w:right w:val="nil" w:sz="6" w:space="0" w:color="auto"/>
            </w:tcBorders>
          </w:tcPr>
          <w:p>
            <w:pPr/>
          </w:p>
        </w:tc>
      </w:tr>
    </w:tbl>
    <w:p>
      <w:pPr>
        <w:pStyle w:val="BodyText"/>
        <w:spacing w:line="240" w:lineRule="auto" w:before="9"/>
        <w:ind w:left="850" w:right="1468"/>
        <w:jc w:val="left"/>
      </w:pPr>
      <w:r>
        <w:rPr/>
        <w:t>说明：库存股本期变动情况详见五（四十） 资本公积说明</w:t>
      </w:r>
      <w:r>
        <w:rPr>
          <w:spacing w:val="-57"/>
        </w:rPr>
        <w:t> </w:t>
      </w:r>
      <w:r>
        <w:rPr>
          <w:rFonts w:ascii="Times New Roman" w:hAnsi="Times New Roman" w:cs="Times New Roman" w:eastAsia="Times New Roman" w:hint="default"/>
        </w:rPr>
        <w:t>2</w:t>
      </w:r>
      <w:r>
        <w:rPr/>
        <w:t>。</w:t>
      </w:r>
    </w:p>
    <w:p>
      <w:pPr>
        <w:spacing w:after="0" w:line="240" w:lineRule="auto"/>
        <w:jc w:val="left"/>
        <w:sectPr>
          <w:pgSz w:w="11910" w:h="16840"/>
          <w:pgMar w:header="0" w:footer="997" w:top="1500" w:bottom="1180" w:left="1660" w:right="0"/>
        </w:sectPr>
      </w:pPr>
    </w:p>
    <w:p>
      <w:pPr>
        <w:spacing w:line="240" w:lineRule="auto" w:before="11"/>
        <w:rPr>
          <w:rFonts w:ascii="宋体" w:hAnsi="宋体" w:cs="宋体" w:eastAsia="宋体" w:hint="default"/>
          <w:sz w:val="22"/>
          <w:szCs w:val="22"/>
        </w:rPr>
      </w:pPr>
    </w:p>
    <w:p>
      <w:pPr>
        <w:pStyle w:val="Heading5"/>
        <w:spacing w:line="240" w:lineRule="auto"/>
        <w:ind w:left="140" w:right="0"/>
        <w:jc w:val="left"/>
        <w:rPr>
          <w:b w:val="0"/>
          <w:bCs w:val="0"/>
        </w:rPr>
      </w:pPr>
      <w:r>
        <w:rPr>
          <w:rFonts w:ascii="Times New Roman" w:hAnsi="Times New Roman" w:cs="Times New Roman" w:eastAsia="Times New Roman" w:hint="default"/>
        </w:rPr>
        <w:t>(</w:t>
      </w:r>
      <w:r>
        <w:rPr/>
        <w:t>四十二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其他综合收益</w:t>
      </w:r>
      <w:r>
        <w:rPr>
          <w:b w:val="0"/>
          <w:bCs w:val="0"/>
        </w:rPr>
      </w:r>
    </w:p>
    <w:tbl>
      <w:tblPr>
        <w:tblW w:w="0" w:type="auto"/>
        <w:jc w:val="left"/>
        <w:tblInd w:w="723" w:type="dxa"/>
        <w:tblLayout w:type="fixed"/>
        <w:tblCellMar>
          <w:top w:w="0" w:type="dxa"/>
          <w:left w:w="0" w:type="dxa"/>
          <w:bottom w:w="0" w:type="dxa"/>
          <w:right w:w="0" w:type="dxa"/>
        </w:tblCellMar>
        <w:tblLook w:val="01E0"/>
      </w:tblPr>
      <w:tblGrid>
        <w:gridCol w:w="2794"/>
        <w:gridCol w:w="1335"/>
        <w:gridCol w:w="1310"/>
        <w:gridCol w:w="1342"/>
        <w:gridCol w:w="956"/>
        <w:gridCol w:w="938"/>
        <w:gridCol w:w="1250"/>
        <w:gridCol w:w="1342"/>
        <w:gridCol w:w="1250"/>
        <w:gridCol w:w="1342"/>
      </w:tblGrid>
      <w:tr>
        <w:trPr>
          <w:trHeight w:val="365" w:hRule="exact"/>
        </w:trPr>
        <w:tc>
          <w:tcPr>
            <w:tcW w:w="279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3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8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31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328"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7079" w:type="dxa"/>
            <w:gridSpan w:val="6"/>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1342"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1183" w:hRule="exact"/>
        </w:trPr>
        <w:tc>
          <w:tcPr>
            <w:tcW w:w="2794" w:type="dxa"/>
            <w:vMerge/>
            <w:tcBorders>
              <w:left w:val="nil" w:sz="6" w:space="0" w:color="auto"/>
              <w:bottom w:val="dotted" w:sz="4" w:space="0" w:color="000000"/>
              <w:right w:val="dotted" w:sz="4" w:space="0" w:color="000000"/>
            </w:tcBorders>
          </w:tcPr>
          <w:p>
            <w:pPr/>
          </w:p>
        </w:tc>
        <w:tc>
          <w:tcPr>
            <w:tcW w:w="1335" w:type="dxa"/>
            <w:vMerge/>
            <w:tcBorders>
              <w:left w:val="dotted" w:sz="4" w:space="0" w:color="000000"/>
              <w:bottom w:val="dotted" w:sz="4" w:space="0" w:color="000000"/>
              <w:right w:val="dotted" w:sz="4" w:space="0" w:color="000000"/>
            </w:tcBorders>
          </w:tcPr>
          <w:p>
            <w:pPr/>
          </w:p>
        </w:tc>
        <w:tc>
          <w:tcPr>
            <w:tcW w:w="1310" w:type="dxa"/>
            <w:vMerge/>
            <w:tcBorders>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06" w:lineRule="exact"/>
              <w:ind w:left="506" w:right="101" w:hanging="401"/>
              <w:jc w:val="left"/>
              <w:rPr>
                <w:rFonts w:ascii="宋体" w:hAnsi="宋体" w:cs="宋体" w:eastAsia="宋体" w:hint="default"/>
                <w:sz w:val="16"/>
                <w:szCs w:val="16"/>
              </w:rPr>
            </w:pPr>
            <w:r>
              <w:rPr>
                <w:rFonts w:ascii="宋体" w:hAnsi="宋体" w:cs="宋体" w:eastAsia="宋体" w:hint="default"/>
                <w:sz w:val="16"/>
                <w:szCs w:val="16"/>
              </w:rPr>
              <w:t>本期所得税前发</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生额</w:t>
            </w:r>
          </w:p>
        </w:tc>
        <w:tc>
          <w:tcPr>
            <w:tcW w:w="956"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43"/>
              <w:ind w:left="103" w:right="99"/>
              <w:jc w:val="center"/>
              <w:rPr>
                <w:rFonts w:ascii="宋体" w:hAnsi="宋体" w:cs="宋体" w:eastAsia="宋体" w:hint="default"/>
                <w:sz w:val="16"/>
                <w:szCs w:val="16"/>
              </w:rPr>
            </w:pPr>
            <w:r>
              <w:rPr>
                <w:rFonts w:ascii="宋体" w:hAnsi="宋体" w:cs="宋体" w:eastAsia="宋体" w:hint="default"/>
                <w:spacing w:val="-13"/>
                <w:sz w:val="16"/>
                <w:szCs w:val="16"/>
              </w:rPr>
              <w:t>减：前期计</w:t>
            </w:r>
            <w:r>
              <w:rPr>
                <w:rFonts w:ascii="宋体" w:hAnsi="宋体" w:cs="宋体" w:eastAsia="宋体" w:hint="default"/>
                <w:w w:val="100"/>
                <w:sz w:val="16"/>
                <w:szCs w:val="16"/>
              </w:rPr>
              <w:t> </w:t>
            </w:r>
            <w:r>
              <w:rPr>
                <w:rFonts w:ascii="宋体" w:hAnsi="宋体" w:cs="宋体" w:eastAsia="宋体" w:hint="default"/>
                <w:sz w:val="16"/>
                <w:szCs w:val="16"/>
              </w:rPr>
              <w:t>入其他综</w:t>
            </w:r>
            <w:r>
              <w:rPr>
                <w:rFonts w:ascii="宋体" w:hAnsi="宋体" w:cs="宋体" w:eastAsia="宋体" w:hint="default"/>
                <w:w w:val="100"/>
                <w:sz w:val="16"/>
                <w:szCs w:val="16"/>
              </w:rPr>
              <w:t> </w:t>
            </w:r>
            <w:r>
              <w:rPr>
                <w:rFonts w:ascii="宋体" w:hAnsi="宋体" w:cs="宋体" w:eastAsia="宋体" w:hint="default"/>
                <w:sz w:val="16"/>
                <w:szCs w:val="16"/>
              </w:rPr>
              <w:t>合收益当</w:t>
            </w:r>
            <w:r>
              <w:rPr>
                <w:rFonts w:ascii="宋体" w:hAnsi="宋体" w:cs="宋体" w:eastAsia="宋体" w:hint="default"/>
                <w:w w:val="100"/>
                <w:sz w:val="16"/>
                <w:szCs w:val="16"/>
              </w:rPr>
              <w:t> </w:t>
            </w:r>
            <w:r>
              <w:rPr>
                <w:rFonts w:ascii="宋体" w:hAnsi="宋体" w:cs="宋体" w:eastAsia="宋体" w:hint="default"/>
                <w:sz w:val="16"/>
                <w:szCs w:val="16"/>
              </w:rPr>
              <w:t>期转入损</w:t>
            </w:r>
            <w:r>
              <w:rPr>
                <w:rFonts w:ascii="宋体" w:hAnsi="宋体" w:cs="宋体" w:eastAsia="宋体" w:hint="default"/>
                <w:w w:val="100"/>
                <w:sz w:val="16"/>
                <w:szCs w:val="16"/>
              </w:rPr>
              <w:t> </w:t>
            </w:r>
            <w:r>
              <w:rPr>
                <w:rFonts w:ascii="宋体" w:hAnsi="宋体" w:cs="宋体" w:eastAsia="宋体" w:hint="default"/>
                <w:sz w:val="16"/>
                <w:szCs w:val="16"/>
              </w:rPr>
              <w:t>益</w:t>
            </w:r>
          </w:p>
        </w:tc>
        <w:tc>
          <w:tcPr>
            <w:tcW w:w="938"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43"/>
              <w:ind w:left="143" w:right="98" w:hanging="41"/>
              <w:jc w:val="both"/>
              <w:rPr>
                <w:rFonts w:ascii="宋体" w:hAnsi="宋体" w:cs="宋体" w:eastAsia="宋体" w:hint="default"/>
                <w:sz w:val="16"/>
                <w:szCs w:val="16"/>
              </w:rPr>
            </w:pPr>
            <w:r>
              <w:rPr>
                <w:rFonts w:ascii="宋体" w:hAnsi="宋体" w:cs="宋体" w:eastAsia="宋体" w:hint="default"/>
                <w:spacing w:val="-16"/>
                <w:w w:val="100"/>
                <w:sz w:val="16"/>
                <w:szCs w:val="16"/>
              </w:rPr>
              <w:t>减：前期计</w:t>
            </w:r>
            <w:r>
              <w:rPr>
                <w:rFonts w:ascii="宋体" w:hAnsi="宋体" w:cs="宋体" w:eastAsia="宋体" w:hint="default"/>
                <w:w w:val="100"/>
                <w:sz w:val="16"/>
                <w:szCs w:val="16"/>
              </w:rPr>
              <w:t> </w:t>
            </w:r>
            <w:r>
              <w:rPr>
                <w:rFonts w:ascii="宋体" w:hAnsi="宋体" w:cs="宋体" w:eastAsia="宋体" w:hint="default"/>
                <w:sz w:val="16"/>
                <w:szCs w:val="16"/>
              </w:rPr>
              <w:t>入其他综</w:t>
            </w:r>
            <w:r>
              <w:rPr>
                <w:rFonts w:ascii="宋体" w:hAnsi="宋体" w:cs="宋体" w:eastAsia="宋体" w:hint="default"/>
                <w:w w:val="100"/>
                <w:sz w:val="16"/>
                <w:szCs w:val="16"/>
              </w:rPr>
              <w:t> </w:t>
            </w:r>
            <w:r>
              <w:rPr>
                <w:rFonts w:ascii="宋体" w:hAnsi="宋体" w:cs="宋体" w:eastAsia="宋体" w:hint="default"/>
                <w:sz w:val="16"/>
                <w:szCs w:val="16"/>
              </w:rPr>
              <w:t>合收益当</w:t>
            </w:r>
            <w:r>
              <w:rPr>
                <w:rFonts w:ascii="宋体" w:hAnsi="宋体" w:cs="宋体" w:eastAsia="宋体" w:hint="default"/>
                <w:w w:val="100"/>
                <w:sz w:val="16"/>
                <w:szCs w:val="16"/>
              </w:rPr>
              <w:t> </w:t>
            </w:r>
            <w:r>
              <w:rPr>
                <w:rFonts w:ascii="宋体" w:hAnsi="宋体" w:cs="宋体" w:eastAsia="宋体" w:hint="default"/>
                <w:sz w:val="16"/>
                <w:szCs w:val="16"/>
              </w:rPr>
              <w:t>期转入留</w:t>
            </w:r>
            <w:r>
              <w:rPr>
                <w:rFonts w:ascii="宋体" w:hAnsi="宋体" w:cs="宋体" w:eastAsia="宋体" w:hint="default"/>
                <w:w w:val="100"/>
                <w:sz w:val="16"/>
                <w:szCs w:val="16"/>
              </w:rPr>
              <w:t> </w:t>
            </w:r>
            <w:r>
              <w:rPr>
                <w:rFonts w:ascii="宋体" w:hAnsi="宋体" w:cs="宋体" w:eastAsia="宋体" w:hint="default"/>
                <w:sz w:val="16"/>
                <w:szCs w:val="16"/>
              </w:rPr>
              <w:t>存收益</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06" w:lineRule="exact"/>
              <w:ind w:left="540" w:right="137" w:hanging="401"/>
              <w:jc w:val="left"/>
              <w:rPr>
                <w:rFonts w:ascii="宋体" w:hAnsi="宋体" w:cs="宋体" w:eastAsia="宋体" w:hint="default"/>
                <w:sz w:val="16"/>
                <w:szCs w:val="16"/>
              </w:rPr>
            </w:pPr>
            <w:r>
              <w:rPr>
                <w:rFonts w:ascii="宋体" w:hAnsi="宋体" w:cs="宋体" w:eastAsia="宋体" w:hint="default"/>
                <w:sz w:val="16"/>
                <w:szCs w:val="16"/>
              </w:rPr>
              <w:t>减：所得税费</w:t>
            </w:r>
            <w:r>
              <w:rPr>
                <w:rFonts w:ascii="宋体" w:hAnsi="宋体" w:cs="宋体" w:eastAsia="宋体" w:hint="default"/>
                <w:w w:val="100"/>
                <w:sz w:val="16"/>
                <w:szCs w:val="16"/>
              </w:rPr>
              <w:t> </w:t>
            </w:r>
            <w:r>
              <w:rPr>
                <w:rFonts w:ascii="宋体" w:hAnsi="宋体" w:cs="宋体" w:eastAsia="宋体" w:hint="default"/>
                <w:sz w:val="16"/>
                <w:szCs w:val="16"/>
              </w:rPr>
              <w:t>用</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06" w:lineRule="exact"/>
              <w:ind w:left="585" w:right="101" w:hanging="480"/>
              <w:jc w:val="left"/>
              <w:rPr>
                <w:rFonts w:ascii="宋体" w:hAnsi="宋体" w:cs="宋体" w:eastAsia="宋体" w:hint="default"/>
                <w:sz w:val="16"/>
                <w:szCs w:val="16"/>
              </w:rPr>
            </w:pPr>
            <w:r>
              <w:rPr>
                <w:rFonts w:ascii="宋体" w:hAnsi="宋体" w:cs="宋体" w:eastAsia="宋体" w:hint="default"/>
                <w:sz w:val="16"/>
                <w:szCs w:val="16"/>
              </w:rPr>
              <w:t>税后归属于母公</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06" w:lineRule="exact"/>
              <w:ind w:left="379" w:right="137" w:hanging="240"/>
              <w:jc w:val="left"/>
              <w:rPr>
                <w:rFonts w:ascii="宋体" w:hAnsi="宋体" w:cs="宋体" w:eastAsia="宋体" w:hint="default"/>
                <w:sz w:val="16"/>
                <w:szCs w:val="16"/>
              </w:rPr>
            </w:pPr>
            <w:r>
              <w:rPr>
                <w:rFonts w:ascii="宋体" w:hAnsi="宋体" w:cs="宋体" w:eastAsia="宋体" w:hint="default"/>
                <w:sz w:val="16"/>
                <w:szCs w:val="16"/>
              </w:rPr>
              <w:t>税后归属于少</w:t>
            </w:r>
            <w:r>
              <w:rPr>
                <w:rFonts w:ascii="宋体" w:hAnsi="宋体" w:cs="宋体" w:eastAsia="宋体" w:hint="default"/>
                <w:w w:val="100"/>
                <w:sz w:val="16"/>
                <w:szCs w:val="16"/>
              </w:rPr>
              <w:t> </w:t>
            </w:r>
            <w:r>
              <w:rPr>
                <w:rFonts w:ascii="宋体" w:hAnsi="宋体" w:cs="宋体" w:eastAsia="宋体" w:hint="default"/>
                <w:sz w:val="16"/>
                <w:szCs w:val="16"/>
              </w:rPr>
              <w:t>数股东</w:t>
            </w:r>
          </w:p>
        </w:tc>
        <w:tc>
          <w:tcPr>
            <w:tcW w:w="1342" w:type="dxa"/>
            <w:vMerge/>
            <w:tcBorders>
              <w:left w:val="dotted" w:sz="4" w:space="0" w:color="000000"/>
              <w:bottom w:val="dotted" w:sz="4" w:space="0" w:color="000000"/>
              <w:right w:val="nil" w:sz="6" w:space="0" w:color="auto"/>
            </w:tcBorders>
          </w:tcPr>
          <w:p>
            <w:pPr/>
          </w:p>
        </w:tc>
      </w:tr>
      <w:tr>
        <w:trPr>
          <w:trHeight w:val="353"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Times New Roman" w:hAnsi="Times New Roman" w:cs="Times New Roman" w:eastAsia="Times New Roman" w:hint="default"/>
                <w:spacing w:val="1"/>
                <w:w w:val="100"/>
                <w:sz w:val="16"/>
                <w:szCs w:val="16"/>
              </w:rPr>
              <w:t>1</w:t>
            </w:r>
            <w:r>
              <w:rPr>
                <w:rFonts w:ascii="宋体" w:hAnsi="宋体" w:cs="宋体" w:eastAsia="宋体" w:hint="default"/>
                <w:spacing w:val="-77"/>
                <w:w w:val="100"/>
                <w:sz w:val="16"/>
                <w:szCs w:val="16"/>
              </w:rPr>
              <w:t>．</w:t>
            </w:r>
            <w:r>
              <w:rPr>
                <w:rFonts w:ascii="宋体" w:hAnsi="宋体" w:cs="宋体" w:eastAsia="宋体" w:hint="default"/>
                <w:spacing w:val="-3"/>
                <w:w w:val="100"/>
                <w:sz w:val="16"/>
                <w:szCs w:val="16"/>
              </w:rPr>
              <w:t>不</w:t>
            </w:r>
            <w:r>
              <w:rPr>
                <w:rFonts w:ascii="宋体" w:hAnsi="宋体" w:cs="宋体" w:eastAsia="宋体" w:hint="default"/>
                <w:w w:val="100"/>
                <w:sz w:val="16"/>
                <w:szCs w:val="16"/>
              </w:rPr>
              <w:t>能重</w:t>
            </w:r>
            <w:r>
              <w:rPr>
                <w:rFonts w:ascii="宋体" w:hAnsi="宋体" w:cs="宋体" w:eastAsia="宋体" w:hint="default"/>
                <w:spacing w:val="-3"/>
                <w:w w:val="100"/>
                <w:sz w:val="16"/>
                <w:szCs w:val="16"/>
              </w:rPr>
              <w:t>分</w:t>
            </w:r>
            <w:r>
              <w:rPr>
                <w:rFonts w:ascii="宋体" w:hAnsi="宋体" w:cs="宋体" w:eastAsia="宋体" w:hint="default"/>
                <w:w w:val="100"/>
                <w:sz w:val="16"/>
                <w:szCs w:val="16"/>
              </w:rPr>
              <w:t>类进</w:t>
            </w:r>
            <w:r>
              <w:rPr>
                <w:rFonts w:ascii="宋体" w:hAnsi="宋体" w:cs="宋体" w:eastAsia="宋体" w:hint="default"/>
                <w:spacing w:val="-3"/>
                <w:w w:val="100"/>
                <w:sz w:val="16"/>
                <w:szCs w:val="16"/>
              </w:rPr>
              <w:t>损</w:t>
            </w:r>
            <w:r>
              <w:rPr>
                <w:rFonts w:ascii="宋体" w:hAnsi="宋体" w:cs="宋体" w:eastAsia="宋体" w:hint="default"/>
                <w:w w:val="100"/>
                <w:sz w:val="16"/>
                <w:szCs w:val="16"/>
              </w:rPr>
              <w:t>益的</w:t>
            </w:r>
            <w:r>
              <w:rPr>
                <w:rFonts w:ascii="宋体" w:hAnsi="宋体" w:cs="宋体" w:eastAsia="宋体" w:hint="default"/>
                <w:spacing w:val="-3"/>
                <w:w w:val="100"/>
                <w:sz w:val="16"/>
                <w:szCs w:val="16"/>
              </w:rPr>
              <w:t>其</w:t>
            </w:r>
            <w:r>
              <w:rPr>
                <w:rFonts w:ascii="宋体" w:hAnsi="宋体" w:cs="宋体" w:eastAsia="宋体" w:hint="default"/>
                <w:w w:val="100"/>
                <w:sz w:val="16"/>
                <w:szCs w:val="16"/>
              </w:rPr>
              <w:t>他综</w:t>
            </w:r>
            <w:r>
              <w:rPr>
                <w:rFonts w:ascii="宋体" w:hAnsi="宋体" w:cs="宋体" w:eastAsia="宋体" w:hint="default"/>
                <w:spacing w:val="-3"/>
                <w:w w:val="100"/>
                <w:sz w:val="16"/>
                <w:szCs w:val="16"/>
              </w:rPr>
              <w:t>合收</w:t>
            </w:r>
            <w:r>
              <w:rPr>
                <w:rFonts w:ascii="宋体" w:hAnsi="宋体" w:cs="宋体" w:eastAsia="宋体" w:hint="default"/>
                <w:w w:val="100"/>
                <w:sz w:val="16"/>
                <w:szCs w:val="16"/>
              </w:rPr>
              <w:t>益</w:t>
            </w:r>
          </w:p>
        </w:tc>
        <w:tc>
          <w:tcPr>
            <w:tcW w:w="1335"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0"/>
              <w:jc w:val="right"/>
              <w:rPr>
                <w:rFonts w:ascii="Times New Roman" w:hAnsi="Times New Roman" w:cs="Times New Roman" w:eastAsia="Times New Roman" w:hint="default"/>
                <w:sz w:val="16"/>
                <w:szCs w:val="16"/>
              </w:rPr>
            </w:pPr>
            <w:r>
              <w:rPr>
                <w:rFonts w:ascii="Times New Roman"/>
                <w:spacing w:val="-1"/>
                <w:sz w:val="16"/>
              </w:rPr>
              <w:t>-3,751,100.50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314" w:right="0"/>
              <w:jc w:val="left"/>
              <w:rPr>
                <w:rFonts w:ascii="Times New Roman" w:hAnsi="Times New Roman" w:cs="Times New Roman" w:eastAsia="Times New Roman" w:hint="default"/>
                <w:sz w:val="16"/>
                <w:szCs w:val="16"/>
              </w:rPr>
            </w:pPr>
            <w:r>
              <w:rPr>
                <w:rFonts w:ascii="Times New Roman"/>
                <w:sz w:val="16"/>
              </w:rPr>
              <w:t>11,077,588.00</w:t>
            </w: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297" w:right="0"/>
              <w:jc w:val="left"/>
              <w:rPr>
                <w:rFonts w:ascii="Times New Roman" w:hAnsi="Times New Roman" w:cs="Times New Roman" w:eastAsia="Times New Roman" w:hint="default"/>
                <w:sz w:val="16"/>
                <w:szCs w:val="16"/>
              </w:rPr>
            </w:pPr>
            <w:r>
              <w:rPr>
                <w:rFonts w:ascii="Times New Roman"/>
                <w:sz w:val="16"/>
              </w:rPr>
              <w:t>2,227,047.00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6"/>
                <w:szCs w:val="16"/>
              </w:rPr>
            </w:pPr>
            <w:r>
              <w:rPr>
                <w:rFonts w:ascii="Times New Roman"/>
                <w:spacing w:val="-1"/>
                <w:sz w:val="16"/>
              </w:rPr>
              <w:t>8,850,541.00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6"/>
                <w:szCs w:val="16"/>
              </w:rPr>
            </w:pPr>
            <w:r>
              <w:rPr>
                <w:rFonts w:ascii="Times New Roman"/>
                <w:spacing w:val="-1"/>
                <w:sz w:val="16"/>
              </w:rPr>
              <w:t>5,099,440.50</w:t>
            </w:r>
          </w:p>
        </w:tc>
      </w:tr>
      <w:tr>
        <w:trPr>
          <w:trHeight w:val="353"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其中：重新计量设定受益计划变动额</w:t>
            </w:r>
          </w:p>
        </w:tc>
        <w:tc>
          <w:tcPr>
            <w:tcW w:w="1335"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562"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1" w:firstLine="482"/>
              <w:jc w:val="left"/>
              <w:rPr>
                <w:rFonts w:ascii="宋体" w:hAnsi="宋体" w:cs="宋体" w:eastAsia="宋体" w:hint="default"/>
                <w:sz w:val="16"/>
                <w:szCs w:val="16"/>
              </w:rPr>
            </w:pPr>
            <w:r>
              <w:rPr>
                <w:rFonts w:ascii="宋体" w:hAnsi="宋体" w:cs="宋体" w:eastAsia="宋体" w:hint="default"/>
                <w:spacing w:val="-1"/>
                <w:sz w:val="16"/>
                <w:szCs w:val="16"/>
              </w:rPr>
              <w:t>权益法下不能转损益的其他综</w:t>
            </w:r>
            <w:r>
              <w:rPr>
                <w:rFonts w:ascii="宋体" w:hAnsi="宋体" w:cs="宋体" w:eastAsia="宋体" w:hint="default"/>
                <w:w w:val="100"/>
                <w:sz w:val="16"/>
                <w:szCs w:val="16"/>
              </w:rPr>
              <w:t> </w:t>
            </w:r>
            <w:r>
              <w:rPr>
                <w:rFonts w:ascii="宋体" w:hAnsi="宋体" w:cs="宋体" w:eastAsia="宋体" w:hint="default"/>
                <w:sz w:val="16"/>
                <w:szCs w:val="16"/>
              </w:rPr>
              <w:t>合收益</w:t>
            </w:r>
          </w:p>
        </w:tc>
        <w:tc>
          <w:tcPr>
            <w:tcW w:w="1335"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562"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43"/>
              <w:ind w:left="604" w:right="0"/>
              <w:jc w:val="left"/>
              <w:rPr>
                <w:rFonts w:ascii="宋体" w:hAnsi="宋体" w:cs="宋体" w:eastAsia="宋体" w:hint="default"/>
                <w:sz w:val="16"/>
                <w:szCs w:val="16"/>
              </w:rPr>
            </w:pPr>
            <w:r>
              <w:rPr>
                <w:rFonts w:ascii="宋体" w:hAnsi="宋体" w:cs="宋体" w:eastAsia="宋体" w:hint="default"/>
                <w:sz w:val="16"/>
                <w:szCs w:val="16"/>
              </w:rPr>
              <w:t>其他权益工具投资公允价值变</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w w:val="100"/>
                <w:sz w:val="16"/>
                <w:szCs w:val="16"/>
              </w:rPr>
              <w:t>动</w:t>
            </w:r>
          </w:p>
        </w:tc>
        <w:tc>
          <w:tcPr>
            <w:tcW w:w="1335"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-3,751,100.50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14" w:right="0"/>
              <w:jc w:val="left"/>
              <w:rPr>
                <w:rFonts w:ascii="Times New Roman" w:hAnsi="Times New Roman" w:cs="Times New Roman" w:eastAsia="Times New Roman" w:hint="default"/>
                <w:sz w:val="16"/>
                <w:szCs w:val="16"/>
              </w:rPr>
            </w:pPr>
            <w:r>
              <w:rPr>
                <w:rFonts w:ascii="Times New Roman"/>
                <w:sz w:val="16"/>
              </w:rPr>
              <w:t>11,077,588.00</w:t>
            </w: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97" w:right="0"/>
              <w:jc w:val="left"/>
              <w:rPr>
                <w:rFonts w:ascii="Times New Roman" w:hAnsi="Times New Roman" w:cs="Times New Roman" w:eastAsia="Times New Roman" w:hint="default"/>
                <w:sz w:val="16"/>
                <w:szCs w:val="16"/>
              </w:rPr>
            </w:pPr>
            <w:r>
              <w:rPr>
                <w:rFonts w:ascii="Times New Roman"/>
                <w:sz w:val="16"/>
              </w:rPr>
              <w:t>2,227,047.00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8,850,541.00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5,099,440.50</w:t>
            </w:r>
          </w:p>
        </w:tc>
      </w:tr>
      <w:tr>
        <w:trPr>
          <w:trHeight w:val="562"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43"/>
              <w:ind w:left="604" w:right="0"/>
              <w:jc w:val="left"/>
              <w:rPr>
                <w:rFonts w:ascii="宋体" w:hAnsi="宋体" w:cs="宋体" w:eastAsia="宋体" w:hint="default"/>
                <w:sz w:val="16"/>
                <w:szCs w:val="16"/>
              </w:rPr>
            </w:pPr>
            <w:r>
              <w:rPr>
                <w:rFonts w:ascii="宋体" w:hAnsi="宋体" w:cs="宋体" w:eastAsia="宋体" w:hint="default"/>
                <w:sz w:val="16"/>
                <w:szCs w:val="16"/>
              </w:rPr>
              <w:t>企业自身信用风险公允价值变</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w w:val="100"/>
                <w:sz w:val="16"/>
                <w:szCs w:val="16"/>
              </w:rPr>
              <w:t>动</w:t>
            </w:r>
          </w:p>
        </w:tc>
        <w:tc>
          <w:tcPr>
            <w:tcW w:w="1335"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．将重分类进损益的其他综合收益</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107,988,111.91</w:t>
            </w: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-6,954,070.27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27" w:right="0"/>
              <w:jc w:val="left"/>
              <w:rPr>
                <w:rFonts w:ascii="Times New Roman" w:hAnsi="Times New Roman" w:cs="Times New Roman" w:eastAsia="Times New Roman" w:hint="default"/>
                <w:sz w:val="16"/>
                <w:szCs w:val="16"/>
              </w:rPr>
            </w:pPr>
            <w:r>
              <w:rPr>
                <w:rFonts w:ascii="Times New Roman"/>
                <w:sz w:val="16"/>
              </w:rPr>
              <w:t>463,709,599.21</w:t>
            </w: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18" w:right="0"/>
              <w:jc w:val="left"/>
              <w:rPr>
                <w:rFonts w:ascii="Times New Roman" w:hAnsi="Times New Roman" w:cs="Times New Roman" w:eastAsia="Times New Roman" w:hint="default"/>
                <w:sz w:val="16"/>
                <w:szCs w:val="16"/>
              </w:rPr>
            </w:pPr>
            <w:r>
              <w:rPr>
                <w:rFonts w:ascii="Times New Roman"/>
                <w:sz w:val="16"/>
              </w:rPr>
              <w:t>78,368,714.91</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366,210,896.80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19,129,987.50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359,256,826.53</w:t>
            </w:r>
          </w:p>
        </w:tc>
      </w:tr>
      <w:tr>
        <w:trPr>
          <w:trHeight w:val="562"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1"/>
              <w:jc w:val="left"/>
              <w:rPr>
                <w:rFonts w:ascii="宋体" w:hAnsi="宋体" w:cs="宋体" w:eastAsia="宋体" w:hint="default"/>
                <w:sz w:val="16"/>
                <w:szCs w:val="16"/>
              </w:rPr>
            </w:pPr>
            <w:r>
              <w:rPr>
                <w:rFonts w:ascii="宋体" w:hAnsi="宋体" w:cs="宋体" w:eastAsia="宋体" w:hint="default"/>
                <w:spacing w:val="-1"/>
                <w:sz w:val="16"/>
                <w:szCs w:val="16"/>
              </w:rPr>
              <w:t>其中：权益法下可转损益的其他综合</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收益</w:t>
            </w:r>
          </w:p>
        </w:tc>
        <w:tc>
          <w:tcPr>
            <w:tcW w:w="1335"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604" w:right="0"/>
              <w:jc w:val="left"/>
              <w:rPr>
                <w:rFonts w:ascii="宋体" w:hAnsi="宋体" w:cs="宋体" w:eastAsia="宋体" w:hint="default"/>
                <w:sz w:val="16"/>
                <w:szCs w:val="16"/>
              </w:rPr>
            </w:pPr>
            <w:r>
              <w:rPr>
                <w:rFonts w:ascii="宋体" w:hAnsi="宋体" w:cs="宋体" w:eastAsia="宋体" w:hint="default"/>
                <w:sz w:val="16"/>
                <w:szCs w:val="16"/>
              </w:rPr>
              <w:t>其他债权投资公允价值变动</w:t>
            </w:r>
          </w:p>
        </w:tc>
        <w:tc>
          <w:tcPr>
            <w:tcW w:w="1335"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-287,250.67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-357,024.84</w:t>
            </w: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-253,487.64</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-103,537.20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-540,738.31</w:t>
            </w:r>
          </w:p>
        </w:tc>
      </w:tr>
      <w:tr>
        <w:trPr>
          <w:trHeight w:val="562"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1" w:firstLine="482"/>
              <w:jc w:val="left"/>
              <w:rPr>
                <w:rFonts w:ascii="宋体" w:hAnsi="宋体" w:cs="宋体" w:eastAsia="宋体" w:hint="default"/>
                <w:sz w:val="16"/>
                <w:szCs w:val="16"/>
              </w:rPr>
            </w:pPr>
            <w:r>
              <w:rPr>
                <w:rFonts w:ascii="宋体" w:hAnsi="宋体" w:cs="宋体" w:eastAsia="宋体" w:hint="default"/>
                <w:spacing w:val="-1"/>
                <w:sz w:val="16"/>
                <w:szCs w:val="16"/>
              </w:rPr>
              <w:t>可供出售金融资产公允价值变</w:t>
            </w:r>
            <w:r>
              <w:rPr>
                <w:rFonts w:ascii="宋体" w:hAnsi="宋体" w:cs="宋体" w:eastAsia="宋体" w:hint="default"/>
                <w:w w:val="100"/>
                <w:sz w:val="16"/>
                <w:szCs w:val="16"/>
              </w:rPr>
              <w:t> </w:t>
            </w:r>
            <w:r>
              <w:rPr>
                <w:rFonts w:ascii="宋体" w:hAnsi="宋体" w:cs="宋体" w:eastAsia="宋体" w:hint="default"/>
                <w:sz w:val="16"/>
                <w:szCs w:val="16"/>
              </w:rPr>
              <w:t>动损益</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114,654,931.51</w:t>
            </w:r>
          </w:p>
        </w:tc>
        <w:tc>
          <w:tcPr>
            <w:tcW w:w="131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559"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101" w:firstLine="482"/>
              <w:jc w:val="left"/>
              <w:rPr>
                <w:rFonts w:ascii="宋体" w:hAnsi="宋体" w:cs="宋体" w:eastAsia="宋体" w:hint="default"/>
                <w:sz w:val="16"/>
                <w:szCs w:val="16"/>
              </w:rPr>
            </w:pPr>
            <w:r>
              <w:rPr>
                <w:rFonts w:ascii="宋体" w:hAnsi="宋体" w:cs="宋体" w:eastAsia="宋体" w:hint="default"/>
                <w:spacing w:val="-1"/>
                <w:sz w:val="16"/>
                <w:szCs w:val="16"/>
              </w:rPr>
              <w:t>金融资产重分类计入其他综合</w:t>
            </w:r>
            <w:r>
              <w:rPr>
                <w:rFonts w:ascii="宋体" w:hAnsi="宋体" w:cs="宋体" w:eastAsia="宋体" w:hint="default"/>
                <w:w w:val="100"/>
                <w:sz w:val="16"/>
                <w:szCs w:val="16"/>
              </w:rPr>
              <w:t> </w:t>
            </w:r>
            <w:r>
              <w:rPr>
                <w:rFonts w:ascii="宋体" w:hAnsi="宋体" w:cs="宋体" w:eastAsia="宋体" w:hint="default"/>
                <w:sz w:val="16"/>
                <w:szCs w:val="16"/>
              </w:rPr>
              <w:t>收益的金额</w:t>
            </w:r>
          </w:p>
        </w:tc>
        <w:tc>
          <w:tcPr>
            <w:tcW w:w="1335"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562"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01" w:firstLine="482"/>
              <w:jc w:val="left"/>
              <w:rPr>
                <w:rFonts w:ascii="宋体" w:hAnsi="宋体" w:cs="宋体" w:eastAsia="宋体" w:hint="default"/>
                <w:sz w:val="16"/>
                <w:szCs w:val="16"/>
              </w:rPr>
            </w:pPr>
            <w:r>
              <w:rPr>
                <w:rFonts w:ascii="宋体" w:hAnsi="宋体" w:cs="宋体" w:eastAsia="宋体" w:hint="default"/>
                <w:spacing w:val="-1"/>
                <w:sz w:val="16"/>
                <w:szCs w:val="16"/>
              </w:rPr>
              <w:t>持有至到期投资重分类为可供</w:t>
            </w:r>
            <w:r>
              <w:rPr>
                <w:rFonts w:ascii="宋体" w:hAnsi="宋体" w:cs="宋体" w:eastAsia="宋体" w:hint="default"/>
                <w:w w:val="100"/>
                <w:sz w:val="16"/>
                <w:szCs w:val="16"/>
              </w:rPr>
              <w:t> </w:t>
            </w:r>
            <w:r>
              <w:rPr>
                <w:rFonts w:ascii="宋体" w:hAnsi="宋体" w:cs="宋体" w:eastAsia="宋体" w:hint="default"/>
                <w:sz w:val="16"/>
                <w:szCs w:val="16"/>
              </w:rPr>
              <w:t>出售金融资产损益</w:t>
            </w:r>
          </w:p>
        </w:tc>
        <w:tc>
          <w:tcPr>
            <w:tcW w:w="1335"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604" w:right="0"/>
              <w:jc w:val="left"/>
              <w:rPr>
                <w:rFonts w:ascii="宋体" w:hAnsi="宋体" w:cs="宋体" w:eastAsia="宋体" w:hint="default"/>
                <w:sz w:val="16"/>
                <w:szCs w:val="16"/>
              </w:rPr>
            </w:pPr>
            <w:r>
              <w:rPr>
                <w:rFonts w:ascii="宋体" w:hAnsi="宋体" w:cs="宋体" w:eastAsia="宋体" w:hint="default"/>
                <w:sz w:val="16"/>
                <w:szCs w:val="16"/>
              </w:rPr>
              <w:t>其他债权投资信用减值准备</w:t>
            </w:r>
          </w:p>
        </w:tc>
        <w:tc>
          <w:tcPr>
            <w:tcW w:w="1335"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574" w:hRule="exact"/>
        </w:trPr>
        <w:tc>
          <w:tcPr>
            <w:tcW w:w="2794" w:type="dxa"/>
            <w:tcBorders>
              <w:top w:val="dotted" w:sz="4" w:space="0" w:color="000000"/>
              <w:left w:val="nil" w:sz="6" w:space="0" w:color="auto"/>
              <w:bottom w:val="single" w:sz="12" w:space="0" w:color="000000"/>
              <w:right w:val="dotted" w:sz="4" w:space="0" w:color="000000"/>
            </w:tcBorders>
          </w:tcPr>
          <w:p>
            <w:pPr>
              <w:pStyle w:val="TableParagraph"/>
              <w:spacing w:line="206" w:lineRule="exact" w:before="65"/>
              <w:ind w:left="122" w:right="101" w:firstLine="482"/>
              <w:jc w:val="left"/>
              <w:rPr>
                <w:rFonts w:ascii="宋体" w:hAnsi="宋体" w:cs="宋体" w:eastAsia="宋体" w:hint="default"/>
                <w:sz w:val="16"/>
                <w:szCs w:val="16"/>
              </w:rPr>
            </w:pPr>
            <w:r>
              <w:rPr>
                <w:rFonts w:ascii="宋体" w:hAnsi="宋体" w:cs="宋体" w:eastAsia="宋体" w:hint="default"/>
                <w:spacing w:val="-1"/>
                <w:sz w:val="16"/>
                <w:szCs w:val="16"/>
              </w:rPr>
              <w:t>现金流量套期储备（现金流量</w:t>
            </w:r>
            <w:r>
              <w:rPr>
                <w:rFonts w:ascii="宋体" w:hAnsi="宋体" w:cs="宋体" w:eastAsia="宋体" w:hint="default"/>
                <w:w w:val="100"/>
                <w:sz w:val="16"/>
                <w:szCs w:val="16"/>
              </w:rPr>
              <w:t> </w:t>
            </w:r>
            <w:r>
              <w:rPr>
                <w:rFonts w:ascii="宋体" w:hAnsi="宋体" w:cs="宋体" w:eastAsia="宋体" w:hint="default"/>
                <w:sz w:val="16"/>
                <w:szCs w:val="16"/>
              </w:rPr>
              <w:t>套期损益的有效部分）</w:t>
            </w:r>
          </w:p>
        </w:tc>
        <w:tc>
          <w:tcPr>
            <w:tcW w:w="1335" w:type="dxa"/>
            <w:tcBorders>
              <w:top w:val="dotted" w:sz="4" w:space="0" w:color="000000"/>
              <w:left w:val="dotted" w:sz="4" w:space="0" w:color="000000"/>
              <w:bottom w:val="single" w:sz="12" w:space="0" w:color="000000"/>
              <w:right w:val="dotted" w:sz="4" w:space="0" w:color="000000"/>
            </w:tcBorders>
          </w:tcPr>
          <w:p>
            <w:pPr/>
          </w:p>
        </w:tc>
        <w:tc>
          <w:tcPr>
            <w:tcW w:w="1310"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
        </w:tc>
        <w:tc>
          <w:tcPr>
            <w:tcW w:w="956" w:type="dxa"/>
            <w:tcBorders>
              <w:top w:val="dotted" w:sz="4" w:space="0" w:color="000000"/>
              <w:left w:val="dotted" w:sz="4" w:space="0" w:color="000000"/>
              <w:bottom w:val="single" w:sz="12" w:space="0" w:color="000000"/>
              <w:right w:val="dotted" w:sz="4" w:space="0" w:color="000000"/>
            </w:tcBorders>
          </w:tcPr>
          <w:p>
            <w:pPr/>
          </w:p>
        </w:tc>
        <w:tc>
          <w:tcPr>
            <w:tcW w:w="938"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54"/>
          <w:footerReference w:type="default" r:id="rId55"/>
          <w:pgSz w:w="16840" w:h="11910" w:orient="landscape"/>
          <w:pgMar w:header="868" w:footer="997" w:top="1620" w:bottom="1180" w:left="1300" w:right="800"/>
          <w:pgNumType w:start="77"/>
        </w:sectPr>
      </w:pPr>
    </w:p>
    <w:p>
      <w:pPr>
        <w:spacing w:line="240" w:lineRule="auto" w:before="4"/>
        <w:rPr>
          <w:rFonts w:ascii="宋体" w:hAnsi="宋体" w:cs="宋体" w:eastAsia="宋体" w:hint="default"/>
          <w:b/>
          <w:bCs/>
          <w:sz w:val="18"/>
          <w:szCs w:val="18"/>
        </w:rPr>
      </w:pPr>
    </w:p>
    <w:tbl>
      <w:tblPr>
        <w:tblW w:w="0" w:type="auto"/>
        <w:jc w:val="left"/>
        <w:tblInd w:w="723" w:type="dxa"/>
        <w:tblLayout w:type="fixed"/>
        <w:tblCellMar>
          <w:top w:w="0" w:type="dxa"/>
          <w:left w:w="0" w:type="dxa"/>
          <w:bottom w:w="0" w:type="dxa"/>
          <w:right w:w="0" w:type="dxa"/>
        </w:tblCellMar>
        <w:tblLook w:val="01E0"/>
      </w:tblPr>
      <w:tblGrid>
        <w:gridCol w:w="2794"/>
        <w:gridCol w:w="1335"/>
        <w:gridCol w:w="1310"/>
        <w:gridCol w:w="1342"/>
        <w:gridCol w:w="956"/>
        <w:gridCol w:w="938"/>
        <w:gridCol w:w="1250"/>
        <w:gridCol w:w="1342"/>
        <w:gridCol w:w="1250"/>
        <w:gridCol w:w="1342"/>
      </w:tblGrid>
      <w:tr>
        <w:trPr>
          <w:trHeight w:val="365" w:hRule="exact"/>
        </w:trPr>
        <w:tc>
          <w:tcPr>
            <w:tcW w:w="279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3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8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31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328"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7079" w:type="dxa"/>
            <w:gridSpan w:val="6"/>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1342"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1183" w:hRule="exact"/>
        </w:trPr>
        <w:tc>
          <w:tcPr>
            <w:tcW w:w="2794" w:type="dxa"/>
            <w:vMerge/>
            <w:tcBorders>
              <w:left w:val="nil" w:sz="6" w:space="0" w:color="auto"/>
              <w:bottom w:val="dotted" w:sz="4" w:space="0" w:color="000000"/>
              <w:right w:val="dotted" w:sz="4" w:space="0" w:color="000000"/>
            </w:tcBorders>
          </w:tcPr>
          <w:p>
            <w:pPr/>
          </w:p>
        </w:tc>
        <w:tc>
          <w:tcPr>
            <w:tcW w:w="1335" w:type="dxa"/>
            <w:vMerge/>
            <w:tcBorders>
              <w:left w:val="dotted" w:sz="4" w:space="0" w:color="000000"/>
              <w:bottom w:val="dotted" w:sz="4" w:space="0" w:color="000000"/>
              <w:right w:val="dotted" w:sz="4" w:space="0" w:color="000000"/>
            </w:tcBorders>
          </w:tcPr>
          <w:p>
            <w:pPr/>
          </w:p>
        </w:tc>
        <w:tc>
          <w:tcPr>
            <w:tcW w:w="1310" w:type="dxa"/>
            <w:vMerge/>
            <w:tcBorders>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43"/>
              <w:ind w:left="506" w:right="101" w:hanging="401"/>
              <w:jc w:val="left"/>
              <w:rPr>
                <w:rFonts w:ascii="宋体" w:hAnsi="宋体" w:cs="宋体" w:eastAsia="宋体" w:hint="default"/>
                <w:sz w:val="16"/>
                <w:szCs w:val="16"/>
              </w:rPr>
            </w:pPr>
            <w:r>
              <w:rPr>
                <w:rFonts w:ascii="宋体" w:hAnsi="宋体" w:cs="宋体" w:eastAsia="宋体" w:hint="default"/>
                <w:sz w:val="16"/>
                <w:szCs w:val="16"/>
              </w:rPr>
              <w:t>本期所得税前发</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生额</w:t>
            </w:r>
          </w:p>
        </w:tc>
        <w:tc>
          <w:tcPr>
            <w:tcW w:w="956"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45"/>
              <w:ind w:left="103" w:right="99"/>
              <w:jc w:val="center"/>
              <w:rPr>
                <w:rFonts w:ascii="宋体" w:hAnsi="宋体" w:cs="宋体" w:eastAsia="宋体" w:hint="default"/>
                <w:sz w:val="16"/>
                <w:szCs w:val="16"/>
              </w:rPr>
            </w:pPr>
            <w:r>
              <w:rPr>
                <w:rFonts w:ascii="宋体" w:hAnsi="宋体" w:cs="宋体" w:eastAsia="宋体" w:hint="default"/>
                <w:spacing w:val="-13"/>
                <w:sz w:val="16"/>
                <w:szCs w:val="16"/>
              </w:rPr>
              <w:t>减：前期计</w:t>
            </w:r>
            <w:r>
              <w:rPr>
                <w:rFonts w:ascii="宋体" w:hAnsi="宋体" w:cs="宋体" w:eastAsia="宋体" w:hint="default"/>
                <w:w w:val="100"/>
                <w:sz w:val="16"/>
                <w:szCs w:val="16"/>
              </w:rPr>
              <w:t> </w:t>
            </w:r>
            <w:r>
              <w:rPr>
                <w:rFonts w:ascii="宋体" w:hAnsi="宋体" w:cs="宋体" w:eastAsia="宋体" w:hint="default"/>
                <w:sz w:val="16"/>
                <w:szCs w:val="16"/>
              </w:rPr>
              <w:t>入其他综</w:t>
            </w:r>
            <w:r>
              <w:rPr>
                <w:rFonts w:ascii="宋体" w:hAnsi="宋体" w:cs="宋体" w:eastAsia="宋体" w:hint="default"/>
                <w:w w:val="100"/>
                <w:sz w:val="16"/>
                <w:szCs w:val="16"/>
              </w:rPr>
              <w:t> </w:t>
            </w:r>
            <w:r>
              <w:rPr>
                <w:rFonts w:ascii="宋体" w:hAnsi="宋体" w:cs="宋体" w:eastAsia="宋体" w:hint="default"/>
                <w:sz w:val="16"/>
                <w:szCs w:val="16"/>
              </w:rPr>
              <w:t>合收益当</w:t>
            </w:r>
            <w:r>
              <w:rPr>
                <w:rFonts w:ascii="宋体" w:hAnsi="宋体" w:cs="宋体" w:eastAsia="宋体" w:hint="default"/>
                <w:w w:val="100"/>
                <w:sz w:val="16"/>
                <w:szCs w:val="16"/>
              </w:rPr>
              <w:t> </w:t>
            </w:r>
            <w:r>
              <w:rPr>
                <w:rFonts w:ascii="宋体" w:hAnsi="宋体" w:cs="宋体" w:eastAsia="宋体" w:hint="default"/>
                <w:sz w:val="16"/>
                <w:szCs w:val="16"/>
              </w:rPr>
              <w:t>期转入损</w:t>
            </w:r>
            <w:r>
              <w:rPr>
                <w:rFonts w:ascii="宋体" w:hAnsi="宋体" w:cs="宋体" w:eastAsia="宋体" w:hint="default"/>
                <w:w w:val="100"/>
                <w:sz w:val="16"/>
                <w:szCs w:val="16"/>
              </w:rPr>
              <w:t> </w:t>
            </w:r>
            <w:r>
              <w:rPr>
                <w:rFonts w:ascii="宋体" w:hAnsi="宋体" w:cs="宋体" w:eastAsia="宋体" w:hint="default"/>
                <w:sz w:val="16"/>
                <w:szCs w:val="16"/>
              </w:rPr>
              <w:t>益</w:t>
            </w:r>
          </w:p>
        </w:tc>
        <w:tc>
          <w:tcPr>
            <w:tcW w:w="938"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45"/>
              <w:ind w:left="143" w:right="98" w:hanging="41"/>
              <w:jc w:val="both"/>
              <w:rPr>
                <w:rFonts w:ascii="宋体" w:hAnsi="宋体" w:cs="宋体" w:eastAsia="宋体" w:hint="default"/>
                <w:sz w:val="16"/>
                <w:szCs w:val="16"/>
              </w:rPr>
            </w:pPr>
            <w:r>
              <w:rPr>
                <w:rFonts w:ascii="宋体" w:hAnsi="宋体" w:cs="宋体" w:eastAsia="宋体" w:hint="default"/>
                <w:spacing w:val="-16"/>
                <w:w w:val="100"/>
                <w:sz w:val="16"/>
                <w:szCs w:val="16"/>
              </w:rPr>
              <w:t>减：前期计</w:t>
            </w:r>
            <w:r>
              <w:rPr>
                <w:rFonts w:ascii="宋体" w:hAnsi="宋体" w:cs="宋体" w:eastAsia="宋体" w:hint="default"/>
                <w:w w:val="100"/>
                <w:sz w:val="16"/>
                <w:szCs w:val="16"/>
              </w:rPr>
              <w:t> </w:t>
            </w:r>
            <w:r>
              <w:rPr>
                <w:rFonts w:ascii="宋体" w:hAnsi="宋体" w:cs="宋体" w:eastAsia="宋体" w:hint="default"/>
                <w:sz w:val="16"/>
                <w:szCs w:val="16"/>
              </w:rPr>
              <w:t>入其他综</w:t>
            </w:r>
            <w:r>
              <w:rPr>
                <w:rFonts w:ascii="宋体" w:hAnsi="宋体" w:cs="宋体" w:eastAsia="宋体" w:hint="default"/>
                <w:w w:val="100"/>
                <w:sz w:val="16"/>
                <w:szCs w:val="16"/>
              </w:rPr>
              <w:t> </w:t>
            </w:r>
            <w:r>
              <w:rPr>
                <w:rFonts w:ascii="宋体" w:hAnsi="宋体" w:cs="宋体" w:eastAsia="宋体" w:hint="default"/>
                <w:sz w:val="16"/>
                <w:szCs w:val="16"/>
              </w:rPr>
              <w:t>合收益当</w:t>
            </w:r>
            <w:r>
              <w:rPr>
                <w:rFonts w:ascii="宋体" w:hAnsi="宋体" w:cs="宋体" w:eastAsia="宋体" w:hint="default"/>
                <w:w w:val="100"/>
                <w:sz w:val="16"/>
                <w:szCs w:val="16"/>
              </w:rPr>
              <w:t> </w:t>
            </w:r>
            <w:r>
              <w:rPr>
                <w:rFonts w:ascii="宋体" w:hAnsi="宋体" w:cs="宋体" w:eastAsia="宋体" w:hint="default"/>
                <w:sz w:val="16"/>
                <w:szCs w:val="16"/>
              </w:rPr>
              <w:t>期转入留</w:t>
            </w:r>
            <w:r>
              <w:rPr>
                <w:rFonts w:ascii="宋体" w:hAnsi="宋体" w:cs="宋体" w:eastAsia="宋体" w:hint="default"/>
                <w:w w:val="100"/>
                <w:sz w:val="16"/>
                <w:szCs w:val="16"/>
              </w:rPr>
              <w:t> </w:t>
            </w:r>
            <w:r>
              <w:rPr>
                <w:rFonts w:ascii="宋体" w:hAnsi="宋体" w:cs="宋体" w:eastAsia="宋体" w:hint="default"/>
                <w:sz w:val="16"/>
                <w:szCs w:val="16"/>
              </w:rPr>
              <w:t>存收益</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43"/>
              <w:ind w:left="540" w:right="137" w:hanging="401"/>
              <w:jc w:val="left"/>
              <w:rPr>
                <w:rFonts w:ascii="宋体" w:hAnsi="宋体" w:cs="宋体" w:eastAsia="宋体" w:hint="default"/>
                <w:sz w:val="16"/>
                <w:szCs w:val="16"/>
              </w:rPr>
            </w:pPr>
            <w:r>
              <w:rPr>
                <w:rFonts w:ascii="宋体" w:hAnsi="宋体" w:cs="宋体" w:eastAsia="宋体" w:hint="default"/>
                <w:sz w:val="16"/>
                <w:szCs w:val="16"/>
              </w:rPr>
              <w:t>减：所得税费</w:t>
            </w:r>
            <w:r>
              <w:rPr>
                <w:rFonts w:ascii="宋体" w:hAnsi="宋体" w:cs="宋体" w:eastAsia="宋体" w:hint="default"/>
                <w:w w:val="100"/>
                <w:sz w:val="16"/>
                <w:szCs w:val="16"/>
              </w:rPr>
              <w:t> </w:t>
            </w:r>
            <w:r>
              <w:rPr>
                <w:rFonts w:ascii="宋体" w:hAnsi="宋体" w:cs="宋体" w:eastAsia="宋体" w:hint="default"/>
                <w:sz w:val="16"/>
                <w:szCs w:val="16"/>
              </w:rPr>
              <w:t>用</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43"/>
              <w:ind w:left="585" w:right="101" w:hanging="480"/>
              <w:jc w:val="left"/>
              <w:rPr>
                <w:rFonts w:ascii="宋体" w:hAnsi="宋体" w:cs="宋体" w:eastAsia="宋体" w:hint="default"/>
                <w:sz w:val="16"/>
                <w:szCs w:val="16"/>
              </w:rPr>
            </w:pPr>
            <w:r>
              <w:rPr>
                <w:rFonts w:ascii="宋体" w:hAnsi="宋体" w:cs="宋体" w:eastAsia="宋体" w:hint="default"/>
                <w:sz w:val="16"/>
                <w:szCs w:val="16"/>
              </w:rPr>
              <w:t>税后归属于母公</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43"/>
              <w:ind w:left="379" w:right="137" w:hanging="240"/>
              <w:jc w:val="left"/>
              <w:rPr>
                <w:rFonts w:ascii="宋体" w:hAnsi="宋体" w:cs="宋体" w:eastAsia="宋体" w:hint="default"/>
                <w:sz w:val="16"/>
                <w:szCs w:val="16"/>
              </w:rPr>
            </w:pPr>
            <w:r>
              <w:rPr>
                <w:rFonts w:ascii="宋体" w:hAnsi="宋体" w:cs="宋体" w:eastAsia="宋体" w:hint="default"/>
                <w:sz w:val="16"/>
                <w:szCs w:val="16"/>
              </w:rPr>
              <w:t>税后归属于少</w:t>
            </w:r>
            <w:r>
              <w:rPr>
                <w:rFonts w:ascii="宋体" w:hAnsi="宋体" w:cs="宋体" w:eastAsia="宋体" w:hint="default"/>
                <w:w w:val="100"/>
                <w:sz w:val="16"/>
                <w:szCs w:val="16"/>
              </w:rPr>
              <w:t> </w:t>
            </w:r>
            <w:r>
              <w:rPr>
                <w:rFonts w:ascii="宋体" w:hAnsi="宋体" w:cs="宋体" w:eastAsia="宋体" w:hint="default"/>
                <w:sz w:val="16"/>
                <w:szCs w:val="16"/>
              </w:rPr>
              <w:t>数股东</w:t>
            </w:r>
          </w:p>
        </w:tc>
        <w:tc>
          <w:tcPr>
            <w:tcW w:w="1342" w:type="dxa"/>
            <w:vMerge/>
            <w:tcBorders>
              <w:left w:val="dotted" w:sz="4" w:space="0" w:color="000000"/>
              <w:bottom w:val="dotted" w:sz="4" w:space="0" w:color="000000"/>
              <w:right w:val="nil" w:sz="6" w:space="0" w:color="auto"/>
            </w:tcBorders>
          </w:tcPr>
          <w:p>
            <w:pPr/>
          </w:p>
        </w:tc>
      </w:tr>
      <w:tr>
        <w:trPr>
          <w:trHeight w:val="353"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604" w:right="0"/>
              <w:jc w:val="left"/>
              <w:rPr>
                <w:rFonts w:ascii="宋体" w:hAnsi="宋体" w:cs="宋体" w:eastAsia="宋体" w:hint="default"/>
                <w:sz w:val="16"/>
                <w:szCs w:val="16"/>
              </w:rPr>
            </w:pPr>
            <w:r>
              <w:rPr>
                <w:rFonts w:ascii="宋体" w:hAnsi="宋体" w:cs="宋体" w:eastAsia="宋体" w:hint="default"/>
                <w:sz w:val="16"/>
                <w:szCs w:val="16"/>
              </w:rPr>
              <w:t>外币财务报表折算差额</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-25,890,839.28</w:t>
            </w: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-25,890,839.28</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-803,173.50</w:t>
            </w: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-600,646.33</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-202,527.17</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-26,491,485.61</w:t>
            </w:r>
          </w:p>
        </w:tc>
      </w:tr>
      <w:tr>
        <w:trPr>
          <w:trHeight w:val="356"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604" w:right="0"/>
              <w:jc w:val="left"/>
              <w:rPr>
                <w:rFonts w:ascii="宋体" w:hAnsi="宋体" w:cs="宋体" w:eastAsia="宋体" w:hint="default"/>
                <w:sz w:val="16"/>
                <w:szCs w:val="16"/>
              </w:rPr>
            </w:pPr>
            <w:r>
              <w:rPr>
                <w:rFonts w:ascii="宋体" w:hAnsi="宋体" w:cs="宋体" w:eastAsia="宋体" w:hint="default"/>
                <w:spacing w:val="-3"/>
                <w:sz w:val="16"/>
                <w:szCs w:val="16"/>
              </w:rPr>
              <w:t>其他</w:t>
            </w:r>
            <w:r>
              <w:rPr>
                <w:rFonts w:ascii="宋体" w:hAnsi="宋体" w:cs="宋体" w:eastAsia="宋体" w:hint="default"/>
                <w:sz w:val="16"/>
                <w:szCs w:val="16"/>
              </w:rPr>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6"/>
                <w:szCs w:val="16"/>
              </w:rPr>
            </w:pPr>
            <w:r>
              <w:rPr>
                <w:rFonts w:ascii="Times New Roman"/>
                <w:spacing w:val="-2"/>
                <w:sz w:val="16"/>
              </w:rPr>
              <w:t>19,224,019.68</w:t>
            </w: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6"/>
                <w:szCs w:val="16"/>
              </w:rPr>
            </w:pPr>
            <w:r>
              <w:rPr>
                <w:rFonts w:ascii="Times New Roman"/>
                <w:spacing w:val="-2"/>
                <w:sz w:val="16"/>
              </w:rPr>
              <w:t>19,224,019.68</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6"/>
                <w:szCs w:val="16"/>
              </w:rPr>
            </w:pPr>
            <w:r>
              <w:rPr>
                <w:rFonts w:ascii="Times New Roman"/>
                <w:spacing w:val="-1"/>
                <w:sz w:val="16"/>
              </w:rPr>
              <w:t>464,869,797.55</w:t>
            </w:r>
          </w:p>
        </w:tc>
        <w:tc>
          <w:tcPr>
            <w:tcW w:w="956"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6"/>
                <w:szCs w:val="16"/>
              </w:rPr>
            </w:pPr>
            <w:r>
              <w:rPr>
                <w:rFonts w:ascii="Times New Roman"/>
                <w:spacing w:val="-2"/>
                <w:sz w:val="16"/>
              </w:rPr>
              <w:t>78,368,714.91</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6"/>
                <w:szCs w:val="16"/>
              </w:rPr>
            </w:pPr>
            <w:r>
              <w:rPr>
                <w:rFonts w:ascii="Times New Roman"/>
                <w:spacing w:val="-1"/>
                <w:sz w:val="16"/>
              </w:rPr>
              <w:t>367,065,030.77</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6"/>
                <w:szCs w:val="16"/>
              </w:rPr>
            </w:pPr>
            <w:r>
              <w:rPr>
                <w:rFonts w:ascii="Times New Roman"/>
                <w:spacing w:val="-2"/>
                <w:sz w:val="16"/>
              </w:rPr>
              <w:t>19,436,051.87</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6"/>
                <w:szCs w:val="16"/>
              </w:rPr>
            </w:pPr>
            <w:r>
              <w:rPr>
                <w:rFonts w:ascii="Times New Roman"/>
                <w:spacing w:val="-1"/>
                <w:sz w:val="16"/>
              </w:rPr>
              <w:t>386,289,050.45</w:t>
            </w:r>
          </w:p>
        </w:tc>
      </w:tr>
      <w:tr>
        <w:trPr>
          <w:trHeight w:val="362" w:hRule="exact"/>
        </w:trPr>
        <w:tc>
          <w:tcPr>
            <w:tcW w:w="27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763" w:right="0"/>
              <w:jc w:val="left"/>
              <w:rPr>
                <w:rFonts w:ascii="宋体" w:hAnsi="宋体" w:cs="宋体" w:eastAsia="宋体" w:hint="default"/>
                <w:sz w:val="16"/>
                <w:szCs w:val="16"/>
              </w:rPr>
            </w:pPr>
            <w:r>
              <w:rPr>
                <w:rFonts w:ascii="宋体" w:hAnsi="宋体" w:cs="宋体" w:eastAsia="宋体" w:hint="default"/>
                <w:sz w:val="16"/>
                <w:szCs w:val="16"/>
              </w:rPr>
              <w:t>其他综合收益合计</w:t>
            </w:r>
          </w:p>
        </w:tc>
        <w:tc>
          <w:tcPr>
            <w:tcW w:w="13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107,988,111.91</w:t>
            </w:r>
          </w:p>
        </w:tc>
        <w:tc>
          <w:tcPr>
            <w:tcW w:w="13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-10,705,170.77</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474,787,187.21</w:t>
            </w:r>
          </w:p>
        </w:tc>
        <w:tc>
          <w:tcPr>
            <w:tcW w:w="956" w:type="dxa"/>
            <w:tcBorders>
              <w:top w:val="dotted" w:sz="4" w:space="0" w:color="000000"/>
              <w:left w:val="dotted" w:sz="4" w:space="0" w:color="000000"/>
              <w:bottom w:val="single" w:sz="12" w:space="0" w:color="000000"/>
              <w:right w:val="dotted" w:sz="4" w:space="0" w:color="000000"/>
            </w:tcBorders>
          </w:tcPr>
          <w:p>
            <w:pPr/>
          </w:p>
        </w:tc>
        <w:tc>
          <w:tcPr>
            <w:tcW w:w="938"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80,595,761.91</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375,061,437.80</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19,129,987.50</w:t>
            </w:r>
          </w:p>
        </w:tc>
        <w:tc>
          <w:tcPr>
            <w:tcW w:w="13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364,356,267.03</w:t>
            </w:r>
          </w:p>
        </w:tc>
      </w:tr>
    </w:tbl>
    <w:p>
      <w:pPr>
        <w:pStyle w:val="BodyText"/>
        <w:spacing w:line="240" w:lineRule="auto" w:before="95"/>
        <w:ind w:left="853" w:right="0"/>
        <w:jc w:val="left"/>
      </w:pPr>
      <w:r>
        <w:rPr/>
        <w:t>说明：</w:t>
      </w:r>
    </w:p>
    <w:p>
      <w:pPr>
        <w:pStyle w:val="BodyText"/>
        <w:spacing w:line="240" w:lineRule="auto" w:before="126"/>
        <w:ind w:left="853" w:right="0"/>
        <w:jc w:val="left"/>
      </w:pPr>
      <w:r>
        <w:rPr>
          <w:rFonts w:ascii="Times New Roman" w:hAnsi="Times New Roman" w:cs="Times New Roman" w:eastAsia="Times New Roman" w:hint="default"/>
        </w:rPr>
        <w:t>1</w:t>
      </w:r>
      <w:r>
        <w:rPr/>
        <w:t>、本公司自</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日起执行新金融工具准则，按照新金融工具准则要求，对金融资产分类进行了重新调整，由于金融资产分类的调整，</w:t>
      </w:r>
    </w:p>
    <w:p>
      <w:pPr>
        <w:pStyle w:val="BodyText"/>
        <w:spacing w:line="240" w:lineRule="auto" w:before="107"/>
        <w:ind w:left="853" w:right="0"/>
        <w:jc w:val="left"/>
      </w:pPr>
      <w:r>
        <w:rPr>
          <w:spacing w:val="-2"/>
        </w:rPr>
        <w:t>将原计入其他综合收益的可供出售金融资产公允价值变动重分类至未分配利润，调减其他综合收益年初余额</w:t>
      </w:r>
      <w:r>
        <w:rPr/>
        <w:t> </w:t>
      </w:r>
      <w:r>
        <w:rPr>
          <w:rFonts w:ascii="Times New Roman" w:hAnsi="Times New Roman" w:cs="Times New Roman" w:eastAsia="Times New Roman" w:hint="default"/>
          <w:spacing w:val="-2"/>
        </w:rPr>
        <w:t>114,942,182.18</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spacing w:val="-2"/>
        </w:rPr>
        <w:t>元，调增未分配利润</w:t>
      </w:r>
    </w:p>
    <w:p>
      <w:pPr>
        <w:pStyle w:val="BodyText"/>
        <w:spacing w:line="240" w:lineRule="auto" w:before="110"/>
        <w:ind w:left="853" w:right="0"/>
        <w:jc w:val="left"/>
      </w:pPr>
      <w:r>
        <w:rPr/>
        <w:t>年初余额</w:t>
      </w:r>
      <w:r>
        <w:rPr>
          <w:spacing w:val="-58"/>
        </w:rPr>
        <w:t> </w:t>
      </w:r>
      <w:r>
        <w:rPr>
          <w:rFonts w:ascii="Times New Roman" w:hAnsi="Times New Roman" w:cs="Times New Roman" w:eastAsia="Times New Roman" w:hint="default"/>
        </w:rPr>
        <w:t>103,598,086.83</w:t>
      </w:r>
      <w:r>
        <w:rPr>
          <w:rFonts w:ascii="Times New Roman" w:hAnsi="Times New Roman" w:cs="Times New Roman" w:eastAsia="Times New Roman" w:hint="default"/>
          <w:spacing w:val="-8"/>
        </w:rPr>
        <w:t> </w:t>
      </w:r>
      <w:r>
        <w:rPr/>
        <w:t>元，调增盈余公积年初余额</w:t>
      </w:r>
      <w:r>
        <w:rPr>
          <w:spacing w:val="-57"/>
        </w:rPr>
        <w:t> </w:t>
      </w:r>
      <w:r>
        <w:rPr>
          <w:rFonts w:ascii="Times New Roman" w:hAnsi="Times New Roman" w:cs="Times New Roman" w:eastAsia="Times New Roman" w:hint="default"/>
        </w:rPr>
        <w:t>11,344,095.35</w:t>
      </w:r>
      <w:r>
        <w:rPr>
          <w:rFonts w:ascii="Times New Roman" w:hAnsi="Times New Roman" w:cs="Times New Roman" w:eastAsia="Times New Roman" w:hint="default"/>
          <w:spacing w:val="-5"/>
        </w:rPr>
        <w:t> </w:t>
      </w:r>
      <w:r>
        <w:rPr/>
        <w:t>元；对重分类至其他权益工具投资的股权投资按公允价值进行了重新计量，冲</w:t>
      </w:r>
    </w:p>
    <w:p>
      <w:pPr>
        <w:pStyle w:val="BodyText"/>
        <w:spacing w:line="240" w:lineRule="auto" w:before="110"/>
        <w:ind w:left="853" w:right="0"/>
        <w:jc w:val="left"/>
      </w:pPr>
      <w:r>
        <w:rPr>
          <w:spacing w:val="-2"/>
        </w:rPr>
        <w:t>回原计提可供出售金融资产减值准备并相应调整盈余公积及未分配利润，累计调减其他综合收益年初余额</w:t>
      </w:r>
      <w:r>
        <w:rPr/>
        <w:t> </w:t>
      </w:r>
      <w:r>
        <w:rPr>
          <w:rFonts w:ascii="Times New Roman" w:hAnsi="Times New Roman" w:cs="Times New Roman" w:eastAsia="Times New Roman" w:hint="default"/>
          <w:spacing w:val="-1"/>
        </w:rPr>
        <w:t>3,751,100.50</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spacing w:val="-2"/>
        </w:rPr>
        <w:t>元，调增盈余公积年初余</w:t>
      </w:r>
    </w:p>
    <w:p>
      <w:pPr>
        <w:pStyle w:val="BodyText"/>
        <w:spacing w:line="240" w:lineRule="auto" w:before="108"/>
        <w:ind w:left="853" w:right="0"/>
        <w:jc w:val="left"/>
      </w:pPr>
      <w:r>
        <w:rPr/>
        <w:t>额</w:t>
      </w:r>
      <w:r>
        <w:rPr>
          <w:spacing w:val="-54"/>
        </w:rPr>
        <w:t> </w:t>
      </w:r>
      <w:r>
        <w:rPr>
          <w:rFonts w:ascii="Times New Roman" w:hAnsi="Times New Roman" w:cs="Times New Roman" w:eastAsia="Times New Roman" w:hint="default"/>
        </w:rPr>
        <w:t>5,631,420.00</w:t>
      </w:r>
      <w:r>
        <w:rPr>
          <w:rFonts w:ascii="Times New Roman" w:hAnsi="Times New Roman" w:cs="Times New Roman" w:eastAsia="Times New Roman" w:hint="default"/>
          <w:spacing w:val="-4"/>
        </w:rPr>
        <w:t> </w:t>
      </w:r>
      <w:r>
        <w:rPr/>
        <w:t>元，调增未分配利润年初余额</w:t>
      </w:r>
      <w:r>
        <w:rPr>
          <w:spacing w:val="-54"/>
        </w:rPr>
        <w:t> </w:t>
      </w:r>
      <w:r>
        <w:rPr>
          <w:rFonts w:ascii="Times New Roman" w:hAnsi="Times New Roman" w:cs="Times New Roman" w:eastAsia="Times New Roman" w:hint="default"/>
        </w:rPr>
        <w:t>50,682,780.00</w:t>
      </w:r>
      <w:r>
        <w:rPr>
          <w:rFonts w:ascii="Times New Roman" w:hAnsi="Times New Roman" w:cs="Times New Roman" w:eastAsia="Times New Roman" w:hint="default"/>
          <w:spacing w:val="-1"/>
        </w:rPr>
        <w:t> </w:t>
      </w:r>
      <w:r>
        <w:rPr>
          <w:spacing w:val="-3"/>
        </w:rPr>
        <w:t>元。</w:t>
      </w:r>
      <w:r>
        <w:rPr/>
      </w:r>
    </w:p>
    <w:p>
      <w:pPr>
        <w:pStyle w:val="BodyText"/>
        <w:spacing w:line="240" w:lineRule="auto" w:before="110"/>
        <w:ind w:left="85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项系投资性房地产转换日公允价值变动。</w:t>
      </w:r>
    </w:p>
    <w:p>
      <w:pPr>
        <w:spacing w:after="0" w:line="240" w:lineRule="auto"/>
        <w:jc w:val="left"/>
        <w:sectPr>
          <w:pgSz w:w="16840" w:h="11910" w:orient="landscape"/>
          <w:pgMar w:header="868" w:footer="997" w:top="1620" w:bottom="1180" w:left="1300" w:right="800"/>
        </w:sectPr>
      </w:pPr>
    </w:p>
    <w:p>
      <w:pPr>
        <w:spacing w:line="240" w:lineRule="auto" w:before="12"/>
        <w:rPr>
          <w:rFonts w:ascii="宋体" w:hAnsi="宋体" w:cs="宋体" w:eastAsia="宋体" w:hint="default"/>
          <w:sz w:val="22"/>
          <w:szCs w:val="22"/>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四十三</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专项储备</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851"/>
        <w:gridCol w:w="1589"/>
        <w:gridCol w:w="1587"/>
        <w:gridCol w:w="1589"/>
        <w:gridCol w:w="1589"/>
      </w:tblGrid>
      <w:tr>
        <w:trPr>
          <w:trHeight w:val="286" w:hRule="exact"/>
        </w:trPr>
        <w:tc>
          <w:tcPr>
            <w:tcW w:w="18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749"/>
              <w:jc w:val="right"/>
              <w:rPr>
                <w:rFonts w:ascii="宋体" w:hAnsi="宋体" w:cs="宋体" w:eastAsia="宋体" w:hint="default"/>
                <w:sz w:val="16"/>
                <w:szCs w:val="16"/>
              </w:rPr>
            </w:pPr>
            <w:r>
              <w:rPr>
                <w:rFonts w:ascii="宋体" w:hAnsi="宋体" w:cs="宋体" w:eastAsia="宋体" w:hint="default"/>
                <w:sz w:val="16"/>
                <w:szCs w:val="16"/>
              </w:rPr>
              <w:t>项目</w:t>
            </w:r>
          </w:p>
        </w:tc>
        <w:tc>
          <w:tcPr>
            <w:tcW w:w="15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309"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58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465"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5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467"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58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468"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18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安全生产费</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1,235,782.10</w:t>
            </w:r>
          </w:p>
        </w:tc>
        <w:tc>
          <w:tcPr>
            <w:tcW w:w="15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4,397,272.99</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2,849,050.14</w:t>
            </w:r>
          </w:p>
        </w:tc>
        <w:tc>
          <w:tcPr>
            <w:tcW w:w="15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2,784,004.95</w:t>
            </w:r>
          </w:p>
        </w:tc>
      </w:tr>
      <w:tr>
        <w:trPr>
          <w:trHeight w:val="283" w:hRule="exact"/>
        </w:trPr>
        <w:tc>
          <w:tcPr>
            <w:tcW w:w="18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749"/>
              <w:jc w:val="right"/>
              <w:rPr>
                <w:rFonts w:ascii="宋体" w:hAnsi="宋体" w:cs="宋体" w:eastAsia="宋体" w:hint="default"/>
                <w:sz w:val="16"/>
                <w:szCs w:val="16"/>
              </w:rPr>
            </w:pPr>
            <w:r>
              <w:rPr>
                <w:rFonts w:ascii="宋体" w:hAnsi="宋体" w:cs="宋体" w:eastAsia="宋体" w:hint="default"/>
                <w:sz w:val="16"/>
                <w:szCs w:val="16"/>
              </w:rPr>
              <w:t>合计</w:t>
            </w:r>
          </w:p>
        </w:tc>
        <w:tc>
          <w:tcPr>
            <w:tcW w:w="15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1,235,782.10</w:t>
            </w:r>
          </w:p>
        </w:tc>
        <w:tc>
          <w:tcPr>
            <w:tcW w:w="15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4,397,272.99</w:t>
            </w:r>
          </w:p>
        </w:tc>
        <w:tc>
          <w:tcPr>
            <w:tcW w:w="15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2,849,050.14</w:t>
            </w:r>
          </w:p>
        </w:tc>
        <w:tc>
          <w:tcPr>
            <w:tcW w:w="158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2,784,004.95</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四十四</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盈余公积</w:t>
      </w:r>
      <w:r>
        <w:rPr>
          <w:b w:val="0"/>
          <w:bCs w:val="0"/>
        </w:rPr>
      </w:r>
    </w:p>
    <w:tbl>
      <w:tblPr>
        <w:tblW w:w="0" w:type="auto"/>
        <w:jc w:val="left"/>
        <w:tblInd w:w="720" w:type="dxa"/>
        <w:tblLayout w:type="fixed"/>
        <w:tblCellMar>
          <w:top w:w="0" w:type="dxa"/>
          <w:left w:w="0" w:type="dxa"/>
          <w:bottom w:w="0" w:type="dxa"/>
          <w:right w:w="0" w:type="dxa"/>
        </w:tblCellMar>
        <w:tblLook w:val="01E0"/>
      </w:tblPr>
      <w:tblGrid>
        <w:gridCol w:w="1430"/>
        <w:gridCol w:w="1465"/>
        <w:gridCol w:w="1464"/>
        <w:gridCol w:w="1358"/>
        <w:gridCol w:w="1023"/>
        <w:gridCol w:w="1464"/>
      </w:tblGrid>
      <w:tr>
        <w:trPr>
          <w:trHeight w:val="286" w:hRule="exact"/>
        </w:trPr>
        <w:tc>
          <w:tcPr>
            <w:tcW w:w="143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4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4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44" w:right="0"/>
              <w:jc w:val="left"/>
              <w:rPr>
                <w:rFonts w:ascii="宋体" w:hAnsi="宋体" w:cs="宋体" w:eastAsia="宋体" w:hint="default"/>
                <w:sz w:val="16"/>
                <w:szCs w:val="16"/>
              </w:rPr>
            </w:pPr>
            <w:r>
              <w:rPr>
                <w:rFonts w:ascii="宋体" w:hAnsi="宋体" w:cs="宋体" w:eastAsia="宋体" w:hint="default"/>
                <w:sz w:val="16"/>
                <w:szCs w:val="16"/>
              </w:rPr>
              <w:t>本年年初余额</w:t>
            </w:r>
          </w:p>
        </w:tc>
        <w:tc>
          <w:tcPr>
            <w:tcW w:w="13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350"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0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184"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46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403"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1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法定盈余公积</w:t>
            </w:r>
          </w:p>
        </w:tc>
        <w:tc>
          <w:tcPr>
            <w:tcW w:w="14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305,014,432.08</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321,989,947.43</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323" w:right="0"/>
              <w:jc w:val="left"/>
              <w:rPr>
                <w:rFonts w:ascii="Times New Roman" w:hAnsi="Times New Roman" w:cs="Times New Roman" w:eastAsia="Times New Roman" w:hint="default"/>
                <w:sz w:val="16"/>
                <w:szCs w:val="16"/>
              </w:rPr>
            </w:pPr>
            <w:r>
              <w:rPr>
                <w:rFonts w:ascii="Times New Roman"/>
                <w:sz w:val="16"/>
              </w:rPr>
              <w:t>32,585,958.29</w:t>
            </w:r>
          </w:p>
        </w:tc>
        <w:tc>
          <w:tcPr>
            <w:tcW w:w="1023"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354,575,905.72</w:t>
            </w:r>
          </w:p>
        </w:tc>
      </w:tr>
      <w:tr>
        <w:trPr>
          <w:trHeight w:val="274" w:hRule="exact"/>
        </w:trPr>
        <w:tc>
          <w:tcPr>
            <w:tcW w:w="14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任意盈余公积</w:t>
            </w:r>
          </w:p>
        </w:tc>
        <w:tc>
          <w:tcPr>
            <w:tcW w:w="14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3,607,282.75</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3,607,282.75</w:t>
            </w:r>
          </w:p>
        </w:tc>
        <w:tc>
          <w:tcPr>
            <w:tcW w:w="1358" w:type="dxa"/>
            <w:tcBorders>
              <w:top w:val="dotted" w:sz="4" w:space="0" w:color="000000"/>
              <w:left w:val="dotted" w:sz="4" w:space="0" w:color="000000"/>
              <w:bottom w:val="dotted" w:sz="4" w:space="0" w:color="000000"/>
              <w:right w:val="dotted" w:sz="4" w:space="0" w:color="000000"/>
            </w:tcBorders>
          </w:tcPr>
          <w:p>
            <w:pPr/>
          </w:p>
        </w:tc>
        <w:tc>
          <w:tcPr>
            <w:tcW w:w="1023"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3,607,282.75</w:t>
            </w:r>
          </w:p>
        </w:tc>
      </w:tr>
      <w:tr>
        <w:trPr>
          <w:trHeight w:val="274" w:hRule="exact"/>
        </w:trPr>
        <w:tc>
          <w:tcPr>
            <w:tcW w:w="14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储备基金</w:t>
            </w:r>
          </w:p>
        </w:tc>
        <w:tc>
          <w:tcPr>
            <w:tcW w:w="1465"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dotted" w:sz="4" w:space="0" w:color="000000"/>
            </w:tcBorders>
          </w:tcPr>
          <w:p>
            <w:pPr/>
          </w:p>
        </w:tc>
        <w:tc>
          <w:tcPr>
            <w:tcW w:w="1358" w:type="dxa"/>
            <w:tcBorders>
              <w:top w:val="dotted" w:sz="4" w:space="0" w:color="000000"/>
              <w:left w:val="dotted" w:sz="4" w:space="0" w:color="000000"/>
              <w:bottom w:val="dotted" w:sz="4" w:space="0" w:color="000000"/>
              <w:right w:val="dotted" w:sz="4" w:space="0" w:color="000000"/>
            </w:tcBorders>
          </w:tcPr>
          <w:p>
            <w:pPr/>
          </w:p>
        </w:tc>
        <w:tc>
          <w:tcPr>
            <w:tcW w:w="1023"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4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企业发展基金</w:t>
            </w:r>
          </w:p>
        </w:tc>
        <w:tc>
          <w:tcPr>
            <w:tcW w:w="1465"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dotted" w:sz="4" w:space="0" w:color="000000"/>
            </w:tcBorders>
          </w:tcPr>
          <w:p>
            <w:pPr/>
          </w:p>
        </w:tc>
        <w:tc>
          <w:tcPr>
            <w:tcW w:w="1358" w:type="dxa"/>
            <w:tcBorders>
              <w:top w:val="dotted" w:sz="4" w:space="0" w:color="000000"/>
              <w:left w:val="dotted" w:sz="4" w:space="0" w:color="000000"/>
              <w:bottom w:val="dotted" w:sz="4" w:space="0" w:color="000000"/>
              <w:right w:val="dotted" w:sz="4" w:space="0" w:color="000000"/>
            </w:tcBorders>
          </w:tcPr>
          <w:p>
            <w:pPr/>
          </w:p>
        </w:tc>
        <w:tc>
          <w:tcPr>
            <w:tcW w:w="1023"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nil" w:sz="6" w:space="0" w:color="auto"/>
            </w:tcBorders>
          </w:tcPr>
          <w:p>
            <w:pPr/>
          </w:p>
        </w:tc>
      </w:tr>
      <w:tr>
        <w:trPr>
          <w:trHeight w:val="271" w:hRule="exact"/>
        </w:trPr>
        <w:tc>
          <w:tcPr>
            <w:tcW w:w="14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65"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dotted" w:sz="4" w:space="0" w:color="000000"/>
            </w:tcBorders>
          </w:tcPr>
          <w:p>
            <w:pPr/>
          </w:p>
        </w:tc>
        <w:tc>
          <w:tcPr>
            <w:tcW w:w="1358" w:type="dxa"/>
            <w:tcBorders>
              <w:top w:val="dotted" w:sz="4" w:space="0" w:color="000000"/>
              <w:left w:val="dotted" w:sz="4" w:space="0" w:color="000000"/>
              <w:bottom w:val="dotted" w:sz="4" w:space="0" w:color="000000"/>
              <w:right w:val="dotted" w:sz="4" w:space="0" w:color="000000"/>
            </w:tcBorders>
          </w:tcPr>
          <w:p>
            <w:pPr/>
          </w:p>
        </w:tc>
        <w:tc>
          <w:tcPr>
            <w:tcW w:w="1023"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14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308,621,714.83</w:t>
            </w:r>
          </w:p>
        </w:tc>
        <w:tc>
          <w:tcPr>
            <w:tcW w:w="14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325,597,230.18</w:t>
            </w:r>
          </w:p>
        </w:tc>
        <w:tc>
          <w:tcPr>
            <w:tcW w:w="13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left="323" w:right="0"/>
              <w:jc w:val="left"/>
              <w:rPr>
                <w:rFonts w:ascii="Times New Roman" w:hAnsi="Times New Roman" w:cs="Times New Roman" w:eastAsia="Times New Roman" w:hint="default"/>
                <w:sz w:val="16"/>
                <w:szCs w:val="16"/>
              </w:rPr>
            </w:pPr>
            <w:r>
              <w:rPr>
                <w:rFonts w:ascii="Times New Roman"/>
                <w:sz w:val="16"/>
              </w:rPr>
              <w:t>32,585,958.29</w:t>
            </w:r>
          </w:p>
        </w:tc>
        <w:tc>
          <w:tcPr>
            <w:tcW w:w="1023" w:type="dxa"/>
            <w:tcBorders>
              <w:top w:val="dotted" w:sz="4" w:space="0" w:color="000000"/>
              <w:left w:val="dotted" w:sz="4" w:space="0" w:color="000000"/>
              <w:bottom w:val="single" w:sz="12" w:space="0" w:color="000000"/>
              <w:right w:val="dotted" w:sz="4" w:space="0" w:color="000000"/>
            </w:tcBorders>
          </w:tcPr>
          <w:p>
            <w:pPr/>
          </w:p>
        </w:tc>
        <w:tc>
          <w:tcPr>
            <w:tcW w:w="146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358,183,188.47</w:t>
            </w:r>
          </w:p>
        </w:tc>
      </w:tr>
    </w:tbl>
    <w:p>
      <w:pPr>
        <w:spacing w:line="240" w:lineRule="auto" w:before="8"/>
        <w:rPr>
          <w:rFonts w:ascii="宋体" w:hAnsi="宋体" w:cs="宋体" w:eastAsia="宋体" w:hint="default"/>
          <w:b/>
          <w:bCs/>
          <w:sz w:val="5"/>
          <w:szCs w:val="5"/>
        </w:rPr>
      </w:pPr>
    </w:p>
    <w:p>
      <w:pPr>
        <w:pStyle w:val="BodyText"/>
        <w:spacing w:line="240" w:lineRule="auto"/>
        <w:ind w:left="850" w:right="1468"/>
        <w:jc w:val="left"/>
      </w:pPr>
      <w:r>
        <w:rPr/>
        <w:t>说明：盈余公积年初余额调整详见五（四十二）其他综合收益说明。</w:t>
      </w:r>
    </w:p>
    <w:p>
      <w:pPr>
        <w:pStyle w:val="Heading5"/>
        <w:spacing w:line="240" w:lineRule="auto" w:before="123"/>
        <w:ind w:right="3683"/>
        <w:jc w:val="left"/>
        <w:rPr>
          <w:b w:val="0"/>
          <w:bCs w:val="0"/>
        </w:rPr>
      </w:pPr>
      <w:r>
        <w:rPr>
          <w:rFonts w:ascii="Times New Roman" w:hAnsi="Times New Roman" w:cs="Times New Roman" w:eastAsia="Times New Roman" w:hint="default"/>
        </w:rPr>
        <w:t>(</w:t>
      </w:r>
      <w:r>
        <w:rPr/>
        <w:t>四十五</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未分配利润</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4006"/>
        <w:gridCol w:w="1983"/>
        <w:gridCol w:w="2216"/>
      </w:tblGrid>
      <w:tr>
        <w:trPr>
          <w:trHeight w:val="286" w:hRule="exact"/>
        </w:trPr>
        <w:tc>
          <w:tcPr>
            <w:tcW w:w="400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9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21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4"/>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40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调整前上年年末未分配利润</w:t>
            </w:r>
          </w:p>
        </w:tc>
        <w:tc>
          <w:tcPr>
            <w:tcW w:w="19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3,071,103,612.60</w:t>
            </w:r>
          </w:p>
        </w:tc>
        <w:tc>
          <w:tcPr>
            <w:tcW w:w="22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1,829,793,778.08</w:t>
            </w:r>
          </w:p>
        </w:tc>
      </w:tr>
      <w:tr>
        <w:trPr>
          <w:trHeight w:val="271" w:hRule="exact"/>
        </w:trPr>
        <w:tc>
          <w:tcPr>
            <w:tcW w:w="40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调整年初未分配利润合计数（调增</w:t>
            </w:r>
            <w:r>
              <w:rPr>
                <w:rFonts w:ascii="Times New Roman" w:hAnsi="Times New Roman" w:cs="Times New Roman" w:eastAsia="Times New Roman" w:hint="default"/>
                <w:sz w:val="16"/>
                <w:szCs w:val="16"/>
              </w:rPr>
              <w:t>+</w:t>
            </w:r>
            <w:r>
              <w:rPr>
                <w:rFonts w:ascii="宋体" w:hAnsi="宋体" w:cs="宋体" w:eastAsia="宋体" w:hint="default"/>
                <w:sz w:val="16"/>
                <w:szCs w:val="16"/>
              </w:rPr>
              <w:t>，调减－）</w:t>
            </w:r>
          </w:p>
        </w:tc>
        <w:tc>
          <w:tcPr>
            <w:tcW w:w="19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154,280,866.83</w:t>
            </w:r>
          </w:p>
        </w:tc>
        <w:tc>
          <w:tcPr>
            <w:tcW w:w="22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528,990,776.15</w:t>
            </w:r>
          </w:p>
        </w:tc>
      </w:tr>
      <w:tr>
        <w:trPr>
          <w:trHeight w:val="274" w:hRule="exact"/>
        </w:trPr>
        <w:tc>
          <w:tcPr>
            <w:tcW w:w="40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调整后年初未分配利润</w:t>
            </w:r>
          </w:p>
        </w:tc>
        <w:tc>
          <w:tcPr>
            <w:tcW w:w="19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3,225,384,479.43</w:t>
            </w:r>
          </w:p>
        </w:tc>
        <w:tc>
          <w:tcPr>
            <w:tcW w:w="22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2,358,784,554.23</w:t>
            </w:r>
          </w:p>
        </w:tc>
      </w:tr>
      <w:tr>
        <w:trPr>
          <w:trHeight w:val="274" w:hRule="exact"/>
        </w:trPr>
        <w:tc>
          <w:tcPr>
            <w:tcW w:w="40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加：本期归属于母公司所有者的净利润</w:t>
            </w:r>
          </w:p>
        </w:tc>
        <w:tc>
          <w:tcPr>
            <w:tcW w:w="19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1,114,993,660.75</w:t>
            </w:r>
          </w:p>
        </w:tc>
        <w:tc>
          <w:tcPr>
            <w:tcW w:w="22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1,120,739,247.50</w:t>
            </w:r>
          </w:p>
        </w:tc>
      </w:tr>
      <w:tr>
        <w:trPr>
          <w:trHeight w:val="274" w:hRule="exact"/>
        </w:trPr>
        <w:tc>
          <w:tcPr>
            <w:tcW w:w="40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其他调整因素</w:t>
            </w:r>
          </w:p>
        </w:tc>
        <w:tc>
          <w:tcPr>
            <w:tcW w:w="19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-119,304,534.05</w:t>
            </w:r>
          </w:p>
        </w:tc>
        <w:tc>
          <w:tcPr>
            <w:tcW w:w="22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-161,324,829.99</w:t>
            </w:r>
          </w:p>
        </w:tc>
      </w:tr>
      <w:tr>
        <w:trPr>
          <w:trHeight w:val="274" w:hRule="exact"/>
        </w:trPr>
        <w:tc>
          <w:tcPr>
            <w:tcW w:w="40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减：提取法定盈余公积</w:t>
            </w:r>
          </w:p>
        </w:tc>
        <w:tc>
          <w:tcPr>
            <w:tcW w:w="19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32,585,958.29</w:t>
            </w:r>
          </w:p>
        </w:tc>
        <w:tc>
          <w:tcPr>
            <w:tcW w:w="22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70,451,191.60</w:t>
            </w:r>
          </w:p>
        </w:tc>
      </w:tr>
      <w:tr>
        <w:trPr>
          <w:trHeight w:val="274" w:hRule="exact"/>
        </w:trPr>
        <w:tc>
          <w:tcPr>
            <w:tcW w:w="40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提取任意盈余公积</w:t>
            </w:r>
          </w:p>
        </w:tc>
        <w:tc>
          <w:tcPr>
            <w:tcW w:w="1983" w:type="dxa"/>
            <w:tcBorders>
              <w:top w:val="dotted" w:sz="4" w:space="0" w:color="000000"/>
              <w:left w:val="dotted" w:sz="4" w:space="0" w:color="000000"/>
              <w:bottom w:val="dotted" w:sz="4" w:space="0" w:color="000000"/>
              <w:right w:val="dotted" w:sz="4" w:space="0" w:color="000000"/>
            </w:tcBorders>
          </w:tcPr>
          <w:p>
            <w:pPr/>
          </w:p>
        </w:tc>
        <w:tc>
          <w:tcPr>
            <w:tcW w:w="221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0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提取一般风险准备</w:t>
            </w:r>
          </w:p>
        </w:tc>
        <w:tc>
          <w:tcPr>
            <w:tcW w:w="1983" w:type="dxa"/>
            <w:tcBorders>
              <w:top w:val="dotted" w:sz="4" w:space="0" w:color="000000"/>
              <w:left w:val="dotted" w:sz="4" w:space="0" w:color="000000"/>
              <w:bottom w:val="dotted" w:sz="4" w:space="0" w:color="000000"/>
              <w:right w:val="dotted" w:sz="4" w:space="0" w:color="000000"/>
            </w:tcBorders>
          </w:tcPr>
          <w:p>
            <w:pPr/>
          </w:p>
        </w:tc>
        <w:tc>
          <w:tcPr>
            <w:tcW w:w="221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0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应付普通股股利</w:t>
            </w:r>
          </w:p>
        </w:tc>
        <w:tc>
          <w:tcPr>
            <w:tcW w:w="19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146,808,278.00</w:t>
            </w:r>
          </w:p>
        </w:tc>
        <w:tc>
          <w:tcPr>
            <w:tcW w:w="22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176,644,167.54</w:t>
            </w:r>
          </w:p>
        </w:tc>
      </w:tr>
      <w:tr>
        <w:trPr>
          <w:trHeight w:val="274" w:hRule="exact"/>
        </w:trPr>
        <w:tc>
          <w:tcPr>
            <w:tcW w:w="40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转作股本的普通股股利</w:t>
            </w:r>
          </w:p>
        </w:tc>
        <w:tc>
          <w:tcPr>
            <w:tcW w:w="1983" w:type="dxa"/>
            <w:tcBorders>
              <w:top w:val="dotted" w:sz="4" w:space="0" w:color="000000"/>
              <w:left w:val="dotted" w:sz="4" w:space="0" w:color="000000"/>
              <w:bottom w:val="dotted" w:sz="4" w:space="0" w:color="000000"/>
              <w:right w:val="dotted" w:sz="4" w:space="0" w:color="000000"/>
            </w:tcBorders>
          </w:tcPr>
          <w:p>
            <w:pPr/>
          </w:p>
        </w:tc>
        <w:tc>
          <w:tcPr>
            <w:tcW w:w="2216"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40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期末未分配利润</w:t>
            </w:r>
          </w:p>
        </w:tc>
        <w:tc>
          <w:tcPr>
            <w:tcW w:w="19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4,041,679,369.84</w:t>
            </w:r>
          </w:p>
        </w:tc>
        <w:tc>
          <w:tcPr>
            <w:tcW w:w="22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3,071,103,612.60</w:t>
            </w:r>
          </w:p>
        </w:tc>
      </w:tr>
    </w:tbl>
    <w:p>
      <w:pPr>
        <w:pStyle w:val="BodyText"/>
        <w:spacing w:line="247" w:lineRule="auto" w:before="9"/>
        <w:ind w:left="850" w:right="1818"/>
        <w:jc w:val="left"/>
      </w:pPr>
      <w:r>
        <w:rPr/>
        <w:t>注</w:t>
      </w:r>
      <w:r>
        <w:rPr>
          <w:spacing w:val="-2"/>
        </w:rPr>
        <w:t> </w:t>
      </w:r>
      <w:r>
        <w:rPr>
          <w:rFonts w:ascii="Times New Roman" w:hAnsi="Times New Roman" w:cs="Times New Roman" w:eastAsia="Times New Roman" w:hint="default"/>
        </w:rPr>
        <w:t>1</w:t>
      </w:r>
      <w:r>
        <w:rPr/>
        <w:t>、本期公司同一控制下企业合并郑州轨道交通信息技术研究院，对期初报表进</w:t>
      </w:r>
      <w:r>
        <w:rPr>
          <w:w w:val="100"/>
        </w:rPr>
        <w:t> </w:t>
      </w:r>
      <w:r>
        <w:rPr/>
        <w:t>行追溯调整，调整未分配利润上期年初余额</w:t>
      </w:r>
      <w:r>
        <w:rPr>
          <w:spacing w:val="-53"/>
        </w:rPr>
        <w:t> </w:t>
      </w:r>
      <w:r>
        <w:rPr>
          <w:rFonts w:ascii="Times New Roman" w:hAnsi="Times New Roman" w:cs="Times New Roman" w:eastAsia="Times New Roman" w:hint="default"/>
        </w:rPr>
        <w:t>15,000,000.00</w:t>
      </w:r>
      <w:r>
        <w:rPr>
          <w:rFonts w:ascii="Times New Roman" w:hAnsi="Times New Roman" w:cs="Times New Roman" w:eastAsia="Times New Roman" w:hint="default"/>
          <w:spacing w:val="-4"/>
        </w:rPr>
        <w:t> </w:t>
      </w:r>
      <w:r>
        <w:rPr/>
        <w:t>元；</w:t>
      </w:r>
    </w:p>
    <w:p>
      <w:pPr>
        <w:pStyle w:val="BodyText"/>
        <w:spacing w:line="254" w:lineRule="auto" w:before="2"/>
        <w:ind w:left="850" w:right="1871"/>
        <w:jc w:val="left"/>
      </w:pPr>
      <w:r>
        <w:rPr/>
        <w:t>注</w:t>
      </w:r>
      <w:r>
        <w:rPr>
          <w:spacing w:val="-55"/>
        </w:rPr>
        <w:t> </w:t>
      </w:r>
      <w:r>
        <w:rPr>
          <w:rFonts w:ascii="Times New Roman" w:hAnsi="Times New Roman" w:cs="Times New Roman" w:eastAsia="Times New Roman" w:hint="default"/>
        </w:rPr>
        <w:t>2</w:t>
      </w:r>
      <w:r>
        <w:rPr/>
        <w:t>、本期公司对投资性房地产后续计量模式由成本计量改为公允价值计量，属于</w:t>
      </w:r>
      <w:r>
        <w:rPr>
          <w:w w:val="100"/>
        </w:rPr>
        <w:t> </w:t>
      </w:r>
      <w:r>
        <w:rPr/>
        <w:t>会计政策变更，对期初报表进行追溯调整，调整未分配利润上年年初余额</w:t>
      </w:r>
      <w:r>
        <w:rPr>
          <w:w w:val="100"/>
        </w:rPr>
        <w:t> </w:t>
      </w:r>
      <w:r>
        <w:rPr>
          <w:rFonts w:ascii="Times New Roman" w:hAnsi="Times New Roman" w:cs="Times New Roman" w:eastAsia="Times New Roman" w:hint="default"/>
        </w:rPr>
        <w:t>513,990,776.15 </w:t>
      </w:r>
      <w:r>
        <w:rPr/>
        <w:t>元；</w:t>
      </w:r>
    </w:p>
    <w:p>
      <w:pPr>
        <w:pStyle w:val="BodyText"/>
        <w:spacing w:line="247" w:lineRule="auto" w:before="0"/>
        <w:ind w:left="850" w:right="1468"/>
        <w:jc w:val="left"/>
      </w:pPr>
      <w:r>
        <w:rPr/>
        <w:t>注</w:t>
      </w:r>
      <w:r>
        <w:rPr>
          <w:spacing w:val="-17"/>
        </w:rPr>
        <w:t> </w:t>
      </w:r>
      <w:r>
        <w:rPr>
          <w:rFonts w:ascii="Times New Roman" w:hAnsi="Times New Roman" w:cs="Times New Roman" w:eastAsia="Times New Roman" w:hint="default"/>
          <w:spacing w:val="-5"/>
        </w:rPr>
        <w:t>3</w:t>
      </w:r>
      <w:r>
        <w:rPr>
          <w:spacing w:val="-5"/>
        </w:rPr>
        <w:t>、由于执行新金融工具准则，对本年年初未分配利润进行调整，具体详见五（四</w:t>
      </w:r>
      <w:r>
        <w:rPr>
          <w:spacing w:val="-91"/>
        </w:rPr>
        <w:t> </w:t>
      </w:r>
      <w:r>
        <w:rPr>
          <w:spacing w:val="-91"/>
        </w:rPr>
      </w:r>
      <w:r>
        <w:rPr/>
        <w:t>十二）其他综合收益说明；</w:t>
      </w:r>
    </w:p>
    <w:p>
      <w:pPr>
        <w:pStyle w:val="BodyText"/>
        <w:spacing w:line="256" w:lineRule="auto" w:before="19"/>
        <w:ind w:left="850" w:right="1825"/>
        <w:jc w:val="both"/>
      </w:pPr>
      <w:r>
        <w:rPr/>
        <w:t>注</w:t>
      </w:r>
      <w:r>
        <w:rPr>
          <w:spacing w:val="-54"/>
        </w:rPr>
        <w:t> </w:t>
      </w:r>
      <w:r>
        <w:rPr>
          <w:rFonts w:ascii="Times New Roman" w:hAnsi="Times New Roman" w:cs="Times New Roman" w:eastAsia="Times New Roman" w:hint="default"/>
        </w:rPr>
        <w:t>4</w:t>
      </w:r>
      <w:r>
        <w:rPr/>
        <w:t>、本期二级子公司武汉中原电子集团有限公司购买少数股权支付对价超过取得</w:t>
      </w:r>
      <w:r>
        <w:rPr>
          <w:w w:val="100"/>
        </w:rPr>
        <w:t> </w:t>
      </w:r>
      <w:r>
        <w:rPr>
          <w:spacing w:val="-2"/>
        </w:rPr>
        <w:t>净资产差额，因资本溢价不足冲减，冲减未分配利润及同一控制下企业合并郑州轨</w:t>
      </w:r>
      <w:r>
        <w:rPr>
          <w:spacing w:val="-35"/>
        </w:rPr>
        <w:t> </w:t>
      </w:r>
      <w:r>
        <w:rPr>
          <w:spacing w:val="-35"/>
        </w:rPr>
      </w:r>
      <w:r>
        <w:rPr>
          <w:spacing w:val="-2"/>
        </w:rPr>
        <w:t>道交通信息技术研究院支付对价超过取得净资产份额差额，因资本溢价不足冲减，</w:t>
      </w:r>
      <w:r>
        <w:rPr>
          <w:spacing w:val="-35"/>
        </w:rPr>
        <w:t> </w:t>
      </w:r>
      <w:r>
        <w:rPr>
          <w:spacing w:val="-35"/>
        </w:rPr>
      </w:r>
      <w:r>
        <w:rPr/>
        <w:t>冲减未分配利润，上述两项合计冲减未分配利润</w:t>
      </w:r>
      <w:r>
        <w:rPr>
          <w:spacing w:val="-60"/>
        </w:rPr>
        <w:t> </w:t>
      </w:r>
      <w:r>
        <w:rPr>
          <w:rFonts w:ascii="Times New Roman" w:hAnsi="Times New Roman" w:cs="Times New Roman" w:eastAsia="Times New Roman" w:hint="default"/>
        </w:rPr>
        <w:t>119,304,534.05</w:t>
      </w:r>
      <w:r>
        <w:rPr>
          <w:rFonts w:ascii="Times New Roman" w:hAnsi="Times New Roman" w:cs="Times New Roman" w:eastAsia="Times New Roman" w:hint="default"/>
          <w:spacing w:val="-5"/>
        </w:rPr>
        <w:t> </w:t>
      </w:r>
      <w:r>
        <w:rPr>
          <w:spacing w:val="-3"/>
        </w:rPr>
        <w:t>元。</w:t>
      </w:r>
      <w:r>
        <w:rPr/>
      </w:r>
    </w:p>
    <w:p>
      <w:pPr>
        <w:spacing w:line="240" w:lineRule="auto" w:before="1"/>
        <w:rPr>
          <w:rFonts w:ascii="宋体" w:hAnsi="宋体" w:cs="宋体" w:eastAsia="宋体" w:hint="default"/>
          <w:sz w:val="29"/>
          <w:szCs w:val="29"/>
        </w:rPr>
      </w:pPr>
    </w:p>
    <w:p>
      <w:pPr>
        <w:pStyle w:val="Heading5"/>
        <w:spacing w:line="240" w:lineRule="auto" w:before="0"/>
        <w:ind w:right="3683"/>
        <w:jc w:val="left"/>
        <w:rPr>
          <w:b w:val="0"/>
          <w:bCs w:val="0"/>
        </w:rPr>
      </w:pPr>
      <w:r>
        <w:rPr>
          <w:rFonts w:ascii="Times New Roman" w:hAnsi="Times New Roman" w:cs="Times New Roman" w:eastAsia="Times New Roman" w:hint="default"/>
        </w:rPr>
        <w:t>(</w:t>
      </w:r>
      <w:r>
        <w:rPr/>
        <w:t>四十六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营业收入和营业成本</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325"/>
        <w:gridCol w:w="1721"/>
        <w:gridCol w:w="1719"/>
        <w:gridCol w:w="1718"/>
        <w:gridCol w:w="1721"/>
      </w:tblGrid>
      <w:tr>
        <w:trPr>
          <w:trHeight w:val="283" w:hRule="exact"/>
        </w:trPr>
        <w:tc>
          <w:tcPr>
            <w:tcW w:w="1325" w:type="dxa"/>
            <w:vMerge w:val="restart"/>
            <w:tcBorders>
              <w:top w:val="single" w:sz="12" w:space="0" w:color="000000"/>
              <w:left w:val="nil" w:sz="6" w:space="0" w:color="auto"/>
              <w:right w:val="dotted" w:sz="4" w:space="0" w:color="000000"/>
            </w:tcBorders>
          </w:tcPr>
          <w:p>
            <w:pPr>
              <w:pStyle w:val="TableParagraph"/>
              <w:spacing w:line="240" w:lineRule="auto" w:before="139"/>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44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3440"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2"/>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1325" w:type="dxa"/>
            <w:vMerge/>
            <w:tcBorders>
              <w:left w:val="nil" w:sz="6" w:space="0" w:color="auto"/>
              <w:bottom w:val="dotted" w:sz="4" w:space="0" w:color="000000"/>
              <w:right w:val="dotted" w:sz="4" w:space="0" w:color="000000"/>
            </w:tcBorders>
          </w:tcPr>
          <w:p>
            <w:pP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
              <w:jc w:val="center"/>
              <w:rPr>
                <w:rFonts w:ascii="宋体" w:hAnsi="宋体" w:cs="宋体" w:eastAsia="宋体" w:hint="default"/>
                <w:sz w:val="16"/>
                <w:szCs w:val="16"/>
              </w:rPr>
            </w:pPr>
            <w:r>
              <w:rPr>
                <w:rFonts w:ascii="宋体" w:hAnsi="宋体" w:cs="宋体" w:eastAsia="宋体" w:hint="default"/>
                <w:sz w:val="16"/>
                <w:szCs w:val="16"/>
              </w:rPr>
              <w:t>收入</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成本</w:t>
            </w:r>
          </w:p>
        </w:tc>
        <w:tc>
          <w:tcPr>
            <w:tcW w:w="17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收入</w:t>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1"/>
              <w:jc w:val="center"/>
              <w:rPr>
                <w:rFonts w:ascii="宋体" w:hAnsi="宋体" w:cs="宋体" w:eastAsia="宋体" w:hint="default"/>
                <w:sz w:val="16"/>
                <w:szCs w:val="16"/>
              </w:rPr>
            </w:pPr>
            <w:r>
              <w:rPr>
                <w:rFonts w:ascii="宋体" w:hAnsi="宋体" w:cs="宋体" w:eastAsia="宋体" w:hint="default"/>
                <w:sz w:val="16"/>
                <w:szCs w:val="16"/>
              </w:rPr>
              <w:t>成本</w:t>
            </w:r>
          </w:p>
        </w:tc>
      </w:tr>
      <w:tr>
        <w:trPr>
          <w:trHeight w:val="274" w:hRule="exact"/>
        </w:trPr>
        <w:tc>
          <w:tcPr>
            <w:tcW w:w="1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552"/>
              <w:jc w:val="right"/>
              <w:rPr>
                <w:rFonts w:ascii="宋体" w:hAnsi="宋体" w:cs="宋体" w:eastAsia="宋体" w:hint="default"/>
                <w:sz w:val="16"/>
                <w:szCs w:val="16"/>
              </w:rPr>
            </w:pPr>
            <w:r>
              <w:rPr>
                <w:rFonts w:ascii="宋体" w:hAnsi="宋体" w:cs="宋体" w:eastAsia="宋体" w:hint="default"/>
                <w:sz w:val="16"/>
                <w:szCs w:val="16"/>
              </w:rPr>
              <w:t>主营业务</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9,863,792,618.51</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7,354,691,538.06</w:t>
            </w:r>
          </w:p>
        </w:tc>
        <w:tc>
          <w:tcPr>
            <w:tcW w:w="17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9,107,726,123.84</w:t>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7,120,932,838.26</w:t>
            </w:r>
          </w:p>
        </w:tc>
      </w:tr>
      <w:tr>
        <w:trPr>
          <w:trHeight w:val="274" w:hRule="exact"/>
        </w:trPr>
        <w:tc>
          <w:tcPr>
            <w:tcW w:w="1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552"/>
              <w:jc w:val="right"/>
              <w:rPr>
                <w:rFonts w:ascii="宋体" w:hAnsi="宋体" w:cs="宋体" w:eastAsia="宋体" w:hint="default"/>
                <w:sz w:val="16"/>
                <w:szCs w:val="16"/>
              </w:rPr>
            </w:pPr>
            <w:r>
              <w:rPr>
                <w:rFonts w:ascii="宋体" w:hAnsi="宋体" w:cs="宋体" w:eastAsia="宋体" w:hint="default"/>
                <w:sz w:val="16"/>
                <w:szCs w:val="16"/>
              </w:rPr>
              <w:t>其他业务</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979,991,958.20</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814,432,259.40</w:t>
            </w:r>
          </w:p>
        </w:tc>
        <w:tc>
          <w:tcPr>
            <w:tcW w:w="17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901,757,372.90</w:t>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670,627,282.66</w:t>
            </w:r>
          </w:p>
        </w:tc>
      </w:tr>
      <w:tr>
        <w:trPr>
          <w:trHeight w:val="283" w:hRule="exact"/>
        </w:trPr>
        <w:tc>
          <w:tcPr>
            <w:tcW w:w="13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487"/>
              <w:jc w:val="right"/>
              <w:rPr>
                <w:rFonts w:ascii="宋体" w:hAnsi="宋体" w:cs="宋体" w:eastAsia="宋体" w:hint="default"/>
                <w:sz w:val="16"/>
                <w:szCs w:val="16"/>
              </w:rPr>
            </w:pPr>
            <w:r>
              <w:rPr>
                <w:rFonts w:ascii="宋体" w:hAnsi="宋体" w:cs="宋体" w:eastAsia="宋体" w:hint="default"/>
                <w:sz w:val="16"/>
                <w:szCs w:val="16"/>
              </w:rPr>
              <w:t>合计</w:t>
            </w:r>
          </w:p>
        </w:tc>
        <w:tc>
          <w:tcPr>
            <w:tcW w:w="17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10,843,784,576.71</w:t>
            </w:r>
          </w:p>
        </w:tc>
        <w:tc>
          <w:tcPr>
            <w:tcW w:w="17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8,169,123,797.46</w:t>
            </w:r>
          </w:p>
        </w:tc>
        <w:tc>
          <w:tcPr>
            <w:tcW w:w="17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10,009,483,496.74</w:t>
            </w:r>
          </w:p>
        </w:tc>
        <w:tc>
          <w:tcPr>
            <w:tcW w:w="17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7,791,560,120.92</w:t>
            </w:r>
          </w:p>
        </w:tc>
      </w:tr>
    </w:tbl>
    <w:p>
      <w:pPr>
        <w:spacing w:after="0" w:line="240" w:lineRule="auto"/>
        <w:jc w:val="right"/>
        <w:rPr>
          <w:rFonts w:ascii="Times New Roman" w:hAnsi="Times New Roman" w:cs="Times New Roman" w:eastAsia="Times New Roman" w:hint="default"/>
          <w:sz w:val="16"/>
          <w:szCs w:val="16"/>
        </w:rPr>
        <w:sectPr>
          <w:headerReference w:type="default" r:id="rId56"/>
          <w:footerReference w:type="default" r:id="rId57"/>
          <w:pgSz w:w="11910" w:h="16840"/>
          <w:pgMar w:header="753" w:footer="997" w:top="1500" w:bottom="1180" w:left="1660" w:right="0"/>
          <w:pgNumType w:start="79"/>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BodyText"/>
        <w:spacing w:line="240" w:lineRule="auto"/>
        <w:ind w:left="850" w:right="3683"/>
        <w:jc w:val="left"/>
      </w:pPr>
      <w:r>
        <w:rPr/>
        <w:t>营业收入明细：</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3759"/>
        <w:gridCol w:w="2292"/>
        <w:gridCol w:w="2153"/>
      </w:tblGrid>
      <w:tr>
        <w:trPr>
          <w:trHeight w:val="286" w:hRule="exact"/>
        </w:trPr>
        <w:tc>
          <w:tcPr>
            <w:tcW w:w="37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2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15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4"/>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主营业务收入</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9,863,792,618.51</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9,107,726,123.84</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其中：高新电子</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4,112,170,204.11</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4,001,045,290.39</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523" w:right="0"/>
              <w:jc w:val="left"/>
              <w:rPr>
                <w:rFonts w:ascii="宋体" w:hAnsi="宋体" w:cs="宋体" w:eastAsia="宋体" w:hint="default"/>
                <w:sz w:val="16"/>
                <w:szCs w:val="16"/>
              </w:rPr>
            </w:pPr>
            <w:r>
              <w:rPr>
                <w:rFonts w:ascii="宋体" w:hAnsi="宋体" w:cs="宋体" w:eastAsia="宋体" w:hint="default"/>
                <w:sz w:val="16"/>
                <w:szCs w:val="16"/>
              </w:rPr>
              <w:t>电源产品</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2,904,485,943.68</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3,046,133,377.08</w:t>
            </w:r>
          </w:p>
        </w:tc>
      </w:tr>
      <w:tr>
        <w:trPr>
          <w:trHeight w:val="271"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523" w:right="0"/>
              <w:jc w:val="left"/>
              <w:rPr>
                <w:rFonts w:ascii="宋体" w:hAnsi="宋体" w:cs="宋体" w:eastAsia="宋体" w:hint="default"/>
                <w:sz w:val="16"/>
                <w:szCs w:val="16"/>
              </w:rPr>
            </w:pPr>
            <w:r>
              <w:rPr>
                <w:rFonts w:ascii="宋体" w:hAnsi="宋体" w:cs="宋体" w:eastAsia="宋体" w:hint="default"/>
                <w:sz w:val="16"/>
                <w:szCs w:val="16"/>
              </w:rPr>
              <w:t>信息安全整机及解决方案</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2,769,560,183.07</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1,928,213,047.01</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523" w:right="0"/>
              <w:jc w:val="left"/>
              <w:rPr>
                <w:rFonts w:ascii="宋体" w:hAnsi="宋体" w:cs="宋体" w:eastAsia="宋体" w:hint="default"/>
                <w:sz w:val="16"/>
                <w:szCs w:val="16"/>
              </w:rPr>
            </w:pPr>
            <w:r>
              <w:rPr>
                <w:rFonts w:ascii="宋体" w:hAnsi="宋体" w:cs="宋体" w:eastAsia="宋体" w:hint="default"/>
                <w:sz w:val="16"/>
                <w:szCs w:val="16"/>
              </w:rPr>
              <w:t>园区及物业服务</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77,576,287.65</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78,390,526.85</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52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292"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53,943,882.51</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其他业务收入</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979,991,958.20</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901,757,372.90</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其中：材料销售收入</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564,982,327.59</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394,562,020.71</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维修费收入</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142,598,991.79</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115,647,073.77</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出租固定资产收入</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83,259,647.71</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86,577,019.41</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水电费收入</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48,582,000.79</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47,927,782.71</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技术服务费收入</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41,583,644.30</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23,564,658.74</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加工费收入</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1,065,053.12</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79,413,612.50</w:t>
            </w:r>
          </w:p>
        </w:tc>
      </w:tr>
      <w:tr>
        <w:trPr>
          <w:trHeight w:val="274" w:hRule="exact"/>
        </w:trPr>
        <w:tc>
          <w:tcPr>
            <w:tcW w:w="3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其他收入</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97,920,292.90</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154,065,205.06</w:t>
            </w:r>
          </w:p>
        </w:tc>
      </w:tr>
      <w:tr>
        <w:trPr>
          <w:trHeight w:val="283" w:hRule="exact"/>
        </w:trPr>
        <w:tc>
          <w:tcPr>
            <w:tcW w:w="37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2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10,843,784,576.71</w:t>
            </w:r>
          </w:p>
        </w:tc>
        <w:tc>
          <w:tcPr>
            <w:tcW w:w="215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2"/>
                <w:sz w:val="16"/>
              </w:rPr>
              <w:t>10,009,483,496.74</w:t>
            </w:r>
          </w:p>
        </w:tc>
      </w:tr>
    </w:tbl>
    <w:p>
      <w:pPr>
        <w:spacing w:line="240" w:lineRule="auto" w:before="7"/>
        <w:rPr>
          <w:rFonts w:ascii="宋体" w:hAnsi="宋体" w:cs="宋体" w:eastAsia="宋体" w:hint="default"/>
          <w:sz w:val="26"/>
          <w:szCs w:val="26"/>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四十七</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税金及附加</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430"/>
        <w:gridCol w:w="2388"/>
        <w:gridCol w:w="2386"/>
      </w:tblGrid>
      <w:tr>
        <w:trPr>
          <w:trHeight w:val="283" w:hRule="exact"/>
        </w:trPr>
        <w:tc>
          <w:tcPr>
            <w:tcW w:w="343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538"/>
              <w:jc w:val="right"/>
              <w:rPr>
                <w:rFonts w:ascii="宋体" w:hAnsi="宋体" w:cs="宋体" w:eastAsia="宋体" w:hint="default"/>
                <w:sz w:val="16"/>
                <w:szCs w:val="16"/>
              </w:rPr>
            </w:pPr>
            <w:r>
              <w:rPr>
                <w:rFonts w:ascii="宋体" w:hAnsi="宋体" w:cs="宋体" w:eastAsia="宋体" w:hint="default"/>
                <w:sz w:val="16"/>
                <w:szCs w:val="16"/>
              </w:rPr>
              <w:t>项目</w:t>
            </w:r>
          </w:p>
        </w:tc>
        <w:tc>
          <w:tcPr>
            <w:tcW w:w="23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1"/>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38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房产税</w:t>
            </w:r>
          </w:p>
        </w:tc>
        <w:tc>
          <w:tcPr>
            <w:tcW w:w="2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23,193,671.92</w:t>
            </w:r>
          </w:p>
        </w:tc>
        <w:tc>
          <w:tcPr>
            <w:tcW w:w="23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20,952,821.12</w:t>
            </w:r>
          </w:p>
        </w:tc>
      </w:tr>
      <w:tr>
        <w:trPr>
          <w:trHeight w:val="274"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城市维护建设税</w:t>
            </w:r>
          </w:p>
        </w:tc>
        <w:tc>
          <w:tcPr>
            <w:tcW w:w="2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14,239,289.32</w:t>
            </w:r>
          </w:p>
        </w:tc>
        <w:tc>
          <w:tcPr>
            <w:tcW w:w="23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12,870,848.45</w:t>
            </w:r>
          </w:p>
        </w:tc>
      </w:tr>
      <w:tr>
        <w:trPr>
          <w:trHeight w:val="274"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教育费附加</w:t>
            </w:r>
          </w:p>
        </w:tc>
        <w:tc>
          <w:tcPr>
            <w:tcW w:w="2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10,956,151.44</w:t>
            </w:r>
          </w:p>
        </w:tc>
        <w:tc>
          <w:tcPr>
            <w:tcW w:w="23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9,895,399.77</w:t>
            </w:r>
          </w:p>
        </w:tc>
      </w:tr>
      <w:tr>
        <w:trPr>
          <w:trHeight w:val="274"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消费税</w:t>
            </w:r>
          </w:p>
        </w:tc>
        <w:tc>
          <w:tcPr>
            <w:tcW w:w="2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6,870,366.39</w:t>
            </w:r>
          </w:p>
        </w:tc>
        <w:tc>
          <w:tcPr>
            <w:tcW w:w="23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8,385,018.85</w:t>
            </w:r>
          </w:p>
        </w:tc>
      </w:tr>
      <w:tr>
        <w:trPr>
          <w:trHeight w:val="274"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土地使用税</w:t>
            </w:r>
          </w:p>
        </w:tc>
        <w:tc>
          <w:tcPr>
            <w:tcW w:w="2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6,460,795.86</w:t>
            </w:r>
          </w:p>
        </w:tc>
        <w:tc>
          <w:tcPr>
            <w:tcW w:w="23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7,291,339.83</w:t>
            </w:r>
          </w:p>
        </w:tc>
      </w:tr>
      <w:tr>
        <w:trPr>
          <w:trHeight w:val="274"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印花税</w:t>
            </w:r>
          </w:p>
        </w:tc>
        <w:tc>
          <w:tcPr>
            <w:tcW w:w="2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5,831,030.42</w:t>
            </w:r>
          </w:p>
        </w:tc>
        <w:tc>
          <w:tcPr>
            <w:tcW w:w="23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6,115,213.24</w:t>
            </w:r>
          </w:p>
        </w:tc>
      </w:tr>
      <w:tr>
        <w:trPr>
          <w:trHeight w:val="274"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6,573,936.72</w:t>
            </w:r>
          </w:p>
        </w:tc>
        <w:tc>
          <w:tcPr>
            <w:tcW w:w="23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7,925,107.38</w:t>
            </w:r>
          </w:p>
        </w:tc>
      </w:tr>
      <w:tr>
        <w:trPr>
          <w:trHeight w:val="283" w:hRule="exact"/>
        </w:trPr>
        <w:tc>
          <w:tcPr>
            <w:tcW w:w="34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38"/>
              <w:jc w:val="right"/>
              <w:rPr>
                <w:rFonts w:ascii="宋体" w:hAnsi="宋体" w:cs="宋体" w:eastAsia="宋体" w:hint="default"/>
                <w:sz w:val="16"/>
                <w:szCs w:val="16"/>
              </w:rPr>
            </w:pPr>
            <w:r>
              <w:rPr>
                <w:rFonts w:ascii="宋体" w:hAnsi="宋体" w:cs="宋体" w:eastAsia="宋体" w:hint="default"/>
                <w:sz w:val="16"/>
                <w:szCs w:val="16"/>
              </w:rPr>
              <w:t>合计</w:t>
            </w:r>
          </w:p>
        </w:tc>
        <w:tc>
          <w:tcPr>
            <w:tcW w:w="23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74,125,242.07</w:t>
            </w:r>
          </w:p>
        </w:tc>
        <w:tc>
          <w:tcPr>
            <w:tcW w:w="23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73,435,748.64</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四十八</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销售费用</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89"/>
        <w:gridCol w:w="2408"/>
        <w:gridCol w:w="2408"/>
      </w:tblGrid>
      <w:tr>
        <w:trPr>
          <w:trHeight w:val="365" w:hRule="exact"/>
        </w:trPr>
        <w:tc>
          <w:tcPr>
            <w:tcW w:w="33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6"/>
              <w:ind w:right="1519"/>
              <w:jc w:val="right"/>
              <w:rPr>
                <w:rFonts w:ascii="宋体" w:hAnsi="宋体" w:cs="宋体" w:eastAsia="宋体" w:hint="default"/>
                <w:sz w:val="16"/>
                <w:szCs w:val="16"/>
              </w:rPr>
            </w:pPr>
            <w:r>
              <w:rPr>
                <w:rFonts w:ascii="宋体" w:hAnsi="宋体" w:cs="宋体" w:eastAsia="宋体" w:hint="default"/>
                <w:sz w:val="16"/>
                <w:szCs w:val="16"/>
              </w:rPr>
              <w:t>项目</w:t>
            </w:r>
          </w:p>
        </w:tc>
        <w:tc>
          <w:tcPr>
            <w:tcW w:w="24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right="4"/>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工资费用</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246,413,272.26</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193,059,523.38</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运输费</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79,725,550.55</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66,913,971.42</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维修费</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48,540,171.27</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5,518,369.76</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业务招待费</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34,465,965.62</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23,325,114.60</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差旅费</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26,523,296.62</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25,424,215.49</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物料消耗</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15,329,322.40</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7,946,192.34</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租赁费</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7,711,397.90</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8,658,006.46</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办公费</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5,454,501.96</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6"/>
                <w:szCs w:val="16"/>
              </w:rPr>
            </w:pPr>
            <w:r>
              <w:rPr>
                <w:rFonts w:ascii="Times New Roman"/>
                <w:spacing w:val="-1"/>
                <w:sz w:val="16"/>
              </w:rPr>
              <w:t>7,003,263.72</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广告促销费</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4,790,555.53</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4,027,619.93</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21,673,518.19</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35,308,615.36</w:t>
            </w:r>
          </w:p>
        </w:tc>
      </w:tr>
      <w:tr>
        <w:trPr>
          <w:trHeight w:val="283" w:hRule="exact"/>
        </w:trPr>
        <w:tc>
          <w:tcPr>
            <w:tcW w:w="338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1519"/>
              <w:jc w:val="right"/>
              <w:rPr>
                <w:rFonts w:ascii="宋体" w:hAnsi="宋体" w:cs="宋体" w:eastAsia="宋体" w:hint="default"/>
                <w:sz w:val="16"/>
                <w:szCs w:val="16"/>
              </w:rPr>
            </w:pPr>
            <w:r>
              <w:rPr>
                <w:rFonts w:ascii="宋体" w:hAnsi="宋体" w:cs="宋体" w:eastAsia="宋体" w:hint="default"/>
                <w:sz w:val="16"/>
                <w:szCs w:val="16"/>
              </w:rPr>
              <w:t>合计</w:t>
            </w:r>
          </w:p>
        </w:tc>
        <w:tc>
          <w:tcPr>
            <w:tcW w:w="24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490,627,552.30</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377,184,892.46</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四十九</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管理费用</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452"/>
        <w:gridCol w:w="2376"/>
        <w:gridCol w:w="2376"/>
      </w:tblGrid>
      <w:tr>
        <w:trPr>
          <w:trHeight w:val="295" w:hRule="exact"/>
        </w:trPr>
        <w:tc>
          <w:tcPr>
            <w:tcW w:w="3452"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376"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2"/>
              <w:ind w:right="2"/>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376"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2"/>
              <w:ind w:right="6"/>
              <w:jc w:val="center"/>
              <w:rPr>
                <w:rFonts w:ascii="宋体" w:hAnsi="宋体" w:cs="宋体" w:eastAsia="宋体" w:hint="default"/>
                <w:sz w:val="16"/>
                <w:szCs w:val="16"/>
              </w:rPr>
            </w:pPr>
            <w:r>
              <w:rPr>
                <w:rFonts w:ascii="宋体" w:hAnsi="宋体" w:cs="宋体" w:eastAsia="宋体" w:hint="default"/>
                <w:sz w:val="16"/>
                <w:szCs w:val="16"/>
              </w:rPr>
              <w:t>上期金额</w:t>
            </w:r>
          </w:p>
        </w:tc>
      </w:tr>
    </w:tbl>
    <w:p>
      <w:pPr>
        <w:spacing w:after="0" w:line="240" w:lineRule="auto"/>
        <w:jc w:val="center"/>
        <w:rPr>
          <w:rFonts w:ascii="宋体" w:hAnsi="宋体" w:cs="宋体" w:eastAsia="宋体"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b/>
          <w:bCs/>
          <w:sz w:val="18"/>
          <w:szCs w:val="18"/>
        </w:rPr>
      </w:pPr>
    </w:p>
    <w:tbl>
      <w:tblPr>
        <w:tblW w:w="0" w:type="auto"/>
        <w:jc w:val="left"/>
        <w:tblInd w:w="721" w:type="dxa"/>
        <w:tblLayout w:type="fixed"/>
        <w:tblCellMar>
          <w:top w:w="0" w:type="dxa"/>
          <w:left w:w="0" w:type="dxa"/>
          <w:bottom w:w="0" w:type="dxa"/>
          <w:right w:w="0" w:type="dxa"/>
        </w:tblCellMar>
        <w:tblLook w:val="01E0"/>
      </w:tblPr>
      <w:tblGrid>
        <w:gridCol w:w="3452"/>
        <w:gridCol w:w="2376"/>
        <w:gridCol w:w="2377"/>
      </w:tblGrid>
      <w:tr>
        <w:trPr>
          <w:trHeight w:val="284" w:hRule="exact"/>
        </w:trPr>
        <w:tc>
          <w:tcPr>
            <w:tcW w:w="34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1550"/>
              <w:jc w:val="right"/>
              <w:rPr>
                <w:rFonts w:ascii="宋体" w:hAnsi="宋体" w:cs="宋体" w:eastAsia="宋体" w:hint="default"/>
                <w:sz w:val="16"/>
                <w:szCs w:val="16"/>
              </w:rPr>
            </w:pPr>
            <w:r>
              <w:rPr>
                <w:rFonts w:ascii="宋体" w:hAnsi="宋体" w:cs="宋体" w:eastAsia="宋体" w:hint="default"/>
                <w:sz w:val="16"/>
                <w:szCs w:val="16"/>
              </w:rPr>
              <w:t>项目</w:t>
            </w:r>
          </w:p>
        </w:tc>
        <w:tc>
          <w:tcPr>
            <w:tcW w:w="23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2"/>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3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8"/>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工资费用</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421,934,171.06</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414,233,812.26</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折旧费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40,366,052.58</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40,502,490.72</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股权激励费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820,188.30</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23,164,213.31</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水电费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13,158,215.55</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9,950,221.02</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差旅费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11,949,405.36</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11,718,662.31</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咨询费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10,946,805.22</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8,857,970.00</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无形资产摊销</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8,753,215.53</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9,874,816.16</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办公费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7,855,263.96</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8,287,939.69</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业务招待费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5,870,268.82</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5,591,461.70</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65,768,524.08</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72,501,417.41</w:t>
            </w:r>
          </w:p>
        </w:tc>
      </w:tr>
      <w:tr>
        <w:trPr>
          <w:trHeight w:val="283" w:hRule="exact"/>
        </w:trPr>
        <w:tc>
          <w:tcPr>
            <w:tcW w:w="3452"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1550"/>
              <w:jc w:val="right"/>
              <w:rPr>
                <w:rFonts w:ascii="宋体" w:hAnsi="宋体" w:cs="宋体" w:eastAsia="宋体" w:hint="default"/>
                <w:sz w:val="16"/>
                <w:szCs w:val="16"/>
              </w:rPr>
            </w:pPr>
            <w:r>
              <w:rPr>
                <w:rFonts w:ascii="宋体" w:hAnsi="宋体" w:cs="宋体" w:eastAsia="宋体" w:hint="default"/>
                <w:sz w:val="16"/>
                <w:szCs w:val="16"/>
              </w:rPr>
              <w:t>合计</w:t>
            </w:r>
          </w:p>
        </w:tc>
        <w:tc>
          <w:tcPr>
            <w:tcW w:w="2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2"/>
                <w:sz w:val="16"/>
              </w:rPr>
              <w:t>587,422,110.46</w:t>
            </w:r>
          </w:p>
        </w:tc>
        <w:tc>
          <w:tcPr>
            <w:tcW w:w="23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604,683,004.58</w:t>
            </w:r>
          </w:p>
        </w:tc>
      </w:tr>
    </w:tbl>
    <w:p>
      <w:pPr>
        <w:spacing w:line="240" w:lineRule="auto" w:before="5"/>
        <w:rPr>
          <w:rFonts w:ascii="宋体" w:hAnsi="宋体" w:cs="宋体" w:eastAsia="宋体" w:hint="default"/>
          <w:b/>
          <w:bCs/>
          <w:sz w:val="26"/>
          <w:szCs w:val="26"/>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五十</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研发费用</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452"/>
        <w:gridCol w:w="2376"/>
        <w:gridCol w:w="2377"/>
      </w:tblGrid>
      <w:tr>
        <w:trPr>
          <w:trHeight w:val="286" w:hRule="exact"/>
        </w:trPr>
        <w:tc>
          <w:tcPr>
            <w:tcW w:w="34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1550"/>
              <w:jc w:val="right"/>
              <w:rPr>
                <w:rFonts w:ascii="宋体" w:hAnsi="宋体" w:cs="宋体" w:eastAsia="宋体" w:hint="default"/>
                <w:sz w:val="16"/>
                <w:szCs w:val="16"/>
              </w:rPr>
            </w:pPr>
            <w:r>
              <w:rPr>
                <w:rFonts w:ascii="宋体" w:hAnsi="宋体" w:cs="宋体" w:eastAsia="宋体" w:hint="default"/>
                <w:sz w:val="16"/>
                <w:szCs w:val="16"/>
              </w:rPr>
              <w:t>项目</w:t>
            </w:r>
          </w:p>
        </w:tc>
        <w:tc>
          <w:tcPr>
            <w:tcW w:w="23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2"/>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3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8"/>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工资费用</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501,970,286.33</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399,611,239.32</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物料消耗</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137,662,872.57</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62,599,274.10</w:t>
            </w:r>
          </w:p>
        </w:tc>
      </w:tr>
      <w:tr>
        <w:trPr>
          <w:trHeight w:val="271"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折旧费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40,088,958.78</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25,589,257.49</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无形资产摊销</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21,938,083.57</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12,486,465.14</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技术服务费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21,184,309.22</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19,132,958.28</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差旅费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19,256,498.65</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18,479,175.40</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办公费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8,148,035.93</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6,684,702.95</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水电费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4,831,998.47</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4,231,226.25</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技术开发费</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4,104,457.86</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5,138,762.13</w:t>
            </w:r>
          </w:p>
        </w:tc>
      </w:tr>
      <w:tr>
        <w:trPr>
          <w:trHeight w:val="27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89,953,153.60</w:t>
            </w:r>
          </w:p>
        </w:tc>
        <w:tc>
          <w:tcPr>
            <w:tcW w:w="23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104,491,206.26</w:t>
            </w:r>
          </w:p>
        </w:tc>
      </w:tr>
      <w:tr>
        <w:trPr>
          <w:trHeight w:val="286" w:hRule="exact"/>
        </w:trPr>
        <w:tc>
          <w:tcPr>
            <w:tcW w:w="34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50"/>
              <w:jc w:val="right"/>
              <w:rPr>
                <w:rFonts w:ascii="宋体" w:hAnsi="宋体" w:cs="宋体" w:eastAsia="宋体" w:hint="default"/>
                <w:sz w:val="16"/>
                <w:szCs w:val="16"/>
              </w:rPr>
            </w:pPr>
            <w:r>
              <w:rPr>
                <w:rFonts w:ascii="宋体" w:hAnsi="宋体" w:cs="宋体" w:eastAsia="宋体" w:hint="default"/>
                <w:sz w:val="16"/>
                <w:szCs w:val="16"/>
              </w:rPr>
              <w:t>合计</w:t>
            </w:r>
          </w:p>
        </w:tc>
        <w:tc>
          <w:tcPr>
            <w:tcW w:w="2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849,138,654.98</w:t>
            </w:r>
          </w:p>
        </w:tc>
        <w:tc>
          <w:tcPr>
            <w:tcW w:w="23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658,444,267.32</w:t>
            </w:r>
          </w:p>
        </w:tc>
      </w:tr>
    </w:tbl>
    <w:p>
      <w:pPr>
        <w:spacing w:line="240" w:lineRule="auto" w:before="7"/>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五十一</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财务费用</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92"/>
        <w:gridCol w:w="2405"/>
        <w:gridCol w:w="2408"/>
      </w:tblGrid>
      <w:tr>
        <w:trPr>
          <w:trHeight w:val="283" w:hRule="exact"/>
        </w:trPr>
        <w:tc>
          <w:tcPr>
            <w:tcW w:w="339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519"/>
              <w:jc w:val="right"/>
              <w:rPr>
                <w:rFonts w:ascii="宋体" w:hAnsi="宋体" w:cs="宋体" w:eastAsia="宋体" w:hint="default"/>
                <w:sz w:val="16"/>
                <w:szCs w:val="16"/>
              </w:rPr>
            </w:pPr>
            <w:r>
              <w:rPr>
                <w:rFonts w:ascii="宋体" w:hAnsi="宋体" w:cs="宋体" w:eastAsia="宋体" w:hint="default"/>
                <w:sz w:val="16"/>
                <w:szCs w:val="16"/>
              </w:rPr>
              <w:t>项目</w:t>
            </w:r>
          </w:p>
        </w:tc>
        <w:tc>
          <w:tcPr>
            <w:tcW w:w="24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1"/>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3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利息费用</w:t>
            </w:r>
          </w:p>
        </w:tc>
        <w:tc>
          <w:tcPr>
            <w:tcW w:w="2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142,666,988.47</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80,751,865.69</w:t>
            </w:r>
          </w:p>
        </w:tc>
      </w:tr>
      <w:tr>
        <w:trPr>
          <w:trHeight w:val="274" w:hRule="exact"/>
        </w:trPr>
        <w:tc>
          <w:tcPr>
            <w:tcW w:w="33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减：利息收入</w:t>
            </w:r>
          </w:p>
        </w:tc>
        <w:tc>
          <w:tcPr>
            <w:tcW w:w="2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36,592,430.39</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36,884,298.96</w:t>
            </w:r>
          </w:p>
        </w:tc>
      </w:tr>
      <w:tr>
        <w:trPr>
          <w:trHeight w:val="274" w:hRule="exact"/>
        </w:trPr>
        <w:tc>
          <w:tcPr>
            <w:tcW w:w="33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汇兑损益</w:t>
            </w:r>
          </w:p>
        </w:tc>
        <w:tc>
          <w:tcPr>
            <w:tcW w:w="2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-3,732,273.39</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-9,057,880.61</w:t>
            </w:r>
          </w:p>
        </w:tc>
      </w:tr>
      <w:tr>
        <w:trPr>
          <w:trHeight w:val="274" w:hRule="exact"/>
        </w:trPr>
        <w:tc>
          <w:tcPr>
            <w:tcW w:w="33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5,230,777.58</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7,756,561.60</w:t>
            </w:r>
          </w:p>
        </w:tc>
      </w:tr>
      <w:tr>
        <w:trPr>
          <w:trHeight w:val="283" w:hRule="exact"/>
        </w:trPr>
        <w:tc>
          <w:tcPr>
            <w:tcW w:w="339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19"/>
              <w:jc w:val="right"/>
              <w:rPr>
                <w:rFonts w:ascii="宋体" w:hAnsi="宋体" w:cs="宋体" w:eastAsia="宋体" w:hint="default"/>
                <w:sz w:val="16"/>
                <w:szCs w:val="16"/>
              </w:rPr>
            </w:pPr>
            <w:r>
              <w:rPr>
                <w:rFonts w:ascii="宋体" w:hAnsi="宋体" w:cs="宋体" w:eastAsia="宋体" w:hint="default"/>
                <w:sz w:val="16"/>
                <w:szCs w:val="16"/>
              </w:rPr>
              <w:t>合计</w:t>
            </w:r>
          </w:p>
        </w:tc>
        <w:tc>
          <w:tcPr>
            <w:tcW w:w="24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107,573,062.27</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42,566,247.72</w:t>
            </w:r>
          </w:p>
        </w:tc>
      </w:tr>
    </w:tbl>
    <w:p>
      <w:pPr>
        <w:spacing w:line="240" w:lineRule="auto" w:before="9"/>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五十二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其他收益</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905"/>
        <w:gridCol w:w="2650"/>
        <w:gridCol w:w="2650"/>
      </w:tblGrid>
      <w:tr>
        <w:trPr>
          <w:trHeight w:val="283" w:hRule="exact"/>
        </w:trPr>
        <w:tc>
          <w:tcPr>
            <w:tcW w:w="290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6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65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29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政府补助</w:t>
            </w:r>
          </w:p>
        </w:tc>
        <w:tc>
          <w:tcPr>
            <w:tcW w:w="26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599,327,872.88</w:t>
            </w:r>
          </w:p>
        </w:tc>
        <w:tc>
          <w:tcPr>
            <w:tcW w:w="26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181,734,314.75</w:t>
            </w:r>
          </w:p>
        </w:tc>
      </w:tr>
      <w:tr>
        <w:trPr>
          <w:trHeight w:val="274" w:hRule="exact"/>
        </w:trPr>
        <w:tc>
          <w:tcPr>
            <w:tcW w:w="29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代扣个人所得税手续费</w:t>
            </w:r>
          </w:p>
        </w:tc>
        <w:tc>
          <w:tcPr>
            <w:tcW w:w="26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593,880.55</w:t>
            </w:r>
          </w:p>
        </w:tc>
        <w:tc>
          <w:tcPr>
            <w:tcW w:w="26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758,455.72</w:t>
            </w:r>
          </w:p>
        </w:tc>
      </w:tr>
      <w:tr>
        <w:trPr>
          <w:trHeight w:val="284" w:hRule="exact"/>
        </w:trPr>
        <w:tc>
          <w:tcPr>
            <w:tcW w:w="29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6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599,921,753.43</w:t>
            </w:r>
          </w:p>
        </w:tc>
        <w:tc>
          <w:tcPr>
            <w:tcW w:w="26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6"/>
                <w:szCs w:val="16"/>
              </w:rPr>
            </w:pPr>
            <w:r>
              <w:rPr>
                <w:rFonts w:ascii="Times New Roman"/>
                <w:spacing w:val="-1"/>
                <w:sz w:val="16"/>
              </w:rPr>
              <w:t>182,492,770.47</w:t>
            </w:r>
          </w:p>
        </w:tc>
      </w:tr>
    </w:tbl>
    <w:p>
      <w:pPr>
        <w:spacing w:line="240" w:lineRule="auto" w:before="9"/>
        <w:rPr>
          <w:rFonts w:ascii="宋体" w:hAnsi="宋体" w:cs="宋体" w:eastAsia="宋体" w:hint="default"/>
          <w:b/>
          <w:bCs/>
          <w:sz w:val="27"/>
          <w:szCs w:val="27"/>
        </w:rPr>
      </w:pPr>
    </w:p>
    <w:p>
      <w:pPr>
        <w:pStyle w:val="BodyText"/>
        <w:spacing w:line="240" w:lineRule="auto"/>
        <w:ind w:left="850" w:right="3683"/>
        <w:jc w:val="left"/>
      </w:pPr>
      <w:r>
        <w:rPr/>
        <w:t>计入其他收益的政府补助</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139"/>
        <w:gridCol w:w="1949"/>
        <w:gridCol w:w="1949"/>
        <w:gridCol w:w="2168"/>
      </w:tblGrid>
      <w:tr>
        <w:trPr>
          <w:trHeight w:val="283" w:hRule="exact"/>
        </w:trPr>
        <w:tc>
          <w:tcPr>
            <w:tcW w:w="21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补助项目</w:t>
            </w:r>
          </w:p>
        </w:tc>
        <w:tc>
          <w:tcPr>
            <w:tcW w:w="19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19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上期金额</w:t>
            </w:r>
          </w:p>
        </w:tc>
        <w:tc>
          <w:tcPr>
            <w:tcW w:w="216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254" w:right="0"/>
              <w:jc w:val="left"/>
              <w:rPr>
                <w:rFonts w:ascii="宋体" w:hAnsi="宋体" w:cs="宋体" w:eastAsia="宋体" w:hint="default"/>
                <w:sz w:val="16"/>
                <w:szCs w:val="16"/>
              </w:rPr>
            </w:pPr>
            <w:r>
              <w:rPr>
                <w:rFonts w:ascii="宋体" w:hAnsi="宋体" w:cs="宋体" w:eastAsia="宋体" w:hint="default"/>
                <w:sz w:val="16"/>
                <w:szCs w:val="16"/>
              </w:rPr>
              <w:t>与资产相关</w:t>
            </w:r>
            <w:r>
              <w:rPr>
                <w:rFonts w:ascii="Times New Roman" w:hAnsi="Times New Roman" w:cs="Times New Roman" w:eastAsia="Times New Roman" w:hint="default"/>
                <w:sz w:val="16"/>
                <w:szCs w:val="16"/>
              </w:rPr>
              <w:t>/</w:t>
            </w: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政府支持资金</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400,000,000.00</w:t>
            </w:r>
          </w:p>
        </w:tc>
        <w:tc>
          <w:tcPr>
            <w:tcW w:w="1949" w:type="dxa"/>
            <w:tcBorders>
              <w:top w:val="dotted" w:sz="4" w:space="0" w:color="000000"/>
              <w:left w:val="dotted" w:sz="4" w:space="0" w:color="000000"/>
              <w:bottom w:val="dotted" w:sz="4" w:space="0" w:color="000000"/>
              <w:right w:val="dotted" w:sz="4" w:space="0" w:color="000000"/>
            </w:tcBorders>
          </w:tcPr>
          <w:p>
            <w:pP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科研补贴</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98,261,500.00</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71,716,810.00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3" w:hRule="exact"/>
        </w:trPr>
        <w:tc>
          <w:tcPr>
            <w:tcW w:w="21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退税补贴</w:t>
            </w:r>
          </w:p>
        </w:tc>
        <w:tc>
          <w:tcPr>
            <w:tcW w:w="19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36,746,147.31</w:t>
            </w:r>
          </w:p>
        </w:tc>
        <w:tc>
          <w:tcPr>
            <w:tcW w:w="19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28,031,315.80</w:t>
            </w:r>
          </w:p>
        </w:tc>
        <w:tc>
          <w:tcPr>
            <w:tcW w:w="216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left"/>
        <w:rPr>
          <w:rFonts w:ascii="宋体" w:hAnsi="宋体" w:cs="宋体" w:eastAsia="宋体"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2139"/>
        <w:gridCol w:w="1949"/>
        <w:gridCol w:w="1949"/>
        <w:gridCol w:w="2168"/>
      </w:tblGrid>
      <w:tr>
        <w:trPr>
          <w:trHeight w:val="284" w:hRule="exact"/>
        </w:trPr>
        <w:tc>
          <w:tcPr>
            <w:tcW w:w="21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1" w:right="0"/>
              <w:jc w:val="center"/>
              <w:rPr>
                <w:rFonts w:ascii="宋体" w:hAnsi="宋体" w:cs="宋体" w:eastAsia="宋体" w:hint="default"/>
                <w:sz w:val="16"/>
                <w:szCs w:val="16"/>
              </w:rPr>
            </w:pPr>
            <w:r>
              <w:rPr>
                <w:rFonts w:ascii="宋体" w:hAnsi="宋体" w:cs="宋体" w:eastAsia="宋体" w:hint="default"/>
                <w:sz w:val="16"/>
                <w:szCs w:val="16"/>
              </w:rPr>
              <w:t>补助项目</w:t>
            </w:r>
          </w:p>
        </w:tc>
        <w:tc>
          <w:tcPr>
            <w:tcW w:w="19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19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center"/>
              <w:rPr>
                <w:rFonts w:ascii="宋体" w:hAnsi="宋体" w:cs="宋体" w:eastAsia="宋体" w:hint="default"/>
                <w:sz w:val="16"/>
                <w:szCs w:val="16"/>
              </w:rPr>
            </w:pPr>
            <w:r>
              <w:rPr>
                <w:rFonts w:ascii="宋体" w:hAnsi="宋体" w:cs="宋体" w:eastAsia="宋体" w:hint="default"/>
                <w:sz w:val="16"/>
                <w:szCs w:val="16"/>
              </w:rPr>
              <w:t>上期金额</w:t>
            </w:r>
          </w:p>
        </w:tc>
        <w:tc>
          <w:tcPr>
            <w:tcW w:w="216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254" w:right="0"/>
              <w:jc w:val="left"/>
              <w:rPr>
                <w:rFonts w:ascii="宋体" w:hAnsi="宋体" w:cs="宋体" w:eastAsia="宋体" w:hint="default"/>
                <w:sz w:val="16"/>
                <w:szCs w:val="16"/>
              </w:rPr>
            </w:pPr>
            <w:r>
              <w:rPr>
                <w:rFonts w:ascii="宋体" w:hAnsi="宋体" w:cs="宋体" w:eastAsia="宋体" w:hint="default"/>
                <w:sz w:val="16"/>
                <w:szCs w:val="16"/>
              </w:rPr>
              <w:t>与资产相关</w:t>
            </w:r>
            <w:r>
              <w:rPr>
                <w:rFonts w:ascii="Times New Roman" w:hAnsi="Times New Roman" w:cs="Times New Roman" w:eastAsia="Times New Roman" w:hint="default"/>
                <w:sz w:val="16"/>
                <w:szCs w:val="16"/>
              </w:rPr>
              <w:t>/</w:t>
            </w: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产业补贴</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12,844,284.86</w:t>
            </w:r>
          </w:p>
        </w:tc>
        <w:tc>
          <w:tcPr>
            <w:tcW w:w="1949" w:type="dxa"/>
            <w:tcBorders>
              <w:top w:val="dotted" w:sz="4" w:space="0" w:color="000000"/>
              <w:left w:val="dotted" w:sz="4" w:space="0" w:color="000000"/>
              <w:bottom w:val="dotted" w:sz="4" w:space="0" w:color="000000"/>
              <w:right w:val="dotted" w:sz="4" w:space="0" w:color="000000"/>
            </w:tcBorders>
          </w:tcPr>
          <w:p>
            <w:pP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工业发展基金</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10,286,814.31</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31,814,897.79</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企业技术创新补贴</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5,240,000.00</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5,746,700.00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政府奖励资金</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5,134,200.00</w:t>
            </w:r>
          </w:p>
        </w:tc>
        <w:tc>
          <w:tcPr>
            <w:tcW w:w="1949" w:type="dxa"/>
            <w:tcBorders>
              <w:top w:val="dotted" w:sz="4" w:space="0" w:color="000000"/>
              <w:left w:val="dotted" w:sz="4" w:space="0" w:color="000000"/>
              <w:bottom w:val="dotted" w:sz="4" w:space="0" w:color="000000"/>
              <w:right w:val="dotted" w:sz="4" w:space="0" w:color="000000"/>
            </w:tcBorders>
          </w:tcPr>
          <w:p>
            <w:pP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建设基金</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4,000,000.00</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2,800,000.00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稳岗补贴</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2,203,072.89</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2,491,546.50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贸易补贴</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1,422,733.00</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2,608,400.00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专利补助</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928,500.00</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1,108,900.00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人才补贴</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523,600.22</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772,470.00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5,310,244.24</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4,331,772.43</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税收奖励</w:t>
            </w:r>
          </w:p>
        </w:tc>
        <w:tc>
          <w:tcPr>
            <w:tcW w:w="1949" w:type="dxa"/>
            <w:tcBorders>
              <w:top w:val="dotted" w:sz="4" w:space="0" w:color="000000"/>
              <w:left w:val="dotted" w:sz="4" w:space="0" w:color="000000"/>
              <w:bottom w:val="dotted" w:sz="4" w:space="0" w:color="000000"/>
              <w:right w:val="dotted" w:sz="4" w:space="0" w:color="000000"/>
            </w:tcBorders>
          </w:tcPr>
          <w:p>
            <w:pP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3,582,000.00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装修补贴</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3,990,666.67</w:t>
            </w:r>
          </w:p>
        </w:tc>
        <w:tc>
          <w:tcPr>
            <w:tcW w:w="1949" w:type="dxa"/>
            <w:tcBorders>
              <w:top w:val="dotted" w:sz="4" w:space="0" w:color="000000"/>
              <w:left w:val="dotted" w:sz="4" w:space="0" w:color="000000"/>
              <w:bottom w:val="dotted" w:sz="4" w:space="0" w:color="000000"/>
              <w:right w:val="dotted" w:sz="4" w:space="0" w:color="000000"/>
            </w:tcBorders>
          </w:tcPr>
          <w:p>
            <w:pP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科研补贴</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3,760,000.00</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1,970,199.21</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72"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left="122" w:right="0"/>
              <w:jc w:val="left"/>
              <w:rPr>
                <w:rFonts w:ascii="宋体" w:hAnsi="宋体" w:cs="宋体" w:eastAsia="宋体" w:hint="default"/>
                <w:sz w:val="16"/>
                <w:szCs w:val="16"/>
              </w:rPr>
            </w:pPr>
            <w:r>
              <w:rPr>
                <w:rFonts w:ascii="宋体" w:hAnsi="宋体" w:cs="宋体" w:eastAsia="宋体" w:hint="default"/>
                <w:sz w:val="16"/>
                <w:szCs w:val="16"/>
              </w:rPr>
              <w:t>工业发展基金</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6"/>
                <w:szCs w:val="16"/>
              </w:rPr>
            </w:pPr>
            <w:r>
              <w:rPr>
                <w:rFonts w:ascii="Times New Roman"/>
                <w:spacing w:val="-1"/>
                <w:sz w:val="16"/>
              </w:rPr>
              <w:t>3,428,581.57</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9,209,938.42</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left="100" w:right="0"/>
              <w:jc w:val="left"/>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建设基金</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1,647,468.95</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785,400.00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RAM </w:t>
            </w:r>
            <w:r>
              <w:rPr>
                <w:rFonts w:ascii="宋体" w:hAnsi="宋体" w:cs="宋体" w:eastAsia="宋体" w:hint="default"/>
                <w:sz w:val="16"/>
                <w:szCs w:val="16"/>
              </w:rPr>
              <w:t>国产处理器项目结项</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78,760.71</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3,970,940.02</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3,521,298.15</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1,244,297.65</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7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企业技术创新补贴</w:t>
            </w:r>
          </w:p>
        </w:tc>
        <w:tc>
          <w:tcPr>
            <w:tcW w:w="1949" w:type="dxa"/>
            <w:tcBorders>
              <w:top w:val="dotted" w:sz="4" w:space="0" w:color="000000"/>
              <w:left w:val="dotted" w:sz="4" w:space="0" w:color="000000"/>
              <w:bottom w:val="dotted" w:sz="4" w:space="0" w:color="000000"/>
              <w:right w:val="dotted" w:sz="4" w:space="0" w:color="000000"/>
            </w:tcBorders>
          </w:tcPr>
          <w:p>
            <w:pP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7,048,726.93</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82"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99"/>
              <w:jc w:val="left"/>
              <w:rPr>
                <w:rFonts w:ascii="宋体" w:hAnsi="宋体" w:cs="宋体" w:eastAsia="宋体" w:hint="default"/>
                <w:sz w:val="16"/>
                <w:szCs w:val="16"/>
              </w:rPr>
            </w:pPr>
            <w:r>
              <w:rPr>
                <w:rFonts w:ascii="宋体" w:hAnsi="宋体" w:cs="宋体" w:eastAsia="宋体" w:hint="default"/>
                <w:spacing w:val="11"/>
                <w:sz w:val="16"/>
                <w:szCs w:val="16"/>
              </w:rPr>
              <w:t>智能移动终端支出项目结</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项</w:t>
            </w:r>
          </w:p>
        </w:tc>
        <w:tc>
          <w:tcPr>
            <w:tcW w:w="1949" w:type="dxa"/>
            <w:tcBorders>
              <w:top w:val="dotted" w:sz="4" w:space="0" w:color="000000"/>
              <w:left w:val="dotted" w:sz="4" w:space="0" w:color="000000"/>
              <w:bottom w:val="dotted" w:sz="4" w:space="0" w:color="000000"/>
              <w:right w:val="dotted" w:sz="4" w:space="0" w:color="000000"/>
            </w:tcBorders>
          </w:tcPr>
          <w:p>
            <w:pP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2,500,000.00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left="100" w:right="0"/>
              <w:jc w:val="left"/>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83" w:hRule="exact"/>
        </w:trPr>
        <w:tc>
          <w:tcPr>
            <w:tcW w:w="21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9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599,327,872.88</w:t>
            </w:r>
          </w:p>
        </w:tc>
        <w:tc>
          <w:tcPr>
            <w:tcW w:w="19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181,734,314.75</w:t>
            </w:r>
          </w:p>
        </w:tc>
        <w:tc>
          <w:tcPr>
            <w:tcW w:w="216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6"/>
          <w:szCs w:val="26"/>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五十三</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投资收益</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4722"/>
        <w:gridCol w:w="1740"/>
        <w:gridCol w:w="1743"/>
      </w:tblGrid>
      <w:tr>
        <w:trPr>
          <w:trHeight w:val="286" w:hRule="exact"/>
        </w:trPr>
        <w:tc>
          <w:tcPr>
            <w:tcW w:w="472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7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544"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74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545"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权益法核算的长期股权投资收益</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10,463,411.16</w:t>
            </w:r>
          </w:p>
        </w:tc>
        <w:tc>
          <w:tcPr>
            <w:tcW w:w="17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-2,658,316.54</w:t>
            </w: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处置长期股权投资产生的投资收益</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3,800,398.59</w:t>
            </w:r>
          </w:p>
        </w:tc>
        <w:tc>
          <w:tcPr>
            <w:tcW w:w="17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38,478,347.36</w:t>
            </w: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交易性金融资产在持有期间的投资收益</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2,469,882.80</w:t>
            </w: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109"/>
              <w:jc w:val="left"/>
              <w:rPr>
                <w:rFonts w:ascii="宋体" w:hAnsi="宋体" w:cs="宋体" w:eastAsia="宋体" w:hint="default"/>
                <w:sz w:val="16"/>
                <w:szCs w:val="16"/>
              </w:rPr>
            </w:pPr>
            <w:r>
              <w:rPr>
                <w:rFonts w:ascii="宋体" w:hAnsi="宋体" w:cs="宋体" w:eastAsia="宋体" w:hint="default"/>
                <w:spacing w:val="-1"/>
                <w:sz w:val="16"/>
                <w:szCs w:val="16"/>
              </w:rPr>
              <w:t>以公允价值计量且其变动计入当期损益的金融资产在持有期间的</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投资收益</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处置交易性金融资产取得的投资收益</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2,567,635.63</w:t>
            </w: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09"/>
              <w:jc w:val="left"/>
              <w:rPr>
                <w:rFonts w:ascii="宋体" w:hAnsi="宋体" w:cs="宋体" w:eastAsia="宋体" w:hint="default"/>
                <w:sz w:val="16"/>
                <w:szCs w:val="16"/>
              </w:rPr>
            </w:pPr>
            <w:r>
              <w:rPr>
                <w:rFonts w:ascii="宋体" w:hAnsi="宋体" w:cs="宋体" w:eastAsia="宋体" w:hint="default"/>
                <w:spacing w:val="-1"/>
                <w:sz w:val="16"/>
                <w:szCs w:val="16"/>
              </w:rPr>
              <w:t>处置以公允价值计量且其变动计入当期损益的金融资产取得的投</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资收益</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债权投资持有期间取得的利息收入</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可供出售金融资产在持有期间的投资收益</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19,838,442.84</w:t>
            </w: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处置债权投资取得的投资收益</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处置可供出售金融资产取得的投资收益</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751,580,825.29</w:t>
            </w: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其他债权投资持有期间取得的利息收入</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1,510,934.08</w:t>
            </w: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持有至到期投资在持有期间的投资收益</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处置其他债权投资取得的投资收益</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其他权益工具投资持有期间取得的股利收入</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4,500,425.60</w:t>
            </w: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其他非流动金融资产在持有期间的投资收益</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处置其他非流动金融资产取得的投资收益</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丧失控制权后，剩余股权按公允价值重新计量产生的利得</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处置构成业务的处置组产生的投资收益</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Times New Roman" w:hAnsi="Times New Roman" w:cs="Times New Roman" w:eastAsia="Times New Roman" w:hint="default"/>
                <w:sz w:val="16"/>
                <w:szCs w:val="16"/>
              </w:rPr>
              <w:t>-</w:t>
            </w:r>
            <w:r>
              <w:rPr>
                <w:rFonts w:ascii="宋体" w:hAnsi="宋体" w:cs="宋体" w:eastAsia="宋体" w:hint="default"/>
                <w:sz w:val="16"/>
                <w:szCs w:val="16"/>
              </w:rPr>
              <w:t>以摊余成本计量的金融资产终止确认收益</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-16,485,645.87</w:t>
            </w:r>
          </w:p>
        </w:tc>
        <w:tc>
          <w:tcPr>
            <w:tcW w:w="174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740"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5,174,368.20</w:t>
            </w:r>
          </w:p>
        </w:tc>
      </w:tr>
      <w:tr>
        <w:trPr>
          <w:trHeight w:val="283" w:hRule="exact"/>
        </w:trPr>
        <w:tc>
          <w:tcPr>
            <w:tcW w:w="47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7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8,827,041.99</w:t>
            </w:r>
          </w:p>
        </w:tc>
        <w:tc>
          <w:tcPr>
            <w:tcW w:w="174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812,413,667.15</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2"/>
        <w:rPr>
          <w:rFonts w:ascii="宋体" w:hAnsi="宋体" w:cs="宋体" w:eastAsia="宋体" w:hint="default"/>
          <w:b/>
          <w:bCs/>
          <w:sz w:val="22"/>
          <w:szCs w:val="22"/>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五十四</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公允价值变动收益</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4787"/>
        <w:gridCol w:w="1709"/>
        <w:gridCol w:w="1709"/>
      </w:tblGrid>
      <w:tr>
        <w:trPr>
          <w:trHeight w:val="286" w:hRule="exact"/>
        </w:trPr>
        <w:tc>
          <w:tcPr>
            <w:tcW w:w="47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1358" w:right="0"/>
              <w:jc w:val="left"/>
              <w:rPr>
                <w:rFonts w:ascii="宋体" w:hAnsi="宋体" w:cs="宋体" w:eastAsia="宋体" w:hint="default"/>
                <w:sz w:val="16"/>
                <w:szCs w:val="16"/>
              </w:rPr>
            </w:pPr>
            <w:r>
              <w:rPr>
                <w:rFonts w:ascii="宋体" w:hAnsi="宋体" w:cs="宋体" w:eastAsia="宋体" w:hint="default"/>
                <w:sz w:val="16"/>
                <w:szCs w:val="16"/>
              </w:rPr>
              <w:t>产生公允价值变动收益的来源</w:t>
            </w:r>
          </w:p>
        </w:tc>
        <w:tc>
          <w:tcPr>
            <w:tcW w:w="17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525"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7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526"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47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68,864,503.07</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按公允价值计量的投资性房地产</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210,506,650.78</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148,661,957.96</w:t>
            </w:r>
          </w:p>
        </w:tc>
      </w:tr>
      <w:tr>
        <w:trPr>
          <w:trHeight w:val="283" w:hRule="exact"/>
        </w:trPr>
        <w:tc>
          <w:tcPr>
            <w:tcW w:w="4787"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7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279,371,153.85</w:t>
            </w:r>
          </w:p>
        </w:tc>
        <w:tc>
          <w:tcPr>
            <w:tcW w:w="17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148,661,957.96</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五十五</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信用减值损失</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5072"/>
        <w:gridCol w:w="3133"/>
      </w:tblGrid>
      <w:tr>
        <w:trPr>
          <w:trHeight w:val="286" w:hRule="exact"/>
        </w:trPr>
        <w:tc>
          <w:tcPr>
            <w:tcW w:w="50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2361"/>
              <w:jc w:val="right"/>
              <w:rPr>
                <w:rFonts w:ascii="宋体" w:hAnsi="宋体" w:cs="宋体" w:eastAsia="宋体" w:hint="default"/>
                <w:sz w:val="16"/>
                <w:szCs w:val="16"/>
              </w:rPr>
            </w:pPr>
            <w:r>
              <w:rPr>
                <w:rFonts w:ascii="宋体" w:hAnsi="宋体" w:cs="宋体" w:eastAsia="宋体" w:hint="default"/>
                <w:sz w:val="16"/>
                <w:szCs w:val="16"/>
              </w:rPr>
              <w:t>项目</w:t>
            </w:r>
          </w:p>
        </w:tc>
        <w:tc>
          <w:tcPr>
            <w:tcW w:w="31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2"/>
              <w:jc w:val="center"/>
              <w:rPr>
                <w:rFonts w:ascii="宋体" w:hAnsi="宋体" w:cs="宋体" w:eastAsia="宋体" w:hint="default"/>
                <w:sz w:val="16"/>
                <w:szCs w:val="16"/>
              </w:rPr>
            </w:pPr>
            <w:r>
              <w:rPr>
                <w:rFonts w:ascii="宋体" w:hAnsi="宋体" w:cs="宋体" w:eastAsia="宋体" w:hint="default"/>
                <w:sz w:val="16"/>
                <w:szCs w:val="16"/>
              </w:rPr>
              <w:t>本期金额</w:t>
            </w:r>
          </w:p>
        </w:tc>
      </w:tr>
      <w:tr>
        <w:trPr>
          <w:trHeight w:val="274" w:hRule="exact"/>
        </w:trPr>
        <w:tc>
          <w:tcPr>
            <w:tcW w:w="507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应收票据坏账损失</w:t>
            </w:r>
          </w:p>
        </w:tc>
        <w:tc>
          <w:tcPr>
            <w:tcW w:w="3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1,762,297.23</w:t>
            </w:r>
          </w:p>
        </w:tc>
      </w:tr>
      <w:tr>
        <w:trPr>
          <w:trHeight w:val="274" w:hRule="exact"/>
        </w:trPr>
        <w:tc>
          <w:tcPr>
            <w:tcW w:w="507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应收账款坏账损失</w:t>
            </w:r>
          </w:p>
        </w:tc>
        <w:tc>
          <w:tcPr>
            <w:tcW w:w="3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27,317,527.07</w:t>
            </w:r>
          </w:p>
        </w:tc>
      </w:tr>
      <w:tr>
        <w:trPr>
          <w:trHeight w:val="274" w:hRule="exact"/>
        </w:trPr>
        <w:tc>
          <w:tcPr>
            <w:tcW w:w="507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其他应收款坏账损失</w:t>
            </w:r>
          </w:p>
        </w:tc>
        <w:tc>
          <w:tcPr>
            <w:tcW w:w="3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1,739,106.57</w:t>
            </w:r>
          </w:p>
        </w:tc>
      </w:tr>
      <w:tr>
        <w:trPr>
          <w:trHeight w:val="283" w:hRule="exact"/>
        </w:trPr>
        <w:tc>
          <w:tcPr>
            <w:tcW w:w="5072"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2361"/>
              <w:jc w:val="right"/>
              <w:rPr>
                <w:rFonts w:ascii="宋体" w:hAnsi="宋体" w:cs="宋体" w:eastAsia="宋体" w:hint="default"/>
                <w:sz w:val="16"/>
                <w:szCs w:val="16"/>
              </w:rPr>
            </w:pPr>
            <w:r>
              <w:rPr>
                <w:rFonts w:ascii="宋体" w:hAnsi="宋体" w:cs="宋体" w:eastAsia="宋体" w:hint="default"/>
                <w:sz w:val="16"/>
                <w:szCs w:val="16"/>
              </w:rPr>
              <w:t>合计</w:t>
            </w:r>
          </w:p>
        </w:tc>
        <w:tc>
          <w:tcPr>
            <w:tcW w:w="31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30,818,930.87</w:t>
            </w:r>
          </w:p>
        </w:tc>
      </w:tr>
    </w:tbl>
    <w:p>
      <w:pPr>
        <w:spacing w:line="240" w:lineRule="auto" w:before="7"/>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五十六</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资产减值损失</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500"/>
        <w:gridCol w:w="2580"/>
        <w:gridCol w:w="2125"/>
      </w:tblGrid>
      <w:tr>
        <w:trPr>
          <w:trHeight w:val="286" w:hRule="exact"/>
        </w:trPr>
        <w:tc>
          <w:tcPr>
            <w:tcW w:w="350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574"/>
              <w:jc w:val="right"/>
              <w:rPr>
                <w:rFonts w:ascii="宋体" w:hAnsi="宋体" w:cs="宋体" w:eastAsia="宋体" w:hint="default"/>
                <w:sz w:val="16"/>
                <w:szCs w:val="16"/>
              </w:rPr>
            </w:pPr>
            <w:r>
              <w:rPr>
                <w:rFonts w:ascii="宋体" w:hAnsi="宋体" w:cs="宋体" w:eastAsia="宋体" w:hint="default"/>
                <w:sz w:val="16"/>
                <w:szCs w:val="16"/>
              </w:rPr>
              <w:t>项目</w:t>
            </w:r>
          </w:p>
        </w:tc>
        <w:tc>
          <w:tcPr>
            <w:tcW w:w="25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1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4"/>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1" w:hRule="exact"/>
        </w:trPr>
        <w:tc>
          <w:tcPr>
            <w:tcW w:w="350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坏账损失</w:t>
            </w:r>
          </w:p>
        </w:tc>
        <w:tc>
          <w:tcPr>
            <w:tcW w:w="2580" w:type="dxa"/>
            <w:tcBorders>
              <w:top w:val="dotted" w:sz="4" w:space="0" w:color="000000"/>
              <w:left w:val="dotted" w:sz="4" w:space="0" w:color="000000"/>
              <w:bottom w:val="dotted" w:sz="4" w:space="0" w:color="000000"/>
              <w:right w:val="dotted" w:sz="4" w:space="0" w:color="000000"/>
            </w:tcBorders>
          </w:tcPr>
          <w:p>
            <w:pPr/>
          </w:p>
        </w:tc>
        <w:tc>
          <w:tcPr>
            <w:tcW w:w="21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70,943,466.82</w:t>
            </w:r>
          </w:p>
        </w:tc>
      </w:tr>
      <w:tr>
        <w:trPr>
          <w:trHeight w:val="274" w:hRule="exact"/>
        </w:trPr>
        <w:tc>
          <w:tcPr>
            <w:tcW w:w="35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存货跌价损失</w:t>
            </w:r>
          </w:p>
        </w:tc>
        <w:tc>
          <w:tcPr>
            <w:tcW w:w="2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76,174,647.54</w:t>
            </w:r>
          </w:p>
        </w:tc>
        <w:tc>
          <w:tcPr>
            <w:tcW w:w="21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23,805,543.45</w:t>
            </w:r>
          </w:p>
        </w:tc>
      </w:tr>
      <w:tr>
        <w:trPr>
          <w:trHeight w:val="274" w:hRule="exact"/>
        </w:trPr>
        <w:tc>
          <w:tcPr>
            <w:tcW w:w="35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固定资产减值损失</w:t>
            </w:r>
          </w:p>
        </w:tc>
        <w:tc>
          <w:tcPr>
            <w:tcW w:w="2580" w:type="dxa"/>
            <w:tcBorders>
              <w:top w:val="dotted" w:sz="4" w:space="0" w:color="000000"/>
              <w:left w:val="dotted" w:sz="4" w:space="0" w:color="000000"/>
              <w:bottom w:val="dotted" w:sz="4" w:space="0" w:color="000000"/>
              <w:right w:val="dotted" w:sz="4" w:space="0" w:color="000000"/>
            </w:tcBorders>
          </w:tcPr>
          <w:p>
            <w:pPr/>
          </w:p>
        </w:tc>
        <w:tc>
          <w:tcPr>
            <w:tcW w:w="21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734,159.81</w:t>
            </w:r>
          </w:p>
        </w:tc>
      </w:tr>
      <w:tr>
        <w:trPr>
          <w:trHeight w:val="286" w:hRule="exact"/>
        </w:trPr>
        <w:tc>
          <w:tcPr>
            <w:tcW w:w="35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574"/>
              <w:jc w:val="right"/>
              <w:rPr>
                <w:rFonts w:ascii="宋体" w:hAnsi="宋体" w:cs="宋体" w:eastAsia="宋体" w:hint="default"/>
                <w:sz w:val="16"/>
                <w:szCs w:val="16"/>
              </w:rPr>
            </w:pPr>
            <w:r>
              <w:rPr>
                <w:rFonts w:ascii="宋体" w:hAnsi="宋体" w:cs="宋体" w:eastAsia="宋体" w:hint="default"/>
                <w:sz w:val="16"/>
                <w:szCs w:val="16"/>
              </w:rPr>
              <w:t>合计</w:t>
            </w:r>
          </w:p>
        </w:tc>
        <w:tc>
          <w:tcPr>
            <w:tcW w:w="25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76,174,647.54</w:t>
            </w:r>
          </w:p>
        </w:tc>
        <w:tc>
          <w:tcPr>
            <w:tcW w:w="21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95,483,170.08</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五十七</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资产处置收益</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971"/>
        <w:gridCol w:w="1778"/>
        <w:gridCol w:w="1572"/>
        <w:gridCol w:w="2883"/>
      </w:tblGrid>
      <w:tr>
        <w:trPr>
          <w:trHeight w:val="283" w:hRule="exact"/>
        </w:trPr>
        <w:tc>
          <w:tcPr>
            <w:tcW w:w="197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7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561"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5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61" w:right="0"/>
              <w:jc w:val="left"/>
              <w:rPr>
                <w:rFonts w:ascii="宋体" w:hAnsi="宋体" w:cs="宋体" w:eastAsia="宋体" w:hint="default"/>
                <w:sz w:val="16"/>
                <w:szCs w:val="16"/>
              </w:rPr>
            </w:pPr>
            <w:r>
              <w:rPr>
                <w:rFonts w:ascii="宋体" w:hAnsi="宋体" w:cs="宋体" w:eastAsia="宋体" w:hint="default"/>
                <w:sz w:val="16"/>
                <w:szCs w:val="16"/>
              </w:rPr>
              <w:t>上期金额</w:t>
            </w:r>
          </w:p>
        </w:tc>
        <w:tc>
          <w:tcPr>
            <w:tcW w:w="28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393" w:right="0"/>
              <w:jc w:val="left"/>
              <w:rPr>
                <w:rFonts w:ascii="宋体" w:hAnsi="宋体" w:cs="宋体" w:eastAsia="宋体" w:hint="default"/>
                <w:sz w:val="16"/>
                <w:szCs w:val="16"/>
              </w:rPr>
            </w:pPr>
            <w:r>
              <w:rPr>
                <w:rFonts w:ascii="宋体" w:hAnsi="宋体" w:cs="宋体" w:eastAsia="宋体" w:hint="default"/>
                <w:sz w:val="16"/>
                <w:szCs w:val="16"/>
              </w:rPr>
              <w:t>计入当期非经常性损益的金额</w:t>
            </w:r>
          </w:p>
        </w:tc>
      </w:tr>
      <w:tr>
        <w:trPr>
          <w:trHeight w:val="274" w:hRule="exact"/>
        </w:trPr>
        <w:tc>
          <w:tcPr>
            <w:tcW w:w="19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处置非流动资产损益</w:t>
            </w:r>
          </w:p>
        </w:tc>
        <w:tc>
          <w:tcPr>
            <w:tcW w:w="1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159,137.94</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-2,295,823.91</w:t>
            </w:r>
          </w:p>
        </w:tc>
        <w:tc>
          <w:tcPr>
            <w:tcW w:w="28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159,137.94</w:t>
            </w:r>
          </w:p>
        </w:tc>
      </w:tr>
      <w:tr>
        <w:trPr>
          <w:trHeight w:val="286" w:hRule="exact"/>
        </w:trPr>
        <w:tc>
          <w:tcPr>
            <w:tcW w:w="19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7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159,137.94</w:t>
            </w:r>
          </w:p>
        </w:tc>
        <w:tc>
          <w:tcPr>
            <w:tcW w:w="15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-2,295,823.91</w:t>
            </w:r>
          </w:p>
        </w:tc>
        <w:tc>
          <w:tcPr>
            <w:tcW w:w="28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159,137.94</w:t>
            </w:r>
          </w:p>
        </w:tc>
      </w:tr>
    </w:tbl>
    <w:p>
      <w:pPr>
        <w:spacing w:line="240" w:lineRule="auto" w:before="7"/>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五十八</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营业外收入</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665"/>
        <w:gridCol w:w="1558"/>
        <w:gridCol w:w="1560"/>
        <w:gridCol w:w="2422"/>
      </w:tblGrid>
      <w:tr>
        <w:trPr>
          <w:trHeight w:val="283" w:hRule="exact"/>
        </w:trPr>
        <w:tc>
          <w:tcPr>
            <w:tcW w:w="266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53"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53" w:right="0"/>
              <w:jc w:val="left"/>
              <w:rPr>
                <w:rFonts w:ascii="宋体" w:hAnsi="宋体" w:cs="宋体" w:eastAsia="宋体" w:hint="default"/>
                <w:sz w:val="16"/>
                <w:szCs w:val="16"/>
              </w:rPr>
            </w:pPr>
            <w:r>
              <w:rPr>
                <w:rFonts w:ascii="宋体" w:hAnsi="宋体" w:cs="宋体" w:eastAsia="宋体" w:hint="default"/>
                <w:sz w:val="16"/>
                <w:szCs w:val="16"/>
              </w:rPr>
              <w:t>上期金额</w:t>
            </w:r>
          </w:p>
        </w:tc>
        <w:tc>
          <w:tcPr>
            <w:tcW w:w="24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165" w:right="0"/>
              <w:jc w:val="left"/>
              <w:rPr>
                <w:rFonts w:ascii="宋体" w:hAnsi="宋体" w:cs="宋体" w:eastAsia="宋体" w:hint="default"/>
                <w:sz w:val="16"/>
                <w:szCs w:val="16"/>
              </w:rPr>
            </w:pPr>
            <w:r>
              <w:rPr>
                <w:rFonts w:ascii="宋体" w:hAnsi="宋体" w:cs="宋体" w:eastAsia="宋体" w:hint="default"/>
                <w:sz w:val="16"/>
                <w:szCs w:val="16"/>
              </w:rPr>
              <w:t>计入当期非经常性损益的金额</w:t>
            </w:r>
          </w:p>
        </w:tc>
      </w:tr>
      <w:tr>
        <w:trPr>
          <w:trHeight w:val="274" w:hRule="exact"/>
        </w:trPr>
        <w:tc>
          <w:tcPr>
            <w:tcW w:w="26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核销无法支付的应付账款</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2"/>
                <w:sz w:val="16"/>
              </w:rPr>
              <w:t>10,693,024.57</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2,209,745.12</w:t>
            </w:r>
          </w:p>
        </w:tc>
        <w:tc>
          <w:tcPr>
            <w:tcW w:w="24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10,693,024.57</w:t>
            </w:r>
          </w:p>
        </w:tc>
      </w:tr>
      <w:tr>
        <w:trPr>
          <w:trHeight w:val="274" w:hRule="exact"/>
        </w:trPr>
        <w:tc>
          <w:tcPr>
            <w:tcW w:w="26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罚没利得</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2"/>
                <w:sz w:val="16"/>
              </w:rPr>
              <w:t>1,961,113.87</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96,942.59</w:t>
            </w:r>
          </w:p>
        </w:tc>
        <w:tc>
          <w:tcPr>
            <w:tcW w:w="24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1,961,113.87</w:t>
            </w:r>
          </w:p>
        </w:tc>
      </w:tr>
      <w:tr>
        <w:trPr>
          <w:trHeight w:val="274" w:hRule="exact"/>
        </w:trPr>
        <w:tc>
          <w:tcPr>
            <w:tcW w:w="26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债务重组利得</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140,276.57</w:t>
            </w:r>
          </w:p>
        </w:tc>
        <w:tc>
          <w:tcPr>
            <w:tcW w:w="1560" w:type="dxa"/>
            <w:tcBorders>
              <w:top w:val="dotted" w:sz="4" w:space="0" w:color="000000"/>
              <w:left w:val="dotted" w:sz="4" w:space="0" w:color="000000"/>
              <w:bottom w:val="dotted" w:sz="4" w:space="0" w:color="000000"/>
              <w:right w:val="dotted" w:sz="4" w:space="0" w:color="000000"/>
            </w:tcBorders>
          </w:tcPr>
          <w:p>
            <w:pPr/>
          </w:p>
        </w:tc>
        <w:tc>
          <w:tcPr>
            <w:tcW w:w="24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140,276.57</w:t>
            </w:r>
          </w:p>
        </w:tc>
      </w:tr>
      <w:tr>
        <w:trPr>
          <w:trHeight w:val="274" w:hRule="exact"/>
        </w:trPr>
        <w:tc>
          <w:tcPr>
            <w:tcW w:w="26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盘盈利得</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716.83</w:t>
            </w:r>
          </w:p>
        </w:tc>
        <w:tc>
          <w:tcPr>
            <w:tcW w:w="1560" w:type="dxa"/>
            <w:tcBorders>
              <w:top w:val="dotted" w:sz="4" w:space="0" w:color="000000"/>
              <w:left w:val="dotted" w:sz="4" w:space="0" w:color="000000"/>
              <w:bottom w:val="dotted" w:sz="4" w:space="0" w:color="000000"/>
              <w:right w:val="dotted" w:sz="4" w:space="0" w:color="000000"/>
            </w:tcBorders>
          </w:tcPr>
          <w:p>
            <w:pPr/>
          </w:p>
        </w:tc>
        <w:tc>
          <w:tcPr>
            <w:tcW w:w="24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716.83</w:t>
            </w:r>
          </w:p>
        </w:tc>
      </w:tr>
      <w:tr>
        <w:trPr>
          <w:trHeight w:val="274" w:hRule="exact"/>
        </w:trPr>
        <w:tc>
          <w:tcPr>
            <w:tcW w:w="26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与企业日常活动无关的政府补助</w:t>
            </w:r>
          </w:p>
        </w:tc>
        <w:tc>
          <w:tcPr>
            <w:tcW w:w="1558"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17,000.00</w:t>
            </w:r>
          </w:p>
        </w:tc>
        <w:tc>
          <w:tcPr>
            <w:tcW w:w="2422"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6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非流动资产毁损报废利得</w:t>
            </w:r>
          </w:p>
        </w:tc>
        <w:tc>
          <w:tcPr>
            <w:tcW w:w="1558"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303.33</w:t>
            </w:r>
          </w:p>
        </w:tc>
        <w:tc>
          <w:tcPr>
            <w:tcW w:w="2422"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6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1,826,682.67</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1,529,360.82</w:t>
            </w:r>
          </w:p>
        </w:tc>
        <w:tc>
          <w:tcPr>
            <w:tcW w:w="24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1,826,682.67</w:t>
            </w:r>
          </w:p>
        </w:tc>
      </w:tr>
      <w:tr>
        <w:trPr>
          <w:trHeight w:val="283" w:hRule="exact"/>
        </w:trPr>
        <w:tc>
          <w:tcPr>
            <w:tcW w:w="266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14,621,814.51</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3,853,351.86</w:t>
            </w:r>
          </w:p>
        </w:tc>
        <w:tc>
          <w:tcPr>
            <w:tcW w:w="24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14,621,814.51</w:t>
            </w:r>
          </w:p>
        </w:tc>
      </w:tr>
    </w:tbl>
    <w:p>
      <w:pPr>
        <w:spacing w:line="240" w:lineRule="auto" w:before="8"/>
        <w:rPr>
          <w:rFonts w:ascii="宋体" w:hAnsi="宋体" w:cs="宋体" w:eastAsia="宋体" w:hint="default"/>
          <w:b/>
          <w:bCs/>
          <w:sz w:val="5"/>
          <w:szCs w:val="5"/>
        </w:rPr>
      </w:pPr>
    </w:p>
    <w:p>
      <w:pPr>
        <w:pStyle w:val="BodyText"/>
        <w:spacing w:line="331" w:lineRule="auto"/>
        <w:ind w:left="850" w:right="3683"/>
        <w:jc w:val="left"/>
      </w:pPr>
      <w:r>
        <w:rPr/>
        <w:pict>
          <v:shape style="position:absolute;margin-left:119.059998pt;margin-top:37.103680pt;width:412.4pt;height:57.1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45"/>
                    <w:gridCol w:w="1853"/>
                    <w:gridCol w:w="1709"/>
                    <w:gridCol w:w="1997"/>
                  </w:tblGrid>
                  <w:tr>
                    <w:trPr>
                      <w:trHeight w:val="284" w:hRule="exact"/>
                    </w:trPr>
                    <w:tc>
                      <w:tcPr>
                        <w:tcW w:w="26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18" w:right="0"/>
                          <w:jc w:val="center"/>
                          <w:rPr>
                            <w:rFonts w:ascii="宋体" w:hAnsi="宋体" w:cs="宋体" w:eastAsia="宋体" w:hint="default"/>
                            <w:sz w:val="16"/>
                            <w:szCs w:val="16"/>
                          </w:rPr>
                        </w:pPr>
                        <w:r>
                          <w:rPr>
                            <w:rFonts w:ascii="宋体" w:hAnsi="宋体" w:cs="宋体" w:eastAsia="宋体" w:hint="default"/>
                            <w:sz w:val="16"/>
                            <w:szCs w:val="16"/>
                          </w:rPr>
                          <w:t>补助项目</w:t>
                        </w:r>
                      </w:p>
                    </w:tc>
                    <w:tc>
                      <w:tcPr>
                        <w:tcW w:w="18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600"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7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525" w:right="0"/>
                          <w:jc w:val="left"/>
                          <w:rPr>
                            <w:rFonts w:ascii="宋体" w:hAnsi="宋体" w:cs="宋体" w:eastAsia="宋体" w:hint="default"/>
                            <w:sz w:val="16"/>
                            <w:szCs w:val="16"/>
                          </w:rPr>
                        </w:pPr>
                        <w:r>
                          <w:rPr>
                            <w:rFonts w:ascii="宋体" w:hAnsi="宋体" w:cs="宋体" w:eastAsia="宋体" w:hint="default"/>
                            <w:sz w:val="16"/>
                            <w:szCs w:val="16"/>
                          </w:rPr>
                          <w:t>上期金额</w:t>
                        </w:r>
                      </w:p>
                    </w:tc>
                    <w:tc>
                      <w:tcPr>
                        <w:tcW w:w="19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170" w:right="0"/>
                          <w:jc w:val="left"/>
                          <w:rPr>
                            <w:rFonts w:ascii="宋体" w:hAnsi="宋体" w:cs="宋体" w:eastAsia="宋体" w:hint="default"/>
                            <w:sz w:val="16"/>
                            <w:szCs w:val="16"/>
                          </w:rPr>
                        </w:pPr>
                        <w:r>
                          <w:rPr>
                            <w:rFonts w:ascii="宋体" w:hAnsi="宋体" w:cs="宋体" w:eastAsia="宋体" w:hint="default"/>
                            <w:sz w:val="16"/>
                            <w:szCs w:val="16"/>
                          </w:rPr>
                          <w:t>与资产相关</w:t>
                        </w:r>
                        <w:r>
                          <w:rPr>
                            <w:rFonts w:ascii="Times New Roman" w:hAnsi="Times New Roman" w:cs="Times New Roman" w:eastAsia="Times New Roman" w:hint="default"/>
                            <w:sz w:val="16"/>
                            <w:szCs w:val="16"/>
                          </w:rPr>
                          <w:t>/</w:t>
                        </w:r>
                        <w:r>
                          <w:rPr>
                            <w:rFonts w:ascii="宋体" w:hAnsi="宋体" w:cs="宋体" w:eastAsia="宋体" w:hint="default"/>
                            <w:sz w:val="16"/>
                            <w:szCs w:val="16"/>
                          </w:rPr>
                          <w:t>与收益相关</w:t>
                        </w: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收北京报废车辆政府补贴</w:t>
                        </w:r>
                      </w:p>
                    </w:tc>
                    <w:tc>
                      <w:tcPr>
                        <w:tcW w:w="1853"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8,000.00</w:t>
                        </w:r>
                      </w:p>
                    </w:tc>
                    <w:tc>
                      <w:tcPr>
                        <w:tcW w:w="199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收中巴车处置补贴</w:t>
                        </w:r>
                      </w:p>
                    </w:tc>
                    <w:tc>
                      <w:tcPr>
                        <w:tcW w:w="1853"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9,000.00</w:t>
                        </w:r>
                      </w:p>
                    </w:tc>
                    <w:tc>
                      <w:tcPr>
                        <w:tcW w:w="1997" w:type="dxa"/>
                        <w:tcBorders>
                          <w:top w:val="dotted" w:sz="4" w:space="0" w:color="000000"/>
                          <w:left w:val="dotted" w:sz="4" w:space="0" w:color="000000"/>
                          <w:bottom w:val="dotted" w:sz="4" w:space="0" w:color="000000"/>
                          <w:right w:val="nil" w:sz="6" w:space="0" w:color="auto"/>
                        </w:tcBorders>
                      </w:tcPr>
                      <w:p>
                        <w:pPr/>
                      </w:p>
                    </w:tc>
                  </w:tr>
                  <w:tr>
                    <w:trPr>
                      <w:trHeight w:val="283" w:hRule="exact"/>
                    </w:trPr>
                    <w:tc>
                      <w:tcPr>
                        <w:tcW w:w="26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53" w:type="dxa"/>
                        <w:tcBorders>
                          <w:top w:val="dotted" w:sz="4" w:space="0" w:color="000000"/>
                          <w:left w:val="dotted" w:sz="4" w:space="0" w:color="000000"/>
                          <w:bottom w:val="single" w:sz="12" w:space="0" w:color="000000"/>
                          <w:right w:val="dotted" w:sz="4" w:space="0" w:color="000000"/>
                        </w:tcBorders>
                      </w:tcPr>
                      <w:p>
                        <w:pPr/>
                      </w:p>
                    </w:tc>
                    <w:tc>
                      <w:tcPr>
                        <w:tcW w:w="17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17,000.00</w:t>
                        </w:r>
                      </w:p>
                    </w:tc>
                    <w:tc>
                      <w:tcPr>
                        <w:tcW w:w="1997"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spacing w:val="-2"/>
        </w:rPr>
        <w:t>说明：</w:t>
      </w:r>
      <w:r>
        <w:rPr>
          <w:rFonts w:ascii="Times New Roman" w:hAnsi="Times New Roman" w:cs="Times New Roman" w:eastAsia="Times New Roman" w:hint="default"/>
          <w:spacing w:val="-2"/>
        </w:rPr>
        <w:t>“</w:t>
      </w:r>
      <w:r>
        <w:rPr>
          <w:spacing w:val="-2"/>
        </w:rPr>
        <w:t>其他</w:t>
      </w:r>
      <w:r>
        <w:rPr>
          <w:rFonts w:ascii="Times New Roman" w:hAnsi="Times New Roman" w:cs="Times New Roman" w:eastAsia="Times New Roman" w:hint="default"/>
          <w:spacing w:val="-2"/>
        </w:rPr>
        <w:t>”</w:t>
      </w:r>
      <w:r>
        <w:rPr>
          <w:spacing w:val="-2"/>
        </w:rPr>
        <w:t>项主要为赔偿金收入。</w:t>
      </w:r>
      <w:r>
        <w:rPr>
          <w:spacing w:val="-72"/>
        </w:rPr>
        <w:t> </w:t>
      </w:r>
      <w:r>
        <w:rPr>
          <w:spacing w:val="-72"/>
        </w:rPr>
      </w:r>
      <w:r>
        <w:rPr/>
        <w:t>计入营业外收入的政府补助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8"/>
        <w:ind w:right="3683"/>
        <w:jc w:val="left"/>
        <w:rPr>
          <w:b w:val="0"/>
          <w:bCs w:val="0"/>
        </w:rPr>
      </w:pPr>
      <w:r>
        <w:rPr>
          <w:rFonts w:ascii="Times New Roman" w:hAnsi="Times New Roman" w:cs="Times New Roman" w:eastAsia="Times New Roman" w:hint="default"/>
        </w:rPr>
        <w:t>(</w:t>
      </w:r>
      <w:r>
        <w:rPr/>
        <w:t>五十九</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营业外支出</w:t>
      </w:r>
      <w:r>
        <w:rPr>
          <w:b w:val="0"/>
          <w:bCs w:val="0"/>
        </w:rPr>
      </w:r>
    </w:p>
    <w:p>
      <w:pPr>
        <w:spacing w:after="0" w:line="240" w:lineRule="auto"/>
        <w:jc w:val="left"/>
        <w:sectPr>
          <w:pgSz w:w="11910" w:h="16840"/>
          <w:pgMar w:header="753" w:footer="997" w:top="1500" w:bottom="1180" w:left="1660" w:right="0"/>
        </w:sectPr>
      </w:pPr>
    </w:p>
    <w:p>
      <w:pPr>
        <w:spacing w:line="240" w:lineRule="auto" w:before="7"/>
        <w:rPr>
          <w:rFonts w:ascii="宋体" w:hAnsi="宋体" w:cs="宋体" w:eastAsia="宋体" w:hint="default"/>
          <w:b/>
          <w:bCs/>
          <w:sz w:val="18"/>
          <w:szCs w:val="18"/>
        </w:rPr>
      </w:pPr>
    </w:p>
    <w:tbl>
      <w:tblPr>
        <w:tblW w:w="0" w:type="auto"/>
        <w:jc w:val="left"/>
        <w:tblInd w:w="721" w:type="dxa"/>
        <w:tblLayout w:type="fixed"/>
        <w:tblCellMar>
          <w:top w:w="0" w:type="dxa"/>
          <w:left w:w="0" w:type="dxa"/>
          <w:bottom w:w="0" w:type="dxa"/>
          <w:right w:w="0" w:type="dxa"/>
        </w:tblCellMar>
        <w:tblLook w:val="01E0"/>
      </w:tblPr>
      <w:tblGrid>
        <w:gridCol w:w="2765"/>
        <w:gridCol w:w="1812"/>
        <w:gridCol w:w="1812"/>
        <w:gridCol w:w="1815"/>
      </w:tblGrid>
      <w:tr>
        <w:trPr>
          <w:trHeight w:val="492" w:hRule="exact"/>
        </w:trPr>
        <w:tc>
          <w:tcPr>
            <w:tcW w:w="276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6"/>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8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580"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8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580" w:right="0"/>
              <w:jc w:val="left"/>
              <w:rPr>
                <w:rFonts w:ascii="宋体" w:hAnsi="宋体" w:cs="宋体" w:eastAsia="宋体" w:hint="default"/>
                <w:sz w:val="16"/>
                <w:szCs w:val="16"/>
              </w:rPr>
            </w:pPr>
            <w:r>
              <w:rPr>
                <w:rFonts w:ascii="宋体" w:hAnsi="宋体" w:cs="宋体" w:eastAsia="宋体" w:hint="default"/>
                <w:sz w:val="16"/>
                <w:szCs w:val="16"/>
              </w:rPr>
              <w:t>上期金额</w:t>
            </w:r>
          </w:p>
        </w:tc>
        <w:tc>
          <w:tcPr>
            <w:tcW w:w="1815" w:type="dxa"/>
            <w:tcBorders>
              <w:top w:val="single" w:sz="12" w:space="0" w:color="000000"/>
              <w:left w:val="dotted" w:sz="4" w:space="0" w:color="000000"/>
              <w:bottom w:val="dotted" w:sz="4" w:space="0" w:color="000000"/>
              <w:right w:val="nil" w:sz="6" w:space="0" w:color="auto"/>
            </w:tcBorders>
          </w:tcPr>
          <w:p>
            <w:pPr>
              <w:pStyle w:val="TableParagraph"/>
              <w:spacing w:line="206" w:lineRule="exact" w:before="25"/>
              <w:ind w:left="581" w:right="185" w:hanging="402"/>
              <w:jc w:val="left"/>
              <w:rPr>
                <w:rFonts w:ascii="宋体" w:hAnsi="宋体" w:cs="宋体" w:eastAsia="宋体" w:hint="default"/>
                <w:sz w:val="16"/>
                <w:szCs w:val="16"/>
              </w:rPr>
            </w:pPr>
            <w:r>
              <w:rPr>
                <w:rFonts w:ascii="宋体" w:hAnsi="宋体" w:cs="宋体" w:eastAsia="宋体" w:hint="default"/>
                <w:sz w:val="16"/>
                <w:szCs w:val="16"/>
              </w:rPr>
              <w:t>计入当期非经常性损</w:t>
            </w:r>
            <w:r>
              <w:rPr>
                <w:rFonts w:ascii="宋体" w:hAnsi="宋体" w:cs="宋体" w:eastAsia="宋体" w:hint="default"/>
                <w:w w:val="100"/>
                <w:sz w:val="16"/>
                <w:szCs w:val="16"/>
              </w:rPr>
              <w:t> </w:t>
            </w:r>
            <w:r>
              <w:rPr>
                <w:rFonts w:ascii="宋体" w:hAnsi="宋体" w:cs="宋体" w:eastAsia="宋体" w:hint="default"/>
                <w:sz w:val="16"/>
                <w:szCs w:val="16"/>
              </w:rPr>
              <w:t>益的金额</w:t>
            </w:r>
          </w:p>
        </w:tc>
      </w:tr>
      <w:tr>
        <w:trPr>
          <w:trHeight w:val="271" w:hRule="exact"/>
        </w:trPr>
        <w:tc>
          <w:tcPr>
            <w:tcW w:w="27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诉讼赔偿</w:t>
            </w:r>
          </w:p>
        </w:tc>
        <w:tc>
          <w:tcPr>
            <w:tcW w:w="18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4,019,293.95</w:t>
            </w:r>
          </w:p>
        </w:tc>
        <w:tc>
          <w:tcPr>
            <w:tcW w:w="18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5,193,350.79</w:t>
            </w:r>
          </w:p>
        </w:tc>
        <w:tc>
          <w:tcPr>
            <w:tcW w:w="18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4,019,293.95</w:t>
            </w:r>
          </w:p>
        </w:tc>
      </w:tr>
      <w:tr>
        <w:trPr>
          <w:trHeight w:val="274" w:hRule="exact"/>
        </w:trPr>
        <w:tc>
          <w:tcPr>
            <w:tcW w:w="27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非流动资产毁损报废损失</w:t>
            </w:r>
          </w:p>
        </w:tc>
        <w:tc>
          <w:tcPr>
            <w:tcW w:w="18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2,304,817.88</w:t>
            </w:r>
          </w:p>
        </w:tc>
        <w:tc>
          <w:tcPr>
            <w:tcW w:w="18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1,348,337.45</w:t>
            </w:r>
          </w:p>
        </w:tc>
        <w:tc>
          <w:tcPr>
            <w:tcW w:w="18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2,304,817.88</w:t>
            </w:r>
          </w:p>
        </w:tc>
      </w:tr>
      <w:tr>
        <w:trPr>
          <w:trHeight w:val="274" w:hRule="exact"/>
        </w:trPr>
        <w:tc>
          <w:tcPr>
            <w:tcW w:w="27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对外捐赠</w:t>
            </w:r>
          </w:p>
        </w:tc>
        <w:tc>
          <w:tcPr>
            <w:tcW w:w="18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846,636.87</w:t>
            </w:r>
          </w:p>
        </w:tc>
        <w:tc>
          <w:tcPr>
            <w:tcW w:w="18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700,000.00</w:t>
            </w:r>
          </w:p>
        </w:tc>
        <w:tc>
          <w:tcPr>
            <w:tcW w:w="18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846,636.87</w:t>
            </w:r>
          </w:p>
        </w:tc>
      </w:tr>
      <w:tr>
        <w:trPr>
          <w:trHeight w:val="274" w:hRule="exact"/>
        </w:trPr>
        <w:tc>
          <w:tcPr>
            <w:tcW w:w="27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债务重组损失</w:t>
            </w:r>
          </w:p>
        </w:tc>
        <w:tc>
          <w:tcPr>
            <w:tcW w:w="1812" w:type="dxa"/>
            <w:tcBorders>
              <w:top w:val="dotted" w:sz="4" w:space="0" w:color="000000"/>
              <w:left w:val="dotted" w:sz="4" w:space="0" w:color="000000"/>
              <w:bottom w:val="dotted" w:sz="4" w:space="0" w:color="000000"/>
              <w:right w:val="dotted" w:sz="4" w:space="0" w:color="000000"/>
            </w:tcBorders>
          </w:tcPr>
          <w:p>
            <w:pPr/>
          </w:p>
        </w:tc>
        <w:tc>
          <w:tcPr>
            <w:tcW w:w="18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939,984.71</w:t>
            </w:r>
          </w:p>
        </w:tc>
        <w:tc>
          <w:tcPr>
            <w:tcW w:w="181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7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8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4,229,433.74</w:t>
            </w:r>
          </w:p>
        </w:tc>
        <w:tc>
          <w:tcPr>
            <w:tcW w:w="18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2,807,253.86</w:t>
            </w:r>
          </w:p>
        </w:tc>
        <w:tc>
          <w:tcPr>
            <w:tcW w:w="18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4,229,433.74</w:t>
            </w:r>
          </w:p>
        </w:tc>
      </w:tr>
      <w:tr>
        <w:trPr>
          <w:trHeight w:val="286" w:hRule="exact"/>
        </w:trPr>
        <w:tc>
          <w:tcPr>
            <w:tcW w:w="276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2"/>
                <w:sz w:val="16"/>
              </w:rPr>
              <w:t>11,400,182.44</w:t>
            </w:r>
          </w:p>
        </w:tc>
        <w:tc>
          <w:tcPr>
            <w:tcW w:w="18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10,988,926.81</w:t>
            </w:r>
          </w:p>
        </w:tc>
        <w:tc>
          <w:tcPr>
            <w:tcW w:w="181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11,400,182.44</w:t>
            </w:r>
          </w:p>
        </w:tc>
      </w:tr>
    </w:tbl>
    <w:p>
      <w:pPr>
        <w:pStyle w:val="BodyText"/>
        <w:spacing w:line="240" w:lineRule="auto" w:before="93"/>
        <w:ind w:left="850" w:right="3683"/>
        <w:jc w:val="left"/>
      </w:pPr>
      <w:r>
        <w:rPr/>
        <w:t>说明：</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项主要为与公司日常经营业务无关的费用支出。</w:t>
      </w:r>
    </w:p>
    <w:p>
      <w:pPr>
        <w:spacing w:line="240" w:lineRule="auto" w:before="6"/>
        <w:rPr>
          <w:rFonts w:ascii="宋体" w:hAnsi="宋体" w:cs="宋体" w:eastAsia="宋体" w:hint="default"/>
          <w:sz w:val="30"/>
          <w:szCs w:val="30"/>
        </w:rPr>
      </w:pPr>
    </w:p>
    <w:p>
      <w:pPr>
        <w:pStyle w:val="Heading5"/>
        <w:spacing w:line="240" w:lineRule="auto" w:before="0"/>
        <w:ind w:right="3683"/>
        <w:jc w:val="left"/>
        <w:rPr>
          <w:b w:val="0"/>
          <w:bCs w:val="0"/>
        </w:rPr>
      </w:pPr>
      <w:r>
        <w:rPr>
          <w:rFonts w:ascii="Times New Roman" w:hAnsi="Times New Roman" w:cs="Times New Roman" w:eastAsia="Times New Roman" w:hint="default"/>
        </w:rPr>
        <w:t>(</w:t>
      </w:r>
      <w:r>
        <w:rPr/>
        <w:t>六十</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所得税费用</w:t>
      </w:r>
      <w:r>
        <w:rPr>
          <w:b w:val="0"/>
          <w:bCs w:val="0"/>
        </w:rPr>
      </w:r>
    </w:p>
    <w:p>
      <w:pPr>
        <w:pStyle w:val="Heading5"/>
        <w:tabs>
          <w:tab w:pos="1397" w:val="left" w:leader="none"/>
        </w:tabs>
        <w:spacing w:line="240" w:lineRule="auto" w:before="107"/>
        <w:ind w:left="846" w:right="3683"/>
        <w:jc w:val="left"/>
        <w:rPr>
          <w:b w:val="0"/>
          <w:bCs w:val="0"/>
        </w:rPr>
      </w:pPr>
      <w:r>
        <w:rPr>
          <w:rFonts w:ascii="Times New Roman" w:hAnsi="Times New Roman" w:cs="Times New Roman" w:eastAsia="Times New Roman" w:hint="default"/>
        </w:rPr>
        <w:t>1</w:t>
      </w:r>
      <w:r>
        <w:rPr/>
        <w:t>、</w:t>
        <w:tab/>
        <w:t>所得税费用表</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89"/>
        <w:gridCol w:w="2408"/>
        <w:gridCol w:w="2408"/>
      </w:tblGrid>
      <w:tr>
        <w:trPr>
          <w:trHeight w:val="286" w:hRule="exact"/>
        </w:trPr>
        <w:tc>
          <w:tcPr>
            <w:tcW w:w="33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1519"/>
              <w:jc w:val="right"/>
              <w:rPr>
                <w:rFonts w:ascii="宋体" w:hAnsi="宋体" w:cs="宋体" w:eastAsia="宋体" w:hint="default"/>
                <w:sz w:val="16"/>
                <w:szCs w:val="16"/>
              </w:rPr>
            </w:pPr>
            <w:r>
              <w:rPr>
                <w:rFonts w:ascii="宋体" w:hAnsi="宋体" w:cs="宋体" w:eastAsia="宋体" w:hint="default"/>
                <w:sz w:val="16"/>
                <w:szCs w:val="16"/>
              </w:rPr>
              <w:t>项目</w:t>
            </w:r>
          </w:p>
        </w:tc>
        <w:tc>
          <w:tcPr>
            <w:tcW w:w="24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4"/>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当期所得税费用</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46,281,416.92</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255,087,019.83</w:t>
            </w:r>
          </w:p>
        </w:tc>
      </w:tr>
      <w:tr>
        <w:trPr>
          <w:trHeight w:val="274" w:hRule="exact"/>
        </w:trPr>
        <w:tc>
          <w:tcPr>
            <w:tcW w:w="338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递延所得税费用</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138,136,002.71</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40,259,325.76</w:t>
            </w:r>
          </w:p>
        </w:tc>
      </w:tr>
      <w:tr>
        <w:trPr>
          <w:trHeight w:val="283" w:hRule="exact"/>
        </w:trPr>
        <w:tc>
          <w:tcPr>
            <w:tcW w:w="338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1519"/>
              <w:jc w:val="right"/>
              <w:rPr>
                <w:rFonts w:ascii="宋体" w:hAnsi="宋体" w:cs="宋体" w:eastAsia="宋体" w:hint="default"/>
                <w:sz w:val="16"/>
                <w:szCs w:val="16"/>
              </w:rPr>
            </w:pPr>
            <w:r>
              <w:rPr>
                <w:rFonts w:ascii="宋体" w:hAnsi="宋体" w:cs="宋体" w:eastAsia="宋体" w:hint="default"/>
                <w:sz w:val="16"/>
                <w:szCs w:val="16"/>
              </w:rPr>
              <w:t>合计</w:t>
            </w:r>
          </w:p>
        </w:tc>
        <w:tc>
          <w:tcPr>
            <w:tcW w:w="24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184,417,419.63</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295,346,345.59</w:t>
            </w:r>
          </w:p>
        </w:tc>
      </w:tr>
    </w:tbl>
    <w:p>
      <w:pPr>
        <w:spacing w:line="240" w:lineRule="auto" w:before="6"/>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会计利润与所得税费用调整过程</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5915"/>
        <w:gridCol w:w="2290"/>
      </w:tblGrid>
      <w:tr>
        <w:trPr>
          <w:trHeight w:val="286" w:hRule="exact"/>
        </w:trPr>
        <w:tc>
          <w:tcPr>
            <w:tcW w:w="59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29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本期金额</w:t>
            </w:r>
          </w:p>
        </w:tc>
      </w:tr>
      <w:tr>
        <w:trPr>
          <w:trHeight w:val="271" w:hRule="exact"/>
        </w:trPr>
        <w:tc>
          <w:tcPr>
            <w:tcW w:w="591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利润总额</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1,350,281,298.04</w:t>
            </w:r>
          </w:p>
        </w:tc>
      </w:tr>
      <w:tr>
        <w:trPr>
          <w:trHeight w:val="274" w:hRule="exact"/>
        </w:trPr>
        <w:tc>
          <w:tcPr>
            <w:tcW w:w="59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按法定</w:t>
            </w:r>
            <w:r>
              <w:rPr>
                <w:rFonts w:ascii="Times New Roman" w:hAnsi="Times New Roman" w:cs="Times New Roman" w:eastAsia="Times New Roman" w:hint="default"/>
                <w:sz w:val="16"/>
                <w:szCs w:val="16"/>
              </w:rPr>
              <w:t>[</w:t>
            </w:r>
            <w:r>
              <w:rPr>
                <w:rFonts w:ascii="宋体" w:hAnsi="宋体" w:cs="宋体" w:eastAsia="宋体" w:hint="default"/>
                <w:sz w:val="16"/>
                <w:szCs w:val="16"/>
              </w:rPr>
              <w:t>或适用</w:t>
            </w:r>
            <w:r>
              <w:rPr>
                <w:rFonts w:ascii="Times New Roman" w:hAnsi="Times New Roman" w:cs="Times New Roman" w:eastAsia="Times New Roman" w:hint="default"/>
                <w:sz w:val="16"/>
                <w:szCs w:val="16"/>
              </w:rPr>
              <w:t>]</w:t>
            </w:r>
            <w:r>
              <w:rPr>
                <w:rFonts w:ascii="宋体" w:hAnsi="宋体" w:cs="宋体" w:eastAsia="宋体" w:hint="default"/>
                <w:sz w:val="16"/>
                <w:szCs w:val="16"/>
              </w:rPr>
              <w:t>税率计算的所得税费用</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202,542,194.71</w:t>
            </w:r>
          </w:p>
        </w:tc>
      </w:tr>
      <w:tr>
        <w:trPr>
          <w:trHeight w:val="274" w:hRule="exact"/>
        </w:trPr>
        <w:tc>
          <w:tcPr>
            <w:tcW w:w="59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子公司适用不同税率的影响</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58,575,375.55</w:t>
            </w:r>
          </w:p>
        </w:tc>
      </w:tr>
      <w:tr>
        <w:trPr>
          <w:trHeight w:val="274" w:hRule="exact"/>
        </w:trPr>
        <w:tc>
          <w:tcPr>
            <w:tcW w:w="59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调整以前期间所得税的影响</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-36,034,689.36</w:t>
            </w:r>
          </w:p>
        </w:tc>
      </w:tr>
      <w:tr>
        <w:trPr>
          <w:trHeight w:val="274" w:hRule="exact"/>
        </w:trPr>
        <w:tc>
          <w:tcPr>
            <w:tcW w:w="59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非应税收入的影响</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-4,438,800.06</w:t>
            </w:r>
          </w:p>
        </w:tc>
      </w:tr>
      <w:tr>
        <w:trPr>
          <w:trHeight w:val="274" w:hRule="exact"/>
        </w:trPr>
        <w:tc>
          <w:tcPr>
            <w:tcW w:w="59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不可抵扣的成本、费用和损失的影响</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5,825,641.43</w:t>
            </w:r>
          </w:p>
        </w:tc>
      </w:tr>
      <w:tr>
        <w:trPr>
          <w:trHeight w:val="274" w:hRule="exact"/>
        </w:trPr>
        <w:tc>
          <w:tcPr>
            <w:tcW w:w="59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使用前期未确认递延所得税资产的可抵扣亏损的影响</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2"/>
                <w:sz w:val="16"/>
              </w:rPr>
              <w:t>8,940,511.08</w:t>
            </w:r>
          </w:p>
        </w:tc>
      </w:tr>
      <w:tr>
        <w:trPr>
          <w:trHeight w:val="274" w:hRule="exact"/>
        </w:trPr>
        <w:tc>
          <w:tcPr>
            <w:tcW w:w="59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本期未确认递延所得税资产的可抵扣暂时性差异或可抵扣亏损的影响</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24,910,628.41</w:t>
            </w:r>
          </w:p>
        </w:tc>
      </w:tr>
      <w:tr>
        <w:trPr>
          <w:trHeight w:val="274" w:hRule="exact"/>
        </w:trPr>
        <w:tc>
          <w:tcPr>
            <w:tcW w:w="59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-75,903,442.13</w:t>
            </w:r>
          </w:p>
        </w:tc>
      </w:tr>
      <w:tr>
        <w:trPr>
          <w:trHeight w:val="286" w:hRule="exact"/>
        </w:trPr>
        <w:tc>
          <w:tcPr>
            <w:tcW w:w="59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所得税费用</w:t>
            </w:r>
          </w:p>
        </w:tc>
        <w:tc>
          <w:tcPr>
            <w:tcW w:w="229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184,417,419.63</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六十一</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每股收益</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基本每股收益</w:t>
      </w:r>
      <w:r>
        <w:rPr>
          <w:b w:val="0"/>
          <w:bCs w:val="0"/>
        </w:rPr>
      </w:r>
    </w:p>
    <w:p>
      <w:pPr>
        <w:pStyle w:val="BodyText"/>
        <w:spacing w:line="350" w:lineRule="auto" w:before="107"/>
        <w:ind w:right="1468"/>
        <w:jc w:val="left"/>
      </w:pPr>
      <w:r>
        <w:rPr/>
        <w:pict>
          <v:shape style="position:absolute;margin-left:119.059998pt;margin-top:40.653671pt;width:412.4pt;height:84.5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13"/>
                    <w:gridCol w:w="1994"/>
                    <w:gridCol w:w="1997"/>
                  </w:tblGrid>
                  <w:tr>
                    <w:trPr>
                      <w:trHeight w:val="283" w:hRule="exact"/>
                    </w:trPr>
                    <w:tc>
                      <w:tcPr>
                        <w:tcW w:w="42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19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2"/>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归属于母公司普通股股东的合并净利润</w:t>
                        </w:r>
                      </w:p>
                    </w:tc>
                    <w:tc>
                      <w:tcPr>
                        <w:tcW w:w="1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1,114,993,660.75</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1,120,739,247.50</w:t>
                        </w:r>
                      </w:p>
                    </w:tc>
                  </w:tr>
                  <w:tr>
                    <w:trPr>
                      <w:trHeight w:val="274"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本公司发行在外普通股的加权平均数</w:t>
                        </w:r>
                      </w:p>
                    </w:tc>
                    <w:tc>
                      <w:tcPr>
                        <w:tcW w:w="1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2,933,504,391.00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2,941,434,826.00</w:t>
                        </w:r>
                      </w:p>
                    </w:tc>
                  </w:tr>
                  <w:tr>
                    <w:trPr>
                      <w:trHeight w:val="274"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基本每股收益</w:t>
                        </w:r>
                      </w:p>
                    </w:tc>
                    <w:tc>
                      <w:tcPr>
                        <w:tcW w:w="1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0.380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6"/>
                            <w:szCs w:val="16"/>
                          </w:rPr>
                        </w:pPr>
                        <w:r>
                          <w:rPr>
                            <w:rFonts w:ascii="Times New Roman"/>
                            <w:spacing w:val="-1"/>
                            <w:sz w:val="16"/>
                          </w:rPr>
                          <w:t>0.381</w:t>
                        </w:r>
                      </w:p>
                    </w:tc>
                  </w:tr>
                  <w:tr>
                    <w:trPr>
                      <w:trHeight w:val="274"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其中：持续经营基本每股收益</w:t>
                        </w:r>
                      </w:p>
                    </w:tc>
                    <w:tc>
                      <w:tcPr>
                        <w:tcW w:w="1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0.380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0.381</w:t>
                        </w:r>
                      </w:p>
                    </w:tc>
                  </w:tr>
                  <w:tr>
                    <w:trPr>
                      <w:trHeight w:val="283" w:hRule="exact"/>
                    </w:trPr>
                    <w:tc>
                      <w:tcPr>
                        <w:tcW w:w="42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终止经营基本每股收益</w:t>
                        </w:r>
                      </w:p>
                    </w:tc>
                    <w:tc>
                      <w:tcPr>
                        <w:tcW w:w="1994" w:type="dxa"/>
                        <w:tcBorders>
                          <w:top w:val="dotted" w:sz="4" w:space="0" w:color="000000"/>
                          <w:left w:val="dotted" w:sz="4" w:space="0" w:color="000000"/>
                          <w:bottom w:val="single" w:sz="12" w:space="0" w:color="000000"/>
                          <w:right w:val="dotted" w:sz="4" w:space="0" w:color="000000"/>
                        </w:tcBorders>
                      </w:tcPr>
                      <w:p>
                        <w:pPr/>
                      </w:p>
                    </w:tc>
                    <w:tc>
                      <w:tcPr>
                        <w:tcW w:w="1997"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spacing w:val="-2"/>
        </w:rPr>
        <w:t>基本每股收益以归属于母公司普通股股东的合并净利润除以本公司发行在外</w:t>
      </w:r>
      <w:r>
        <w:rPr>
          <w:spacing w:val="-42"/>
        </w:rPr>
        <w:t> </w:t>
      </w:r>
      <w:r>
        <w:rPr>
          <w:spacing w:val="-42"/>
        </w:rPr>
      </w:r>
      <w:r>
        <w:rPr/>
        <w:t>普通股的加权平均数计算：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1397" w:val="left" w:leader="none"/>
        </w:tabs>
        <w:spacing w:line="240" w:lineRule="auto" w:before="175"/>
        <w:ind w:left="846" w:right="3683"/>
        <w:jc w:val="left"/>
        <w:rPr>
          <w:b w:val="0"/>
          <w:bCs w:val="0"/>
        </w:rPr>
      </w:pPr>
      <w:r>
        <w:rPr>
          <w:rFonts w:ascii="Times New Roman" w:hAnsi="Times New Roman" w:cs="Times New Roman" w:eastAsia="Times New Roman" w:hint="default"/>
        </w:rPr>
        <w:t>2</w:t>
      </w:r>
      <w:r>
        <w:rPr/>
        <w:t>、</w:t>
        <w:tab/>
        <w:t>稀释每股收益</w:t>
      </w:r>
      <w:r>
        <w:rPr>
          <w:b w:val="0"/>
          <w:bCs w:val="0"/>
        </w:rPr>
      </w:r>
    </w:p>
    <w:p>
      <w:pPr>
        <w:pStyle w:val="BodyText"/>
        <w:spacing w:line="350" w:lineRule="auto" w:before="107"/>
        <w:ind w:right="1468"/>
        <w:jc w:val="left"/>
      </w:pPr>
      <w:r>
        <w:rPr>
          <w:spacing w:val="-5"/>
        </w:rPr>
        <w:t>稀释每股收益以归属于母公司普通股股东的合并净利润（稀释）除以本公司发</w:t>
      </w:r>
      <w:r>
        <w:rPr>
          <w:spacing w:val="-43"/>
        </w:rPr>
        <w:t> </w:t>
      </w:r>
      <w:r>
        <w:rPr>
          <w:spacing w:val="-43"/>
        </w:rPr>
      </w:r>
      <w:r>
        <w:rPr/>
        <w:t>行在外普通股的加权平均数（稀释）计算：</w:t>
      </w:r>
    </w:p>
    <w:p>
      <w:pPr>
        <w:spacing w:after="0" w:line="350" w:lineRule="auto"/>
        <w:jc w:val="left"/>
        <w:sectPr>
          <w:footerReference w:type="default" r:id="rId58"/>
          <w:pgSz w:w="11910" w:h="16840"/>
          <w:pgMar w:footer="997" w:header="753" w:top="1500" w:bottom="1180" w:left="1660" w:right="0"/>
          <w:pgNumType w:start="84"/>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4213"/>
        <w:gridCol w:w="1994"/>
        <w:gridCol w:w="1997"/>
      </w:tblGrid>
      <w:tr>
        <w:trPr>
          <w:trHeight w:val="284" w:hRule="exact"/>
        </w:trPr>
        <w:tc>
          <w:tcPr>
            <w:tcW w:w="42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19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2"/>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归属于母公司普通股股东的合并净利润（稀释）</w:t>
            </w:r>
          </w:p>
        </w:tc>
        <w:tc>
          <w:tcPr>
            <w:tcW w:w="1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1,114,993,660.75</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1,120,739,247.50</w:t>
            </w:r>
          </w:p>
        </w:tc>
      </w:tr>
      <w:tr>
        <w:trPr>
          <w:trHeight w:val="274"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本公司发行在外普通股的加权平均数（稀释）</w:t>
            </w:r>
          </w:p>
        </w:tc>
        <w:tc>
          <w:tcPr>
            <w:tcW w:w="1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2,933,504,391.00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2,941,434,826.00</w:t>
            </w:r>
          </w:p>
        </w:tc>
      </w:tr>
      <w:tr>
        <w:trPr>
          <w:trHeight w:val="274"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稀释每股收益</w:t>
            </w:r>
          </w:p>
        </w:tc>
        <w:tc>
          <w:tcPr>
            <w:tcW w:w="1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0.380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0.381</w:t>
            </w:r>
          </w:p>
        </w:tc>
      </w:tr>
      <w:tr>
        <w:trPr>
          <w:trHeight w:val="274"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其中：持续经营稀释每股收益</w:t>
            </w:r>
          </w:p>
        </w:tc>
        <w:tc>
          <w:tcPr>
            <w:tcW w:w="1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0.380</w:t>
            </w:r>
          </w:p>
        </w:tc>
        <w:tc>
          <w:tcPr>
            <w:tcW w:w="19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0.381</w:t>
            </w:r>
          </w:p>
        </w:tc>
      </w:tr>
      <w:tr>
        <w:trPr>
          <w:trHeight w:val="283" w:hRule="exact"/>
        </w:trPr>
        <w:tc>
          <w:tcPr>
            <w:tcW w:w="42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终止经营稀释每股收益</w:t>
            </w:r>
          </w:p>
        </w:tc>
        <w:tc>
          <w:tcPr>
            <w:tcW w:w="1994" w:type="dxa"/>
            <w:tcBorders>
              <w:top w:val="dotted" w:sz="4" w:space="0" w:color="000000"/>
              <w:left w:val="dotted" w:sz="4" w:space="0" w:color="000000"/>
              <w:bottom w:val="single" w:sz="12" w:space="0" w:color="000000"/>
              <w:right w:val="dotted" w:sz="4" w:space="0" w:color="000000"/>
            </w:tcBorders>
          </w:tcPr>
          <w:p>
            <w:pPr/>
          </w:p>
        </w:tc>
        <w:tc>
          <w:tcPr>
            <w:tcW w:w="199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26"/>
          <w:szCs w:val="26"/>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六十二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现金流量表项目</w:t>
      </w:r>
      <w:r>
        <w:rPr>
          <w:b w:val="0"/>
          <w:bCs w:val="0"/>
        </w:rPr>
      </w:r>
    </w:p>
    <w:p>
      <w:pPr>
        <w:pStyle w:val="Heading5"/>
        <w:tabs>
          <w:tab w:pos="1397" w:val="left" w:leader="none"/>
        </w:tabs>
        <w:spacing w:line="240" w:lineRule="auto" w:before="107"/>
        <w:ind w:left="846" w:right="3683"/>
        <w:jc w:val="left"/>
        <w:rPr>
          <w:b w:val="0"/>
          <w:bCs w:val="0"/>
        </w:rPr>
      </w:pPr>
      <w:r>
        <w:rPr>
          <w:rFonts w:ascii="Times New Roman" w:hAnsi="Times New Roman" w:cs="Times New Roman" w:eastAsia="Times New Roman" w:hint="default"/>
        </w:rPr>
        <w:t>1</w:t>
      </w:r>
      <w:r>
        <w:rPr/>
        <w:t>、</w:t>
        <w:tab/>
      </w:r>
      <w:r>
        <w:rPr>
          <w:spacing w:val="-1"/>
        </w:rPr>
        <w:t>收到的其他与经营活动有关的现金</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867"/>
        <w:gridCol w:w="2170"/>
        <w:gridCol w:w="2168"/>
      </w:tblGrid>
      <w:tr>
        <w:trPr>
          <w:trHeight w:val="286" w:hRule="exact"/>
        </w:trPr>
        <w:tc>
          <w:tcPr>
            <w:tcW w:w="38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757"/>
              <w:jc w:val="right"/>
              <w:rPr>
                <w:rFonts w:ascii="宋体" w:hAnsi="宋体" w:cs="宋体" w:eastAsia="宋体" w:hint="default"/>
                <w:sz w:val="16"/>
                <w:szCs w:val="16"/>
              </w:rPr>
            </w:pPr>
            <w:r>
              <w:rPr>
                <w:rFonts w:ascii="宋体" w:hAnsi="宋体" w:cs="宋体" w:eastAsia="宋体" w:hint="default"/>
                <w:sz w:val="16"/>
                <w:szCs w:val="16"/>
              </w:rPr>
              <w:t>项目</w:t>
            </w:r>
          </w:p>
        </w:tc>
        <w:tc>
          <w:tcPr>
            <w:tcW w:w="21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16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4"/>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86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收到的政府补助</w:t>
            </w:r>
          </w:p>
        </w:tc>
        <w:tc>
          <w:tcPr>
            <w:tcW w:w="21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621,499,811.97</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233,897,814.73</w:t>
            </w:r>
          </w:p>
        </w:tc>
      </w:tr>
      <w:tr>
        <w:trPr>
          <w:trHeight w:val="271" w:hRule="exact"/>
        </w:trPr>
        <w:tc>
          <w:tcPr>
            <w:tcW w:w="386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收回的往来款</w:t>
            </w:r>
          </w:p>
        </w:tc>
        <w:tc>
          <w:tcPr>
            <w:tcW w:w="21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203,733,245.20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168,002,606.26</w:t>
            </w:r>
          </w:p>
        </w:tc>
      </w:tr>
      <w:tr>
        <w:trPr>
          <w:trHeight w:val="274" w:hRule="exact"/>
        </w:trPr>
        <w:tc>
          <w:tcPr>
            <w:tcW w:w="38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利息收入</w:t>
            </w:r>
          </w:p>
        </w:tc>
        <w:tc>
          <w:tcPr>
            <w:tcW w:w="21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36,581,273.76</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36,884,298.96</w:t>
            </w:r>
          </w:p>
        </w:tc>
      </w:tr>
      <w:tr>
        <w:trPr>
          <w:trHeight w:val="286" w:hRule="exact"/>
        </w:trPr>
        <w:tc>
          <w:tcPr>
            <w:tcW w:w="38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1757"/>
              <w:jc w:val="right"/>
              <w:rPr>
                <w:rFonts w:ascii="宋体" w:hAnsi="宋体" w:cs="宋体" w:eastAsia="宋体" w:hint="default"/>
                <w:sz w:val="16"/>
                <w:szCs w:val="16"/>
              </w:rPr>
            </w:pPr>
            <w:r>
              <w:rPr>
                <w:rFonts w:ascii="宋体" w:hAnsi="宋体" w:cs="宋体" w:eastAsia="宋体" w:hint="default"/>
                <w:sz w:val="16"/>
                <w:szCs w:val="16"/>
              </w:rPr>
              <w:t>合计</w:t>
            </w:r>
          </w:p>
        </w:tc>
        <w:tc>
          <w:tcPr>
            <w:tcW w:w="21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861,814,330.93</w:t>
            </w:r>
          </w:p>
        </w:tc>
        <w:tc>
          <w:tcPr>
            <w:tcW w:w="216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438,784,719.95</w:t>
            </w:r>
          </w:p>
        </w:tc>
      </w:tr>
    </w:tbl>
    <w:p>
      <w:pPr>
        <w:spacing w:line="240" w:lineRule="auto" w:before="6"/>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支付的其他与经营活动有关的现金</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925"/>
        <w:gridCol w:w="2139"/>
        <w:gridCol w:w="2141"/>
      </w:tblGrid>
      <w:tr>
        <w:trPr>
          <w:trHeight w:val="283" w:hRule="exact"/>
        </w:trPr>
        <w:tc>
          <w:tcPr>
            <w:tcW w:w="39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787"/>
              <w:jc w:val="right"/>
              <w:rPr>
                <w:rFonts w:ascii="宋体" w:hAnsi="宋体" w:cs="宋体" w:eastAsia="宋体" w:hint="default"/>
                <w:sz w:val="16"/>
                <w:szCs w:val="16"/>
              </w:rPr>
            </w:pPr>
            <w:r>
              <w:rPr>
                <w:rFonts w:ascii="宋体" w:hAnsi="宋体" w:cs="宋体" w:eastAsia="宋体" w:hint="default"/>
                <w:sz w:val="16"/>
                <w:szCs w:val="16"/>
              </w:rPr>
              <w:t>项目</w:t>
            </w:r>
          </w:p>
        </w:tc>
        <w:tc>
          <w:tcPr>
            <w:tcW w:w="21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1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2"/>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242,528,680.76</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397,998,104.28</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运输费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86,087,168.77</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74,151,504.23</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差旅费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57,729,200.63</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55,614,668.39</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业务招待费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42,523,150.74</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30,509,893.60</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技术服务费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31,642,586.95</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19,132,958.28</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办公费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21,457,801.85</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18,296,767.92</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水电费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17,990,214.02</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10,726,891.02</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租赁费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16,493,148.96</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22,399,252.89</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咨询费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12,344,187.73</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13,304,005.72</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修理费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8,381,016.06</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6"/>
                <w:szCs w:val="16"/>
              </w:rPr>
            </w:pPr>
            <w:r>
              <w:rPr>
                <w:rFonts w:ascii="Times New Roman"/>
                <w:spacing w:val="-1"/>
                <w:sz w:val="16"/>
              </w:rPr>
              <w:t>6,215,039.91</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广告费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7,012,384.65</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8,050,346.04</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审计费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5,635,302.65</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6,138,109.94</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销售服务费</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4,790,555.53</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14,843,226.42</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其他付现费用</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160,923,138.71</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121,622,672.82</w:t>
            </w:r>
          </w:p>
        </w:tc>
      </w:tr>
      <w:tr>
        <w:trPr>
          <w:trHeight w:val="283" w:hRule="exact"/>
        </w:trPr>
        <w:tc>
          <w:tcPr>
            <w:tcW w:w="39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787"/>
              <w:jc w:val="right"/>
              <w:rPr>
                <w:rFonts w:ascii="宋体" w:hAnsi="宋体" w:cs="宋体" w:eastAsia="宋体" w:hint="default"/>
                <w:sz w:val="16"/>
                <w:szCs w:val="16"/>
              </w:rPr>
            </w:pPr>
            <w:r>
              <w:rPr>
                <w:rFonts w:ascii="宋体" w:hAnsi="宋体" w:cs="宋体" w:eastAsia="宋体" w:hint="default"/>
                <w:sz w:val="16"/>
                <w:szCs w:val="16"/>
              </w:rPr>
              <w:t>合计</w:t>
            </w:r>
          </w:p>
        </w:tc>
        <w:tc>
          <w:tcPr>
            <w:tcW w:w="21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715,538,538.01</w:t>
            </w:r>
          </w:p>
        </w:tc>
        <w:tc>
          <w:tcPr>
            <w:tcW w:w="21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799,003,441.46</w:t>
            </w:r>
          </w:p>
        </w:tc>
      </w:tr>
    </w:tbl>
    <w:p>
      <w:pPr>
        <w:spacing w:line="240" w:lineRule="auto" w:before="9"/>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3</w:t>
      </w:r>
      <w:r>
        <w:rPr/>
        <w:t>、</w:t>
        <w:tab/>
      </w:r>
      <w:r>
        <w:rPr>
          <w:spacing w:val="-1"/>
        </w:rPr>
        <w:t>支付的其他与投资活动有关的现金</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980"/>
        <w:gridCol w:w="2084"/>
        <w:gridCol w:w="2141"/>
      </w:tblGrid>
      <w:tr>
        <w:trPr>
          <w:trHeight w:val="283" w:hRule="exact"/>
        </w:trPr>
        <w:tc>
          <w:tcPr>
            <w:tcW w:w="398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814"/>
              <w:jc w:val="right"/>
              <w:rPr>
                <w:rFonts w:ascii="宋体" w:hAnsi="宋体" w:cs="宋体" w:eastAsia="宋体" w:hint="default"/>
                <w:sz w:val="16"/>
                <w:szCs w:val="16"/>
              </w:rPr>
            </w:pPr>
            <w:r>
              <w:rPr>
                <w:rFonts w:ascii="宋体" w:hAnsi="宋体" w:cs="宋体" w:eastAsia="宋体" w:hint="default"/>
                <w:sz w:val="16"/>
                <w:szCs w:val="16"/>
              </w:rPr>
              <w:t>项目</w:t>
            </w:r>
          </w:p>
        </w:tc>
        <w:tc>
          <w:tcPr>
            <w:tcW w:w="20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1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9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取得投资收益支付的税费</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125,379,381.10</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48,523,253.09</w:t>
            </w:r>
          </w:p>
        </w:tc>
      </w:tr>
      <w:tr>
        <w:trPr>
          <w:trHeight w:val="274" w:hRule="exact"/>
        </w:trPr>
        <w:tc>
          <w:tcPr>
            <w:tcW w:w="39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物业改造支出</w:t>
            </w:r>
          </w:p>
        </w:tc>
        <w:tc>
          <w:tcPr>
            <w:tcW w:w="2084" w:type="dxa"/>
            <w:tcBorders>
              <w:top w:val="dotted" w:sz="4" w:space="0" w:color="000000"/>
              <w:left w:val="dotted" w:sz="4" w:space="0" w:color="000000"/>
              <w:bottom w:val="dotted" w:sz="4" w:space="0" w:color="000000"/>
              <w:right w:val="dotted" w:sz="4" w:space="0" w:color="000000"/>
            </w:tcBorders>
          </w:tcPr>
          <w:p>
            <w:pP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32,723,726.92</w:t>
            </w:r>
          </w:p>
        </w:tc>
      </w:tr>
      <w:tr>
        <w:trPr>
          <w:trHeight w:val="283" w:hRule="exact"/>
        </w:trPr>
        <w:tc>
          <w:tcPr>
            <w:tcW w:w="398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814"/>
              <w:jc w:val="right"/>
              <w:rPr>
                <w:rFonts w:ascii="宋体" w:hAnsi="宋体" w:cs="宋体" w:eastAsia="宋体" w:hint="default"/>
                <w:sz w:val="16"/>
                <w:szCs w:val="16"/>
              </w:rPr>
            </w:pPr>
            <w:r>
              <w:rPr>
                <w:rFonts w:ascii="宋体" w:hAnsi="宋体" w:cs="宋体" w:eastAsia="宋体" w:hint="default"/>
                <w:sz w:val="16"/>
                <w:szCs w:val="16"/>
              </w:rPr>
              <w:t>合计</w:t>
            </w:r>
          </w:p>
        </w:tc>
        <w:tc>
          <w:tcPr>
            <w:tcW w:w="20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125,379,381.10</w:t>
            </w:r>
          </w:p>
        </w:tc>
        <w:tc>
          <w:tcPr>
            <w:tcW w:w="21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81,246,980.01</w:t>
            </w:r>
          </w:p>
        </w:tc>
      </w:tr>
    </w:tbl>
    <w:p>
      <w:pPr>
        <w:spacing w:line="240" w:lineRule="auto" w:before="7"/>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4</w:t>
      </w:r>
      <w:r>
        <w:rPr/>
        <w:t>、</w:t>
        <w:tab/>
      </w:r>
      <w:r>
        <w:rPr>
          <w:spacing w:val="-1"/>
        </w:rPr>
        <w:t>收到的其他与筹资活动有关的现金</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925"/>
        <w:gridCol w:w="2139"/>
        <w:gridCol w:w="2141"/>
      </w:tblGrid>
      <w:tr>
        <w:trPr>
          <w:trHeight w:val="286" w:hRule="exact"/>
        </w:trPr>
        <w:tc>
          <w:tcPr>
            <w:tcW w:w="39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1787"/>
              <w:jc w:val="right"/>
              <w:rPr>
                <w:rFonts w:ascii="宋体" w:hAnsi="宋体" w:cs="宋体" w:eastAsia="宋体" w:hint="default"/>
                <w:sz w:val="16"/>
                <w:szCs w:val="16"/>
              </w:rPr>
            </w:pPr>
            <w:r>
              <w:rPr>
                <w:rFonts w:ascii="宋体" w:hAnsi="宋体" w:cs="宋体" w:eastAsia="宋体" w:hint="default"/>
                <w:sz w:val="16"/>
                <w:szCs w:val="16"/>
              </w:rPr>
              <w:t>项目</w:t>
            </w:r>
          </w:p>
        </w:tc>
        <w:tc>
          <w:tcPr>
            <w:tcW w:w="21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1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2"/>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国有资本金注资前转借款</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50,000,000.00</w:t>
            </w:r>
          </w:p>
        </w:tc>
        <w:tc>
          <w:tcPr>
            <w:tcW w:w="2141"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国拨资金</w:t>
            </w:r>
          </w:p>
        </w:tc>
        <w:tc>
          <w:tcPr>
            <w:tcW w:w="2139" w:type="dxa"/>
            <w:tcBorders>
              <w:top w:val="dotted" w:sz="4" w:space="0" w:color="000000"/>
              <w:left w:val="dotted" w:sz="4" w:space="0" w:color="000000"/>
              <w:bottom w:val="dotted" w:sz="4" w:space="0" w:color="000000"/>
              <w:right w:val="dotted" w:sz="4" w:space="0" w:color="000000"/>
            </w:tcBorders>
          </w:tcPr>
          <w:p>
            <w:pP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46,980,000.00</w:t>
            </w:r>
          </w:p>
        </w:tc>
      </w:tr>
      <w:tr>
        <w:trPr>
          <w:trHeight w:val="283" w:hRule="exact"/>
        </w:trPr>
        <w:tc>
          <w:tcPr>
            <w:tcW w:w="3925"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1787"/>
              <w:jc w:val="right"/>
              <w:rPr>
                <w:rFonts w:ascii="宋体" w:hAnsi="宋体" w:cs="宋体" w:eastAsia="宋体" w:hint="default"/>
                <w:sz w:val="16"/>
                <w:szCs w:val="16"/>
              </w:rPr>
            </w:pPr>
            <w:r>
              <w:rPr>
                <w:rFonts w:ascii="宋体" w:hAnsi="宋体" w:cs="宋体" w:eastAsia="宋体" w:hint="default"/>
                <w:sz w:val="16"/>
                <w:szCs w:val="16"/>
              </w:rPr>
              <w:t>合计</w:t>
            </w:r>
          </w:p>
        </w:tc>
        <w:tc>
          <w:tcPr>
            <w:tcW w:w="21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50,000,000.00</w:t>
            </w:r>
          </w:p>
        </w:tc>
        <w:tc>
          <w:tcPr>
            <w:tcW w:w="21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46,980,000.00</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2"/>
        <w:rPr>
          <w:rFonts w:ascii="宋体" w:hAnsi="宋体" w:cs="宋体" w:eastAsia="宋体" w:hint="default"/>
          <w:b/>
          <w:bCs/>
          <w:sz w:val="22"/>
          <w:szCs w:val="22"/>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5</w:t>
      </w:r>
      <w:r>
        <w:rPr/>
        <w:t>、</w:t>
        <w:tab/>
      </w:r>
      <w:r>
        <w:rPr>
          <w:spacing w:val="-1"/>
        </w:rPr>
        <w:t>支付的其他与筹资活动有关的现金</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925"/>
        <w:gridCol w:w="2139"/>
        <w:gridCol w:w="2141"/>
      </w:tblGrid>
      <w:tr>
        <w:trPr>
          <w:trHeight w:val="286" w:hRule="exact"/>
        </w:trPr>
        <w:tc>
          <w:tcPr>
            <w:tcW w:w="39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1787"/>
              <w:jc w:val="right"/>
              <w:rPr>
                <w:rFonts w:ascii="宋体" w:hAnsi="宋体" w:cs="宋体" w:eastAsia="宋体" w:hint="default"/>
                <w:sz w:val="16"/>
                <w:szCs w:val="16"/>
              </w:rPr>
            </w:pPr>
            <w:r>
              <w:rPr>
                <w:rFonts w:ascii="宋体" w:hAnsi="宋体" w:cs="宋体" w:eastAsia="宋体" w:hint="default"/>
                <w:sz w:val="16"/>
                <w:szCs w:val="16"/>
              </w:rPr>
              <w:t>项目</w:t>
            </w:r>
          </w:p>
        </w:tc>
        <w:tc>
          <w:tcPr>
            <w:tcW w:w="21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1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2"/>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股权收购款</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176,354,626.19</w:t>
            </w:r>
          </w:p>
        </w:tc>
        <w:tc>
          <w:tcPr>
            <w:tcW w:w="2141"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票据保证金</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18,985,438.87</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4,928,505.59</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偿还关联方借款</w:t>
            </w:r>
          </w:p>
        </w:tc>
        <w:tc>
          <w:tcPr>
            <w:tcW w:w="2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6,000,000.00</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3,440,000.00</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用于担保的定期存款</w:t>
            </w:r>
          </w:p>
        </w:tc>
        <w:tc>
          <w:tcPr>
            <w:tcW w:w="2139" w:type="dxa"/>
            <w:tcBorders>
              <w:top w:val="dotted" w:sz="4" w:space="0" w:color="000000"/>
              <w:left w:val="dotted" w:sz="4" w:space="0" w:color="000000"/>
              <w:bottom w:val="dotted" w:sz="4" w:space="0" w:color="000000"/>
              <w:right w:val="dotted" w:sz="4" w:space="0" w:color="000000"/>
            </w:tcBorders>
          </w:tcPr>
          <w:p>
            <w:pP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112,000,000.00</w:t>
            </w:r>
          </w:p>
        </w:tc>
      </w:tr>
      <w:tr>
        <w:trPr>
          <w:trHeight w:val="274" w:hRule="exact"/>
        </w:trPr>
        <w:tc>
          <w:tcPr>
            <w:tcW w:w="392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融资租赁款项</w:t>
            </w:r>
          </w:p>
        </w:tc>
        <w:tc>
          <w:tcPr>
            <w:tcW w:w="2139" w:type="dxa"/>
            <w:tcBorders>
              <w:top w:val="dotted" w:sz="4" w:space="0" w:color="000000"/>
              <w:left w:val="dotted" w:sz="4" w:space="0" w:color="000000"/>
              <w:bottom w:val="dotted" w:sz="4" w:space="0" w:color="000000"/>
              <w:right w:val="dotted" w:sz="4" w:space="0" w:color="000000"/>
            </w:tcBorders>
          </w:tcPr>
          <w:p>
            <w:pP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765,626.00</w:t>
            </w:r>
          </w:p>
        </w:tc>
      </w:tr>
      <w:tr>
        <w:trPr>
          <w:trHeight w:val="283" w:hRule="exact"/>
        </w:trPr>
        <w:tc>
          <w:tcPr>
            <w:tcW w:w="3925"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1787"/>
              <w:jc w:val="right"/>
              <w:rPr>
                <w:rFonts w:ascii="宋体" w:hAnsi="宋体" w:cs="宋体" w:eastAsia="宋体" w:hint="default"/>
                <w:sz w:val="16"/>
                <w:szCs w:val="16"/>
              </w:rPr>
            </w:pPr>
            <w:r>
              <w:rPr>
                <w:rFonts w:ascii="宋体" w:hAnsi="宋体" w:cs="宋体" w:eastAsia="宋体" w:hint="default"/>
                <w:sz w:val="16"/>
                <w:szCs w:val="16"/>
              </w:rPr>
              <w:t>合计</w:t>
            </w:r>
          </w:p>
        </w:tc>
        <w:tc>
          <w:tcPr>
            <w:tcW w:w="21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201,340,065.06</w:t>
            </w:r>
          </w:p>
        </w:tc>
        <w:tc>
          <w:tcPr>
            <w:tcW w:w="21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121,134,131.59</w:t>
            </w: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六十三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现金流量表补充资料</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现金流量表补充资料</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4412"/>
        <w:gridCol w:w="1819"/>
        <w:gridCol w:w="1973"/>
      </w:tblGrid>
      <w:tr>
        <w:trPr>
          <w:trHeight w:val="283" w:hRule="exact"/>
        </w:trPr>
        <w:tc>
          <w:tcPr>
            <w:tcW w:w="441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补充资料</w:t>
            </w:r>
          </w:p>
        </w:tc>
        <w:tc>
          <w:tcPr>
            <w:tcW w:w="18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580"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97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、将净利润调节为经营活动现金流量</w:t>
            </w:r>
          </w:p>
        </w:tc>
        <w:tc>
          <w:tcPr>
            <w:tcW w:w="1819"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1,165,863,878.41</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1,204,916,696.15</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加：信用减值损失</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30,818,930.87</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资产减值准备</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76,174,647.54</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95,483,170.08</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固定资产折旧</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182,399,548.56</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169,003,030.16</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无形资产摊销</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2"/>
                <w:sz w:val="16"/>
              </w:rPr>
              <w:t>40,113,546.65</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31,756,531.69</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长期待摊费用摊销</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12,737,485.36</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8,702,359.54</w:t>
            </w:r>
          </w:p>
        </w:tc>
      </w:tr>
      <w:tr>
        <w:trPr>
          <w:trHeight w:val="480"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21" w:firstLine="321"/>
              <w:jc w:val="left"/>
              <w:rPr>
                <w:rFonts w:ascii="宋体" w:hAnsi="宋体" w:cs="宋体" w:eastAsia="宋体" w:hint="default"/>
                <w:sz w:val="16"/>
                <w:szCs w:val="16"/>
              </w:rPr>
            </w:pPr>
            <w:r>
              <w:rPr>
                <w:rFonts w:ascii="宋体" w:hAnsi="宋体" w:cs="宋体" w:eastAsia="宋体" w:hint="default"/>
                <w:spacing w:val="-1"/>
                <w:sz w:val="16"/>
                <w:szCs w:val="16"/>
              </w:rPr>
              <w:t>处置固定资产、无形资产和其他长期资产的损失（收益</w:t>
            </w:r>
            <w:r>
              <w:rPr>
                <w:rFonts w:ascii="宋体" w:hAnsi="宋体" w:cs="宋体" w:eastAsia="宋体" w:hint="default"/>
                <w:w w:val="100"/>
                <w:sz w:val="16"/>
                <w:szCs w:val="16"/>
              </w:rPr>
              <w:t> </w:t>
            </w:r>
            <w:r>
              <w:rPr>
                <w:rFonts w:ascii="宋体" w:hAnsi="宋体" w:cs="宋体" w:eastAsia="宋体" w:hint="default"/>
                <w:sz w:val="16"/>
                <w:szCs w:val="16"/>
              </w:rPr>
              <w:t>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-159,137.94</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2,295,823.91</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固定资产报废损失（收益以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2,304,817.88</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1,348,034.12</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公允价值变动损失（收益以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-279,371,153.85</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-148,661,957.96</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财务费用（收益以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136,631,542.68</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96,758,019.84</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投资损失（收益以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-8,827,041.99</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-812,413,667.15</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递延所得税资产减少（增加以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1,491,560.57</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-11,134,159.32</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443" w:right="0"/>
              <w:jc w:val="left"/>
              <w:rPr>
                <w:rFonts w:ascii="宋体" w:hAnsi="宋体" w:cs="宋体" w:eastAsia="宋体" w:hint="default"/>
                <w:sz w:val="16"/>
                <w:szCs w:val="16"/>
              </w:rPr>
            </w:pPr>
            <w:r>
              <w:rPr>
                <w:rFonts w:ascii="宋体" w:hAnsi="宋体" w:cs="宋体" w:eastAsia="宋体" w:hint="default"/>
                <w:sz w:val="16"/>
                <w:szCs w:val="16"/>
              </w:rPr>
              <w:t>递延所得税负债增加（减少以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6"/>
                <w:szCs w:val="16"/>
              </w:rPr>
            </w:pPr>
            <w:r>
              <w:rPr>
                <w:rFonts w:ascii="Times New Roman"/>
                <w:spacing w:val="-1"/>
                <w:sz w:val="16"/>
              </w:rPr>
              <w:t>136,644,442.14</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6"/>
                <w:szCs w:val="16"/>
              </w:rPr>
            </w:pPr>
            <w:r>
              <w:rPr>
                <w:rFonts w:ascii="Times New Roman"/>
                <w:spacing w:val="-2"/>
                <w:sz w:val="16"/>
              </w:rPr>
              <w:t>29,129,497.41</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存货的减少（增加以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-251,739,520.88</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-344,606,287.74</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778"/>
              <w:jc w:val="right"/>
              <w:rPr>
                <w:rFonts w:ascii="宋体" w:hAnsi="宋体" w:cs="宋体" w:eastAsia="宋体" w:hint="default"/>
                <w:sz w:val="16"/>
                <w:szCs w:val="16"/>
              </w:rPr>
            </w:pPr>
            <w:r>
              <w:rPr>
                <w:rFonts w:ascii="宋体" w:hAnsi="宋体" w:cs="宋体" w:eastAsia="宋体" w:hint="default"/>
                <w:spacing w:val="-1"/>
                <w:sz w:val="16"/>
                <w:szCs w:val="16"/>
              </w:rPr>
              <w:t>经营性应收项目的减少（增加以</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号填列）</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-1,843,746,474.95</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-763,570,610.90</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778"/>
              <w:jc w:val="right"/>
              <w:rPr>
                <w:rFonts w:ascii="宋体" w:hAnsi="宋体" w:cs="宋体" w:eastAsia="宋体" w:hint="default"/>
                <w:sz w:val="16"/>
                <w:szCs w:val="16"/>
              </w:rPr>
            </w:pPr>
            <w:r>
              <w:rPr>
                <w:rFonts w:ascii="宋体" w:hAnsi="宋体" w:cs="宋体" w:eastAsia="宋体" w:hint="default"/>
                <w:spacing w:val="-1"/>
                <w:sz w:val="16"/>
                <w:szCs w:val="16"/>
              </w:rPr>
              <w:t>经营性应付项目的增加（减少以</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号填列）</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707,816,744.07</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513,415,767.02</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44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819"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109,153,815.12</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72,422,246.85</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、不涉及现金收支的重大投资和筹资活动</w:t>
            </w:r>
          </w:p>
        </w:tc>
        <w:tc>
          <w:tcPr>
            <w:tcW w:w="1819"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债务转为资本</w:t>
            </w:r>
          </w:p>
        </w:tc>
        <w:tc>
          <w:tcPr>
            <w:tcW w:w="1819"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一年内到期的可转换公司债券</w:t>
            </w:r>
          </w:p>
        </w:tc>
        <w:tc>
          <w:tcPr>
            <w:tcW w:w="1819"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融资租入固定资产</w:t>
            </w:r>
          </w:p>
        </w:tc>
        <w:tc>
          <w:tcPr>
            <w:tcW w:w="1819"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、现金及现金等价物净变动情况</w:t>
            </w:r>
          </w:p>
        </w:tc>
        <w:tc>
          <w:tcPr>
            <w:tcW w:w="1819"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现金的期末余额</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3,818,084,281.42</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3,221,773,605.00</w:t>
            </w: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减：现金的期初余额</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3,221,773,605.00</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2,943,664,838.40</w:t>
            </w:r>
          </w:p>
        </w:tc>
      </w:tr>
      <w:tr>
        <w:trPr>
          <w:trHeight w:val="271"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加：现金等价物的期末余额</w:t>
            </w:r>
          </w:p>
        </w:tc>
        <w:tc>
          <w:tcPr>
            <w:tcW w:w="1819"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减：现金等价物的期初余额</w:t>
            </w:r>
          </w:p>
        </w:tc>
        <w:tc>
          <w:tcPr>
            <w:tcW w:w="1819"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44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现金及现金等价物净增加额</w:t>
            </w:r>
          </w:p>
        </w:tc>
        <w:tc>
          <w:tcPr>
            <w:tcW w:w="18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596,310,676.42</w:t>
            </w:r>
          </w:p>
        </w:tc>
        <w:tc>
          <w:tcPr>
            <w:tcW w:w="19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278,108,766.60</w:t>
            </w:r>
          </w:p>
        </w:tc>
      </w:tr>
    </w:tbl>
    <w:p>
      <w:pPr>
        <w:spacing w:line="240" w:lineRule="auto" w:before="6"/>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本期收到的处置子公司的现金净额</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5531"/>
        <w:gridCol w:w="2674"/>
      </w:tblGrid>
      <w:tr>
        <w:trPr>
          <w:trHeight w:val="283" w:hRule="exact"/>
        </w:trPr>
        <w:tc>
          <w:tcPr>
            <w:tcW w:w="5531" w:type="dxa"/>
            <w:tcBorders>
              <w:top w:val="single" w:sz="12" w:space="0" w:color="000000"/>
              <w:left w:val="nil" w:sz="6" w:space="0" w:color="auto"/>
              <w:bottom w:val="dotted" w:sz="4" w:space="0" w:color="000000"/>
              <w:right w:val="dotted" w:sz="4" w:space="0" w:color="000000"/>
            </w:tcBorders>
          </w:tcPr>
          <w:p>
            <w:pPr/>
          </w:p>
        </w:tc>
        <w:tc>
          <w:tcPr>
            <w:tcW w:w="267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2"/>
              <w:jc w:val="center"/>
              <w:rPr>
                <w:rFonts w:ascii="宋体" w:hAnsi="宋体" w:cs="宋体" w:eastAsia="宋体" w:hint="default"/>
                <w:sz w:val="16"/>
                <w:szCs w:val="16"/>
              </w:rPr>
            </w:pPr>
            <w:r>
              <w:rPr>
                <w:rFonts w:ascii="宋体" w:hAnsi="宋体" w:cs="宋体" w:eastAsia="宋体" w:hint="default"/>
                <w:sz w:val="16"/>
                <w:szCs w:val="16"/>
              </w:rPr>
              <w:t>金额</w:t>
            </w:r>
          </w:p>
        </w:tc>
      </w:tr>
      <w:tr>
        <w:trPr>
          <w:trHeight w:val="274" w:hRule="exact"/>
        </w:trPr>
        <w:tc>
          <w:tcPr>
            <w:tcW w:w="55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本期处置子公司于本期收到的现金或现金等价物</w:t>
            </w:r>
          </w:p>
        </w:tc>
        <w:tc>
          <w:tcPr>
            <w:tcW w:w="26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16"/>
                <w:szCs w:val="16"/>
              </w:rPr>
            </w:pPr>
            <w:r>
              <w:rPr>
                <w:rFonts w:ascii="Times New Roman"/>
                <w:spacing w:val="-2"/>
                <w:sz w:val="16"/>
              </w:rPr>
              <w:t>31,776,871.17</w:t>
            </w:r>
          </w:p>
        </w:tc>
      </w:tr>
      <w:tr>
        <w:trPr>
          <w:trHeight w:val="286" w:hRule="exact"/>
        </w:trPr>
        <w:tc>
          <w:tcPr>
            <w:tcW w:w="55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其中：湖南凯杰科技有限责任公司</w:t>
            </w:r>
          </w:p>
        </w:tc>
        <w:tc>
          <w:tcPr>
            <w:tcW w:w="26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31,776,871.17</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b/>
          <w:bCs/>
          <w:sz w:val="18"/>
          <w:szCs w:val="18"/>
        </w:rPr>
      </w:pPr>
    </w:p>
    <w:tbl>
      <w:tblPr>
        <w:tblW w:w="0" w:type="auto"/>
        <w:jc w:val="left"/>
        <w:tblInd w:w="721" w:type="dxa"/>
        <w:tblLayout w:type="fixed"/>
        <w:tblCellMar>
          <w:top w:w="0" w:type="dxa"/>
          <w:left w:w="0" w:type="dxa"/>
          <w:bottom w:w="0" w:type="dxa"/>
          <w:right w:w="0" w:type="dxa"/>
        </w:tblCellMar>
        <w:tblLook w:val="01E0"/>
      </w:tblPr>
      <w:tblGrid>
        <w:gridCol w:w="5531"/>
        <w:gridCol w:w="2674"/>
      </w:tblGrid>
      <w:tr>
        <w:trPr>
          <w:trHeight w:val="284" w:hRule="exact"/>
        </w:trPr>
        <w:tc>
          <w:tcPr>
            <w:tcW w:w="5531" w:type="dxa"/>
            <w:tcBorders>
              <w:top w:val="single" w:sz="12" w:space="0" w:color="000000"/>
              <w:left w:val="nil" w:sz="6" w:space="0" w:color="auto"/>
              <w:bottom w:val="dotted" w:sz="4" w:space="0" w:color="000000"/>
              <w:right w:val="dotted" w:sz="4" w:space="0" w:color="000000"/>
            </w:tcBorders>
          </w:tcPr>
          <w:p>
            <w:pPr/>
          </w:p>
        </w:tc>
        <w:tc>
          <w:tcPr>
            <w:tcW w:w="267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2"/>
              <w:jc w:val="center"/>
              <w:rPr>
                <w:rFonts w:ascii="宋体" w:hAnsi="宋体" w:cs="宋体" w:eastAsia="宋体" w:hint="default"/>
                <w:sz w:val="16"/>
                <w:szCs w:val="16"/>
              </w:rPr>
            </w:pPr>
            <w:r>
              <w:rPr>
                <w:rFonts w:ascii="宋体" w:hAnsi="宋体" w:cs="宋体" w:eastAsia="宋体" w:hint="default"/>
                <w:sz w:val="16"/>
                <w:szCs w:val="16"/>
              </w:rPr>
              <w:t>金额</w:t>
            </w:r>
          </w:p>
        </w:tc>
      </w:tr>
      <w:tr>
        <w:trPr>
          <w:trHeight w:val="274" w:hRule="exact"/>
        </w:trPr>
        <w:tc>
          <w:tcPr>
            <w:tcW w:w="55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减：丧失控制权日子公司持有的现金及现金等价物</w:t>
            </w:r>
          </w:p>
        </w:tc>
        <w:tc>
          <w:tcPr>
            <w:tcW w:w="26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20,774,891.78</w:t>
            </w:r>
          </w:p>
        </w:tc>
      </w:tr>
      <w:tr>
        <w:trPr>
          <w:trHeight w:val="274" w:hRule="exact"/>
        </w:trPr>
        <w:tc>
          <w:tcPr>
            <w:tcW w:w="55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其中：湖南凯杰科技有限责任公司</w:t>
            </w:r>
          </w:p>
        </w:tc>
        <w:tc>
          <w:tcPr>
            <w:tcW w:w="26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20,774,891.78</w:t>
            </w:r>
          </w:p>
        </w:tc>
      </w:tr>
      <w:tr>
        <w:trPr>
          <w:trHeight w:val="274" w:hRule="exact"/>
        </w:trPr>
        <w:tc>
          <w:tcPr>
            <w:tcW w:w="55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加：以前期间处置子公司于本期收到的现金或现金等价物</w:t>
            </w:r>
          </w:p>
        </w:tc>
        <w:tc>
          <w:tcPr>
            <w:tcW w:w="2674" w:type="dxa"/>
            <w:tcBorders>
              <w:top w:val="dotted" w:sz="4" w:space="0" w:color="000000"/>
              <w:left w:val="dotted" w:sz="4" w:space="0" w:color="000000"/>
              <w:bottom w:val="dotted" w:sz="4" w:space="0" w:color="000000"/>
              <w:right w:val="nil" w:sz="6" w:space="0" w:color="auto"/>
            </w:tcBorders>
          </w:tcPr>
          <w:p>
            <w:pPr/>
          </w:p>
        </w:tc>
      </w:tr>
      <w:tr>
        <w:trPr>
          <w:trHeight w:val="283" w:hRule="exact"/>
        </w:trPr>
        <w:tc>
          <w:tcPr>
            <w:tcW w:w="55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处置子公司收到的现金净额</w:t>
            </w:r>
          </w:p>
        </w:tc>
        <w:tc>
          <w:tcPr>
            <w:tcW w:w="26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11,001,979.39</w:t>
            </w:r>
          </w:p>
        </w:tc>
      </w:tr>
    </w:tbl>
    <w:p>
      <w:pPr>
        <w:pStyle w:val="Heading5"/>
        <w:tabs>
          <w:tab w:pos="1397" w:val="left" w:leader="none"/>
        </w:tabs>
        <w:spacing w:line="240" w:lineRule="auto" w:before="95"/>
        <w:ind w:left="846" w:right="3683"/>
        <w:jc w:val="left"/>
        <w:rPr>
          <w:b w:val="0"/>
          <w:bCs w:val="0"/>
        </w:rPr>
      </w:pPr>
      <w:r>
        <w:rPr>
          <w:rFonts w:ascii="Times New Roman" w:hAnsi="Times New Roman" w:cs="Times New Roman" w:eastAsia="Times New Roman" w:hint="default"/>
        </w:rPr>
        <w:t>3</w:t>
      </w:r>
      <w:r>
        <w:rPr/>
        <w:t>、</w:t>
        <w:tab/>
      </w:r>
      <w:r>
        <w:rPr>
          <w:spacing w:val="-1"/>
        </w:rPr>
        <w:t>现金和现金等价物的构成</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4506"/>
        <w:gridCol w:w="1810"/>
        <w:gridCol w:w="1889"/>
      </w:tblGrid>
      <w:tr>
        <w:trPr>
          <w:trHeight w:val="283" w:hRule="exact"/>
        </w:trPr>
        <w:tc>
          <w:tcPr>
            <w:tcW w:w="450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8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578"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88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458"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45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一、现金</w:t>
            </w:r>
          </w:p>
        </w:tc>
        <w:tc>
          <w:tcPr>
            <w:tcW w:w="18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3,818,084,281.42</w:t>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3,221,773,605.00</w:t>
            </w:r>
          </w:p>
        </w:tc>
      </w:tr>
      <w:tr>
        <w:trPr>
          <w:trHeight w:val="274" w:hRule="exact"/>
        </w:trPr>
        <w:tc>
          <w:tcPr>
            <w:tcW w:w="45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其中：库存现金</w:t>
            </w:r>
          </w:p>
        </w:tc>
        <w:tc>
          <w:tcPr>
            <w:tcW w:w="18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420,657.17</w:t>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437,844.84</w:t>
            </w:r>
          </w:p>
        </w:tc>
      </w:tr>
      <w:tr>
        <w:trPr>
          <w:trHeight w:val="274" w:hRule="exact"/>
        </w:trPr>
        <w:tc>
          <w:tcPr>
            <w:tcW w:w="45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可随时用于支付的银行存款</w:t>
            </w:r>
          </w:p>
        </w:tc>
        <w:tc>
          <w:tcPr>
            <w:tcW w:w="18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3,817,471,246.65</w:t>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3,221,335,760.16</w:t>
            </w:r>
          </w:p>
        </w:tc>
      </w:tr>
      <w:tr>
        <w:trPr>
          <w:trHeight w:val="274" w:hRule="exact"/>
        </w:trPr>
        <w:tc>
          <w:tcPr>
            <w:tcW w:w="45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可随时用于支付的其他货币资金</w:t>
            </w:r>
          </w:p>
        </w:tc>
        <w:tc>
          <w:tcPr>
            <w:tcW w:w="18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192,377.60</w:t>
            </w:r>
          </w:p>
        </w:tc>
        <w:tc>
          <w:tcPr>
            <w:tcW w:w="188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5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可用于支付的存放中央银行款项</w:t>
            </w:r>
          </w:p>
        </w:tc>
        <w:tc>
          <w:tcPr>
            <w:tcW w:w="1810" w:type="dxa"/>
            <w:tcBorders>
              <w:top w:val="dotted" w:sz="4" w:space="0" w:color="000000"/>
              <w:left w:val="dotted" w:sz="4" w:space="0" w:color="000000"/>
              <w:bottom w:val="dotted" w:sz="4" w:space="0" w:color="000000"/>
              <w:right w:val="dotted" w:sz="4" w:space="0" w:color="000000"/>
            </w:tcBorders>
          </w:tcPr>
          <w:p>
            <w:pPr/>
          </w:p>
        </w:tc>
        <w:tc>
          <w:tcPr>
            <w:tcW w:w="188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5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存放同业款项</w:t>
            </w:r>
          </w:p>
        </w:tc>
        <w:tc>
          <w:tcPr>
            <w:tcW w:w="1810" w:type="dxa"/>
            <w:tcBorders>
              <w:top w:val="dotted" w:sz="4" w:space="0" w:color="000000"/>
              <w:left w:val="dotted" w:sz="4" w:space="0" w:color="000000"/>
              <w:bottom w:val="dotted" w:sz="4" w:space="0" w:color="000000"/>
              <w:right w:val="dotted" w:sz="4" w:space="0" w:color="000000"/>
            </w:tcBorders>
          </w:tcPr>
          <w:p>
            <w:pPr/>
          </w:p>
        </w:tc>
        <w:tc>
          <w:tcPr>
            <w:tcW w:w="188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5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604" w:right="0"/>
              <w:jc w:val="left"/>
              <w:rPr>
                <w:rFonts w:ascii="宋体" w:hAnsi="宋体" w:cs="宋体" w:eastAsia="宋体" w:hint="default"/>
                <w:sz w:val="16"/>
                <w:szCs w:val="16"/>
              </w:rPr>
            </w:pPr>
            <w:r>
              <w:rPr>
                <w:rFonts w:ascii="宋体" w:hAnsi="宋体" w:cs="宋体" w:eastAsia="宋体" w:hint="default"/>
                <w:sz w:val="16"/>
                <w:szCs w:val="16"/>
              </w:rPr>
              <w:t>拆放同业款项</w:t>
            </w:r>
          </w:p>
        </w:tc>
        <w:tc>
          <w:tcPr>
            <w:tcW w:w="1810" w:type="dxa"/>
            <w:tcBorders>
              <w:top w:val="dotted" w:sz="4" w:space="0" w:color="000000"/>
              <w:left w:val="dotted" w:sz="4" w:space="0" w:color="000000"/>
              <w:bottom w:val="dotted" w:sz="4" w:space="0" w:color="000000"/>
              <w:right w:val="dotted" w:sz="4" w:space="0" w:color="000000"/>
            </w:tcBorders>
          </w:tcPr>
          <w:p>
            <w:pPr/>
          </w:p>
        </w:tc>
        <w:tc>
          <w:tcPr>
            <w:tcW w:w="188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5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二、现金等价物</w:t>
            </w:r>
          </w:p>
        </w:tc>
        <w:tc>
          <w:tcPr>
            <w:tcW w:w="1810" w:type="dxa"/>
            <w:tcBorders>
              <w:top w:val="dotted" w:sz="4" w:space="0" w:color="000000"/>
              <w:left w:val="dotted" w:sz="4" w:space="0" w:color="000000"/>
              <w:bottom w:val="dotted" w:sz="4" w:space="0" w:color="000000"/>
              <w:right w:val="dotted" w:sz="4" w:space="0" w:color="000000"/>
            </w:tcBorders>
          </w:tcPr>
          <w:p>
            <w:pPr/>
          </w:p>
        </w:tc>
        <w:tc>
          <w:tcPr>
            <w:tcW w:w="188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5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其中：三个月内到期的债券投资</w:t>
            </w:r>
          </w:p>
        </w:tc>
        <w:tc>
          <w:tcPr>
            <w:tcW w:w="1810" w:type="dxa"/>
            <w:tcBorders>
              <w:top w:val="dotted" w:sz="4" w:space="0" w:color="000000"/>
              <w:left w:val="dotted" w:sz="4" w:space="0" w:color="000000"/>
              <w:bottom w:val="dotted" w:sz="4" w:space="0" w:color="000000"/>
              <w:right w:val="dotted" w:sz="4" w:space="0" w:color="000000"/>
            </w:tcBorders>
          </w:tcPr>
          <w:p>
            <w:pPr/>
          </w:p>
        </w:tc>
        <w:tc>
          <w:tcPr>
            <w:tcW w:w="188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5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三、期末现金及现金等价物余额</w:t>
            </w:r>
          </w:p>
        </w:tc>
        <w:tc>
          <w:tcPr>
            <w:tcW w:w="18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3,818,084,281.42</w:t>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3,221,773,605.00</w:t>
            </w:r>
          </w:p>
        </w:tc>
      </w:tr>
      <w:tr>
        <w:trPr>
          <w:trHeight w:val="283" w:hRule="exact"/>
        </w:trPr>
        <w:tc>
          <w:tcPr>
            <w:tcW w:w="45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pacing w:val="-3"/>
                <w:sz w:val="16"/>
                <w:szCs w:val="16"/>
              </w:rPr>
              <w:t>其中：母公司或集团内子公司使用受限制的现金和现金等价物</w:t>
            </w:r>
          </w:p>
        </w:tc>
        <w:tc>
          <w:tcPr>
            <w:tcW w:w="1810" w:type="dxa"/>
            <w:tcBorders>
              <w:top w:val="dotted" w:sz="4" w:space="0" w:color="000000"/>
              <w:left w:val="dotted" w:sz="4" w:space="0" w:color="000000"/>
              <w:bottom w:val="single" w:sz="12" w:space="0" w:color="000000"/>
              <w:right w:val="dotted" w:sz="4" w:space="0" w:color="000000"/>
            </w:tcBorders>
          </w:tcPr>
          <w:p>
            <w:pPr/>
          </w:p>
        </w:tc>
        <w:tc>
          <w:tcPr>
            <w:tcW w:w="188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六十四</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所有权或使用权受到限制的资产</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954"/>
        <w:gridCol w:w="1985"/>
        <w:gridCol w:w="4266"/>
      </w:tblGrid>
      <w:tr>
        <w:trPr>
          <w:trHeight w:val="283" w:hRule="exact"/>
        </w:trPr>
        <w:tc>
          <w:tcPr>
            <w:tcW w:w="19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802"/>
              <w:jc w:val="right"/>
              <w:rPr>
                <w:rFonts w:ascii="宋体" w:hAnsi="宋体" w:cs="宋体" w:eastAsia="宋体" w:hint="default"/>
                <w:sz w:val="16"/>
                <w:szCs w:val="16"/>
              </w:rPr>
            </w:pPr>
            <w:r>
              <w:rPr>
                <w:rFonts w:ascii="宋体" w:hAnsi="宋体" w:cs="宋体" w:eastAsia="宋体" w:hint="default"/>
                <w:sz w:val="16"/>
                <w:szCs w:val="16"/>
              </w:rPr>
              <w:t>项目</w:t>
            </w:r>
          </w:p>
        </w:tc>
        <w:tc>
          <w:tcPr>
            <w:tcW w:w="19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506" w:right="0"/>
              <w:jc w:val="left"/>
              <w:rPr>
                <w:rFonts w:ascii="宋体" w:hAnsi="宋体" w:cs="宋体" w:eastAsia="宋体" w:hint="default"/>
                <w:sz w:val="16"/>
                <w:szCs w:val="16"/>
              </w:rPr>
            </w:pPr>
            <w:r>
              <w:rPr>
                <w:rFonts w:ascii="宋体" w:hAnsi="宋体" w:cs="宋体" w:eastAsia="宋体" w:hint="default"/>
                <w:sz w:val="16"/>
                <w:szCs w:val="16"/>
              </w:rPr>
              <w:t>期末账面价值</w:t>
            </w:r>
          </w:p>
        </w:tc>
        <w:tc>
          <w:tcPr>
            <w:tcW w:w="42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受限原因</w:t>
            </w:r>
          </w:p>
        </w:tc>
      </w:tr>
      <w:tr>
        <w:trPr>
          <w:trHeight w:val="480"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161,192,313.94</w:t>
            </w:r>
          </w:p>
        </w:tc>
        <w:tc>
          <w:tcPr>
            <w:tcW w:w="4266" w:type="dxa"/>
            <w:tcBorders>
              <w:top w:val="dotted" w:sz="4" w:space="0" w:color="000000"/>
              <w:left w:val="dotted" w:sz="4" w:space="0" w:color="000000"/>
              <w:bottom w:val="dotted" w:sz="4" w:space="0" w:color="000000"/>
              <w:right w:val="nil" w:sz="6" w:space="0" w:color="auto"/>
            </w:tcBorders>
          </w:tcPr>
          <w:p>
            <w:pPr>
              <w:pStyle w:val="TableParagraph"/>
              <w:spacing w:line="206" w:lineRule="exact" w:before="25"/>
              <w:ind w:left="103" w:right="106"/>
              <w:jc w:val="left"/>
              <w:rPr>
                <w:rFonts w:ascii="宋体" w:hAnsi="宋体" w:cs="宋体" w:eastAsia="宋体" w:hint="default"/>
                <w:sz w:val="16"/>
                <w:szCs w:val="16"/>
              </w:rPr>
            </w:pPr>
            <w:r>
              <w:rPr>
                <w:rFonts w:ascii="宋体" w:hAnsi="宋体" w:cs="宋体" w:eastAsia="宋体" w:hint="default"/>
                <w:sz w:val="16"/>
                <w:szCs w:val="16"/>
              </w:rPr>
              <w:t>用于担保的定期存款、票据保证金、履约保证金、证券保</w:t>
            </w:r>
            <w:r>
              <w:rPr>
                <w:rFonts w:ascii="宋体" w:hAnsi="宋体" w:cs="宋体" w:eastAsia="宋体" w:hint="default"/>
                <w:spacing w:val="-35"/>
                <w:sz w:val="16"/>
                <w:szCs w:val="16"/>
              </w:rPr>
              <w:t> </w:t>
            </w:r>
            <w:r>
              <w:rPr>
                <w:rFonts w:ascii="宋体" w:hAnsi="宋体" w:cs="宋体" w:eastAsia="宋体" w:hint="default"/>
                <w:spacing w:val="-35"/>
                <w:sz w:val="16"/>
                <w:szCs w:val="16"/>
              </w:rPr>
            </w:r>
            <w:r>
              <w:rPr>
                <w:rFonts w:ascii="宋体" w:hAnsi="宋体" w:cs="宋体" w:eastAsia="宋体" w:hint="default"/>
                <w:sz w:val="16"/>
                <w:szCs w:val="16"/>
              </w:rPr>
              <w:t>证金、</w:t>
            </w:r>
            <w:r>
              <w:rPr>
                <w:rFonts w:ascii="Times New Roman" w:hAnsi="Times New Roman" w:cs="Times New Roman" w:eastAsia="Times New Roman" w:hint="default"/>
                <w:sz w:val="16"/>
                <w:szCs w:val="16"/>
              </w:rPr>
              <w:t>ETC</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保证金、诉讼冻结资金、购房按揭保证金</w:t>
            </w:r>
          </w:p>
        </w:tc>
      </w:tr>
      <w:tr>
        <w:trPr>
          <w:trHeight w:val="274"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40,493,938.79</w:t>
            </w:r>
          </w:p>
        </w:tc>
        <w:tc>
          <w:tcPr>
            <w:tcW w:w="4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已背书或贴现且在资产负债表日尚未到期的商业承兑汇票</w:t>
            </w:r>
          </w:p>
        </w:tc>
      </w:tr>
      <w:tr>
        <w:trPr>
          <w:trHeight w:val="274"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其他债权投资</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28,219,999.97</w:t>
            </w:r>
          </w:p>
        </w:tc>
        <w:tc>
          <w:tcPr>
            <w:tcW w:w="4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债券质押借款</w:t>
            </w:r>
          </w:p>
        </w:tc>
      </w:tr>
      <w:tr>
        <w:trPr>
          <w:trHeight w:val="274"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413,968,900.00</w:t>
            </w:r>
          </w:p>
        </w:tc>
        <w:tc>
          <w:tcPr>
            <w:tcW w:w="4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抵押借款</w:t>
            </w:r>
          </w:p>
        </w:tc>
      </w:tr>
      <w:tr>
        <w:trPr>
          <w:trHeight w:val="274"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400,716,252.12</w:t>
            </w:r>
          </w:p>
        </w:tc>
        <w:tc>
          <w:tcPr>
            <w:tcW w:w="4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抵押借款</w:t>
            </w:r>
          </w:p>
        </w:tc>
      </w:tr>
      <w:tr>
        <w:trPr>
          <w:trHeight w:val="274" w:hRule="exact"/>
        </w:trPr>
        <w:tc>
          <w:tcPr>
            <w:tcW w:w="19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42,124,072.47</w:t>
            </w:r>
          </w:p>
        </w:tc>
        <w:tc>
          <w:tcPr>
            <w:tcW w:w="4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抵押借款</w:t>
            </w:r>
          </w:p>
        </w:tc>
      </w:tr>
      <w:tr>
        <w:trPr>
          <w:trHeight w:val="286" w:hRule="exact"/>
        </w:trPr>
        <w:tc>
          <w:tcPr>
            <w:tcW w:w="19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802"/>
              <w:jc w:val="right"/>
              <w:rPr>
                <w:rFonts w:ascii="宋体" w:hAnsi="宋体" w:cs="宋体" w:eastAsia="宋体" w:hint="default"/>
                <w:sz w:val="16"/>
                <w:szCs w:val="16"/>
              </w:rPr>
            </w:pPr>
            <w:r>
              <w:rPr>
                <w:rFonts w:ascii="宋体" w:hAnsi="宋体" w:cs="宋体" w:eastAsia="宋体" w:hint="default"/>
                <w:sz w:val="16"/>
                <w:szCs w:val="16"/>
              </w:rPr>
              <w:t>合计</w:t>
            </w:r>
          </w:p>
        </w:tc>
        <w:tc>
          <w:tcPr>
            <w:tcW w:w="19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1,086,715,477.29</w:t>
            </w:r>
          </w:p>
        </w:tc>
        <w:tc>
          <w:tcPr>
            <w:tcW w:w="426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27"/>
          <w:szCs w:val="27"/>
        </w:rPr>
      </w:pPr>
    </w:p>
    <w:p>
      <w:pPr>
        <w:pStyle w:val="Heading5"/>
        <w:spacing w:line="240" w:lineRule="auto"/>
        <w:ind w:right="3683"/>
        <w:jc w:val="left"/>
        <w:rPr>
          <w:b w:val="0"/>
          <w:bCs w:val="0"/>
        </w:rPr>
      </w:pPr>
      <w:r>
        <w:rPr>
          <w:rFonts w:ascii="Times New Roman" w:hAnsi="Times New Roman" w:cs="Times New Roman" w:eastAsia="Times New Roman" w:hint="default"/>
        </w:rPr>
        <w:t>(</w:t>
      </w:r>
      <w:r>
        <w:rPr/>
        <w:t>六十五</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外币货币性项目</w:t>
      </w:r>
      <w:r>
        <w:rPr>
          <w:b w:val="0"/>
          <w:bCs w:val="0"/>
        </w:rPr>
      </w:r>
    </w:p>
    <w:p>
      <w:pPr>
        <w:pStyle w:val="Heading5"/>
        <w:tabs>
          <w:tab w:pos="1397" w:val="left" w:leader="none"/>
        </w:tabs>
        <w:spacing w:line="240" w:lineRule="auto" w:before="107"/>
        <w:ind w:left="846" w:right="3683"/>
        <w:jc w:val="left"/>
        <w:rPr>
          <w:b w:val="0"/>
          <w:bCs w:val="0"/>
        </w:rPr>
      </w:pPr>
      <w:r>
        <w:rPr>
          <w:rFonts w:ascii="Times New Roman" w:hAnsi="Times New Roman" w:cs="Times New Roman" w:eastAsia="Times New Roman" w:hint="default"/>
        </w:rPr>
        <w:t>1</w:t>
      </w:r>
      <w:r>
        <w:rPr/>
        <w:t>、</w:t>
        <w:tab/>
        <w:t>外币货币性项目</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535"/>
        <w:gridCol w:w="2045"/>
        <w:gridCol w:w="1402"/>
        <w:gridCol w:w="2223"/>
      </w:tblGrid>
      <w:tr>
        <w:trPr>
          <w:trHeight w:val="286" w:hRule="exact"/>
        </w:trPr>
        <w:tc>
          <w:tcPr>
            <w:tcW w:w="25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04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537" w:right="0"/>
              <w:jc w:val="left"/>
              <w:rPr>
                <w:rFonts w:ascii="宋体" w:hAnsi="宋体" w:cs="宋体" w:eastAsia="宋体" w:hint="default"/>
                <w:sz w:val="16"/>
                <w:szCs w:val="16"/>
              </w:rPr>
            </w:pPr>
            <w:r>
              <w:rPr>
                <w:rFonts w:ascii="宋体" w:hAnsi="宋体" w:cs="宋体" w:eastAsia="宋体" w:hint="default"/>
                <w:sz w:val="16"/>
                <w:szCs w:val="16"/>
              </w:rPr>
              <w:t>期末外币余额</w:t>
            </w:r>
          </w:p>
        </w:tc>
        <w:tc>
          <w:tcPr>
            <w:tcW w:w="14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374" w:right="0"/>
              <w:jc w:val="left"/>
              <w:rPr>
                <w:rFonts w:ascii="宋体" w:hAnsi="宋体" w:cs="宋体" w:eastAsia="宋体" w:hint="default"/>
                <w:sz w:val="16"/>
                <w:szCs w:val="16"/>
              </w:rPr>
            </w:pPr>
            <w:r>
              <w:rPr>
                <w:rFonts w:ascii="宋体" w:hAnsi="宋体" w:cs="宋体" w:eastAsia="宋体" w:hint="default"/>
                <w:sz w:val="16"/>
                <w:szCs w:val="16"/>
              </w:rPr>
              <w:t>折算汇率</w:t>
            </w:r>
          </w:p>
        </w:tc>
        <w:tc>
          <w:tcPr>
            <w:tcW w:w="222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383" w:right="0"/>
              <w:jc w:val="left"/>
              <w:rPr>
                <w:rFonts w:ascii="宋体" w:hAnsi="宋体" w:cs="宋体" w:eastAsia="宋体" w:hint="default"/>
                <w:sz w:val="16"/>
                <w:szCs w:val="16"/>
              </w:rPr>
            </w:pPr>
            <w:r>
              <w:rPr>
                <w:rFonts w:ascii="宋体" w:hAnsi="宋体" w:cs="宋体" w:eastAsia="宋体" w:hint="default"/>
                <w:sz w:val="16"/>
                <w:szCs w:val="16"/>
              </w:rPr>
              <w:t>期末折算人民币余额</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2045"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200,293,365.59</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其中：美元</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25,815,868.29</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6.976200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180,096,660.36</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pacing w:val="-3"/>
                <w:sz w:val="16"/>
                <w:szCs w:val="16"/>
              </w:rPr>
              <w:t>日元</w:t>
            </w:r>
            <w:r>
              <w:rPr>
                <w:rFonts w:ascii="宋体" w:hAnsi="宋体" w:cs="宋体" w:eastAsia="宋体" w:hint="default"/>
                <w:sz w:val="16"/>
                <w:szCs w:val="16"/>
              </w:rPr>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29,387,856.00</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0.064086</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1,883,350.14</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604" w:right="0"/>
              <w:jc w:val="left"/>
              <w:rPr>
                <w:rFonts w:ascii="宋体" w:hAnsi="宋体" w:cs="宋体" w:eastAsia="宋体" w:hint="default"/>
                <w:sz w:val="16"/>
                <w:szCs w:val="16"/>
              </w:rPr>
            </w:pPr>
            <w:r>
              <w:rPr>
                <w:rFonts w:ascii="宋体" w:hAnsi="宋体" w:cs="宋体" w:eastAsia="宋体" w:hint="default"/>
                <w:spacing w:val="-3"/>
                <w:sz w:val="16"/>
                <w:szCs w:val="16"/>
              </w:rPr>
              <w:t>港元</w:t>
            </w:r>
            <w:r>
              <w:rPr>
                <w:rFonts w:ascii="宋体" w:hAnsi="宋体" w:cs="宋体" w:eastAsia="宋体" w:hint="default"/>
                <w:sz w:val="16"/>
                <w:szCs w:val="16"/>
              </w:rPr>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18,825,611.16</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0.895780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16,863,605.96</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604" w:right="0"/>
              <w:jc w:val="left"/>
              <w:rPr>
                <w:rFonts w:ascii="宋体" w:hAnsi="宋体" w:cs="宋体" w:eastAsia="宋体" w:hint="default"/>
                <w:sz w:val="16"/>
                <w:szCs w:val="16"/>
              </w:rPr>
            </w:pPr>
            <w:r>
              <w:rPr>
                <w:rFonts w:ascii="宋体" w:hAnsi="宋体" w:cs="宋体" w:eastAsia="宋体" w:hint="default"/>
                <w:sz w:val="16"/>
                <w:szCs w:val="16"/>
              </w:rPr>
              <w:t>澳门元</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225,294.42</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0.871000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196,231.44</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604" w:right="0"/>
              <w:jc w:val="left"/>
              <w:rPr>
                <w:rFonts w:ascii="宋体" w:hAnsi="宋体" w:cs="宋体" w:eastAsia="宋体" w:hint="default"/>
                <w:sz w:val="16"/>
                <w:szCs w:val="16"/>
              </w:rPr>
            </w:pPr>
            <w:r>
              <w:rPr>
                <w:rFonts w:ascii="宋体" w:hAnsi="宋体" w:cs="宋体" w:eastAsia="宋体" w:hint="default"/>
                <w:spacing w:val="-3"/>
                <w:sz w:val="16"/>
                <w:szCs w:val="16"/>
              </w:rPr>
              <w:t>欧元</w:t>
            </w:r>
            <w:r>
              <w:rPr>
                <w:rFonts w:ascii="宋体" w:hAnsi="宋体" w:cs="宋体" w:eastAsia="宋体" w:hint="default"/>
                <w:sz w:val="16"/>
                <w:szCs w:val="16"/>
              </w:rPr>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12,000.60</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7.815500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93,790.69</w:t>
            </w:r>
          </w:p>
        </w:tc>
      </w:tr>
      <w:tr>
        <w:trPr>
          <w:trHeight w:val="272"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left="604" w:right="0"/>
              <w:jc w:val="left"/>
              <w:rPr>
                <w:rFonts w:ascii="宋体" w:hAnsi="宋体" w:cs="宋体" w:eastAsia="宋体" w:hint="default"/>
                <w:sz w:val="16"/>
                <w:szCs w:val="16"/>
              </w:rPr>
            </w:pPr>
            <w:r>
              <w:rPr>
                <w:rFonts w:ascii="宋体" w:hAnsi="宋体" w:cs="宋体" w:eastAsia="宋体" w:hint="default"/>
                <w:spacing w:val="-3"/>
                <w:sz w:val="16"/>
                <w:szCs w:val="16"/>
              </w:rPr>
              <w:t>英镑</w:t>
            </w:r>
            <w:r>
              <w:rPr>
                <w:rFonts w:ascii="宋体" w:hAnsi="宋体" w:cs="宋体" w:eastAsia="宋体" w:hint="default"/>
                <w:sz w:val="16"/>
                <w:szCs w:val="16"/>
              </w:rPr>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537.41</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9.150100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6"/>
                <w:szCs w:val="16"/>
              </w:rPr>
            </w:pPr>
            <w:r>
              <w:rPr>
                <w:rFonts w:ascii="Times New Roman"/>
                <w:spacing w:val="-1"/>
                <w:sz w:val="16"/>
              </w:rPr>
              <w:t>4,917.36</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新台币</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4,679,360.00</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0.232800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1,089,355.01</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马来西亚林吉特</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109.45</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0.588720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64.44</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新加坡元</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606.98</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5.173900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3,140.45</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菲律宾比索</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12,070.00</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0.137700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1,662.04</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越南盾</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2"/>
                <w:sz w:val="16"/>
              </w:rPr>
              <w:t>45,832,232.56</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0.000269</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12,328.87</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瑞士法郎</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100"/>
              <w:jc w:val="right"/>
              <w:rPr>
                <w:rFonts w:ascii="Times New Roman" w:hAnsi="Times New Roman" w:cs="Times New Roman" w:eastAsia="Times New Roman" w:hint="default"/>
                <w:sz w:val="16"/>
                <w:szCs w:val="16"/>
              </w:rPr>
            </w:pPr>
            <w:r>
              <w:rPr>
                <w:rFonts w:ascii="Times New Roman"/>
                <w:spacing w:val="-1"/>
                <w:sz w:val="16"/>
              </w:rPr>
              <w:t>6,700.01</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100"/>
              <w:jc w:val="right"/>
              <w:rPr>
                <w:rFonts w:ascii="Times New Roman" w:hAnsi="Times New Roman" w:cs="Times New Roman" w:eastAsia="Times New Roman" w:hint="default"/>
                <w:sz w:val="16"/>
                <w:szCs w:val="16"/>
              </w:rPr>
            </w:pPr>
            <w:r>
              <w:rPr>
                <w:rFonts w:ascii="Times New Roman"/>
                <w:spacing w:val="-1"/>
                <w:sz w:val="16"/>
              </w:rPr>
              <w:t>7.202800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6"/>
                <w:szCs w:val="16"/>
              </w:rPr>
            </w:pPr>
            <w:r>
              <w:rPr>
                <w:rFonts w:ascii="Times New Roman"/>
                <w:spacing w:val="-1"/>
                <w:sz w:val="16"/>
              </w:rPr>
              <w:t>48,258.83</w:t>
            </w:r>
          </w:p>
        </w:tc>
      </w:tr>
      <w:tr>
        <w:trPr>
          <w:trHeight w:val="286" w:hRule="exact"/>
        </w:trPr>
        <w:tc>
          <w:tcPr>
            <w:tcW w:w="25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045" w:type="dxa"/>
            <w:tcBorders>
              <w:top w:val="dotted" w:sz="4" w:space="0" w:color="000000"/>
              <w:left w:val="dotted" w:sz="4" w:space="0" w:color="000000"/>
              <w:bottom w:val="single" w:sz="12" w:space="0" w:color="000000"/>
              <w:right w:val="dotted" w:sz="4" w:space="0" w:color="000000"/>
            </w:tcBorders>
          </w:tcPr>
          <w:p>
            <w:pPr/>
          </w:p>
        </w:tc>
        <w:tc>
          <w:tcPr>
            <w:tcW w:w="1402" w:type="dxa"/>
            <w:tcBorders>
              <w:top w:val="dotted" w:sz="4" w:space="0" w:color="000000"/>
              <w:left w:val="dotted" w:sz="4" w:space="0" w:color="000000"/>
              <w:bottom w:val="single" w:sz="12" w:space="0" w:color="000000"/>
              <w:right w:val="dotted" w:sz="4" w:space="0" w:color="000000"/>
            </w:tcBorders>
          </w:tcPr>
          <w:p>
            <w:pPr/>
          </w:p>
        </w:tc>
        <w:tc>
          <w:tcPr>
            <w:tcW w:w="222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416,728,607.42</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b/>
          <w:bCs/>
          <w:sz w:val="18"/>
          <w:szCs w:val="18"/>
        </w:rPr>
      </w:pPr>
    </w:p>
    <w:tbl>
      <w:tblPr>
        <w:tblW w:w="0" w:type="auto"/>
        <w:jc w:val="left"/>
        <w:tblInd w:w="721" w:type="dxa"/>
        <w:tblLayout w:type="fixed"/>
        <w:tblCellMar>
          <w:top w:w="0" w:type="dxa"/>
          <w:left w:w="0" w:type="dxa"/>
          <w:bottom w:w="0" w:type="dxa"/>
          <w:right w:w="0" w:type="dxa"/>
        </w:tblCellMar>
        <w:tblLook w:val="01E0"/>
      </w:tblPr>
      <w:tblGrid>
        <w:gridCol w:w="2535"/>
        <w:gridCol w:w="2045"/>
        <w:gridCol w:w="1402"/>
        <w:gridCol w:w="2223"/>
      </w:tblGrid>
      <w:tr>
        <w:trPr>
          <w:trHeight w:val="284" w:hRule="exact"/>
        </w:trPr>
        <w:tc>
          <w:tcPr>
            <w:tcW w:w="25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04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537" w:right="0"/>
              <w:jc w:val="left"/>
              <w:rPr>
                <w:rFonts w:ascii="宋体" w:hAnsi="宋体" w:cs="宋体" w:eastAsia="宋体" w:hint="default"/>
                <w:sz w:val="16"/>
                <w:szCs w:val="16"/>
              </w:rPr>
            </w:pPr>
            <w:r>
              <w:rPr>
                <w:rFonts w:ascii="宋体" w:hAnsi="宋体" w:cs="宋体" w:eastAsia="宋体" w:hint="default"/>
                <w:sz w:val="16"/>
                <w:szCs w:val="16"/>
              </w:rPr>
              <w:t>期末外币余额</w:t>
            </w:r>
          </w:p>
        </w:tc>
        <w:tc>
          <w:tcPr>
            <w:tcW w:w="14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374" w:right="0"/>
              <w:jc w:val="left"/>
              <w:rPr>
                <w:rFonts w:ascii="宋体" w:hAnsi="宋体" w:cs="宋体" w:eastAsia="宋体" w:hint="default"/>
                <w:sz w:val="16"/>
                <w:szCs w:val="16"/>
              </w:rPr>
            </w:pPr>
            <w:r>
              <w:rPr>
                <w:rFonts w:ascii="宋体" w:hAnsi="宋体" w:cs="宋体" w:eastAsia="宋体" w:hint="default"/>
                <w:sz w:val="16"/>
                <w:szCs w:val="16"/>
              </w:rPr>
              <w:t>折算汇率</w:t>
            </w:r>
          </w:p>
        </w:tc>
        <w:tc>
          <w:tcPr>
            <w:tcW w:w="222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383" w:right="0"/>
              <w:jc w:val="left"/>
              <w:rPr>
                <w:rFonts w:ascii="宋体" w:hAnsi="宋体" w:cs="宋体" w:eastAsia="宋体" w:hint="default"/>
                <w:sz w:val="16"/>
                <w:szCs w:val="16"/>
              </w:rPr>
            </w:pPr>
            <w:r>
              <w:rPr>
                <w:rFonts w:ascii="宋体" w:hAnsi="宋体" w:cs="宋体" w:eastAsia="宋体" w:hint="default"/>
                <w:sz w:val="16"/>
                <w:szCs w:val="16"/>
              </w:rPr>
              <w:t>期末折算人民币余额</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其中：美元</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59,641,253.63</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6.976200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416,069,313.57</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pacing w:val="-3"/>
                <w:sz w:val="16"/>
                <w:szCs w:val="16"/>
              </w:rPr>
              <w:t>港元</w:t>
            </w:r>
            <w:r>
              <w:rPr>
                <w:rFonts w:ascii="宋体" w:hAnsi="宋体" w:cs="宋体" w:eastAsia="宋体" w:hint="default"/>
                <w:sz w:val="16"/>
                <w:szCs w:val="16"/>
              </w:rPr>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735,999.74</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0.895780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659,293.85</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2045"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1,788,922.22</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其中：美元</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163,663.68</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6.976200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1,141,750.56</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新台币</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2,779,947.00</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0.232800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647,171.66</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2045"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688,956.39</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其中：港元</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769,113.39</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0.895780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688,956.39</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2045"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58,742,892.89</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其中：港元</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65,577,365.97</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0.895780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58,742,892.89</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2045"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381,930.09</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其中：新台币</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1,640,593.17</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0.232800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381,930.09</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2045"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469,954,792.19</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其中：美元</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29,167,992.45</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6.976200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203,481,748.93</w:t>
            </w:r>
          </w:p>
        </w:tc>
      </w:tr>
      <w:tr>
        <w:trPr>
          <w:trHeight w:val="272"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left="604" w:right="0"/>
              <w:jc w:val="left"/>
              <w:rPr>
                <w:rFonts w:ascii="宋体" w:hAnsi="宋体" w:cs="宋体" w:eastAsia="宋体" w:hint="default"/>
                <w:sz w:val="16"/>
                <w:szCs w:val="16"/>
              </w:rPr>
            </w:pPr>
            <w:r>
              <w:rPr>
                <w:rFonts w:ascii="宋体" w:hAnsi="宋体" w:cs="宋体" w:eastAsia="宋体" w:hint="default"/>
                <w:spacing w:val="-3"/>
                <w:sz w:val="16"/>
                <w:szCs w:val="16"/>
              </w:rPr>
              <w:t>港元</w:t>
            </w:r>
            <w:r>
              <w:rPr>
                <w:rFonts w:ascii="宋体" w:hAnsi="宋体" w:cs="宋体" w:eastAsia="宋体" w:hint="default"/>
                <w:sz w:val="16"/>
                <w:szCs w:val="16"/>
              </w:rPr>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6"/>
                <w:szCs w:val="16"/>
              </w:rPr>
            </w:pPr>
            <w:r>
              <w:rPr>
                <w:rFonts w:ascii="Times New Roman"/>
                <w:spacing w:val="-1"/>
                <w:sz w:val="16"/>
              </w:rPr>
              <w:t>295,218,103.80</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0.895780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6"/>
                <w:szCs w:val="16"/>
              </w:rPr>
            </w:pPr>
            <w:r>
              <w:rPr>
                <w:rFonts w:ascii="Times New Roman"/>
                <w:spacing w:val="-1"/>
                <w:sz w:val="16"/>
              </w:rPr>
              <w:t>264,450,473.02</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pacing w:val="-3"/>
                <w:sz w:val="16"/>
                <w:szCs w:val="16"/>
              </w:rPr>
              <w:t>欧元</w:t>
            </w:r>
            <w:r>
              <w:rPr>
                <w:rFonts w:ascii="宋体" w:hAnsi="宋体" w:cs="宋体" w:eastAsia="宋体" w:hint="default"/>
                <w:sz w:val="16"/>
                <w:szCs w:val="16"/>
              </w:rPr>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49,228.02</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7.815500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384,741.59</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新台币</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6,259,046.93</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0.232800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1,457,106.13</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pacing w:val="-3"/>
                <w:sz w:val="16"/>
                <w:szCs w:val="16"/>
              </w:rPr>
              <w:t>日元</w:t>
            </w:r>
            <w:r>
              <w:rPr>
                <w:rFonts w:ascii="宋体" w:hAnsi="宋体" w:cs="宋体" w:eastAsia="宋体" w:hint="default"/>
                <w:sz w:val="16"/>
                <w:szCs w:val="16"/>
              </w:rPr>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2,820,000.00</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0.064086</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180,722.52</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2045"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717,619.58</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其中：美元</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102,866.83</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6.976200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717,619.58</w:t>
            </w:r>
          </w:p>
        </w:tc>
      </w:tr>
      <w:tr>
        <w:trPr>
          <w:trHeight w:val="274"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2045"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5,981.01</w:t>
            </w:r>
          </w:p>
        </w:tc>
      </w:tr>
      <w:tr>
        <w:trPr>
          <w:trHeight w:val="286" w:hRule="exact"/>
        </w:trPr>
        <w:tc>
          <w:tcPr>
            <w:tcW w:w="25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其中：港元</w:t>
            </w:r>
          </w:p>
        </w:tc>
        <w:tc>
          <w:tcPr>
            <w:tcW w:w="20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6,676.87</w:t>
            </w:r>
          </w:p>
        </w:tc>
        <w:tc>
          <w:tcPr>
            <w:tcW w:w="14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0.895780</w:t>
            </w:r>
          </w:p>
        </w:tc>
        <w:tc>
          <w:tcPr>
            <w:tcW w:w="222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5,981.01</w:t>
            </w:r>
          </w:p>
        </w:tc>
      </w:tr>
    </w:tbl>
    <w:p>
      <w:pPr>
        <w:spacing w:line="240" w:lineRule="auto" w:before="5"/>
        <w:rPr>
          <w:rFonts w:ascii="宋体" w:hAnsi="宋体" w:cs="宋体" w:eastAsia="宋体" w:hint="default"/>
          <w:b/>
          <w:bCs/>
          <w:sz w:val="26"/>
          <w:szCs w:val="26"/>
        </w:rPr>
      </w:pPr>
    </w:p>
    <w:p>
      <w:pPr>
        <w:pStyle w:val="BodyText"/>
        <w:tabs>
          <w:tab w:pos="1397" w:val="left" w:leader="none"/>
        </w:tabs>
        <w:spacing w:line="340" w:lineRule="auto"/>
        <w:ind w:right="1786" w:hanging="569"/>
        <w:jc w:val="left"/>
      </w:pPr>
      <w:r>
        <w:rPr>
          <w:rFonts w:ascii="Times New Roman" w:hAnsi="Times New Roman" w:cs="Times New Roman" w:eastAsia="Times New Roman" w:hint="default"/>
          <w:b/>
          <w:bCs/>
        </w:rPr>
        <w:t>2</w:t>
      </w:r>
      <w:r>
        <w:rPr>
          <w:rFonts w:ascii="宋体" w:hAnsi="宋体" w:cs="宋体" w:eastAsia="宋体" w:hint="default"/>
          <w:b/>
          <w:bCs/>
        </w:rPr>
        <w:t>、</w:t>
        <w:tab/>
        <w:t>境外经营实体说明</w:t>
      </w:r>
      <w:r>
        <w:rPr>
          <w:rFonts w:ascii="宋体" w:hAnsi="宋体" w:cs="宋体" w:eastAsia="宋体" w:hint="default"/>
          <w:b/>
          <w:bCs/>
          <w:spacing w:val="-103"/>
        </w:rPr>
        <w:t> </w:t>
      </w:r>
      <w:r>
        <w:rPr>
          <w:rFonts w:ascii="宋体" w:hAnsi="宋体" w:cs="宋体" w:eastAsia="宋体" w:hint="default"/>
          <w:b/>
          <w:bCs/>
          <w:spacing w:val="-103"/>
        </w:rPr>
      </w:r>
      <w:r>
        <w:rPr>
          <w:spacing w:val="-5"/>
        </w:rPr>
        <w:t>本公司之子公司中国长城计算机（香港）控股有限公司、柏怡国际控股有限公</w:t>
      </w:r>
      <w:r>
        <w:rPr>
          <w:w w:val="100"/>
        </w:rPr>
        <w:t> </w:t>
      </w:r>
      <w:r>
        <w:rPr>
          <w:spacing w:val="-5"/>
          <w:w w:val="100"/>
        </w:rPr>
        <w:t>司根据其经营所处的主要经济环境以港币作为记账本位币，本公司之三级子公</w:t>
      </w:r>
      <w:r>
        <w:rPr>
          <w:w w:val="100"/>
        </w:rPr>
        <w:t> </w:t>
      </w:r>
      <w:r>
        <w:rPr/>
        <w:t>司</w:t>
      </w:r>
      <w:r>
        <w:rPr>
          <w:spacing w:val="-54"/>
        </w:rPr>
        <w:t> </w:t>
      </w:r>
      <w:r>
        <w:rPr>
          <w:rFonts w:ascii="Times New Roman" w:hAnsi="Times New Roman" w:cs="Times New Roman" w:eastAsia="Times New Roman" w:hint="default"/>
        </w:rPr>
        <w:t>Perfect</w:t>
      </w:r>
      <w:r>
        <w:rPr>
          <w:rFonts w:ascii="Times New Roman" w:hAnsi="Times New Roman" w:cs="Times New Roman" w:eastAsia="Times New Roman" w:hint="default"/>
          <w:spacing w:val="-5"/>
        </w:rPr>
        <w:t> </w:t>
      </w:r>
      <w:r>
        <w:rPr>
          <w:rFonts w:ascii="Times New Roman" w:hAnsi="Times New Roman" w:cs="Times New Roman" w:eastAsia="Times New Roman" w:hint="default"/>
        </w:rPr>
        <w:t>Galaxy</w:t>
      </w:r>
      <w:r>
        <w:rPr>
          <w:rFonts w:ascii="Times New Roman" w:hAnsi="Times New Roman" w:cs="Times New Roman" w:eastAsia="Times New Roman" w:hint="default"/>
          <w:spacing w:val="-1"/>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rFonts w:ascii="Times New Roman" w:hAnsi="Times New Roman" w:cs="Times New Roman" w:eastAsia="Times New Roman" w:hint="default"/>
          <w:spacing w:val="-1"/>
        </w:rPr>
        <w:t> </w:t>
      </w:r>
      <w:r>
        <w:rPr/>
        <w:t>根据其经营所处的主要经济环境以美元作为</w:t>
      </w:r>
      <w:r>
        <w:rPr>
          <w:w w:val="100"/>
        </w:rPr>
        <w:t> </w:t>
      </w:r>
      <w:r>
        <w:rPr>
          <w:spacing w:val="-5"/>
        </w:rPr>
        <w:t>记账本位币，本公司之四级子公司柏怡电子（越南）有限公司根据其经营所处</w:t>
      </w:r>
      <w:r>
        <w:rPr>
          <w:w w:val="100"/>
        </w:rPr>
        <w:t> </w:t>
      </w:r>
      <w:r>
        <w:rPr/>
        <w:t>的主要经济环境以美元作为记账本位币。</w:t>
      </w:r>
    </w:p>
    <w:p>
      <w:pPr>
        <w:pStyle w:val="Heading5"/>
        <w:spacing w:line="240" w:lineRule="auto" w:before="37"/>
        <w:ind w:right="3683"/>
        <w:jc w:val="left"/>
        <w:rPr>
          <w:b w:val="0"/>
          <w:bCs w:val="0"/>
        </w:rPr>
      </w:pPr>
      <w:r>
        <w:rPr>
          <w:rFonts w:ascii="Times New Roman" w:hAnsi="Times New Roman" w:cs="Times New Roman" w:eastAsia="Times New Roman" w:hint="default"/>
        </w:rPr>
        <w:t>(</w:t>
      </w:r>
      <w:r>
        <w:rPr/>
        <w:t>六十六</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政府补助</w:t>
      </w:r>
      <w:r>
        <w:rPr>
          <w:b w:val="0"/>
          <w:bCs w:val="0"/>
        </w:rPr>
      </w:r>
    </w:p>
    <w:p>
      <w:pPr>
        <w:spacing w:before="124"/>
        <w:ind w:left="846" w:right="1468" w:firstLine="0"/>
        <w:jc w:val="left"/>
        <w:rPr>
          <w:rFonts w:ascii="宋体" w:hAnsi="宋体" w:cs="宋体" w:eastAsia="宋体" w:hint="default"/>
          <w:sz w:val="20"/>
          <w:szCs w:val="20"/>
        </w:rPr>
      </w:pPr>
      <w:r>
        <w:rPr>
          <w:rFonts w:ascii="宋体" w:hAnsi="宋体" w:cs="宋体" w:eastAsia="宋体" w:hint="default"/>
          <w:sz w:val="20"/>
          <w:szCs w:val="20"/>
        </w:rPr>
        <w:t>本报告期本公司确认的可收到政府补助金额合计</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621,499,811.97</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元，其中与资产相关的</w:t>
      </w:r>
    </w:p>
    <w:p>
      <w:pPr>
        <w:spacing w:before="121"/>
        <w:ind w:left="846" w:right="1468" w:firstLine="0"/>
        <w:jc w:val="left"/>
        <w:rPr>
          <w:rFonts w:ascii="宋体" w:hAnsi="宋体" w:cs="宋体" w:eastAsia="宋体" w:hint="default"/>
          <w:sz w:val="20"/>
          <w:szCs w:val="20"/>
        </w:rPr>
      </w:pPr>
      <w:r>
        <w:rPr>
          <w:rFonts w:ascii="宋体" w:hAnsi="宋体" w:cs="宋体" w:eastAsia="宋体" w:hint="default"/>
          <w:sz w:val="20"/>
          <w:szCs w:val="20"/>
        </w:rPr>
        <w:t>政府补助金额为</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16,636,000.00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元，其中计入递延收益</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16,636,000.00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元，本期收到</w:t>
      </w:r>
    </w:p>
    <w:p>
      <w:pPr>
        <w:spacing w:before="124"/>
        <w:ind w:left="846" w:right="1468"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16,636,000.00</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元；与收益相关的政府补助金额为</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604,863,811.97</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元，其中计入递延收益</w:t>
      </w:r>
    </w:p>
    <w:p>
      <w:pPr>
        <w:spacing w:before="124"/>
        <w:ind w:left="846" w:right="1468"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78,307,000.00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元，计入其他收益</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526,556,811.97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元，本期收到为</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604,863,811.97</w:t>
      </w:r>
      <w:r>
        <w:rPr>
          <w:rFonts w:ascii="Times New Roman" w:hAnsi="Times New Roman" w:cs="Times New Roman" w:eastAsia="Times New Roman" w:hint="default"/>
          <w:spacing w:val="-4"/>
          <w:sz w:val="20"/>
          <w:szCs w:val="20"/>
        </w:rPr>
        <w:t> </w:t>
      </w:r>
      <w:r>
        <w:rPr>
          <w:rFonts w:ascii="宋体" w:hAnsi="宋体" w:cs="宋体" w:eastAsia="宋体" w:hint="default"/>
          <w:spacing w:val="-3"/>
          <w:sz w:val="20"/>
          <w:szCs w:val="20"/>
        </w:rPr>
        <w:t>元。</w:t>
      </w:r>
      <w:r>
        <w:rPr>
          <w:rFonts w:ascii="宋体" w:hAnsi="宋体" w:cs="宋体" w:eastAsia="宋体" w:hint="default"/>
          <w:sz w:val="20"/>
          <w:szCs w:val="20"/>
        </w:rPr>
      </w:r>
    </w:p>
    <w:p>
      <w:pPr>
        <w:tabs>
          <w:tab w:pos="1397" w:val="left" w:leader="none"/>
        </w:tabs>
        <w:spacing w:line="331" w:lineRule="auto" w:before="107"/>
        <w:ind w:left="1414" w:right="1491"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与资产相关的政府补助</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pacing w:val="-8"/>
          <w:w w:val="100"/>
          <w:sz w:val="21"/>
          <w:szCs w:val="21"/>
        </w:rPr>
        <w:t>与资产相关的政府补助确认为递延收益的情况参考附注五、（三十八）递延收益。</w:t>
      </w:r>
    </w:p>
    <w:p>
      <w:pPr>
        <w:pStyle w:val="Heading5"/>
        <w:tabs>
          <w:tab w:pos="1397" w:val="left" w:leader="none"/>
        </w:tabs>
        <w:spacing w:line="240" w:lineRule="auto" w:before="46"/>
        <w:ind w:left="846" w:right="3683"/>
        <w:jc w:val="left"/>
        <w:rPr>
          <w:b w:val="0"/>
          <w:bCs w:val="0"/>
        </w:rPr>
      </w:pPr>
      <w:r>
        <w:rPr>
          <w:rFonts w:ascii="Times New Roman" w:hAnsi="Times New Roman" w:cs="Times New Roman" w:eastAsia="Times New Roman" w:hint="default"/>
        </w:rPr>
        <w:t>2</w:t>
      </w:r>
      <w:r>
        <w:rPr/>
        <w:t>、</w:t>
        <w:tab/>
      </w:r>
      <w:r>
        <w:rPr>
          <w:spacing w:val="-1"/>
        </w:rPr>
        <w:t>与收益相关的政府补助</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509"/>
        <w:gridCol w:w="1274"/>
        <w:gridCol w:w="1416"/>
        <w:gridCol w:w="1279"/>
        <w:gridCol w:w="2127"/>
      </w:tblGrid>
      <w:tr>
        <w:trPr>
          <w:trHeight w:val="490" w:hRule="exact"/>
        </w:trPr>
        <w:tc>
          <w:tcPr>
            <w:tcW w:w="2509"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种类</w:t>
            </w:r>
          </w:p>
        </w:tc>
        <w:tc>
          <w:tcPr>
            <w:tcW w:w="1274"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269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06" w:lineRule="exact" w:before="24"/>
              <w:ind w:left="943" w:right="140" w:hanging="802"/>
              <w:jc w:val="left"/>
              <w:rPr>
                <w:rFonts w:ascii="宋体" w:hAnsi="宋体" w:cs="宋体" w:eastAsia="宋体" w:hint="default"/>
                <w:sz w:val="16"/>
                <w:szCs w:val="16"/>
              </w:rPr>
            </w:pPr>
            <w:r>
              <w:rPr>
                <w:rFonts w:ascii="宋体" w:hAnsi="宋体" w:cs="宋体" w:eastAsia="宋体" w:hint="default"/>
                <w:spacing w:val="-1"/>
                <w:sz w:val="16"/>
                <w:szCs w:val="16"/>
              </w:rPr>
              <w:t>计入当期损益或冲减相关成本费用</w:t>
            </w:r>
            <w:r>
              <w:rPr>
                <w:rFonts w:ascii="宋体" w:hAnsi="宋体" w:cs="宋体" w:eastAsia="宋体" w:hint="default"/>
                <w:spacing w:val="-65"/>
                <w:sz w:val="16"/>
                <w:szCs w:val="16"/>
              </w:rPr>
              <w:t> </w:t>
            </w:r>
            <w:r>
              <w:rPr>
                <w:rFonts w:ascii="宋体" w:hAnsi="宋体" w:cs="宋体" w:eastAsia="宋体" w:hint="default"/>
                <w:spacing w:val="-65"/>
                <w:sz w:val="16"/>
                <w:szCs w:val="16"/>
              </w:rPr>
            </w:r>
            <w:r>
              <w:rPr>
                <w:rFonts w:ascii="宋体" w:hAnsi="宋体" w:cs="宋体" w:eastAsia="宋体" w:hint="default"/>
                <w:sz w:val="16"/>
                <w:szCs w:val="16"/>
              </w:rPr>
              <w:t>损失的金额</w:t>
            </w:r>
          </w:p>
        </w:tc>
        <w:tc>
          <w:tcPr>
            <w:tcW w:w="2127" w:type="dxa"/>
            <w:vMerge w:val="restart"/>
            <w:tcBorders>
              <w:top w:val="single" w:sz="12" w:space="0" w:color="000000"/>
              <w:left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338" w:right="180" w:hanging="161"/>
              <w:jc w:val="left"/>
              <w:rPr>
                <w:rFonts w:ascii="宋体" w:hAnsi="宋体" w:cs="宋体" w:eastAsia="宋体" w:hint="default"/>
                <w:sz w:val="16"/>
                <w:szCs w:val="16"/>
              </w:rPr>
            </w:pPr>
            <w:r>
              <w:rPr>
                <w:rFonts w:ascii="宋体" w:hAnsi="宋体" w:cs="宋体" w:eastAsia="宋体" w:hint="default"/>
                <w:spacing w:val="-1"/>
                <w:sz w:val="16"/>
                <w:szCs w:val="16"/>
              </w:rPr>
              <w:t>计入当期损益或冲减相关</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成本费用损失的项目</w:t>
            </w:r>
          </w:p>
        </w:tc>
      </w:tr>
      <w:tr>
        <w:trPr>
          <w:trHeight w:val="350" w:hRule="exact"/>
        </w:trPr>
        <w:tc>
          <w:tcPr>
            <w:tcW w:w="2509" w:type="dxa"/>
            <w:vMerge/>
            <w:tcBorders>
              <w:left w:val="nil" w:sz="6" w:space="0" w:color="auto"/>
              <w:bottom w:val="dotted" w:sz="4" w:space="0" w:color="000000"/>
              <w:right w:val="dotted" w:sz="4" w:space="0" w:color="000000"/>
            </w:tcBorders>
          </w:tcPr>
          <w:p>
            <w:pPr/>
          </w:p>
        </w:tc>
        <w:tc>
          <w:tcPr>
            <w:tcW w:w="1274" w:type="dxa"/>
            <w:vMerge/>
            <w:tcBorders>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381"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314" w:right="0"/>
              <w:jc w:val="left"/>
              <w:rPr>
                <w:rFonts w:ascii="宋体" w:hAnsi="宋体" w:cs="宋体" w:eastAsia="宋体" w:hint="default"/>
                <w:sz w:val="16"/>
                <w:szCs w:val="16"/>
              </w:rPr>
            </w:pPr>
            <w:r>
              <w:rPr>
                <w:rFonts w:ascii="宋体" w:hAnsi="宋体" w:cs="宋体" w:eastAsia="宋体" w:hint="default"/>
                <w:sz w:val="16"/>
                <w:szCs w:val="16"/>
              </w:rPr>
              <w:t>上期金额</w:t>
            </w:r>
          </w:p>
        </w:tc>
        <w:tc>
          <w:tcPr>
            <w:tcW w:w="2127" w:type="dxa"/>
            <w:vMerge/>
            <w:tcBorders>
              <w:left w:val="dotted" w:sz="4" w:space="0" w:color="000000"/>
              <w:bottom w:val="dotted" w:sz="4" w:space="0" w:color="000000"/>
              <w:right w:val="nil" w:sz="6" w:space="0" w:color="auto"/>
            </w:tcBorders>
          </w:tcPr>
          <w:p>
            <w:pP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政府支持资金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400,000,000.00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400,000,000.00</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60" w:hRule="exact"/>
        </w:trPr>
        <w:tc>
          <w:tcPr>
            <w:tcW w:w="25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科研补贴</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169,978,310.00</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98,261,500.00</w:t>
            </w:r>
          </w:p>
        </w:tc>
        <w:tc>
          <w:tcPr>
            <w:tcW w:w="12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left="247" w:right="0"/>
              <w:jc w:val="left"/>
              <w:rPr>
                <w:rFonts w:ascii="Times New Roman" w:hAnsi="Times New Roman" w:cs="Times New Roman" w:eastAsia="Times New Roman" w:hint="default"/>
                <w:sz w:val="16"/>
                <w:szCs w:val="16"/>
              </w:rPr>
            </w:pPr>
            <w:r>
              <w:rPr>
                <w:rFonts w:ascii="Times New Roman"/>
                <w:sz w:val="16"/>
              </w:rPr>
              <w:t>71,716,810.00</w:t>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bl>
    <w:p>
      <w:pPr>
        <w:spacing w:after="0" w:line="240" w:lineRule="auto"/>
        <w:jc w:val="left"/>
        <w:rPr>
          <w:rFonts w:ascii="宋体" w:hAnsi="宋体" w:cs="宋体" w:eastAsia="宋体" w:hint="default"/>
          <w:sz w:val="16"/>
          <w:szCs w:val="16"/>
        </w:rPr>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2509"/>
        <w:gridCol w:w="1274"/>
        <w:gridCol w:w="1416"/>
        <w:gridCol w:w="1279"/>
        <w:gridCol w:w="2127"/>
      </w:tblGrid>
      <w:tr>
        <w:trPr>
          <w:trHeight w:val="492" w:hRule="exact"/>
        </w:trPr>
        <w:tc>
          <w:tcPr>
            <w:tcW w:w="250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21" w:right="0"/>
              <w:jc w:val="center"/>
              <w:rPr>
                <w:rFonts w:ascii="宋体" w:hAnsi="宋体" w:cs="宋体" w:eastAsia="宋体" w:hint="default"/>
                <w:sz w:val="16"/>
                <w:szCs w:val="16"/>
              </w:rPr>
            </w:pPr>
            <w:r>
              <w:rPr>
                <w:rFonts w:ascii="宋体" w:hAnsi="宋体" w:cs="宋体" w:eastAsia="宋体" w:hint="default"/>
                <w:sz w:val="16"/>
                <w:szCs w:val="16"/>
              </w:rPr>
              <w:t>种类</w:t>
            </w:r>
          </w:p>
        </w:tc>
        <w:tc>
          <w:tcPr>
            <w:tcW w:w="127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269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06" w:lineRule="exact" w:before="25"/>
              <w:ind w:left="943" w:right="140" w:hanging="802"/>
              <w:jc w:val="left"/>
              <w:rPr>
                <w:rFonts w:ascii="宋体" w:hAnsi="宋体" w:cs="宋体" w:eastAsia="宋体" w:hint="default"/>
                <w:sz w:val="16"/>
                <w:szCs w:val="16"/>
              </w:rPr>
            </w:pPr>
            <w:r>
              <w:rPr>
                <w:rFonts w:ascii="宋体" w:hAnsi="宋体" w:cs="宋体" w:eastAsia="宋体" w:hint="default"/>
                <w:spacing w:val="-1"/>
                <w:sz w:val="16"/>
                <w:szCs w:val="16"/>
              </w:rPr>
              <w:t>计入当期损益或冲减相关成本费用</w:t>
            </w:r>
            <w:r>
              <w:rPr>
                <w:rFonts w:ascii="宋体" w:hAnsi="宋体" w:cs="宋体" w:eastAsia="宋体" w:hint="default"/>
                <w:spacing w:val="-65"/>
                <w:sz w:val="16"/>
                <w:szCs w:val="16"/>
              </w:rPr>
              <w:t> </w:t>
            </w:r>
            <w:r>
              <w:rPr>
                <w:rFonts w:ascii="宋体" w:hAnsi="宋体" w:cs="宋体" w:eastAsia="宋体" w:hint="default"/>
                <w:spacing w:val="-65"/>
                <w:sz w:val="16"/>
                <w:szCs w:val="16"/>
              </w:rPr>
            </w:r>
            <w:r>
              <w:rPr>
                <w:rFonts w:ascii="宋体" w:hAnsi="宋体" w:cs="宋体" w:eastAsia="宋体" w:hint="default"/>
                <w:sz w:val="16"/>
                <w:szCs w:val="16"/>
              </w:rPr>
              <w:t>损失的金额</w:t>
            </w:r>
          </w:p>
        </w:tc>
        <w:tc>
          <w:tcPr>
            <w:tcW w:w="2127" w:type="dxa"/>
            <w:vMerge w:val="restart"/>
            <w:tcBorders>
              <w:top w:val="single" w:sz="12" w:space="0" w:color="000000"/>
              <w:left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06" w:lineRule="exact"/>
              <w:ind w:left="338" w:right="180" w:hanging="161"/>
              <w:jc w:val="left"/>
              <w:rPr>
                <w:rFonts w:ascii="宋体" w:hAnsi="宋体" w:cs="宋体" w:eastAsia="宋体" w:hint="default"/>
                <w:sz w:val="16"/>
                <w:szCs w:val="16"/>
              </w:rPr>
            </w:pPr>
            <w:r>
              <w:rPr>
                <w:rFonts w:ascii="宋体" w:hAnsi="宋体" w:cs="宋体" w:eastAsia="宋体" w:hint="default"/>
                <w:spacing w:val="-1"/>
                <w:sz w:val="16"/>
                <w:szCs w:val="16"/>
              </w:rPr>
              <w:t>计入当期损益或冲减相关</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成本费用损失的项目</w:t>
            </w:r>
          </w:p>
        </w:tc>
      </w:tr>
      <w:tr>
        <w:trPr>
          <w:trHeight w:val="348" w:hRule="exact"/>
        </w:trPr>
        <w:tc>
          <w:tcPr>
            <w:tcW w:w="2509" w:type="dxa"/>
            <w:vMerge/>
            <w:tcBorders>
              <w:left w:val="nil" w:sz="6" w:space="0" w:color="auto"/>
              <w:bottom w:val="dotted" w:sz="4" w:space="0" w:color="000000"/>
              <w:right w:val="dotted" w:sz="4" w:space="0" w:color="000000"/>
            </w:tcBorders>
          </w:tcPr>
          <w:p>
            <w:pPr/>
          </w:p>
        </w:tc>
        <w:tc>
          <w:tcPr>
            <w:tcW w:w="1274" w:type="dxa"/>
            <w:vMerge/>
            <w:tcBorders>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381"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314" w:right="0"/>
              <w:jc w:val="left"/>
              <w:rPr>
                <w:rFonts w:ascii="宋体" w:hAnsi="宋体" w:cs="宋体" w:eastAsia="宋体" w:hint="default"/>
                <w:sz w:val="16"/>
                <w:szCs w:val="16"/>
              </w:rPr>
            </w:pPr>
            <w:r>
              <w:rPr>
                <w:rFonts w:ascii="宋体" w:hAnsi="宋体" w:cs="宋体" w:eastAsia="宋体" w:hint="default"/>
                <w:sz w:val="16"/>
                <w:szCs w:val="16"/>
              </w:rPr>
              <w:t>上期金额</w:t>
            </w:r>
          </w:p>
        </w:tc>
        <w:tc>
          <w:tcPr>
            <w:tcW w:w="2127" w:type="dxa"/>
            <w:vMerge/>
            <w:tcBorders>
              <w:left w:val="dotted" w:sz="4" w:space="0" w:color="000000"/>
              <w:bottom w:val="dotted" w:sz="4" w:space="0" w:color="000000"/>
              <w:right w:val="nil" w:sz="6" w:space="0" w:color="auto"/>
            </w:tcBorders>
          </w:tcPr>
          <w:p>
            <w:pP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退税补贴</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64,777,463.11</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36,746,147.31</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247" w:right="0"/>
              <w:jc w:val="left"/>
              <w:rPr>
                <w:rFonts w:ascii="Times New Roman" w:hAnsi="Times New Roman" w:cs="Times New Roman" w:eastAsia="Times New Roman" w:hint="default"/>
                <w:sz w:val="16"/>
                <w:szCs w:val="16"/>
              </w:rPr>
            </w:pPr>
            <w:r>
              <w:rPr>
                <w:rFonts w:ascii="Times New Roman"/>
                <w:sz w:val="16"/>
              </w:rPr>
              <w:t>28,031,315.80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50"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工业发展基金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42,101,712.10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10,286,814.31</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247" w:right="0"/>
              <w:jc w:val="left"/>
              <w:rPr>
                <w:rFonts w:ascii="Times New Roman" w:hAnsi="Times New Roman" w:cs="Times New Roman" w:eastAsia="Times New Roman" w:hint="default"/>
                <w:sz w:val="16"/>
                <w:szCs w:val="16"/>
              </w:rPr>
            </w:pPr>
            <w:r>
              <w:rPr>
                <w:rFonts w:ascii="Times New Roman"/>
                <w:sz w:val="16"/>
              </w:rPr>
              <w:t>31,814,897.79</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产业补贴</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12,844,284.86</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12,844,284.86</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50"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企业技术创新补贴</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10,986,700.00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5,240,000.00</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326" w:right="0"/>
              <w:jc w:val="left"/>
              <w:rPr>
                <w:rFonts w:ascii="Times New Roman" w:hAnsi="Times New Roman" w:cs="Times New Roman" w:eastAsia="Times New Roman" w:hint="default"/>
                <w:sz w:val="16"/>
                <w:szCs w:val="16"/>
              </w:rPr>
            </w:pPr>
            <w:r>
              <w:rPr>
                <w:rFonts w:ascii="Times New Roman"/>
                <w:sz w:val="16"/>
              </w:rPr>
              <w:t>5,746,700.00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建设基金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6,800,000.00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4,000,000.00</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326" w:right="0"/>
              <w:jc w:val="left"/>
              <w:rPr>
                <w:rFonts w:ascii="Times New Roman" w:hAnsi="Times New Roman" w:cs="Times New Roman" w:eastAsia="Times New Roman" w:hint="default"/>
                <w:sz w:val="16"/>
                <w:szCs w:val="16"/>
              </w:rPr>
            </w:pPr>
            <w:r>
              <w:rPr>
                <w:rFonts w:ascii="Times New Roman"/>
                <w:sz w:val="16"/>
              </w:rPr>
              <w:t>2,800,000.00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政府奖励资金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5,134,200.00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5,134,200.00</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50"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稳岗补贴</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4,694,619.39</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2,203,072.89</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326" w:right="0"/>
              <w:jc w:val="left"/>
              <w:rPr>
                <w:rFonts w:ascii="Times New Roman" w:hAnsi="Times New Roman" w:cs="Times New Roman" w:eastAsia="Times New Roman" w:hint="default"/>
                <w:sz w:val="16"/>
                <w:szCs w:val="16"/>
              </w:rPr>
            </w:pPr>
            <w:r>
              <w:rPr>
                <w:rFonts w:ascii="Times New Roman"/>
                <w:sz w:val="16"/>
              </w:rPr>
              <w:t>2,491,546.50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贸易补贴</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4,031,133.00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1,422,733.00</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326" w:right="0"/>
              <w:jc w:val="left"/>
              <w:rPr>
                <w:rFonts w:ascii="Times New Roman" w:hAnsi="Times New Roman" w:cs="Times New Roman" w:eastAsia="Times New Roman" w:hint="default"/>
                <w:sz w:val="16"/>
                <w:szCs w:val="16"/>
              </w:rPr>
            </w:pPr>
            <w:r>
              <w:rPr>
                <w:rFonts w:ascii="Times New Roman"/>
                <w:sz w:val="16"/>
              </w:rPr>
              <w:t>2,608,400.00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51"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税收奖励</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3,582,000.00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326" w:right="0"/>
              <w:jc w:val="left"/>
              <w:rPr>
                <w:rFonts w:ascii="Times New Roman" w:hAnsi="Times New Roman" w:cs="Times New Roman" w:eastAsia="Times New Roman" w:hint="default"/>
                <w:sz w:val="16"/>
                <w:szCs w:val="16"/>
              </w:rPr>
            </w:pPr>
            <w:r>
              <w:rPr>
                <w:rFonts w:ascii="Times New Roman"/>
                <w:sz w:val="16"/>
              </w:rPr>
              <w:t>3,582,000.00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专利补助</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2,037,400.00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928,500.00</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326" w:right="0"/>
              <w:jc w:val="left"/>
              <w:rPr>
                <w:rFonts w:ascii="Times New Roman" w:hAnsi="Times New Roman" w:cs="Times New Roman" w:eastAsia="Times New Roman" w:hint="default"/>
                <w:sz w:val="16"/>
                <w:szCs w:val="16"/>
              </w:rPr>
            </w:pPr>
            <w:r>
              <w:rPr>
                <w:rFonts w:ascii="Times New Roman"/>
                <w:sz w:val="16"/>
              </w:rPr>
              <w:t>1,108,900.00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50"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人才补贴</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1,296,070.22</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523,600.22</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772,470.00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9,642,016.67</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5,310,244.24</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326" w:right="0"/>
              <w:jc w:val="left"/>
              <w:rPr>
                <w:rFonts w:ascii="Times New Roman" w:hAnsi="Times New Roman" w:cs="Times New Roman" w:eastAsia="Times New Roman" w:hint="default"/>
                <w:sz w:val="16"/>
                <w:szCs w:val="16"/>
              </w:rPr>
            </w:pPr>
            <w:r>
              <w:rPr>
                <w:rFonts w:ascii="Times New Roman"/>
                <w:sz w:val="16"/>
              </w:rPr>
              <w:t>4,331,772.43</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收中巴车处置补贴</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9,000.00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9,000.00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营业外收入</w:t>
            </w:r>
          </w:p>
        </w:tc>
      </w:tr>
      <w:tr>
        <w:trPr>
          <w:trHeight w:val="350"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收北京报废车辆政府补贴</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8,000.00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8,000.00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营业外收入</w:t>
            </w: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百万产能提升</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5,000,000.00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递延收益</w:t>
            </w:r>
          </w:p>
        </w:tc>
      </w:tr>
      <w:tr>
        <w:trPr>
          <w:trHeight w:val="350"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通信指挥系统及设备军贸</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4,800,000.00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递延收益</w:t>
            </w: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湖南制造强省专项资金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4,000,000.00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递延收益</w:t>
            </w:r>
          </w:p>
        </w:tc>
      </w:tr>
      <w:tr>
        <w:trPr>
          <w:trHeight w:val="480"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98"/>
              <w:jc w:val="left"/>
              <w:rPr>
                <w:rFonts w:ascii="宋体" w:hAnsi="宋体" w:cs="宋体" w:eastAsia="宋体" w:hint="default"/>
                <w:sz w:val="16"/>
                <w:szCs w:val="16"/>
              </w:rPr>
            </w:pPr>
            <w:r>
              <w:rPr>
                <w:rFonts w:ascii="宋体" w:hAnsi="宋体" w:cs="宋体" w:eastAsia="宋体" w:hint="default"/>
                <w:sz w:val="16"/>
                <w:szCs w:val="16"/>
              </w:rPr>
              <w:t>湖南省 </w:t>
            </w: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33"/>
                <w:sz w:val="16"/>
                <w:szCs w:val="16"/>
              </w:rPr>
              <w:t> </w:t>
            </w:r>
            <w:r>
              <w:rPr>
                <w:rFonts w:ascii="宋体" w:hAnsi="宋体" w:cs="宋体" w:eastAsia="宋体" w:hint="default"/>
                <w:sz w:val="16"/>
                <w:szCs w:val="16"/>
              </w:rPr>
              <w:t>年中央制造业高质</w:t>
            </w:r>
            <w:r>
              <w:rPr>
                <w:rFonts w:ascii="宋体" w:hAnsi="宋体" w:cs="宋体" w:eastAsia="宋体" w:hint="default"/>
                <w:spacing w:val="2"/>
                <w:w w:val="100"/>
                <w:sz w:val="16"/>
                <w:szCs w:val="16"/>
              </w:rPr>
              <w:t> </w:t>
            </w:r>
            <w:r>
              <w:rPr>
                <w:rFonts w:ascii="宋体" w:hAnsi="宋体" w:cs="宋体" w:eastAsia="宋体" w:hint="default"/>
                <w:sz w:val="16"/>
                <w:szCs w:val="16"/>
              </w:rPr>
              <w:t>量发展资金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4,000,000.00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递延收益</w:t>
            </w:r>
          </w:p>
        </w:tc>
      </w:tr>
      <w:tr>
        <w:trPr>
          <w:trHeight w:val="483"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23"/>
              <w:ind w:left="122" w:right="99"/>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年智能制造综合标准化与新</w:t>
            </w:r>
            <w:r>
              <w:rPr>
                <w:rFonts w:ascii="宋体" w:hAnsi="宋体" w:cs="宋体" w:eastAsia="宋体" w:hint="default"/>
                <w:w w:val="100"/>
                <w:sz w:val="16"/>
                <w:szCs w:val="16"/>
              </w:rPr>
              <w:t> </w:t>
            </w:r>
            <w:r>
              <w:rPr>
                <w:rFonts w:ascii="宋体" w:hAnsi="宋体" w:cs="宋体" w:eastAsia="宋体" w:hint="default"/>
                <w:sz w:val="16"/>
                <w:szCs w:val="16"/>
              </w:rPr>
              <w:t>模式应用项目</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3,500,000.00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递延收益</w:t>
            </w:r>
          </w:p>
        </w:tc>
      </w:tr>
      <w:tr>
        <w:trPr>
          <w:trHeight w:val="348"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财政局移动互联产业补助资金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3,400,000.00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递延收益</w:t>
            </w:r>
          </w:p>
        </w:tc>
      </w:tr>
      <w:tr>
        <w:trPr>
          <w:trHeight w:val="482"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09" w:lineRule="exact" w:before="2"/>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pacing w:val="-49"/>
                <w:sz w:val="16"/>
                <w:szCs w:val="16"/>
              </w:rPr>
              <w:t> </w:t>
            </w:r>
            <w:r>
              <w:rPr>
                <w:rFonts w:ascii="宋体" w:hAnsi="宋体" w:cs="宋体" w:eastAsia="宋体" w:hint="default"/>
                <w:sz w:val="16"/>
                <w:szCs w:val="16"/>
              </w:rPr>
              <w:t>智</w:t>
            </w:r>
            <w:r>
              <w:rPr>
                <w:rFonts w:ascii="宋体" w:hAnsi="宋体" w:cs="宋体" w:eastAsia="宋体" w:hint="default"/>
                <w:spacing w:val="-47"/>
                <w:sz w:val="16"/>
                <w:szCs w:val="16"/>
              </w:rPr>
              <w:t> </w:t>
            </w:r>
            <w:r>
              <w:rPr>
                <w:rFonts w:ascii="宋体" w:hAnsi="宋体" w:cs="宋体" w:eastAsia="宋体" w:hint="default"/>
                <w:sz w:val="16"/>
                <w:szCs w:val="16"/>
              </w:rPr>
              <w:t>能</w:t>
            </w:r>
            <w:r>
              <w:rPr>
                <w:rFonts w:ascii="宋体" w:hAnsi="宋体" w:cs="宋体" w:eastAsia="宋体" w:hint="default"/>
                <w:spacing w:val="-49"/>
                <w:sz w:val="16"/>
                <w:szCs w:val="16"/>
              </w:rPr>
              <w:t> </w:t>
            </w:r>
            <w:r>
              <w:rPr>
                <w:rFonts w:ascii="宋体" w:hAnsi="宋体" w:cs="宋体" w:eastAsia="宋体" w:hint="default"/>
                <w:sz w:val="16"/>
                <w:szCs w:val="16"/>
              </w:rPr>
              <w:t>网</w:t>
            </w:r>
            <w:r>
              <w:rPr>
                <w:rFonts w:ascii="宋体" w:hAnsi="宋体" w:cs="宋体" w:eastAsia="宋体" w:hint="default"/>
                <w:spacing w:val="-49"/>
                <w:sz w:val="16"/>
                <w:szCs w:val="16"/>
              </w:rPr>
              <w:t> </w:t>
            </w:r>
            <w:r>
              <w:rPr>
                <w:rFonts w:ascii="宋体" w:hAnsi="宋体" w:cs="宋体" w:eastAsia="宋体" w:hint="default"/>
                <w:sz w:val="16"/>
                <w:szCs w:val="16"/>
              </w:rPr>
              <w:t>联</w:t>
            </w:r>
            <w:r>
              <w:rPr>
                <w:rFonts w:ascii="宋体" w:hAnsi="宋体" w:cs="宋体" w:eastAsia="宋体" w:hint="default"/>
                <w:spacing w:val="-49"/>
                <w:sz w:val="16"/>
                <w:szCs w:val="16"/>
              </w:rPr>
              <w:t> </w:t>
            </w:r>
            <w:r>
              <w:rPr>
                <w:rFonts w:ascii="宋体" w:hAnsi="宋体" w:cs="宋体" w:eastAsia="宋体" w:hint="default"/>
                <w:sz w:val="16"/>
                <w:szCs w:val="16"/>
              </w:rPr>
              <w:t>汽</w:t>
            </w:r>
            <w:r>
              <w:rPr>
                <w:rFonts w:ascii="宋体" w:hAnsi="宋体" w:cs="宋体" w:eastAsia="宋体" w:hint="default"/>
                <w:spacing w:val="-49"/>
                <w:sz w:val="16"/>
                <w:szCs w:val="16"/>
              </w:rPr>
              <w:t> </w:t>
            </w:r>
            <w:r>
              <w:rPr>
                <w:rFonts w:ascii="宋体" w:hAnsi="宋体" w:cs="宋体" w:eastAsia="宋体" w:hint="default"/>
                <w:sz w:val="16"/>
                <w:szCs w:val="16"/>
              </w:rPr>
              <w:t>车</w:t>
            </w:r>
            <w:r>
              <w:rPr>
                <w:rFonts w:ascii="宋体" w:hAnsi="宋体" w:cs="宋体" w:eastAsia="宋体" w:hint="default"/>
                <w:spacing w:val="-47"/>
                <w:sz w:val="16"/>
                <w:szCs w:val="16"/>
              </w:rPr>
              <w:t> </w:t>
            </w:r>
            <w:r>
              <w:rPr>
                <w:rFonts w:ascii="宋体" w:hAnsi="宋体" w:cs="宋体" w:eastAsia="宋体" w:hint="default"/>
                <w:sz w:val="16"/>
                <w:szCs w:val="16"/>
              </w:rPr>
              <w:t>整</w:t>
            </w:r>
            <w:r>
              <w:rPr>
                <w:rFonts w:ascii="宋体" w:hAnsi="宋体" w:cs="宋体" w:eastAsia="宋体" w:hint="default"/>
                <w:spacing w:val="-49"/>
                <w:sz w:val="16"/>
                <w:szCs w:val="16"/>
              </w:rPr>
              <w:t> </w:t>
            </w:r>
            <w:r>
              <w:rPr>
                <w:rFonts w:ascii="宋体" w:hAnsi="宋体" w:cs="宋体" w:eastAsia="宋体" w:hint="default"/>
                <w:sz w:val="16"/>
                <w:szCs w:val="16"/>
              </w:rPr>
              <w:t>车</w:t>
            </w:r>
            <w:r>
              <w:rPr>
                <w:rFonts w:ascii="宋体" w:hAnsi="宋体" w:cs="宋体" w:eastAsia="宋体" w:hint="default"/>
                <w:spacing w:val="-49"/>
                <w:sz w:val="16"/>
                <w:szCs w:val="16"/>
              </w:rPr>
              <w:t> </w:t>
            </w:r>
            <w:r>
              <w:rPr>
                <w:rFonts w:ascii="宋体" w:hAnsi="宋体" w:cs="宋体" w:eastAsia="宋体" w:hint="default"/>
                <w:sz w:val="16"/>
                <w:szCs w:val="16"/>
              </w:rPr>
              <w:t>控</w:t>
            </w:r>
            <w:r>
              <w:rPr>
                <w:rFonts w:ascii="宋体" w:hAnsi="宋体" w:cs="宋体" w:eastAsia="宋体" w:hint="default"/>
                <w:spacing w:val="-49"/>
                <w:sz w:val="16"/>
                <w:szCs w:val="16"/>
              </w:rPr>
              <w:t> </w:t>
            </w:r>
            <w:r>
              <w:rPr>
                <w:rFonts w:ascii="宋体" w:hAnsi="宋体" w:cs="宋体" w:eastAsia="宋体" w:hint="default"/>
                <w:sz w:val="16"/>
                <w:szCs w:val="16"/>
              </w:rPr>
              <w:t>制</w:t>
            </w:r>
            <w:r>
              <w:rPr>
                <w:rFonts w:ascii="宋体" w:hAnsi="宋体" w:cs="宋体" w:eastAsia="宋体" w:hint="default"/>
                <w:spacing w:val="-47"/>
                <w:sz w:val="16"/>
                <w:szCs w:val="16"/>
              </w:rPr>
              <w:t> </w:t>
            </w:r>
            <w:r>
              <w:rPr>
                <w:rFonts w:ascii="宋体" w:hAnsi="宋体" w:cs="宋体" w:eastAsia="宋体" w:hint="default"/>
                <w:sz w:val="16"/>
                <w:szCs w:val="16"/>
              </w:rPr>
              <w:t>器</w:t>
            </w:r>
          </w:p>
          <w:p>
            <w:pPr>
              <w:pStyle w:val="TableParagraph"/>
              <w:spacing w:line="221"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VCU</w:t>
            </w:r>
            <w:r>
              <w:rPr>
                <w:rFonts w:ascii="Times New Roman" w:hAnsi="Times New Roman" w:cs="Times New Roman" w:eastAsia="Times New Roman" w:hint="default"/>
                <w:spacing w:val="15"/>
                <w:sz w:val="16"/>
                <w:szCs w:val="16"/>
              </w:rPr>
              <w:t> </w:t>
            </w:r>
            <w:r>
              <w:rPr>
                <w:rFonts w:ascii="宋体" w:hAnsi="宋体" w:cs="宋体" w:eastAsia="宋体" w:hint="default"/>
                <w:spacing w:val="-3"/>
                <w:sz w:val="16"/>
                <w:szCs w:val="16"/>
              </w:rPr>
              <w:t>关键技术研究与应用》项目</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1,400,000.00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递延收益</w:t>
            </w:r>
          </w:p>
        </w:tc>
      </w:tr>
      <w:tr>
        <w:trPr>
          <w:trHeight w:val="480"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21"/>
              <w:ind w:left="122" w:right="96"/>
              <w:jc w:val="left"/>
              <w:rPr>
                <w:rFonts w:ascii="宋体" w:hAnsi="宋体" w:cs="宋体" w:eastAsia="宋体" w:hint="default"/>
                <w:sz w:val="16"/>
                <w:szCs w:val="16"/>
              </w:rPr>
            </w:pPr>
            <w:r>
              <w:rPr>
                <w:rFonts w:ascii="宋体" w:hAnsi="宋体" w:cs="宋体" w:eastAsia="宋体" w:hint="default"/>
                <w:sz w:val="16"/>
                <w:szCs w:val="16"/>
              </w:rPr>
              <w:t>长沙市经开区</w:t>
            </w:r>
            <w:r>
              <w:rPr>
                <w:rFonts w:ascii="宋体" w:hAnsi="宋体" w:cs="宋体" w:eastAsia="宋体" w:hint="default"/>
                <w:spacing w:val="16"/>
                <w:sz w:val="16"/>
                <w:szCs w:val="16"/>
              </w:rPr>
              <w:t>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7"/>
                <w:sz w:val="16"/>
                <w:szCs w:val="16"/>
              </w:rPr>
              <w:t> </w:t>
            </w:r>
            <w:r>
              <w:rPr>
                <w:rFonts w:ascii="宋体" w:hAnsi="宋体" w:cs="宋体" w:eastAsia="宋体" w:hint="default"/>
                <w:sz w:val="16"/>
                <w:szCs w:val="16"/>
              </w:rPr>
              <w:t>年智能制造</w:t>
            </w:r>
            <w:r>
              <w:rPr>
                <w:rFonts w:ascii="宋体" w:hAnsi="宋体" w:cs="宋体" w:eastAsia="宋体" w:hint="default"/>
                <w:spacing w:val="-78"/>
                <w:sz w:val="16"/>
                <w:szCs w:val="16"/>
              </w:rPr>
              <w:t> </w:t>
            </w:r>
            <w:r>
              <w:rPr>
                <w:rFonts w:ascii="宋体" w:hAnsi="宋体" w:cs="宋体" w:eastAsia="宋体" w:hint="default"/>
                <w:sz w:val="16"/>
                <w:szCs w:val="16"/>
              </w:rPr>
              <w:t>专项项目第一批专项资金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1,138,000.00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递延收益</w:t>
            </w:r>
          </w:p>
        </w:tc>
      </w:tr>
      <w:tr>
        <w:trPr>
          <w:trHeight w:val="480"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96"/>
              <w:jc w:val="left"/>
              <w:rPr>
                <w:rFonts w:ascii="宋体" w:hAnsi="宋体" w:cs="宋体" w:eastAsia="宋体" w:hint="default"/>
                <w:sz w:val="16"/>
                <w:szCs w:val="16"/>
              </w:rPr>
            </w:pPr>
            <w:r>
              <w:rPr>
                <w:rFonts w:ascii="宋体" w:hAnsi="宋体" w:cs="宋体" w:eastAsia="宋体" w:hint="default"/>
                <w:sz w:val="16"/>
                <w:szCs w:val="16"/>
              </w:rPr>
              <w:t>长沙市经开区财政局</w:t>
            </w:r>
            <w:r>
              <w:rPr>
                <w:rFonts w:ascii="宋体" w:hAnsi="宋体" w:cs="宋体" w:eastAsia="宋体" w:hint="default"/>
                <w:spacing w:val="16"/>
                <w:sz w:val="16"/>
                <w:szCs w:val="16"/>
              </w:rPr>
              <w:t>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7"/>
                <w:sz w:val="16"/>
                <w:szCs w:val="16"/>
              </w:rPr>
              <w:t> </w:t>
            </w:r>
            <w:r>
              <w:rPr>
                <w:rFonts w:ascii="宋体" w:hAnsi="宋体" w:cs="宋体" w:eastAsia="宋体" w:hint="default"/>
                <w:sz w:val="16"/>
                <w:szCs w:val="16"/>
              </w:rPr>
              <w:t>年度</w:t>
            </w:r>
            <w:r>
              <w:rPr>
                <w:rFonts w:ascii="宋体" w:hAnsi="宋体" w:cs="宋体" w:eastAsia="宋体" w:hint="default"/>
                <w:spacing w:val="-78"/>
                <w:sz w:val="16"/>
                <w:szCs w:val="16"/>
              </w:rPr>
              <w:t> </w:t>
            </w:r>
            <w:r>
              <w:rPr>
                <w:rFonts w:ascii="宋体" w:hAnsi="宋体" w:cs="宋体" w:eastAsia="宋体" w:hint="default"/>
                <w:sz w:val="16"/>
                <w:szCs w:val="16"/>
              </w:rPr>
              <w:t>第四批制造强省专项资金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递延收益</w:t>
            </w:r>
          </w:p>
        </w:tc>
      </w:tr>
      <w:tr>
        <w:trPr>
          <w:trHeight w:val="482"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23"/>
              <w:ind w:left="122" w:right="96"/>
              <w:jc w:val="left"/>
              <w:rPr>
                <w:rFonts w:ascii="宋体" w:hAnsi="宋体" w:cs="宋体" w:eastAsia="宋体" w:hint="default"/>
                <w:sz w:val="16"/>
                <w:szCs w:val="16"/>
              </w:rPr>
            </w:pPr>
            <w:r>
              <w:rPr>
                <w:rFonts w:ascii="宋体" w:hAnsi="宋体" w:cs="宋体" w:eastAsia="宋体" w:hint="default"/>
                <w:sz w:val="16"/>
                <w:szCs w:val="16"/>
              </w:rPr>
              <w:t>长沙市经开区</w:t>
            </w:r>
            <w:r>
              <w:rPr>
                <w:rFonts w:ascii="宋体" w:hAnsi="宋体" w:cs="宋体" w:eastAsia="宋体" w:hint="default"/>
                <w:spacing w:val="16"/>
                <w:sz w:val="16"/>
                <w:szCs w:val="16"/>
              </w:rPr>
              <w:t> </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7"/>
                <w:sz w:val="16"/>
                <w:szCs w:val="16"/>
              </w:rPr>
              <w:t> </w:t>
            </w:r>
            <w:r>
              <w:rPr>
                <w:rFonts w:ascii="宋体" w:hAnsi="宋体" w:cs="宋体" w:eastAsia="宋体" w:hint="default"/>
                <w:sz w:val="16"/>
                <w:szCs w:val="16"/>
              </w:rPr>
              <w:t>年度国家智</w:t>
            </w:r>
            <w:r>
              <w:rPr>
                <w:rFonts w:ascii="宋体" w:hAnsi="宋体" w:cs="宋体" w:eastAsia="宋体" w:hint="default"/>
                <w:spacing w:val="-78"/>
                <w:sz w:val="16"/>
                <w:szCs w:val="16"/>
              </w:rPr>
              <w:t> </w:t>
            </w:r>
            <w:r>
              <w:rPr>
                <w:rFonts w:ascii="宋体" w:hAnsi="宋体" w:cs="宋体" w:eastAsia="宋体" w:hint="default"/>
                <w:sz w:val="16"/>
                <w:szCs w:val="16"/>
              </w:rPr>
              <w:t>能制造师范企业补助资金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left="103" w:right="0"/>
              <w:jc w:val="left"/>
              <w:rPr>
                <w:rFonts w:ascii="宋体" w:hAnsi="宋体" w:cs="宋体" w:eastAsia="宋体" w:hint="default"/>
                <w:sz w:val="16"/>
                <w:szCs w:val="16"/>
              </w:rPr>
            </w:pPr>
            <w:r>
              <w:rPr>
                <w:rFonts w:ascii="宋体" w:hAnsi="宋体" w:cs="宋体" w:eastAsia="宋体" w:hint="default"/>
                <w:sz w:val="16"/>
                <w:szCs w:val="16"/>
              </w:rPr>
              <w:t>递延收益</w:t>
            </w:r>
          </w:p>
        </w:tc>
      </w:tr>
      <w:tr>
        <w:trPr>
          <w:trHeight w:val="492" w:hRule="exact"/>
        </w:trPr>
        <w:tc>
          <w:tcPr>
            <w:tcW w:w="2509" w:type="dxa"/>
            <w:tcBorders>
              <w:top w:val="dotted" w:sz="4" w:space="0" w:color="000000"/>
              <w:left w:val="nil" w:sz="6" w:space="0" w:color="auto"/>
              <w:bottom w:val="single" w:sz="12" w:space="0" w:color="000000"/>
              <w:right w:val="dotted" w:sz="4" w:space="0" w:color="000000"/>
            </w:tcBorders>
          </w:tcPr>
          <w:p>
            <w:pPr>
              <w:pStyle w:val="TableParagraph"/>
              <w:spacing w:line="206" w:lineRule="exact" w:before="24"/>
              <w:ind w:left="122" w:right="97"/>
              <w:jc w:val="left"/>
              <w:rPr>
                <w:rFonts w:ascii="宋体" w:hAnsi="宋体" w:cs="宋体" w:eastAsia="宋体" w:hint="default"/>
                <w:sz w:val="16"/>
                <w:szCs w:val="16"/>
              </w:rPr>
            </w:pPr>
            <w:r>
              <w:rPr>
                <w:rFonts w:ascii="宋体" w:hAnsi="宋体" w:cs="宋体" w:eastAsia="宋体" w:hint="default"/>
                <w:sz w:val="16"/>
                <w:szCs w:val="16"/>
              </w:rPr>
              <w:t>基于大数据的非入侵式负荷检测</w:t>
            </w:r>
            <w:r>
              <w:rPr>
                <w:rFonts w:ascii="宋体" w:hAnsi="宋体" w:cs="宋体" w:eastAsia="宋体" w:hint="default"/>
                <w:spacing w:val="-43"/>
                <w:sz w:val="16"/>
                <w:szCs w:val="16"/>
              </w:rPr>
              <w:t> </w:t>
            </w:r>
            <w:r>
              <w:rPr>
                <w:rFonts w:ascii="宋体" w:hAnsi="宋体" w:cs="宋体" w:eastAsia="宋体" w:hint="default"/>
                <w:spacing w:val="-43"/>
                <w:sz w:val="16"/>
                <w:szCs w:val="16"/>
              </w:rPr>
            </w:r>
            <w:r>
              <w:rPr>
                <w:rFonts w:ascii="宋体" w:hAnsi="宋体" w:cs="宋体" w:eastAsia="宋体" w:hint="default"/>
                <w:sz w:val="16"/>
                <w:szCs w:val="16"/>
              </w:rPr>
              <w:t>平台及传感器研发</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520,000.00</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12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5"/>
              <w:ind w:right="20"/>
              <w:jc w:val="right"/>
              <w:rPr>
                <w:rFonts w:ascii="宋体" w:hAnsi="宋体" w:cs="宋体" w:eastAsia="宋体" w:hint="default"/>
                <w:sz w:val="16"/>
                <w:szCs w:val="16"/>
              </w:rPr>
            </w:pPr>
            <w:r>
              <w:rPr>
                <w:rFonts w:ascii="宋体"/>
                <w:w w:val="100"/>
                <w:sz w:val="16"/>
              </w:rPr>
              <w:t> </w:t>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递延收益</w:t>
            </w:r>
          </w:p>
        </w:tc>
      </w:tr>
    </w:tbl>
    <w:p>
      <w:pPr>
        <w:spacing w:after="0" w:line="240" w:lineRule="auto"/>
        <w:jc w:val="left"/>
        <w:rPr>
          <w:rFonts w:ascii="宋体" w:hAnsi="宋体" w:cs="宋体" w:eastAsia="宋体" w:hint="default"/>
          <w:sz w:val="16"/>
          <w:szCs w:val="16"/>
        </w:rPr>
        <w:sectPr>
          <w:pgSz w:w="11910" w:h="16840"/>
          <w:pgMar w:header="753" w:footer="997" w:top="1500" w:bottom="1180" w:left="1660" w:right="0"/>
        </w:sectPr>
      </w:pPr>
    </w:p>
    <w:p>
      <w:pPr>
        <w:spacing w:line="530" w:lineRule="auto" w:before="25"/>
        <w:ind w:left="140" w:right="11818" w:firstLine="0"/>
        <w:jc w:val="left"/>
        <w:rPr>
          <w:rFonts w:ascii="宋体" w:hAnsi="宋体" w:cs="宋体" w:eastAsia="宋体" w:hint="default"/>
          <w:sz w:val="18"/>
          <w:szCs w:val="18"/>
        </w:rPr>
      </w:pPr>
      <w:r>
        <w:rPr/>
        <w:pict>
          <v:group style="position:absolute;margin-left:70.559998pt;margin-top:41.661732pt;width:700.9pt;height:.1pt;mso-position-horizontal-relative:page;mso-position-vertical-relative:paragraph;z-index:-1629352" coordorigin="1411,833" coordsize="14018,2">
            <v:shape style="position:absolute;left:1411;top:833;width:14018;height:2" coordorigin="1411,833" coordsize="14018,0" path="m1411,833l15429,833e" filled="false" stroked="true" strokeweight=".48pt" strokecolor="#000000">
              <v:path arrowok="t"/>
            </v:shape>
            <w10:wrap type="none"/>
          </v:group>
        </w:pict>
      </w:r>
      <w:r>
        <w:rPr>
          <w:rFonts w:ascii="宋体" w:hAnsi="宋体" w:cs="宋体" w:eastAsia="宋体" w:hint="default"/>
          <w:sz w:val="18"/>
          <w:szCs w:val="18"/>
        </w:rPr>
        <w:t>中国长城科技集团股份有限公司 财务报表附注</w:t>
      </w:r>
      <w:r>
        <w:rPr>
          <w:rFonts w:ascii="宋体" w:hAnsi="宋体" w:cs="宋体" w:eastAsia="宋体" w:hint="default"/>
          <w:sz w:val="18"/>
          <w:szCs w:val="18"/>
        </w:rPr>
        <w:t> </w:t>
      </w:r>
    </w:p>
    <w:p>
      <w:pPr>
        <w:spacing w:line="240" w:lineRule="auto" w:before="7"/>
        <w:rPr>
          <w:rFonts w:ascii="宋体" w:hAnsi="宋体" w:cs="宋体" w:eastAsia="宋体" w:hint="default"/>
          <w:sz w:val="10"/>
          <w:szCs w:val="10"/>
        </w:rPr>
      </w:pPr>
    </w:p>
    <w:p>
      <w:pPr>
        <w:pStyle w:val="Heading5"/>
        <w:tabs>
          <w:tab w:pos="853" w:val="left" w:leader="none"/>
        </w:tabs>
        <w:spacing w:line="240" w:lineRule="auto"/>
        <w:ind w:left="140" w:right="0"/>
        <w:jc w:val="left"/>
        <w:rPr>
          <w:b w:val="0"/>
          <w:bCs w:val="0"/>
        </w:rPr>
      </w:pPr>
      <w:r>
        <w:rPr/>
        <w:t>六、</w:t>
        <w:tab/>
        <w:t>合并范围的变更</w:t>
      </w:r>
      <w:r>
        <w:rPr>
          <w:b w:val="0"/>
          <w:bCs w:val="0"/>
        </w:rPr>
      </w:r>
    </w:p>
    <w:p>
      <w:pPr>
        <w:pStyle w:val="Heading5"/>
        <w:tabs>
          <w:tab w:pos="853" w:val="left" w:leader="none"/>
        </w:tabs>
        <w:spacing w:line="240" w:lineRule="auto" w:before="126"/>
        <w:ind w:left="140"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同一控制下企业合并</w:t>
      </w:r>
      <w:r>
        <w:rPr>
          <w:b w:val="0"/>
          <w:bCs w:val="0"/>
        </w:rPr>
      </w:r>
    </w:p>
    <w:p>
      <w:pPr>
        <w:pStyle w:val="Heading5"/>
        <w:tabs>
          <w:tab w:pos="1400" w:val="left" w:leader="none"/>
        </w:tabs>
        <w:spacing w:line="240" w:lineRule="auto" w:before="107"/>
        <w:ind w:left="848" w:right="0"/>
        <w:jc w:val="left"/>
        <w:rPr>
          <w:b w:val="0"/>
          <w:bCs w:val="0"/>
        </w:rPr>
      </w:pPr>
      <w:r>
        <w:rPr>
          <w:rFonts w:ascii="Times New Roman" w:hAnsi="Times New Roman" w:cs="Times New Roman" w:eastAsia="Times New Roman" w:hint="default"/>
        </w:rPr>
        <w:t>1</w:t>
      </w:r>
      <w:r>
        <w:rPr/>
        <w:t>、</w:t>
        <w:tab/>
      </w:r>
      <w:r>
        <w:rPr>
          <w:spacing w:val="-1"/>
        </w:rPr>
        <w:t>本期发生的同一控制下企业合并</w:t>
      </w:r>
      <w:r>
        <w:rPr>
          <w:b w:val="0"/>
          <w:bCs w:val="0"/>
          <w:spacing w:val="-1"/>
        </w:rPr>
      </w:r>
    </w:p>
    <w:tbl>
      <w:tblPr>
        <w:tblW w:w="0" w:type="auto"/>
        <w:jc w:val="left"/>
        <w:tblInd w:w="723" w:type="dxa"/>
        <w:tblLayout w:type="fixed"/>
        <w:tblCellMar>
          <w:top w:w="0" w:type="dxa"/>
          <w:left w:w="0" w:type="dxa"/>
          <w:bottom w:w="0" w:type="dxa"/>
          <w:right w:w="0" w:type="dxa"/>
        </w:tblCellMar>
        <w:tblLook w:val="01E0"/>
      </w:tblPr>
      <w:tblGrid>
        <w:gridCol w:w="1838"/>
        <w:gridCol w:w="1058"/>
        <w:gridCol w:w="1813"/>
        <w:gridCol w:w="1068"/>
        <w:gridCol w:w="1800"/>
        <w:gridCol w:w="1510"/>
        <w:gridCol w:w="1512"/>
        <w:gridCol w:w="1513"/>
        <w:gridCol w:w="1512"/>
      </w:tblGrid>
      <w:tr>
        <w:trPr>
          <w:trHeight w:val="780" w:hRule="exact"/>
        </w:trPr>
        <w:tc>
          <w:tcPr>
            <w:tcW w:w="183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46" w:right="0"/>
              <w:jc w:val="left"/>
              <w:rPr>
                <w:rFonts w:ascii="宋体" w:hAnsi="宋体" w:cs="宋体" w:eastAsia="宋体" w:hint="default"/>
                <w:sz w:val="16"/>
                <w:szCs w:val="16"/>
              </w:rPr>
            </w:pPr>
            <w:r>
              <w:rPr>
                <w:rFonts w:ascii="宋体" w:hAnsi="宋体" w:cs="宋体" w:eastAsia="宋体" w:hint="default"/>
                <w:sz w:val="16"/>
                <w:szCs w:val="16"/>
              </w:rPr>
              <w:t>被合并方名称</w:t>
            </w:r>
          </w:p>
        </w:tc>
        <w:tc>
          <w:tcPr>
            <w:tcW w:w="1058"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45"/>
              <w:ind w:left="124" w:right="120"/>
              <w:jc w:val="both"/>
              <w:rPr>
                <w:rFonts w:ascii="宋体" w:hAnsi="宋体" w:cs="宋体" w:eastAsia="宋体" w:hint="default"/>
                <w:sz w:val="16"/>
                <w:szCs w:val="16"/>
              </w:rPr>
            </w:pPr>
            <w:r>
              <w:rPr>
                <w:rFonts w:ascii="宋体" w:hAnsi="宋体" w:cs="宋体" w:eastAsia="宋体" w:hint="default"/>
                <w:sz w:val="16"/>
                <w:szCs w:val="16"/>
              </w:rPr>
              <w:t>企业合并中</w:t>
            </w:r>
            <w:r>
              <w:rPr>
                <w:rFonts w:ascii="宋体" w:hAnsi="宋体" w:cs="宋体" w:eastAsia="宋体" w:hint="default"/>
                <w:w w:val="100"/>
                <w:sz w:val="16"/>
                <w:szCs w:val="16"/>
              </w:rPr>
              <w:t> </w:t>
            </w:r>
            <w:r>
              <w:rPr>
                <w:rFonts w:ascii="宋体" w:hAnsi="宋体" w:cs="宋体" w:eastAsia="宋体" w:hint="default"/>
                <w:sz w:val="16"/>
                <w:szCs w:val="16"/>
              </w:rPr>
              <w:t>取得的权益</w:t>
            </w:r>
            <w:r>
              <w:rPr>
                <w:rFonts w:ascii="宋体" w:hAnsi="宋体" w:cs="宋体" w:eastAsia="宋体" w:hint="default"/>
                <w:w w:val="100"/>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8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06" w:lineRule="exact"/>
              <w:ind w:left="501" w:right="178" w:hanging="322"/>
              <w:jc w:val="left"/>
              <w:rPr>
                <w:rFonts w:ascii="宋体" w:hAnsi="宋体" w:cs="宋体" w:eastAsia="宋体" w:hint="default"/>
                <w:sz w:val="16"/>
                <w:szCs w:val="16"/>
              </w:rPr>
            </w:pPr>
            <w:r>
              <w:rPr>
                <w:rFonts w:ascii="宋体" w:hAnsi="宋体" w:cs="宋体" w:eastAsia="宋体" w:hint="default"/>
                <w:sz w:val="16"/>
                <w:szCs w:val="16"/>
              </w:rPr>
              <w:t>构成同一控制下企业</w:t>
            </w:r>
            <w:r>
              <w:rPr>
                <w:rFonts w:ascii="宋体" w:hAnsi="宋体" w:cs="宋体" w:eastAsia="宋体" w:hint="default"/>
                <w:w w:val="100"/>
                <w:sz w:val="16"/>
                <w:szCs w:val="16"/>
              </w:rPr>
              <w:t> </w:t>
            </w:r>
            <w:r>
              <w:rPr>
                <w:rFonts w:ascii="宋体" w:hAnsi="宋体" w:cs="宋体" w:eastAsia="宋体" w:hint="default"/>
                <w:sz w:val="16"/>
                <w:szCs w:val="16"/>
              </w:rPr>
              <w:t>合并的依据</w:t>
            </w:r>
          </w:p>
        </w:tc>
        <w:tc>
          <w:tcPr>
            <w:tcW w:w="10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合并日</w:t>
            </w:r>
          </w:p>
        </w:tc>
        <w:tc>
          <w:tcPr>
            <w:tcW w:w="18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6"/>
                <w:szCs w:val="16"/>
              </w:rPr>
            </w:pPr>
            <w:r>
              <w:rPr>
                <w:rFonts w:ascii="宋体" w:hAnsi="宋体" w:cs="宋体" w:eastAsia="宋体" w:hint="default"/>
                <w:sz w:val="16"/>
                <w:szCs w:val="16"/>
              </w:rPr>
              <w:t>合并日的确定依据</w:t>
            </w:r>
          </w:p>
        </w:tc>
        <w:tc>
          <w:tcPr>
            <w:tcW w:w="1510"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45"/>
              <w:ind w:left="110" w:right="106"/>
              <w:jc w:val="center"/>
              <w:rPr>
                <w:rFonts w:ascii="宋体" w:hAnsi="宋体" w:cs="宋体" w:eastAsia="宋体" w:hint="default"/>
                <w:sz w:val="16"/>
                <w:szCs w:val="16"/>
              </w:rPr>
            </w:pPr>
            <w:r>
              <w:rPr>
                <w:rFonts w:ascii="宋体" w:hAnsi="宋体" w:cs="宋体" w:eastAsia="宋体" w:hint="default"/>
                <w:spacing w:val="-1"/>
                <w:sz w:val="16"/>
                <w:szCs w:val="16"/>
              </w:rPr>
              <w:t>合并当期期初至合</w:t>
            </w:r>
            <w:r>
              <w:rPr>
                <w:rFonts w:ascii="宋体" w:hAnsi="宋体" w:cs="宋体" w:eastAsia="宋体" w:hint="default"/>
                <w:w w:val="100"/>
                <w:sz w:val="16"/>
                <w:szCs w:val="16"/>
              </w:rPr>
              <w:t> </w:t>
            </w:r>
            <w:r>
              <w:rPr>
                <w:rFonts w:ascii="宋体" w:hAnsi="宋体" w:cs="宋体" w:eastAsia="宋体" w:hint="default"/>
                <w:spacing w:val="-1"/>
                <w:sz w:val="16"/>
                <w:szCs w:val="16"/>
              </w:rPr>
              <w:t>并日被合并方的收</w:t>
            </w:r>
            <w:r>
              <w:rPr>
                <w:rFonts w:ascii="宋体" w:hAnsi="宋体" w:cs="宋体" w:eastAsia="宋体" w:hint="default"/>
                <w:w w:val="100"/>
                <w:sz w:val="16"/>
                <w:szCs w:val="16"/>
              </w:rPr>
              <w:t> </w:t>
            </w:r>
            <w:r>
              <w:rPr>
                <w:rFonts w:ascii="宋体" w:hAnsi="宋体" w:cs="宋体" w:eastAsia="宋体" w:hint="default"/>
                <w:sz w:val="16"/>
                <w:szCs w:val="16"/>
              </w:rPr>
              <w:t>入</w:t>
            </w:r>
          </w:p>
        </w:tc>
        <w:tc>
          <w:tcPr>
            <w:tcW w:w="1512"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45"/>
              <w:ind w:left="110" w:right="108"/>
              <w:jc w:val="center"/>
              <w:rPr>
                <w:rFonts w:ascii="宋体" w:hAnsi="宋体" w:cs="宋体" w:eastAsia="宋体" w:hint="default"/>
                <w:sz w:val="16"/>
                <w:szCs w:val="16"/>
              </w:rPr>
            </w:pPr>
            <w:r>
              <w:rPr>
                <w:rFonts w:ascii="宋体" w:hAnsi="宋体" w:cs="宋体" w:eastAsia="宋体" w:hint="default"/>
                <w:spacing w:val="-1"/>
                <w:sz w:val="16"/>
                <w:szCs w:val="16"/>
              </w:rPr>
              <w:t>合并当期期初至合</w:t>
            </w:r>
            <w:r>
              <w:rPr>
                <w:rFonts w:ascii="宋体" w:hAnsi="宋体" w:cs="宋体" w:eastAsia="宋体" w:hint="default"/>
                <w:w w:val="100"/>
                <w:sz w:val="16"/>
                <w:szCs w:val="16"/>
              </w:rPr>
              <w:t> </w:t>
            </w:r>
            <w:r>
              <w:rPr>
                <w:rFonts w:ascii="宋体" w:hAnsi="宋体" w:cs="宋体" w:eastAsia="宋体" w:hint="default"/>
                <w:spacing w:val="-1"/>
                <w:sz w:val="16"/>
                <w:szCs w:val="16"/>
              </w:rPr>
              <w:t>并日被合并方的净</w:t>
            </w:r>
            <w:r>
              <w:rPr>
                <w:rFonts w:ascii="宋体" w:hAnsi="宋体" w:cs="宋体" w:eastAsia="宋体" w:hint="default"/>
                <w:w w:val="100"/>
                <w:sz w:val="16"/>
                <w:szCs w:val="16"/>
              </w:rPr>
              <w:t> </w:t>
            </w:r>
            <w:r>
              <w:rPr>
                <w:rFonts w:ascii="宋体" w:hAnsi="宋体" w:cs="宋体" w:eastAsia="宋体" w:hint="default"/>
                <w:sz w:val="16"/>
                <w:szCs w:val="16"/>
              </w:rPr>
              <w:t>利润</w:t>
            </w:r>
          </w:p>
        </w:tc>
        <w:tc>
          <w:tcPr>
            <w:tcW w:w="15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06" w:lineRule="exact"/>
              <w:ind w:left="511" w:right="109" w:hanging="401"/>
              <w:jc w:val="left"/>
              <w:rPr>
                <w:rFonts w:ascii="宋体" w:hAnsi="宋体" w:cs="宋体" w:eastAsia="宋体" w:hint="default"/>
                <w:sz w:val="16"/>
                <w:szCs w:val="16"/>
              </w:rPr>
            </w:pPr>
            <w:r>
              <w:rPr>
                <w:rFonts w:ascii="宋体" w:hAnsi="宋体" w:cs="宋体" w:eastAsia="宋体" w:hint="default"/>
                <w:sz w:val="16"/>
                <w:szCs w:val="16"/>
              </w:rPr>
              <w:t>比较期间被合并方</w:t>
            </w:r>
            <w:r>
              <w:rPr>
                <w:rFonts w:ascii="宋体" w:hAnsi="宋体" w:cs="宋体" w:eastAsia="宋体" w:hint="default"/>
                <w:w w:val="100"/>
                <w:sz w:val="16"/>
                <w:szCs w:val="16"/>
              </w:rPr>
              <w:t> </w:t>
            </w:r>
            <w:r>
              <w:rPr>
                <w:rFonts w:ascii="宋体" w:hAnsi="宋体" w:cs="宋体" w:eastAsia="宋体" w:hint="default"/>
                <w:sz w:val="16"/>
                <w:szCs w:val="16"/>
              </w:rPr>
              <w:t>的收入</w:t>
            </w:r>
          </w:p>
        </w:tc>
        <w:tc>
          <w:tcPr>
            <w:tcW w:w="151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06" w:lineRule="exact"/>
              <w:ind w:left="429" w:right="115" w:hanging="320"/>
              <w:jc w:val="left"/>
              <w:rPr>
                <w:rFonts w:ascii="宋体" w:hAnsi="宋体" w:cs="宋体" w:eastAsia="宋体" w:hint="default"/>
                <w:sz w:val="16"/>
                <w:szCs w:val="16"/>
              </w:rPr>
            </w:pPr>
            <w:r>
              <w:rPr>
                <w:rFonts w:ascii="宋体" w:hAnsi="宋体" w:cs="宋体" w:eastAsia="宋体" w:hint="default"/>
                <w:spacing w:val="-2"/>
                <w:sz w:val="16"/>
                <w:szCs w:val="16"/>
              </w:rPr>
              <w:t>比较期间被合并方</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的净利润</w:t>
            </w:r>
          </w:p>
        </w:tc>
      </w:tr>
      <w:tr>
        <w:trPr>
          <w:trHeight w:val="572" w:hRule="exact"/>
        </w:trPr>
        <w:tc>
          <w:tcPr>
            <w:tcW w:w="1838" w:type="dxa"/>
            <w:tcBorders>
              <w:top w:val="dotted" w:sz="4" w:space="0" w:color="000000"/>
              <w:left w:val="nil" w:sz="6" w:space="0" w:color="auto"/>
              <w:bottom w:val="single" w:sz="12" w:space="0" w:color="000000"/>
              <w:right w:val="dotted" w:sz="4" w:space="0" w:color="000000"/>
            </w:tcBorders>
          </w:tcPr>
          <w:p>
            <w:pPr>
              <w:pStyle w:val="TableParagraph"/>
              <w:spacing w:line="206" w:lineRule="exact" w:before="66"/>
              <w:ind w:left="122" w:right="101"/>
              <w:jc w:val="left"/>
              <w:rPr>
                <w:rFonts w:ascii="宋体" w:hAnsi="宋体" w:cs="宋体" w:eastAsia="宋体" w:hint="default"/>
                <w:sz w:val="16"/>
                <w:szCs w:val="16"/>
              </w:rPr>
            </w:pPr>
            <w:r>
              <w:rPr>
                <w:rFonts w:ascii="宋体" w:hAnsi="宋体" w:cs="宋体" w:eastAsia="宋体" w:hint="default"/>
                <w:sz w:val="16"/>
                <w:szCs w:val="16"/>
              </w:rPr>
              <w:t>郑州轨道交通信息技术</w:t>
            </w:r>
            <w:r>
              <w:rPr>
                <w:rFonts w:ascii="宋体" w:hAnsi="宋体" w:cs="宋体" w:eastAsia="宋体" w:hint="default"/>
                <w:spacing w:val="-72"/>
                <w:sz w:val="16"/>
                <w:szCs w:val="16"/>
              </w:rPr>
              <w:t> </w:t>
            </w:r>
            <w:r>
              <w:rPr>
                <w:rFonts w:ascii="宋体" w:hAnsi="宋体" w:cs="宋体" w:eastAsia="宋体" w:hint="default"/>
                <w:sz w:val="16"/>
                <w:szCs w:val="16"/>
              </w:rPr>
              <w:t>研究院</w:t>
            </w:r>
          </w:p>
        </w:tc>
        <w:tc>
          <w:tcPr>
            <w:tcW w:w="10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71" w:right="0"/>
              <w:jc w:val="left"/>
              <w:rPr>
                <w:rFonts w:ascii="Times New Roman" w:hAnsi="Times New Roman" w:cs="Times New Roman" w:eastAsia="Times New Roman" w:hint="default"/>
                <w:sz w:val="16"/>
                <w:szCs w:val="16"/>
              </w:rPr>
            </w:pPr>
            <w:r>
              <w:rPr>
                <w:rFonts w:ascii="Times New Roman"/>
                <w:sz w:val="16"/>
              </w:rPr>
              <w:t>100.00%</w:t>
            </w:r>
          </w:p>
        </w:tc>
        <w:tc>
          <w:tcPr>
            <w:tcW w:w="18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「注」</w:t>
            </w:r>
          </w:p>
        </w:tc>
        <w:tc>
          <w:tcPr>
            <w:tcW w:w="10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2019-12-9</w:t>
            </w:r>
          </w:p>
        </w:tc>
        <w:tc>
          <w:tcPr>
            <w:tcW w:w="1800" w:type="dxa"/>
            <w:tcBorders>
              <w:top w:val="dotted" w:sz="4" w:space="0" w:color="000000"/>
              <w:left w:val="dotted" w:sz="4" w:space="0" w:color="000000"/>
              <w:bottom w:val="single" w:sz="12" w:space="0" w:color="000000"/>
              <w:right w:val="dotted" w:sz="4" w:space="0" w:color="000000"/>
            </w:tcBorders>
          </w:tcPr>
          <w:p>
            <w:pPr>
              <w:pStyle w:val="TableParagraph"/>
              <w:spacing w:line="206" w:lineRule="exact" w:before="66"/>
              <w:ind w:left="103" w:right="87"/>
              <w:jc w:val="left"/>
              <w:rPr>
                <w:rFonts w:ascii="宋体" w:hAnsi="宋体" w:cs="宋体" w:eastAsia="宋体" w:hint="default"/>
                <w:sz w:val="16"/>
                <w:szCs w:val="16"/>
              </w:rPr>
            </w:pPr>
            <w:r>
              <w:rPr>
                <w:rFonts w:ascii="宋体" w:hAnsi="宋体" w:cs="宋体" w:eastAsia="宋体" w:hint="default"/>
                <w:spacing w:val="13"/>
                <w:sz w:val="16"/>
                <w:szCs w:val="16"/>
              </w:rPr>
              <w:t>签订股权转让协议并</w:t>
            </w:r>
            <w:r>
              <w:rPr>
                <w:rFonts w:ascii="宋体" w:hAnsi="宋体" w:cs="宋体" w:eastAsia="宋体" w:hint="default"/>
                <w:spacing w:val="-62"/>
                <w:sz w:val="16"/>
                <w:szCs w:val="16"/>
              </w:rPr>
              <w:t> </w:t>
            </w:r>
            <w:r>
              <w:rPr>
                <w:rFonts w:ascii="宋体" w:hAnsi="宋体" w:cs="宋体" w:eastAsia="宋体" w:hint="default"/>
                <w:sz w:val="16"/>
                <w:szCs w:val="16"/>
              </w:rPr>
              <w:t>支付全部收购价款</w:t>
            </w:r>
          </w:p>
        </w:tc>
        <w:tc>
          <w:tcPr>
            <w:tcW w:w="15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559" w:right="0"/>
              <w:jc w:val="left"/>
              <w:rPr>
                <w:rFonts w:ascii="Times New Roman" w:hAnsi="Times New Roman" w:cs="Times New Roman" w:eastAsia="Times New Roman" w:hint="default"/>
                <w:sz w:val="16"/>
                <w:szCs w:val="16"/>
              </w:rPr>
            </w:pPr>
            <w:r>
              <w:rPr>
                <w:rFonts w:ascii="Times New Roman"/>
                <w:sz w:val="16"/>
              </w:rPr>
              <w:t>3,053,020.17</w:t>
            </w:r>
          </w:p>
        </w:tc>
        <w:tc>
          <w:tcPr>
            <w:tcW w:w="15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24" w:right="0"/>
              <w:jc w:val="left"/>
              <w:rPr>
                <w:rFonts w:ascii="Times New Roman" w:hAnsi="Times New Roman" w:cs="Times New Roman" w:eastAsia="Times New Roman" w:hint="default"/>
                <w:sz w:val="16"/>
                <w:szCs w:val="16"/>
              </w:rPr>
            </w:pPr>
            <w:r>
              <w:rPr>
                <w:rFonts w:ascii="Times New Roman"/>
                <w:sz w:val="16"/>
              </w:rPr>
              <w:t>-10,248,573.27</w:t>
            </w:r>
          </w:p>
        </w:tc>
        <w:tc>
          <w:tcPr>
            <w:tcW w:w="1513" w:type="dxa"/>
            <w:tcBorders>
              <w:top w:val="dotted" w:sz="4" w:space="0" w:color="000000"/>
              <w:left w:val="dotted" w:sz="4" w:space="0" w:color="000000"/>
              <w:bottom w:val="single" w:sz="12" w:space="0" w:color="000000"/>
              <w:right w:val="dotted" w:sz="4" w:space="0" w:color="000000"/>
            </w:tcBorders>
          </w:tcPr>
          <w:p>
            <w:pPr/>
          </w:p>
        </w:tc>
        <w:tc>
          <w:tcPr>
            <w:tcW w:w="15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559" w:right="0"/>
              <w:jc w:val="left"/>
              <w:rPr>
                <w:rFonts w:ascii="Times New Roman" w:hAnsi="Times New Roman" w:cs="Times New Roman" w:eastAsia="Times New Roman" w:hint="default"/>
                <w:sz w:val="16"/>
                <w:szCs w:val="16"/>
              </w:rPr>
            </w:pPr>
            <w:r>
              <w:rPr>
                <w:rFonts w:ascii="Times New Roman"/>
                <w:sz w:val="16"/>
              </w:rPr>
              <w:t>5,862,843.29</w:t>
            </w:r>
          </w:p>
        </w:tc>
      </w:tr>
    </w:tbl>
    <w:p>
      <w:pPr>
        <w:spacing w:line="240" w:lineRule="auto" w:before="8"/>
        <w:rPr>
          <w:rFonts w:ascii="宋体" w:hAnsi="宋体" w:cs="宋体" w:eastAsia="宋体" w:hint="default"/>
          <w:b/>
          <w:bCs/>
          <w:sz w:val="5"/>
          <w:szCs w:val="5"/>
        </w:rPr>
      </w:pPr>
    </w:p>
    <w:p>
      <w:pPr>
        <w:pStyle w:val="BodyText"/>
        <w:spacing w:line="328" w:lineRule="auto"/>
        <w:ind w:left="1417" w:right="391"/>
        <w:jc w:val="both"/>
      </w:pPr>
      <w:r>
        <w:rPr>
          <w:spacing w:val="-3"/>
        </w:rPr>
        <w:t>注：郑州轨道交通信息技术研究院（以下简称</w:t>
      </w:r>
      <w:r>
        <w:rPr>
          <w:rFonts w:ascii="Times New Roman" w:hAnsi="Times New Roman" w:cs="Times New Roman" w:eastAsia="Times New Roman" w:hint="default"/>
          <w:spacing w:val="-3"/>
        </w:rPr>
        <w:t>“</w:t>
      </w:r>
      <w:r>
        <w:rPr>
          <w:spacing w:val="-3"/>
        </w:rPr>
        <w:t>轨道院</w:t>
      </w:r>
      <w:r>
        <w:rPr>
          <w:rFonts w:ascii="Times New Roman" w:hAnsi="Times New Roman" w:cs="Times New Roman" w:eastAsia="Times New Roman" w:hint="default"/>
          <w:spacing w:val="-3"/>
        </w:rPr>
        <w:t>”</w:t>
      </w:r>
      <w:r>
        <w:rPr>
          <w:spacing w:val="-3"/>
        </w:rPr>
        <w:t>）原为中国电子信息产业集团有限公司第六研究所（以下简称</w:t>
      </w:r>
      <w:r>
        <w:rPr>
          <w:rFonts w:ascii="Times New Roman" w:hAnsi="Times New Roman" w:cs="Times New Roman" w:eastAsia="Times New Roman" w:hint="default"/>
          <w:spacing w:val="-3"/>
        </w:rPr>
        <w:t>“</w:t>
      </w:r>
      <w:r>
        <w:rPr>
          <w:spacing w:val="-3"/>
        </w:rPr>
        <w:t>中电六所</w:t>
      </w:r>
      <w:r>
        <w:rPr>
          <w:rFonts w:ascii="Times New Roman" w:hAnsi="Times New Roman" w:cs="Times New Roman" w:eastAsia="Times New Roman" w:hint="default"/>
          <w:spacing w:val="-3"/>
        </w:rPr>
        <w:t>”</w:t>
      </w:r>
      <w:r>
        <w:rPr>
          <w:spacing w:val="-3"/>
        </w:rPr>
        <w:t>）全资子企</w:t>
      </w:r>
      <w:r>
        <w:rPr>
          <w:spacing w:val="-13"/>
        </w:rPr>
        <w:t> </w:t>
      </w:r>
      <w:r>
        <w:rPr>
          <w:spacing w:val="-13"/>
        </w:rPr>
      </w:r>
      <w:r>
        <w:rPr>
          <w:spacing w:val="-4"/>
        </w:rPr>
        <w:t>业，中电六所为本公司母公司中国电子信息产业集团有限公司（以下简称</w:t>
      </w:r>
      <w:r>
        <w:rPr>
          <w:rFonts w:ascii="Times New Roman" w:hAnsi="Times New Roman" w:cs="Times New Roman" w:eastAsia="Times New Roman" w:hint="default"/>
          <w:spacing w:val="-4"/>
        </w:rPr>
        <w:t>“</w:t>
      </w:r>
      <w:r>
        <w:rPr>
          <w:spacing w:val="-4"/>
        </w:rPr>
        <w:t>中国电子</w:t>
      </w:r>
      <w:r>
        <w:rPr>
          <w:rFonts w:ascii="Times New Roman" w:hAnsi="Times New Roman" w:cs="Times New Roman" w:eastAsia="Times New Roman" w:hint="default"/>
          <w:spacing w:val="-4"/>
        </w:rPr>
        <w:t>”</w:t>
      </w:r>
      <w:r>
        <w:rPr>
          <w:spacing w:val="-4"/>
        </w:rPr>
        <w:t>）全资子公司，在本次合并前轨道院与本公司同受中国</w:t>
      </w:r>
      <w:r>
        <w:rPr>
          <w:spacing w:val="24"/>
        </w:rPr>
        <w:t> </w:t>
      </w:r>
      <w:r>
        <w:rPr>
          <w:spacing w:val="24"/>
        </w:rPr>
      </w:r>
      <w:r>
        <w:rPr/>
        <w:t>电子控制，因此本次合并构成同一控制下企业合并。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44"/>
        <w:ind w:left="6244" w:right="6501" w:firstLine="0"/>
        <w:jc w:val="center"/>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90</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36"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59"/>
          <w:footerReference w:type="default" r:id="rId60"/>
          <w:pgSz w:w="16840" w:h="11910" w:orient="landscape"/>
          <w:pgMar w:header="0" w:footer="0" w:top="780" w:bottom="0" w:left="1300" w:right="1040"/>
        </w:sectPr>
      </w:pPr>
    </w:p>
    <w:p>
      <w:pPr>
        <w:spacing w:line="240" w:lineRule="auto" w:before="12"/>
        <w:rPr>
          <w:rFonts w:ascii="宋体" w:hAnsi="宋体" w:cs="宋体" w:eastAsia="宋体" w:hint="default"/>
          <w:sz w:val="22"/>
          <w:szCs w:val="22"/>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t>合并成本</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4789"/>
        <w:gridCol w:w="3416"/>
      </w:tblGrid>
      <w:tr>
        <w:trPr>
          <w:trHeight w:val="286" w:hRule="exact"/>
        </w:trPr>
        <w:tc>
          <w:tcPr>
            <w:tcW w:w="4789" w:type="dxa"/>
            <w:tcBorders>
              <w:top w:val="single" w:sz="12" w:space="0" w:color="000000"/>
              <w:left w:val="nil" w:sz="6" w:space="0" w:color="auto"/>
              <w:bottom w:val="dotted" w:sz="4" w:space="0" w:color="000000"/>
              <w:right w:val="dotted" w:sz="4" w:space="0" w:color="000000"/>
            </w:tcBorders>
          </w:tcPr>
          <w:p>
            <w:pPr/>
          </w:p>
        </w:tc>
        <w:tc>
          <w:tcPr>
            <w:tcW w:w="341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660" w:right="0"/>
              <w:jc w:val="left"/>
              <w:rPr>
                <w:rFonts w:ascii="宋体" w:hAnsi="宋体" w:cs="宋体" w:eastAsia="宋体" w:hint="default"/>
                <w:sz w:val="16"/>
                <w:szCs w:val="16"/>
              </w:rPr>
            </w:pPr>
            <w:r>
              <w:rPr>
                <w:rFonts w:ascii="宋体" w:hAnsi="宋体" w:cs="宋体" w:eastAsia="宋体" w:hint="default"/>
                <w:sz w:val="16"/>
                <w:szCs w:val="16"/>
              </w:rPr>
              <w:t>郑州轨道交通信息技术研究院</w:t>
            </w:r>
          </w:p>
        </w:tc>
      </w:tr>
      <w:tr>
        <w:trPr>
          <w:trHeight w:val="274" w:hRule="exact"/>
        </w:trPr>
        <w:tc>
          <w:tcPr>
            <w:tcW w:w="47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现金</w:t>
            </w:r>
          </w:p>
        </w:tc>
        <w:tc>
          <w:tcPr>
            <w:tcW w:w="3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98,009,600.00</w:t>
            </w:r>
          </w:p>
        </w:tc>
      </w:tr>
      <w:tr>
        <w:trPr>
          <w:trHeight w:val="274" w:hRule="exact"/>
        </w:trPr>
        <w:tc>
          <w:tcPr>
            <w:tcW w:w="47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非现金资产的账面价值</w:t>
            </w:r>
          </w:p>
        </w:tc>
        <w:tc>
          <w:tcPr>
            <w:tcW w:w="341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8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发行或承担的债务的账面价值</w:t>
            </w:r>
          </w:p>
        </w:tc>
        <w:tc>
          <w:tcPr>
            <w:tcW w:w="341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8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发行的权益性证券的面值</w:t>
            </w:r>
          </w:p>
        </w:tc>
        <w:tc>
          <w:tcPr>
            <w:tcW w:w="341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78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或有对价</w:t>
            </w:r>
          </w:p>
        </w:tc>
        <w:tc>
          <w:tcPr>
            <w:tcW w:w="3416" w:type="dxa"/>
            <w:tcBorders>
              <w:top w:val="dotted" w:sz="4" w:space="0" w:color="000000"/>
              <w:left w:val="dotted" w:sz="4" w:space="0" w:color="000000"/>
              <w:bottom w:val="dotted" w:sz="4" w:space="0" w:color="000000"/>
              <w:right w:val="nil" w:sz="6" w:space="0" w:color="auto"/>
            </w:tcBorders>
          </w:tcPr>
          <w:p>
            <w:pPr/>
          </w:p>
        </w:tc>
      </w:tr>
      <w:tr>
        <w:trPr>
          <w:trHeight w:val="283" w:hRule="exact"/>
        </w:trPr>
        <w:tc>
          <w:tcPr>
            <w:tcW w:w="478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合并成本合计</w:t>
            </w:r>
          </w:p>
        </w:tc>
        <w:tc>
          <w:tcPr>
            <w:tcW w:w="34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98,009,600.00</w:t>
            </w:r>
          </w:p>
        </w:tc>
      </w:tr>
    </w:tbl>
    <w:p>
      <w:pPr>
        <w:spacing w:line="240" w:lineRule="auto" w:before="6"/>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3</w:t>
      </w:r>
      <w:r>
        <w:rPr/>
        <w:t>、</w:t>
        <w:tab/>
      </w:r>
      <w:r>
        <w:rPr>
          <w:spacing w:val="-1"/>
        </w:rPr>
        <w:t>合并日被合并方资产、负债的账面价值</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252"/>
        <w:gridCol w:w="2883"/>
        <w:gridCol w:w="3070"/>
      </w:tblGrid>
      <w:tr>
        <w:trPr>
          <w:trHeight w:val="286" w:hRule="exact"/>
        </w:trPr>
        <w:tc>
          <w:tcPr>
            <w:tcW w:w="2252" w:type="dxa"/>
            <w:vMerge w:val="restart"/>
            <w:tcBorders>
              <w:top w:val="single" w:sz="12" w:space="0" w:color="000000"/>
              <w:left w:val="nil" w:sz="6" w:space="0" w:color="auto"/>
              <w:right w:val="dotted" w:sz="4" w:space="0" w:color="000000"/>
            </w:tcBorders>
          </w:tcPr>
          <w:p>
            <w:pPr>
              <w:pStyle w:val="TableParagraph"/>
              <w:spacing w:line="240" w:lineRule="auto" w:before="139"/>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5953"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1930" w:right="0"/>
              <w:jc w:val="left"/>
              <w:rPr>
                <w:rFonts w:ascii="宋体" w:hAnsi="宋体" w:cs="宋体" w:eastAsia="宋体" w:hint="default"/>
                <w:sz w:val="16"/>
                <w:szCs w:val="16"/>
              </w:rPr>
            </w:pPr>
            <w:r>
              <w:rPr>
                <w:rFonts w:ascii="宋体" w:hAnsi="宋体" w:cs="宋体" w:eastAsia="宋体" w:hint="default"/>
                <w:sz w:val="16"/>
                <w:szCs w:val="16"/>
              </w:rPr>
              <w:t>郑州轨道交通信息技术研究院</w:t>
            </w:r>
          </w:p>
        </w:tc>
      </w:tr>
      <w:tr>
        <w:trPr>
          <w:trHeight w:val="271" w:hRule="exact"/>
        </w:trPr>
        <w:tc>
          <w:tcPr>
            <w:tcW w:w="2252" w:type="dxa"/>
            <w:vMerge/>
            <w:tcBorders>
              <w:left w:val="nil" w:sz="6" w:space="0" w:color="auto"/>
              <w:bottom w:val="dotted" w:sz="4" w:space="0" w:color="000000"/>
              <w:right w:val="dotted" w:sz="4" w:space="0" w:color="000000"/>
            </w:tcBorders>
          </w:tcPr>
          <w:p>
            <w:pP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合并日</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上期期末</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资产：</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22,294,753.47</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39,134,513.52</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1,818,512.84</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19,073,946.30</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应收款项</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1,033,733.13</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232,670.00</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188,625.86</w:t>
            </w:r>
          </w:p>
        </w:tc>
        <w:tc>
          <w:tcPr>
            <w:tcW w:w="3070"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3,456,806.24</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4,386,731.83</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8,770,438.78</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6,301,468.26</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988,713.40</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823,377.34</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3,513,194.90</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5,916,596.23</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负债：</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2,356,042.03</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8,271,670.23</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应付款项</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104,919.83</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445,261.45</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应付职工薪酬</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47,831.80</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749,367.78</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应交税费</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10,680.70</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7,077,041.00</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2,192,609.70</w:t>
            </w:r>
          </w:p>
        </w:tc>
        <w:tc>
          <w:tcPr>
            <w:tcW w:w="3070"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净资产</w:t>
            </w:r>
          </w:p>
        </w:tc>
        <w:tc>
          <w:tcPr>
            <w:tcW w:w="2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19,938,711.44</w:t>
            </w:r>
          </w:p>
        </w:tc>
        <w:tc>
          <w:tcPr>
            <w:tcW w:w="30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30,862,843.29</w:t>
            </w:r>
          </w:p>
        </w:tc>
      </w:tr>
      <w:tr>
        <w:trPr>
          <w:trHeight w:val="274"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减：少数股东权益</w:t>
            </w:r>
          </w:p>
        </w:tc>
        <w:tc>
          <w:tcPr>
            <w:tcW w:w="2883" w:type="dxa"/>
            <w:tcBorders>
              <w:top w:val="dotted" w:sz="4" w:space="0" w:color="000000"/>
              <w:left w:val="dotted" w:sz="4" w:space="0" w:color="000000"/>
              <w:bottom w:val="dotted" w:sz="4" w:space="0" w:color="000000"/>
              <w:right w:val="dotted" w:sz="4" w:space="0" w:color="000000"/>
            </w:tcBorders>
          </w:tcPr>
          <w:p>
            <w:pPr/>
          </w:p>
        </w:tc>
        <w:tc>
          <w:tcPr>
            <w:tcW w:w="3070" w:type="dxa"/>
            <w:tcBorders>
              <w:top w:val="dotted" w:sz="4" w:space="0" w:color="000000"/>
              <w:left w:val="dotted" w:sz="4" w:space="0" w:color="000000"/>
              <w:bottom w:val="dotted" w:sz="4" w:space="0" w:color="000000"/>
              <w:right w:val="nil" w:sz="6" w:space="0" w:color="auto"/>
            </w:tcBorders>
          </w:tcPr>
          <w:p>
            <w:pPr/>
          </w:p>
        </w:tc>
      </w:tr>
      <w:tr>
        <w:trPr>
          <w:trHeight w:val="283" w:hRule="exact"/>
        </w:trPr>
        <w:tc>
          <w:tcPr>
            <w:tcW w:w="22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取得的净资产</w:t>
            </w:r>
          </w:p>
        </w:tc>
        <w:tc>
          <w:tcPr>
            <w:tcW w:w="28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19,938,711.44</w:t>
            </w:r>
          </w:p>
        </w:tc>
        <w:tc>
          <w:tcPr>
            <w:tcW w:w="30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30,862,843.29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p>
      <w:pPr>
        <w:spacing w:before="44"/>
        <w:ind w:left="0" w:right="1653" w:firstLine="0"/>
        <w:jc w:val="center"/>
        <w:rPr>
          <w:rFonts w:ascii="宋体" w:hAnsi="宋体" w:cs="宋体" w:eastAsia="宋体" w:hint="default"/>
          <w:sz w:val="18"/>
          <w:szCs w:val="18"/>
        </w:rPr>
      </w:pPr>
      <w:r>
        <w:rPr/>
        <w:pict>
          <v:shape style="position:absolute;margin-left:535.634705pt;margin-top:29.616243pt;width:59.493346pt;height:26.794713pt;mso-position-horizontal-relative:page;mso-position-vertical-relative:paragraph;z-index:2128" type="#_x0000_t75" stroked="false">
            <v:imagedata r:id="rId36" o:title=""/>
          </v:shape>
        </w:pict>
      </w: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91</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61"/>
          <w:footerReference w:type="default" r:id="rId62"/>
          <w:pgSz w:w="11910" w:h="16840"/>
          <w:pgMar w:header="753" w:footer="0" w:top="1500" w:bottom="0" w:left="1660" w:right="0"/>
        </w:sectPr>
      </w:pPr>
    </w:p>
    <w:p>
      <w:pPr>
        <w:spacing w:line="530" w:lineRule="auto" w:before="25"/>
        <w:ind w:left="140" w:right="11818" w:firstLine="0"/>
        <w:jc w:val="left"/>
        <w:rPr>
          <w:rFonts w:ascii="宋体" w:hAnsi="宋体" w:cs="宋体" w:eastAsia="宋体" w:hint="default"/>
          <w:sz w:val="18"/>
          <w:szCs w:val="18"/>
        </w:rPr>
      </w:pPr>
      <w:r>
        <w:rPr/>
        <w:pict>
          <v:group style="position:absolute;margin-left:70.559998pt;margin-top:41.661732pt;width:700.9pt;height:.1pt;mso-position-horizontal-relative:page;mso-position-vertical-relative:paragraph;z-index:-1629304" coordorigin="1411,833" coordsize="14018,2">
            <v:shape style="position:absolute;left:1411;top:833;width:14018;height:2" coordorigin="1411,833" coordsize="14018,0" path="m1411,833l15429,833e" filled="false" stroked="true" strokeweight=".48pt" strokecolor="#000000">
              <v:path arrowok="t"/>
            </v:shape>
            <w10:wrap type="none"/>
          </v:group>
        </w:pict>
      </w:r>
      <w:r>
        <w:rPr>
          <w:rFonts w:ascii="宋体" w:hAnsi="宋体" w:cs="宋体" w:eastAsia="宋体" w:hint="default"/>
          <w:sz w:val="18"/>
          <w:szCs w:val="18"/>
        </w:rPr>
        <w:t>中国长城科技集团股份有限公司 财务报表附注</w:t>
      </w:r>
      <w:r>
        <w:rPr>
          <w:rFonts w:ascii="宋体" w:hAnsi="宋体" w:cs="宋体" w:eastAsia="宋体" w:hint="default"/>
          <w:sz w:val="18"/>
          <w:szCs w:val="18"/>
        </w:rPr>
        <w:t> </w:t>
      </w:r>
    </w:p>
    <w:p>
      <w:pPr>
        <w:spacing w:line="240" w:lineRule="auto" w:before="7"/>
        <w:rPr>
          <w:rFonts w:ascii="宋体" w:hAnsi="宋体" w:cs="宋体" w:eastAsia="宋体" w:hint="default"/>
          <w:sz w:val="10"/>
          <w:szCs w:val="10"/>
        </w:rPr>
      </w:pPr>
    </w:p>
    <w:p>
      <w:pPr>
        <w:pStyle w:val="Heading5"/>
        <w:tabs>
          <w:tab w:pos="853" w:val="left" w:leader="none"/>
        </w:tabs>
        <w:spacing w:line="240" w:lineRule="auto"/>
        <w:ind w:left="140"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处置子公司</w:t>
      </w:r>
      <w:r>
        <w:rPr>
          <w:b w:val="0"/>
          <w:bCs w:val="0"/>
        </w:rPr>
      </w:r>
    </w:p>
    <w:p>
      <w:pPr>
        <w:pStyle w:val="Heading5"/>
        <w:tabs>
          <w:tab w:pos="1400" w:val="left" w:leader="none"/>
        </w:tabs>
        <w:spacing w:line="240" w:lineRule="auto" w:before="110"/>
        <w:ind w:left="848" w:right="0"/>
        <w:jc w:val="left"/>
        <w:rPr>
          <w:b w:val="0"/>
          <w:bCs w:val="0"/>
        </w:rPr>
      </w:pPr>
      <w:r>
        <w:rPr>
          <w:rFonts w:ascii="Times New Roman" w:hAnsi="Times New Roman" w:cs="Times New Roman" w:eastAsia="Times New Roman" w:hint="default"/>
        </w:rPr>
        <w:t>1</w:t>
      </w:r>
      <w:r>
        <w:rPr/>
        <w:t>、</w:t>
        <w:tab/>
      </w:r>
      <w:r>
        <w:rPr>
          <w:spacing w:val="-1"/>
        </w:rPr>
        <w:t>单次处置对子公司投资即丧失控制权的情形</w:t>
      </w:r>
      <w:r>
        <w:rPr>
          <w:b w:val="0"/>
          <w:bCs w:val="0"/>
          <w:spacing w:val="-1"/>
        </w:rPr>
      </w:r>
    </w:p>
    <w:tbl>
      <w:tblPr>
        <w:tblW w:w="0" w:type="auto"/>
        <w:jc w:val="left"/>
        <w:tblInd w:w="723" w:type="dxa"/>
        <w:tblLayout w:type="fixed"/>
        <w:tblCellMar>
          <w:top w:w="0" w:type="dxa"/>
          <w:left w:w="0" w:type="dxa"/>
          <w:bottom w:w="0" w:type="dxa"/>
          <w:right w:w="0" w:type="dxa"/>
        </w:tblCellMar>
        <w:tblLook w:val="01E0"/>
      </w:tblPr>
      <w:tblGrid>
        <w:gridCol w:w="1846"/>
        <w:gridCol w:w="1138"/>
        <w:gridCol w:w="735"/>
        <w:gridCol w:w="926"/>
        <w:gridCol w:w="926"/>
        <w:gridCol w:w="818"/>
        <w:gridCol w:w="1186"/>
        <w:gridCol w:w="974"/>
        <w:gridCol w:w="936"/>
        <w:gridCol w:w="1015"/>
        <w:gridCol w:w="1016"/>
        <w:gridCol w:w="974"/>
        <w:gridCol w:w="1133"/>
      </w:tblGrid>
      <w:tr>
        <w:trPr>
          <w:trHeight w:val="1609" w:hRule="exact"/>
        </w:trPr>
        <w:tc>
          <w:tcPr>
            <w:tcW w:w="1846"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530" w:right="0"/>
              <w:jc w:val="left"/>
              <w:rPr>
                <w:rFonts w:ascii="宋体" w:hAnsi="宋体" w:cs="宋体" w:eastAsia="宋体" w:hint="default"/>
                <w:sz w:val="16"/>
                <w:szCs w:val="16"/>
              </w:rPr>
            </w:pPr>
            <w:r>
              <w:rPr>
                <w:rFonts w:ascii="宋体" w:hAnsi="宋体" w:cs="宋体" w:eastAsia="宋体" w:hint="default"/>
                <w:sz w:val="16"/>
                <w:szCs w:val="16"/>
              </w:rPr>
              <w:t>子公司名称</w:t>
            </w:r>
          </w:p>
        </w:tc>
        <w:tc>
          <w:tcPr>
            <w:tcW w:w="11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06" w:lineRule="exact"/>
              <w:ind w:left="482" w:right="161" w:hanging="320"/>
              <w:jc w:val="left"/>
              <w:rPr>
                <w:rFonts w:ascii="宋体" w:hAnsi="宋体" w:cs="宋体" w:eastAsia="宋体" w:hint="default"/>
                <w:sz w:val="16"/>
                <w:szCs w:val="16"/>
              </w:rPr>
            </w:pPr>
            <w:r>
              <w:rPr>
                <w:rFonts w:ascii="宋体" w:hAnsi="宋体" w:cs="宋体" w:eastAsia="宋体" w:hint="default"/>
                <w:sz w:val="16"/>
                <w:szCs w:val="16"/>
              </w:rPr>
              <w:t>股权处置价</w:t>
            </w:r>
            <w:r>
              <w:rPr>
                <w:rFonts w:ascii="宋体" w:hAnsi="宋体" w:cs="宋体" w:eastAsia="宋体" w:hint="default"/>
                <w:w w:val="100"/>
                <w:sz w:val="16"/>
                <w:szCs w:val="16"/>
              </w:rPr>
              <w:t> </w:t>
            </w:r>
            <w:r>
              <w:rPr>
                <w:rFonts w:ascii="宋体" w:hAnsi="宋体" w:cs="宋体" w:eastAsia="宋体" w:hint="default"/>
                <w:sz w:val="16"/>
                <w:szCs w:val="16"/>
              </w:rPr>
              <w:t>款</w:t>
            </w:r>
          </w:p>
        </w:tc>
        <w:tc>
          <w:tcPr>
            <w:tcW w:w="7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06" w:lineRule="exact"/>
              <w:ind w:left="122" w:right="118"/>
              <w:jc w:val="left"/>
              <w:rPr>
                <w:rFonts w:ascii="宋体" w:hAnsi="宋体" w:cs="宋体" w:eastAsia="宋体" w:hint="default"/>
                <w:sz w:val="16"/>
                <w:szCs w:val="16"/>
              </w:rPr>
            </w:pPr>
            <w:r>
              <w:rPr>
                <w:rFonts w:ascii="宋体" w:hAnsi="宋体" w:cs="宋体" w:eastAsia="宋体" w:hint="default"/>
                <w:sz w:val="16"/>
                <w:szCs w:val="16"/>
              </w:rPr>
              <w:t>股权处</w:t>
            </w:r>
            <w:r>
              <w:rPr>
                <w:rFonts w:ascii="宋体" w:hAnsi="宋体" w:cs="宋体" w:eastAsia="宋体" w:hint="default"/>
                <w:spacing w:val="-78"/>
                <w:sz w:val="16"/>
                <w:szCs w:val="16"/>
              </w:rPr>
              <w:t> </w:t>
            </w:r>
            <w:r>
              <w:rPr>
                <w:rFonts w:ascii="宋体" w:hAnsi="宋体" w:cs="宋体" w:eastAsia="宋体" w:hint="default"/>
                <w:sz w:val="16"/>
                <w:szCs w:val="16"/>
              </w:rPr>
              <w:t>置比例</w:t>
            </w:r>
          </w:p>
          <w:p>
            <w:pPr>
              <w:pStyle w:val="TableParagraph"/>
              <w:spacing w:line="200" w:lineRule="exact"/>
              <w:ind w:left="136"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9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06" w:lineRule="exact"/>
              <w:ind w:left="297" w:right="134" w:hanging="161"/>
              <w:jc w:val="left"/>
              <w:rPr>
                <w:rFonts w:ascii="宋体" w:hAnsi="宋体" w:cs="宋体" w:eastAsia="宋体" w:hint="default"/>
                <w:sz w:val="16"/>
                <w:szCs w:val="16"/>
              </w:rPr>
            </w:pPr>
            <w:r>
              <w:rPr>
                <w:rFonts w:ascii="宋体" w:hAnsi="宋体" w:cs="宋体" w:eastAsia="宋体" w:hint="default"/>
                <w:sz w:val="16"/>
                <w:szCs w:val="16"/>
              </w:rPr>
              <w:t>股权处置</w:t>
            </w:r>
            <w:r>
              <w:rPr>
                <w:rFonts w:ascii="宋体" w:hAnsi="宋体" w:cs="宋体" w:eastAsia="宋体" w:hint="default"/>
                <w:spacing w:val="-77"/>
                <w:sz w:val="16"/>
                <w:szCs w:val="16"/>
              </w:rPr>
              <w:t> </w:t>
            </w:r>
            <w:r>
              <w:rPr>
                <w:rFonts w:ascii="宋体" w:hAnsi="宋体" w:cs="宋体" w:eastAsia="宋体" w:hint="default"/>
                <w:sz w:val="16"/>
                <w:szCs w:val="16"/>
              </w:rPr>
              <w:t>方式</w:t>
            </w:r>
          </w:p>
        </w:tc>
        <w:tc>
          <w:tcPr>
            <w:tcW w:w="9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06" w:lineRule="exact"/>
              <w:ind w:left="136" w:right="134"/>
              <w:jc w:val="left"/>
              <w:rPr>
                <w:rFonts w:ascii="宋体" w:hAnsi="宋体" w:cs="宋体" w:eastAsia="宋体" w:hint="default"/>
                <w:sz w:val="16"/>
                <w:szCs w:val="16"/>
              </w:rPr>
            </w:pPr>
            <w:r>
              <w:rPr>
                <w:rFonts w:ascii="宋体" w:hAnsi="宋体" w:cs="宋体" w:eastAsia="宋体" w:hint="default"/>
                <w:sz w:val="16"/>
                <w:szCs w:val="16"/>
              </w:rPr>
              <w:t>丧失控制</w:t>
            </w:r>
            <w:r>
              <w:rPr>
                <w:rFonts w:ascii="宋体" w:hAnsi="宋体" w:cs="宋体" w:eastAsia="宋体" w:hint="default"/>
                <w:spacing w:val="-77"/>
                <w:sz w:val="16"/>
                <w:szCs w:val="16"/>
              </w:rPr>
              <w:t> </w:t>
            </w:r>
            <w:r>
              <w:rPr>
                <w:rFonts w:ascii="宋体" w:hAnsi="宋体" w:cs="宋体" w:eastAsia="宋体" w:hint="default"/>
                <w:sz w:val="16"/>
                <w:szCs w:val="16"/>
              </w:rPr>
              <w:t>权的时点</w:t>
            </w:r>
          </w:p>
        </w:tc>
        <w:tc>
          <w:tcPr>
            <w:tcW w:w="8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37" w:lineRule="auto"/>
              <w:ind w:left="163" w:right="161"/>
              <w:jc w:val="both"/>
              <w:rPr>
                <w:rFonts w:ascii="宋体" w:hAnsi="宋体" w:cs="宋体" w:eastAsia="宋体" w:hint="default"/>
                <w:sz w:val="16"/>
                <w:szCs w:val="16"/>
              </w:rPr>
            </w:pPr>
            <w:r>
              <w:rPr>
                <w:rFonts w:ascii="宋体" w:hAnsi="宋体" w:cs="宋体" w:eastAsia="宋体" w:hint="default"/>
                <w:sz w:val="16"/>
                <w:szCs w:val="16"/>
              </w:rPr>
              <w:t>丧失控</w:t>
            </w:r>
            <w:r>
              <w:rPr>
                <w:rFonts w:ascii="宋体" w:hAnsi="宋体" w:cs="宋体" w:eastAsia="宋体" w:hint="default"/>
                <w:spacing w:val="-78"/>
                <w:sz w:val="16"/>
                <w:szCs w:val="16"/>
              </w:rPr>
              <w:t> </w:t>
            </w:r>
            <w:r>
              <w:rPr>
                <w:rFonts w:ascii="宋体" w:hAnsi="宋体" w:cs="宋体" w:eastAsia="宋体" w:hint="default"/>
                <w:sz w:val="16"/>
                <w:szCs w:val="16"/>
              </w:rPr>
              <w:t>制权时</w:t>
            </w:r>
            <w:r>
              <w:rPr>
                <w:rFonts w:ascii="宋体" w:hAnsi="宋体" w:cs="宋体" w:eastAsia="宋体" w:hint="default"/>
                <w:spacing w:val="-78"/>
                <w:sz w:val="16"/>
                <w:szCs w:val="16"/>
              </w:rPr>
              <w:t> </w:t>
            </w:r>
            <w:r>
              <w:rPr>
                <w:rFonts w:ascii="宋体" w:hAnsi="宋体" w:cs="宋体" w:eastAsia="宋体" w:hint="default"/>
                <w:sz w:val="16"/>
                <w:szCs w:val="16"/>
              </w:rPr>
              <w:t>点的确</w:t>
            </w:r>
            <w:r>
              <w:rPr>
                <w:rFonts w:ascii="宋体" w:hAnsi="宋体" w:cs="宋体" w:eastAsia="宋体" w:hint="default"/>
                <w:spacing w:val="-78"/>
                <w:sz w:val="16"/>
                <w:szCs w:val="16"/>
              </w:rPr>
              <w:t> </w:t>
            </w:r>
            <w:r>
              <w:rPr>
                <w:rFonts w:ascii="宋体" w:hAnsi="宋体" w:cs="宋体" w:eastAsia="宋体" w:hint="default"/>
                <w:sz w:val="16"/>
                <w:szCs w:val="16"/>
              </w:rPr>
              <w:t>定依据</w:t>
            </w:r>
          </w:p>
        </w:tc>
        <w:tc>
          <w:tcPr>
            <w:tcW w:w="11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37" w:lineRule="auto"/>
              <w:ind w:left="108" w:right="104"/>
              <w:jc w:val="center"/>
              <w:rPr>
                <w:rFonts w:ascii="宋体" w:hAnsi="宋体" w:cs="宋体" w:eastAsia="宋体" w:hint="default"/>
                <w:sz w:val="16"/>
                <w:szCs w:val="16"/>
              </w:rPr>
            </w:pPr>
            <w:r>
              <w:rPr>
                <w:rFonts w:ascii="宋体" w:hAnsi="宋体" w:cs="宋体" w:eastAsia="宋体" w:hint="default"/>
                <w:sz w:val="16"/>
                <w:szCs w:val="16"/>
              </w:rPr>
              <w:t>处置价款与处</w:t>
            </w:r>
            <w:r>
              <w:rPr>
                <w:rFonts w:ascii="宋体" w:hAnsi="宋体" w:cs="宋体" w:eastAsia="宋体" w:hint="default"/>
                <w:w w:val="100"/>
                <w:sz w:val="16"/>
                <w:szCs w:val="16"/>
              </w:rPr>
              <w:t> </w:t>
            </w:r>
            <w:r>
              <w:rPr>
                <w:rFonts w:ascii="宋体" w:hAnsi="宋体" w:cs="宋体" w:eastAsia="宋体" w:hint="default"/>
                <w:sz w:val="16"/>
                <w:szCs w:val="16"/>
              </w:rPr>
              <w:t>置投资对应的</w:t>
            </w:r>
            <w:r>
              <w:rPr>
                <w:rFonts w:ascii="宋体" w:hAnsi="宋体" w:cs="宋体" w:eastAsia="宋体" w:hint="default"/>
                <w:w w:val="100"/>
                <w:sz w:val="16"/>
                <w:szCs w:val="16"/>
              </w:rPr>
              <w:t> </w:t>
            </w:r>
            <w:r>
              <w:rPr>
                <w:rFonts w:ascii="宋体" w:hAnsi="宋体" w:cs="宋体" w:eastAsia="宋体" w:hint="default"/>
                <w:sz w:val="16"/>
                <w:szCs w:val="16"/>
              </w:rPr>
              <w:t>合并财务报表</w:t>
            </w:r>
            <w:r>
              <w:rPr>
                <w:rFonts w:ascii="宋体" w:hAnsi="宋体" w:cs="宋体" w:eastAsia="宋体" w:hint="default"/>
                <w:w w:val="100"/>
                <w:sz w:val="16"/>
                <w:szCs w:val="16"/>
              </w:rPr>
              <w:t> </w:t>
            </w:r>
            <w:r>
              <w:rPr>
                <w:rFonts w:ascii="宋体" w:hAnsi="宋体" w:cs="宋体" w:eastAsia="宋体" w:hint="default"/>
                <w:sz w:val="16"/>
                <w:szCs w:val="16"/>
              </w:rPr>
              <w:t>层面享有该子</w:t>
            </w:r>
            <w:r>
              <w:rPr>
                <w:rFonts w:ascii="宋体" w:hAnsi="宋体" w:cs="宋体" w:eastAsia="宋体" w:hint="default"/>
                <w:w w:val="100"/>
                <w:sz w:val="16"/>
                <w:szCs w:val="16"/>
              </w:rPr>
              <w:t> </w:t>
            </w:r>
            <w:r>
              <w:rPr>
                <w:rFonts w:ascii="宋体" w:hAnsi="宋体" w:cs="宋体" w:eastAsia="宋体" w:hint="default"/>
                <w:sz w:val="16"/>
                <w:szCs w:val="16"/>
              </w:rPr>
              <w:t>公司净资产份</w:t>
            </w:r>
            <w:r>
              <w:rPr>
                <w:rFonts w:ascii="宋体" w:hAnsi="宋体" w:cs="宋体" w:eastAsia="宋体" w:hint="default"/>
                <w:w w:val="100"/>
                <w:sz w:val="16"/>
                <w:szCs w:val="16"/>
              </w:rPr>
              <w:t> </w:t>
            </w:r>
            <w:r>
              <w:rPr>
                <w:rFonts w:ascii="宋体" w:hAnsi="宋体" w:cs="宋体" w:eastAsia="宋体" w:hint="default"/>
                <w:sz w:val="16"/>
                <w:szCs w:val="16"/>
              </w:rPr>
              <w:t>额的差额</w:t>
            </w:r>
          </w:p>
        </w:tc>
        <w:tc>
          <w:tcPr>
            <w:tcW w:w="9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37" w:lineRule="auto"/>
              <w:ind w:left="160" w:right="158"/>
              <w:jc w:val="center"/>
              <w:rPr>
                <w:rFonts w:ascii="宋体" w:hAnsi="宋体" w:cs="宋体" w:eastAsia="宋体" w:hint="default"/>
                <w:sz w:val="16"/>
                <w:szCs w:val="16"/>
              </w:rPr>
            </w:pPr>
            <w:r>
              <w:rPr>
                <w:rFonts w:ascii="宋体" w:hAnsi="宋体" w:cs="宋体" w:eastAsia="宋体" w:hint="default"/>
                <w:sz w:val="16"/>
                <w:szCs w:val="16"/>
              </w:rPr>
              <w:t>丧失控制</w:t>
            </w:r>
            <w:r>
              <w:rPr>
                <w:rFonts w:ascii="宋体" w:hAnsi="宋体" w:cs="宋体" w:eastAsia="宋体" w:hint="default"/>
                <w:w w:val="100"/>
                <w:sz w:val="16"/>
                <w:szCs w:val="16"/>
              </w:rPr>
              <w:t> </w:t>
            </w:r>
            <w:r>
              <w:rPr>
                <w:rFonts w:ascii="宋体" w:hAnsi="宋体" w:cs="宋体" w:eastAsia="宋体" w:hint="default"/>
                <w:sz w:val="16"/>
                <w:szCs w:val="16"/>
              </w:rPr>
              <w:t>权之日剩</w:t>
            </w:r>
            <w:r>
              <w:rPr>
                <w:rFonts w:ascii="宋体" w:hAnsi="宋体" w:cs="宋体" w:eastAsia="宋体" w:hint="default"/>
                <w:w w:val="100"/>
                <w:sz w:val="16"/>
                <w:szCs w:val="16"/>
              </w:rPr>
              <w:t> </w:t>
            </w:r>
            <w:r>
              <w:rPr>
                <w:rFonts w:ascii="宋体" w:hAnsi="宋体" w:cs="宋体" w:eastAsia="宋体" w:hint="default"/>
                <w:sz w:val="16"/>
                <w:szCs w:val="16"/>
              </w:rPr>
              <w:t>余股权的</w:t>
            </w:r>
            <w:r>
              <w:rPr>
                <w:rFonts w:ascii="宋体" w:hAnsi="宋体" w:cs="宋体" w:eastAsia="宋体" w:hint="default"/>
                <w:w w:val="100"/>
                <w:sz w:val="16"/>
                <w:szCs w:val="16"/>
              </w:rPr>
              <w:t> </w:t>
            </w:r>
            <w:r>
              <w:rPr>
                <w:rFonts w:ascii="宋体" w:hAnsi="宋体" w:cs="宋体" w:eastAsia="宋体" w:hint="default"/>
                <w:sz w:val="16"/>
                <w:szCs w:val="16"/>
              </w:rPr>
              <w:t>比例</w:t>
            </w:r>
          </w:p>
        </w:tc>
        <w:tc>
          <w:tcPr>
            <w:tcW w:w="9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37" w:lineRule="auto"/>
              <w:ind w:left="141" w:right="139"/>
              <w:jc w:val="both"/>
              <w:rPr>
                <w:rFonts w:ascii="宋体" w:hAnsi="宋体" w:cs="宋体" w:eastAsia="宋体" w:hint="default"/>
                <w:sz w:val="16"/>
                <w:szCs w:val="16"/>
              </w:rPr>
            </w:pPr>
            <w:r>
              <w:rPr>
                <w:rFonts w:ascii="宋体" w:hAnsi="宋体" w:cs="宋体" w:eastAsia="宋体" w:hint="default"/>
                <w:sz w:val="16"/>
                <w:szCs w:val="16"/>
              </w:rPr>
              <w:t>丧失控制</w:t>
            </w:r>
            <w:r>
              <w:rPr>
                <w:rFonts w:ascii="宋体" w:hAnsi="宋体" w:cs="宋体" w:eastAsia="宋体" w:hint="default"/>
                <w:spacing w:val="-77"/>
                <w:sz w:val="16"/>
                <w:szCs w:val="16"/>
              </w:rPr>
              <w:t> </w:t>
            </w:r>
            <w:r>
              <w:rPr>
                <w:rFonts w:ascii="宋体" w:hAnsi="宋体" w:cs="宋体" w:eastAsia="宋体" w:hint="default"/>
                <w:sz w:val="16"/>
                <w:szCs w:val="16"/>
              </w:rPr>
              <w:t>权之日剩</w:t>
            </w:r>
            <w:r>
              <w:rPr>
                <w:rFonts w:ascii="宋体" w:hAnsi="宋体" w:cs="宋体" w:eastAsia="宋体" w:hint="default"/>
                <w:spacing w:val="-77"/>
                <w:sz w:val="16"/>
                <w:szCs w:val="16"/>
              </w:rPr>
              <w:t> </w:t>
            </w:r>
            <w:r>
              <w:rPr>
                <w:rFonts w:ascii="宋体" w:hAnsi="宋体" w:cs="宋体" w:eastAsia="宋体" w:hint="default"/>
                <w:sz w:val="16"/>
                <w:szCs w:val="16"/>
              </w:rPr>
              <w:t>余股权的</w:t>
            </w:r>
            <w:r>
              <w:rPr>
                <w:rFonts w:ascii="宋体" w:hAnsi="宋体" w:cs="宋体" w:eastAsia="宋体" w:hint="default"/>
                <w:spacing w:val="-77"/>
                <w:sz w:val="16"/>
                <w:szCs w:val="16"/>
              </w:rPr>
              <w:t> </w:t>
            </w:r>
            <w:r>
              <w:rPr>
                <w:rFonts w:ascii="宋体" w:hAnsi="宋体" w:cs="宋体" w:eastAsia="宋体" w:hint="default"/>
                <w:sz w:val="16"/>
                <w:szCs w:val="16"/>
              </w:rPr>
              <w:t>账面价值</w:t>
            </w:r>
          </w:p>
        </w:tc>
        <w:tc>
          <w:tcPr>
            <w:tcW w:w="101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37" w:lineRule="auto"/>
              <w:ind w:left="182" w:right="179"/>
              <w:jc w:val="both"/>
              <w:rPr>
                <w:rFonts w:ascii="宋体" w:hAnsi="宋体" w:cs="宋体" w:eastAsia="宋体" w:hint="default"/>
                <w:sz w:val="16"/>
                <w:szCs w:val="16"/>
              </w:rPr>
            </w:pPr>
            <w:r>
              <w:rPr>
                <w:rFonts w:ascii="宋体" w:hAnsi="宋体" w:cs="宋体" w:eastAsia="宋体" w:hint="default"/>
                <w:sz w:val="16"/>
                <w:szCs w:val="16"/>
              </w:rPr>
              <w:t>丧失控制</w:t>
            </w:r>
            <w:r>
              <w:rPr>
                <w:rFonts w:ascii="宋体" w:hAnsi="宋体" w:cs="宋体" w:eastAsia="宋体" w:hint="default"/>
                <w:spacing w:val="-77"/>
                <w:sz w:val="16"/>
                <w:szCs w:val="16"/>
              </w:rPr>
              <w:t> </w:t>
            </w:r>
            <w:r>
              <w:rPr>
                <w:rFonts w:ascii="宋体" w:hAnsi="宋体" w:cs="宋体" w:eastAsia="宋体" w:hint="default"/>
                <w:sz w:val="16"/>
                <w:szCs w:val="16"/>
              </w:rPr>
              <w:t>权之日剩</w:t>
            </w:r>
            <w:r>
              <w:rPr>
                <w:rFonts w:ascii="宋体" w:hAnsi="宋体" w:cs="宋体" w:eastAsia="宋体" w:hint="default"/>
                <w:spacing w:val="-77"/>
                <w:sz w:val="16"/>
                <w:szCs w:val="16"/>
              </w:rPr>
              <w:t> </w:t>
            </w:r>
            <w:r>
              <w:rPr>
                <w:rFonts w:ascii="宋体" w:hAnsi="宋体" w:cs="宋体" w:eastAsia="宋体" w:hint="default"/>
                <w:sz w:val="16"/>
                <w:szCs w:val="16"/>
              </w:rPr>
              <w:t>余股权的</w:t>
            </w:r>
            <w:r>
              <w:rPr>
                <w:rFonts w:ascii="宋体" w:hAnsi="宋体" w:cs="宋体" w:eastAsia="宋体" w:hint="default"/>
                <w:spacing w:val="-77"/>
                <w:sz w:val="16"/>
                <w:szCs w:val="16"/>
              </w:rPr>
              <w:t> </w:t>
            </w:r>
            <w:r>
              <w:rPr>
                <w:rFonts w:ascii="宋体" w:hAnsi="宋体" w:cs="宋体" w:eastAsia="宋体" w:hint="default"/>
                <w:sz w:val="16"/>
                <w:szCs w:val="16"/>
              </w:rPr>
              <w:t>公允价值</w:t>
            </w:r>
          </w:p>
        </w:tc>
        <w:tc>
          <w:tcPr>
            <w:tcW w:w="10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37" w:lineRule="auto"/>
              <w:ind w:left="182" w:right="178"/>
              <w:jc w:val="center"/>
              <w:rPr>
                <w:rFonts w:ascii="宋体" w:hAnsi="宋体" w:cs="宋体" w:eastAsia="宋体" w:hint="default"/>
                <w:sz w:val="16"/>
                <w:szCs w:val="16"/>
              </w:rPr>
            </w:pPr>
            <w:r>
              <w:rPr>
                <w:rFonts w:ascii="宋体" w:hAnsi="宋体" w:cs="宋体" w:eastAsia="宋体" w:hint="default"/>
                <w:sz w:val="16"/>
                <w:szCs w:val="16"/>
              </w:rPr>
              <w:t>按照公允</w:t>
            </w:r>
            <w:r>
              <w:rPr>
                <w:rFonts w:ascii="宋体" w:hAnsi="宋体" w:cs="宋体" w:eastAsia="宋体" w:hint="default"/>
                <w:w w:val="100"/>
                <w:sz w:val="16"/>
                <w:szCs w:val="16"/>
              </w:rPr>
              <w:t> </w:t>
            </w:r>
            <w:r>
              <w:rPr>
                <w:rFonts w:ascii="宋体" w:hAnsi="宋体" w:cs="宋体" w:eastAsia="宋体" w:hint="default"/>
                <w:sz w:val="16"/>
                <w:szCs w:val="16"/>
              </w:rPr>
              <w:t>价值重新</w:t>
            </w:r>
            <w:r>
              <w:rPr>
                <w:rFonts w:ascii="宋体" w:hAnsi="宋体" w:cs="宋体" w:eastAsia="宋体" w:hint="default"/>
                <w:w w:val="100"/>
                <w:sz w:val="16"/>
                <w:szCs w:val="16"/>
              </w:rPr>
              <w:t> </w:t>
            </w:r>
            <w:r>
              <w:rPr>
                <w:rFonts w:ascii="宋体" w:hAnsi="宋体" w:cs="宋体" w:eastAsia="宋体" w:hint="default"/>
                <w:sz w:val="16"/>
                <w:szCs w:val="16"/>
              </w:rPr>
              <w:t>计量剩余</w:t>
            </w:r>
            <w:r>
              <w:rPr>
                <w:rFonts w:ascii="宋体" w:hAnsi="宋体" w:cs="宋体" w:eastAsia="宋体" w:hint="default"/>
                <w:w w:val="100"/>
                <w:sz w:val="16"/>
                <w:szCs w:val="16"/>
              </w:rPr>
              <w:t> </w:t>
            </w:r>
            <w:r>
              <w:rPr>
                <w:rFonts w:ascii="宋体" w:hAnsi="宋体" w:cs="宋体" w:eastAsia="宋体" w:hint="default"/>
                <w:sz w:val="16"/>
                <w:szCs w:val="16"/>
              </w:rPr>
              <w:t>股权产生</w:t>
            </w:r>
            <w:r>
              <w:rPr>
                <w:rFonts w:ascii="宋体" w:hAnsi="宋体" w:cs="宋体" w:eastAsia="宋体" w:hint="default"/>
                <w:w w:val="100"/>
                <w:sz w:val="16"/>
                <w:szCs w:val="16"/>
              </w:rPr>
              <w:t> </w:t>
            </w:r>
            <w:r>
              <w:rPr>
                <w:rFonts w:ascii="宋体" w:hAnsi="宋体" w:cs="宋体" w:eastAsia="宋体" w:hint="default"/>
                <w:sz w:val="16"/>
                <w:szCs w:val="16"/>
              </w:rPr>
              <w:t>的利得或</w:t>
            </w:r>
            <w:r>
              <w:rPr>
                <w:rFonts w:ascii="宋体" w:hAnsi="宋体" w:cs="宋体" w:eastAsia="宋体" w:hint="default"/>
                <w:w w:val="100"/>
                <w:sz w:val="16"/>
                <w:szCs w:val="16"/>
              </w:rPr>
              <w:t> </w:t>
            </w:r>
            <w:r>
              <w:rPr>
                <w:rFonts w:ascii="宋体" w:hAnsi="宋体" w:cs="宋体" w:eastAsia="宋体" w:hint="default"/>
                <w:sz w:val="16"/>
                <w:szCs w:val="16"/>
              </w:rPr>
              <w:t>损失</w:t>
            </w:r>
          </w:p>
        </w:tc>
        <w:tc>
          <w:tcPr>
            <w:tcW w:w="974"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45"/>
              <w:ind w:left="160" w:right="158"/>
              <w:jc w:val="center"/>
              <w:rPr>
                <w:rFonts w:ascii="宋体" w:hAnsi="宋体" w:cs="宋体" w:eastAsia="宋体" w:hint="default"/>
                <w:sz w:val="16"/>
                <w:szCs w:val="16"/>
              </w:rPr>
            </w:pPr>
            <w:r>
              <w:rPr>
                <w:rFonts w:ascii="宋体" w:hAnsi="宋体" w:cs="宋体" w:eastAsia="宋体" w:hint="default"/>
                <w:sz w:val="16"/>
                <w:szCs w:val="16"/>
              </w:rPr>
              <w:t>丧失控制</w:t>
            </w:r>
            <w:r>
              <w:rPr>
                <w:rFonts w:ascii="宋体" w:hAnsi="宋体" w:cs="宋体" w:eastAsia="宋体" w:hint="default"/>
                <w:w w:val="100"/>
                <w:sz w:val="16"/>
                <w:szCs w:val="16"/>
              </w:rPr>
              <w:t> </w:t>
            </w:r>
            <w:r>
              <w:rPr>
                <w:rFonts w:ascii="宋体" w:hAnsi="宋体" w:cs="宋体" w:eastAsia="宋体" w:hint="default"/>
                <w:sz w:val="16"/>
                <w:szCs w:val="16"/>
              </w:rPr>
              <w:t>权之日剩</w:t>
            </w:r>
            <w:r>
              <w:rPr>
                <w:rFonts w:ascii="宋体" w:hAnsi="宋体" w:cs="宋体" w:eastAsia="宋体" w:hint="default"/>
                <w:w w:val="100"/>
                <w:sz w:val="16"/>
                <w:szCs w:val="16"/>
              </w:rPr>
              <w:t> </w:t>
            </w:r>
            <w:r>
              <w:rPr>
                <w:rFonts w:ascii="宋体" w:hAnsi="宋体" w:cs="宋体" w:eastAsia="宋体" w:hint="default"/>
                <w:sz w:val="16"/>
                <w:szCs w:val="16"/>
              </w:rPr>
              <w:t>余股权公</w:t>
            </w:r>
            <w:r>
              <w:rPr>
                <w:rFonts w:ascii="宋体" w:hAnsi="宋体" w:cs="宋体" w:eastAsia="宋体" w:hint="default"/>
                <w:w w:val="100"/>
                <w:sz w:val="16"/>
                <w:szCs w:val="16"/>
              </w:rPr>
              <w:t> </w:t>
            </w:r>
            <w:r>
              <w:rPr>
                <w:rFonts w:ascii="宋体" w:hAnsi="宋体" w:cs="宋体" w:eastAsia="宋体" w:hint="default"/>
                <w:sz w:val="16"/>
                <w:szCs w:val="16"/>
              </w:rPr>
              <w:t>允价值的</w:t>
            </w:r>
            <w:r>
              <w:rPr>
                <w:rFonts w:ascii="宋体" w:hAnsi="宋体" w:cs="宋体" w:eastAsia="宋体" w:hint="default"/>
                <w:w w:val="100"/>
                <w:sz w:val="16"/>
                <w:szCs w:val="16"/>
              </w:rPr>
              <w:t> </w:t>
            </w:r>
            <w:r>
              <w:rPr>
                <w:rFonts w:ascii="宋体" w:hAnsi="宋体" w:cs="宋体" w:eastAsia="宋体" w:hint="default"/>
                <w:sz w:val="16"/>
                <w:szCs w:val="16"/>
              </w:rPr>
              <w:t>确定方法</w:t>
            </w:r>
            <w:r>
              <w:rPr>
                <w:rFonts w:ascii="宋体" w:hAnsi="宋体" w:cs="宋体" w:eastAsia="宋体" w:hint="default"/>
                <w:w w:val="100"/>
                <w:sz w:val="16"/>
                <w:szCs w:val="16"/>
              </w:rPr>
              <w:t> </w:t>
            </w:r>
            <w:r>
              <w:rPr>
                <w:rFonts w:ascii="宋体" w:hAnsi="宋体" w:cs="宋体" w:eastAsia="宋体" w:hint="default"/>
                <w:sz w:val="16"/>
                <w:szCs w:val="16"/>
              </w:rPr>
              <w:t>及主要假</w:t>
            </w:r>
            <w:r>
              <w:rPr>
                <w:rFonts w:ascii="宋体" w:hAnsi="宋体" w:cs="宋体" w:eastAsia="宋体" w:hint="default"/>
                <w:w w:val="100"/>
                <w:sz w:val="16"/>
                <w:szCs w:val="16"/>
              </w:rPr>
              <w:t> </w:t>
            </w:r>
            <w:r>
              <w:rPr>
                <w:rFonts w:ascii="宋体" w:hAnsi="宋体" w:cs="宋体" w:eastAsia="宋体" w:hint="default"/>
                <w:sz w:val="16"/>
                <w:szCs w:val="16"/>
              </w:rPr>
              <w:t>设</w:t>
            </w:r>
          </w:p>
        </w:tc>
        <w:tc>
          <w:tcPr>
            <w:tcW w:w="11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37" w:lineRule="auto"/>
              <w:ind w:left="160" w:right="163"/>
              <w:jc w:val="center"/>
              <w:rPr>
                <w:rFonts w:ascii="宋体" w:hAnsi="宋体" w:cs="宋体" w:eastAsia="宋体" w:hint="default"/>
                <w:sz w:val="16"/>
                <w:szCs w:val="16"/>
              </w:rPr>
            </w:pPr>
            <w:r>
              <w:rPr>
                <w:rFonts w:ascii="宋体" w:hAnsi="宋体" w:cs="宋体" w:eastAsia="宋体" w:hint="default"/>
                <w:spacing w:val="-1"/>
                <w:sz w:val="16"/>
                <w:szCs w:val="16"/>
              </w:rPr>
              <w:t>与原子公司</w:t>
            </w:r>
            <w:r>
              <w:rPr>
                <w:rFonts w:ascii="宋体" w:hAnsi="宋体" w:cs="宋体" w:eastAsia="宋体" w:hint="default"/>
                <w:w w:val="100"/>
                <w:sz w:val="16"/>
                <w:szCs w:val="16"/>
              </w:rPr>
              <w:t> </w:t>
            </w:r>
            <w:r>
              <w:rPr>
                <w:rFonts w:ascii="宋体" w:hAnsi="宋体" w:cs="宋体" w:eastAsia="宋体" w:hint="default"/>
                <w:spacing w:val="-1"/>
                <w:sz w:val="16"/>
                <w:szCs w:val="16"/>
              </w:rPr>
              <w:t>股权投资相</w:t>
            </w:r>
            <w:r>
              <w:rPr>
                <w:rFonts w:ascii="宋体" w:hAnsi="宋体" w:cs="宋体" w:eastAsia="宋体" w:hint="default"/>
                <w:w w:val="100"/>
                <w:sz w:val="16"/>
                <w:szCs w:val="16"/>
              </w:rPr>
              <w:t> </w:t>
            </w:r>
            <w:r>
              <w:rPr>
                <w:rFonts w:ascii="宋体" w:hAnsi="宋体" w:cs="宋体" w:eastAsia="宋体" w:hint="default"/>
                <w:spacing w:val="-1"/>
                <w:sz w:val="16"/>
                <w:szCs w:val="16"/>
              </w:rPr>
              <w:t>关的其他综</w:t>
            </w:r>
            <w:r>
              <w:rPr>
                <w:rFonts w:ascii="宋体" w:hAnsi="宋体" w:cs="宋体" w:eastAsia="宋体" w:hint="default"/>
                <w:w w:val="100"/>
                <w:sz w:val="16"/>
                <w:szCs w:val="16"/>
              </w:rPr>
              <w:t> </w:t>
            </w:r>
            <w:r>
              <w:rPr>
                <w:rFonts w:ascii="宋体" w:hAnsi="宋体" w:cs="宋体" w:eastAsia="宋体" w:hint="default"/>
                <w:spacing w:val="-1"/>
                <w:sz w:val="16"/>
                <w:szCs w:val="16"/>
              </w:rPr>
              <w:t>合收益转入</w:t>
            </w:r>
            <w:r>
              <w:rPr>
                <w:rFonts w:ascii="宋体" w:hAnsi="宋体" w:cs="宋体" w:eastAsia="宋体" w:hint="default"/>
                <w:w w:val="100"/>
                <w:sz w:val="16"/>
                <w:szCs w:val="16"/>
              </w:rPr>
              <w:t> </w:t>
            </w:r>
            <w:r>
              <w:rPr>
                <w:rFonts w:ascii="宋体" w:hAnsi="宋体" w:cs="宋体" w:eastAsia="宋体" w:hint="default"/>
                <w:spacing w:val="-1"/>
                <w:sz w:val="16"/>
                <w:szCs w:val="16"/>
              </w:rPr>
              <w:t>投资损益的</w:t>
            </w:r>
            <w:r>
              <w:rPr>
                <w:rFonts w:ascii="宋体" w:hAnsi="宋体" w:cs="宋体" w:eastAsia="宋体" w:hint="default"/>
                <w:w w:val="100"/>
                <w:sz w:val="16"/>
                <w:szCs w:val="16"/>
              </w:rPr>
              <w:t> </w:t>
            </w:r>
            <w:r>
              <w:rPr>
                <w:rFonts w:ascii="宋体" w:hAnsi="宋体" w:cs="宋体" w:eastAsia="宋体" w:hint="default"/>
                <w:sz w:val="16"/>
                <w:szCs w:val="16"/>
              </w:rPr>
              <w:t>金额</w:t>
            </w:r>
          </w:p>
        </w:tc>
      </w:tr>
      <w:tr>
        <w:trPr>
          <w:trHeight w:val="571" w:hRule="exact"/>
        </w:trPr>
        <w:tc>
          <w:tcPr>
            <w:tcW w:w="1846" w:type="dxa"/>
            <w:tcBorders>
              <w:top w:val="dotted" w:sz="4" w:space="0" w:color="000000"/>
              <w:left w:val="nil" w:sz="6" w:space="0" w:color="auto"/>
              <w:bottom w:val="single" w:sz="12" w:space="0" w:color="000000"/>
              <w:right w:val="dotted" w:sz="4" w:space="0" w:color="000000"/>
            </w:tcBorders>
          </w:tcPr>
          <w:p>
            <w:pPr>
              <w:pStyle w:val="TableParagraph"/>
              <w:spacing w:line="206" w:lineRule="exact" w:before="65"/>
              <w:ind w:left="122" w:right="99"/>
              <w:jc w:val="left"/>
              <w:rPr>
                <w:rFonts w:ascii="宋体" w:hAnsi="宋体" w:cs="宋体" w:eastAsia="宋体" w:hint="default"/>
                <w:sz w:val="16"/>
                <w:szCs w:val="16"/>
              </w:rPr>
            </w:pPr>
            <w:r>
              <w:rPr>
                <w:rFonts w:ascii="宋体" w:hAnsi="宋体" w:cs="宋体" w:eastAsia="宋体" w:hint="default"/>
                <w:sz w:val="16"/>
                <w:szCs w:val="16"/>
              </w:rPr>
              <w:t>湖南凯杰科技有限责任</w:t>
            </w:r>
            <w:r>
              <w:rPr>
                <w:rFonts w:ascii="宋体" w:hAnsi="宋体" w:cs="宋体" w:eastAsia="宋体" w:hint="default"/>
                <w:spacing w:val="-65"/>
                <w:sz w:val="16"/>
                <w:szCs w:val="16"/>
              </w:rPr>
              <w:t> </w:t>
            </w:r>
            <w:r>
              <w:rPr>
                <w:rFonts w:ascii="宋体" w:hAnsi="宋体" w:cs="宋体" w:eastAsia="宋体" w:hint="default"/>
                <w:spacing w:val="-65"/>
                <w:sz w:val="16"/>
                <w:szCs w:val="16"/>
              </w:rPr>
            </w:r>
            <w:r>
              <w:rPr>
                <w:rFonts w:ascii="宋体" w:hAnsi="宋体" w:cs="宋体" w:eastAsia="宋体" w:hint="default"/>
                <w:sz w:val="16"/>
                <w:szCs w:val="16"/>
              </w:rPr>
              <w:t>公司</w:t>
            </w:r>
          </w:p>
        </w:tc>
        <w:tc>
          <w:tcPr>
            <w:tcW w:w="11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31,609,981.46</w:t>
            </w:r>
          </w:p>
        </w:tc>
        <w:tc>
          <w:tcPr>
            <w:tcW w:w="7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100.00</w:t>
            </w:r>
          </w:p>
        </w:tc>
        <w:tc>
          <w:tcPr>
            <w:tcW w:w="9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协议转让</w:t>
            </w:r>
          </w:p>
        </w:tc>
        <w:tc>
          <w:tcPr>
            <w:tcW w:w="9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4" w:right="0"/>
              <w:jc w:val="left"/>
              <w:rPr>
                <w:rFonts w:ascii="Times New Roman" w:hAnsi="Times New Roman" w:cs="Times New Roman" w:eastAsia="Times New Roman" w:hint="default"/>
                <w:sz w:val="16"/>
                <w:szCs w:val="16"/>
              </w:rPr>
            </w:pPr>
            <w:r>
              <w:rPr>
                <w:rFonts w:ascii="Times New Roman"/>
                <w:sz w:val="16"/>
              </w:rPr>
              <w:t>2019-3-15</w:t>
            </w:r>
          </w:p>
        </w:tc>
        <w:tc>
          <w:tcPr>
            <w:tcW w:w="818" w:type="dxa"/>
            <w:tcBorders>
              <w:top w:val="dotted" w:sz="4" w:space="0" w:color="000000"/>
              <w:left w:val="dotted" w:sz="4" w:space="0" w:color="000000"/>
              <w:bottom w:val="single" w:sz="12" w:space="0" w:color="000000"/>
              <w:right w:val="dotted" w:sz="4" w:space="0" w:color="000000"/>
            </w:tcBorders>
          </w:tcPr>
          <w:p>
            <w:pPr>
              <w:pStyle w:val="TableParagraph"/>
              <w:spacing w:line="206" w:lineRule="exact" w:before="65"/>
              <w:ind w:left="103" w:right="99"/>
              <w:jc w:val="left"/>
              <w:rPr>
                <w:rFonts w:ascii="宋体" w:hAnsi="宋体" w:cs="宋体" w:eastAsia="宋体" w:hint="default"/>
                <w:sz w:val="16"/>
                <w:szCs w:val="16"/>
              </w:rPr>
            </w:pPr>
            <w:r>
              <w:rPr>
                <w:rFonts w:ascii="宋体" w:hAnsi="宋体" w:cs="宋体" w:eastAsia="宋体" w:hint="default"/>
                <w:sz w:val="16"/>
                <w:szCs w:val="16"/>
              </w:rPr>
              <w:t>股 权</w:t>
            </w:r>
            <w:r>
              <w:rPr>
                <w:rFonts w:ascii="宋体" w:hAnsi="宋体" w:cs="宋体" w:eastAsia="宋体" w:hint="default"/>
                <w:spacing w:val="-37"/>
                <w:sz w:val="16"/>
                <w:szCs w:val="16"/>
              </w:rPr>
              <w:t> </w:t>
            </w:r>
            <w:r>
              <w:rPr>
                <w:rFonts w:ascii="宋体" w:hAnsi="宋体" w:cs="宋体" w:eastAsia="宋体" w:hint="default"/>
                <w:sz w:val="16"/>
                <w:szCs w:val="16"/>
              </w:rPr>
              <w:t>交</w:t>
            </w:r>
            <w:r>
              <w:rPr>
                <w:rFonts w:ascii="宋体" w:hAnsi="宋体" w:cs="宋体" w:eastAsia="宋体" w:hint="default"/>
                <w:w w:val="100"/>
                <w:sz w:val="16"/>
                <w:szCs w:val="16"/>
              </w:rPr>
              <w:t> </w:t>
            </w:r>
            <w:r>
              <w:rPr>
                <w:rFonts w:ascii="宋体" w:hAnsi="宋体" w:cs="宋体" w:eastAsia="宋体" w:hint="default"/>
                <w:sz w:val="16"/>
                <w:szCs w:val="16"/>
              </w:rPr>
              <w:t>割完成</w:t>
            </w:r>
          </w:p>
        </w:tc>
        <w:tc>
          <w:tcPr>
            <w:tcW w:w="11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52" w:right="0"/>
              <w:jc w:val="left"/>
              <w:rPr>
                <w:rFonts w:ascii="Times New Roman" w:hAnsi="Times New Roman" w:cs="Times New Roman" w:eastAsia="Times New Roman" w:hint="default"/>
                <w:sz w:val="16"/>
                <w:szCs w:val="16"/>
              </w:rPr>
            </w:pPr>
            <w:r>
              <w:rPr>
                <w:rFonts w:ascii="Times New Roman"/>
                <w:sz w:val="16"/>
              </w:rPr>
              <w:t>803,996.84</w:t>
            </w:r>
          </w:p>
        </w:tc>
        <w:tc>
          <w:tcPr>
            <w:tcW w:w="974" w:type="dxa"/>
            <w:tcBorders>
              <w:top w:val="dotted" w:sz="4" w:space="0" w:color="000000"/>
              <w:left w:val="dotted" w:sz="4" w:space="0" w:color="000000"/>
              <w:bottom w:val="single" w:sz="12" w:space="0" w:color="000000"/>
              <w:right w:val="dotted" w:sz="4" w:space="0" w:color="000000"/>
            </w:tcBorders>
          </w:tcPr>
          <w:p>
            <w:pPr/>
          </w:p>
        </w:tc>
        <w:tc>
          <w:tcPr>
            <w:tcW w:w="936" w:type="dxa"/>
            <w:tcBorders>
              <w:top w:val="dotted" w:sz="4" w:space="0" w:color="000000"/>
              <w:left w:val="dotted" w:sz="4" w:space="0" w:color="000000"/>
              <w:bottom w:val="single" w:sz="12" w:space="0" w:color="000000"/>
              <w:right w:val="dotted" w:sz="4" w:space="0" w:color="000000"/>
            </w:tcBorders>
          </w:tcPr>
          <w:p>
            <w:pPr/>
          </w:p>
        </w:tc>
        <w:tc>
          <w:tcPr>
            <w:tcW w:w="1015" w:type="dxa"/>
            <w:tcBorders>
              <w:top w:val="dotted" w:sz="4" w:space="0" w:color="000000"/>
              <w:left w:val="dotted" w:sz="4" w:space="0" w:color="000000"/>
              <w:bottom w:val="single" w:sz="12" w:space="0" w:color="000000"/>
              <w:right w:val="dotted" w:sz="4" w:space="0" w:color="000000"/>
            </w:tcBorders>
          </w:tcPr>
          <w:p>
            <w:pPr/>
          </w:p>
        </w:tc>
        <w:tc>
          <w:tcPr>
            <w:tcW w:w="1016" w:type="dxa"/>
            <w:tcBorders>
              <w:top w:val="dotted" w:sz="4" w:space="0" w:color="000000"/>
              <w:left w:val="dotted" w:sz="4" w:space="0" w:color="000000"/>
              <w:bottom w:val="single" w:sz="12" w:space="0" w:color="000000"/>
              <w:right w:val="dotted" w:sz="4" w:space="0" w:color="000000"/>
            </w:tcBorders>
          </w:tcPr>
          <w:p>
            <w:pPr/>
          </w:p>
        </w:tc>
        <w:tc>
          <w:tcPr>
            <w:tcW w:w="9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13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before="44"/>
        <w:ind w:left="6244" w:right="6501" w:firstLine="0"/>
        <w:jc w:val="center"/>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92</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36"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63"/>
          <w:footerReference w:type="default" r:id="rId64"/>
          <w:pgSz w:w="16840" w:h="11910" w:orient="landscape"/>
          <w:pgMar w:header="0" w:footer="0" w:top="780" w:bottom="0" w:left="1300" w:right="1040"/>
        </w:sectPr>
      </w:pPr>
    </w:p>
    <w:p>
      <w:pPr>
        <w:spacing w:line="240" w:lineRule="auto" w:before="12"/>
        <w:rPr>
          <w:rFonts w:ascii="宋体" w:hAnsi="宋体" w:cs="宋体" w:eastAsia="宋体" w:hint="default"/>
          <w:sz w:val="22"/>
          <w:szCs w:val="22"/>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其他原因的合并范围变动</w:t>
      </w:r>
      <w:r>
        <w:rPr>
          <w:b w:val="0"/>
          <w:bCs w:val="0"/>
        </w:rPr>
      </w:r>
    </w:p>
    <w:p>
      <w:pPr>
        <w:pStyle w:val="BodyText"/>
        <w:spacing w:line="240" w:lineRule="auto" w:before="9"/>
        <w:ind w:left="850" w:right="0"/>
        <w:jc w:val="both"/>
      </w:pPr>
      <w:r>
        <w:rPr>
          <w:rFonts w:ascii="Times New Roman" w:hAnsi="Times New Roman" w:cs="Times New Roman" w:eastAsia="Times New Roman" w:hint="default"/>
        </w:rPr>
        <w:t>1</w:t>
      </w:r>
      <w:r>
        <w:rPr/>
        <w:t>、报告期内公司新增二级子公司情况如下：</w:t>
      </w:r>
    </w:p>
    <w:p>
      <w:pPr>
        <w:pStyle w:val="BodyText"/>
        <w:spacing w:line="256" w:lineRule="auto" w:before="9"/>
        <w:ind w:left="850" w:right="1721"/>
        <w:jc w:val="both"/>
      </w:pPr>
      <w:r>
        <w:rPr>
          <w:spacing w:val="-9"/>
        </w:rPr>
        <w:t>（</w:t>
      </w:r>
      <w:r>
        <w:rPr>
          <w:rFonts w:ascii="Times New Roman" w:hAnsi="Times New Roman" w:cs="Times New Roman" w:eastAsia="Times New Roman" w:hint="default"/>
          <w:spacing w:val="-9"/>
        </w:rPr>
        <w:t>1</w:t>
      </w:r>
      <w:r>
        <w:rPr>
          <w:spacing w:val="-9"/>
        </w:rPr>
        <w:t>）经</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spacing w:val="-3"/>
        </w:rPr>
        <w:t>日公司第七届董事会第二十一次会议审议通过，公司与郑州</w:t>
      </w:r>
      <w:r>
        <w:rPr>
          <w:spacing w:val="-95"/>
        </w:rPr>
        <w:t> </w:t>
      </w:r>
      <w:r>
        <w:rPr>
          <w:spacing w:val="-95"/>
        </w:rPr>
      </w:r>
      <w:r>
        <w:rPr/>
        <w:t>市人民政府开展合作，就在郑州市投资建设中国长城（郑州）自主创新基地事宜签</w:t>
      </w:r>
      <w:r>
        <w:rPr>
          <w:w w:val="100"/>
        </w:rPr>
        <w:t> </w:t>
      </w:r>
      <w:r>
        <w:rPr>
          <w:spacing w:val="-5"/>
          <w:w w:val="100"/>
        </w:rPr>
        <w:t>署《合作协议》。公司在郑州市高新技术产业开发区分期投资建设中国长城（郑州）</w:t>
      </w:r>
      <w:r>
        <w:rPr>
          <w:spacing w:val="-74"/>
          <w:w w:val="100"/>
        </w:rPr>
        <w:t> </w:t>
      </w:r>
      <w:r>
        <w:rPr>
          <w:spacing w:val="-74"/>
          <w:w w:val="100"/>
        </w:rPr>
      </w:r>
      <w:r>
        <w:rPr/>
        <w:t>自主创新基地，一期计划投资</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亿元。为确保基地的投资建设及运营管理，公司</w:t>
      </w:r>
    </w:p>
    <w:p>
      <w:pPr>
        <w:pStyle w:val="BodyText"/>
        <w:spacing w:line="284" w:lineRule="exact" w:before="0"/>
        <w:ind w:left="850" w:right="0"/>
        <w:jc w:val="both"/>
      </w:pPr>
      <w:r>
        <w:rPr/>
        <w:t>设立全资子公司河南长城计算机系统有限公司，注册资本为人民币</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w:t>
      </w:r>
    </w:p>
    <w:p>
      <w:pPr>
        <w:pStyle w:val="BodyText"/>
        <w:spacing w:line="256" w:lineRule="auto" w:before="9"/>
        <w:ind w:left="850" w:right="1786"/>
        <w:jc w:val="both"/>
      </w:pPr>
      <w:r>
        <w:rPr>
          <w:spacing w:val="-9"/>
        </w:rPr>
        <w:t>（</w:t>
      </w:r>
      <w:r>
        <w:rPr>
          <w:rFonts w:ascii="Times New Roman" w:hAnsi="Times New Roman" w:cs="Times New Roman" w:eastAsia="Times New Roman" w:hint="default"/>
          <w:spacing w:val="-9"/>
        </w:rPr>
        <w:t>2</w:t>
      </w:r>
      <w:r>
        <w:rPr>
          <w:spacing w:val="-9"/>
        </w:rPr>
        <w:t>）经</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spacing w:val="-3"/>
        </w:rPr>
        <w:t>日公司第七届董事会第二十一次会议审议通过，公司与太原</w:t>
      </w:r>
      <w:r>
        <w:rPr>
          <w:spacing w:val="-103"/>
        </w:rPr>
        <w:t> </w:t>
      </w:r>
      <w:r>
        <w:rPr>
          <w:spacing w:val="-103"/>
        </w:rPr>
      </w:r>
      <w:r>
        <w:rPr>
          <w:spacing w:val="-2"/>
        </w:rPr>
        <w:t>市人民政府开展合作，就在太原市投资建设中国长城智能制造（山西）基地事宜签</w:t>
      </w:r>
      <w:r>
        <w:rPr>
          <w:spacing w:val="-35"/>
        </w:rPr>
        <w:t> </w:t>
      </w:r>
      <w:r>
        <w:rPr>
          <w:spacing w:val="-35"/>
        </w:rPr>
      </w:r>
      <w:r>
        <w:rPr>
          <w:spacing w:val="-6"/>
          <w:w w:val="100"/>
        </w:rPr>
        <w:t>署《战略合作框架协议》，公司在太原市不锈钢产业园区分期投资建设中国长城智能</w:t>
      </w:r>
      <w:r>
        <w:rPr>
          <w:spacing w:val="-102"/>
          <w:w w:val="100"/>
        </w:rPr>
        <w:t> </w:t>
      </w:r>
      <w:r>
        <w:rPr>
          <w:spacing w:val="-102"/>
          <w:w w:val="100"/>
        </w:rPr>
      </w:r>
      <w:r>
        <w:rPr/>
        <w:t>制造（山西）基地，一期计划投资</w:t>
      </w:r>
      <w:r>
        <w:rPr>
          <w:spacing w:val="-55"/>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 </w:t>
      </w:r>
      <w:r>
        <w:rPr/>
        <w:t>亿元。为确保基地的投资建设及运营管理，</w:t>
      </w:r>
    </w:p>
    <w:p>
      <w:pPr>
        <w:pStyle w:val="BodyText"/>
        <w:spacing w:line="284" w:lineRule="exact" w:before="0"/>
        <w:ind w:left="850" w:right="0"/>
        <w:jc w:val="both"/>
      </w:pPr>
      <w:r>
        <w:rPr/>
        <w:t>公司设立全资子公司山西长城计算机系统有限公司，注册资本为人民币</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w:t>
      </w:r>
    </w:p>
    <w:p>
      <w:pPr>
        <w:pStyle w:val="BodyText"/>
        <w:spacing w:line="254" w:lineRule="auto" w:before="10"/>
        <w:ind w:left="850" w:right="1789"/>
        <w:jc w:val="both"/>
      </w:pPr>
      <w:r>
        <w:rPr/>
        <w:t>（</w:t>
      </w:r>
      <w:r>
        <w:rPr>
          <w:rFonts w:ascii="Times New Roman" w:hAnsi="Times New Roman" w:cs="Times New Roman" w:eastAsia="Times New Roman" w:hint="default"/>
        </w:rPr>
        <w:t>3</w:t>
      </w:r>
      <w:r>
        <w:rPr/>
        <w:t>）经</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日公司第七届董事会第二十七次会议审议通过，公司与合</w:t>
      </w:r>
      <w:r>
        <w:rPr>
          <w:w w:val="100"/>
        </w:rPr>
        <w:t> </w:t>
      </w:r>
      <w:r>
        <w:rPr>
          <w:spacing w:val="-2"/>
        </w:rPr>
        <w:t>肥高新技术产业开发区管理委员会开展合作，就在合肥市投资建设中国长城自主创</w:t>
      </w:r>
      <w:r>
        <w:rPr>
          <w:spacing w:val="-35"/>
        </w:rPr>
        <w:t> </w:t>
      </w:r>
      <w:r>
        <w:rPr>
          <w:spacing w:val="-35"/>
        </w:rPr>
      </w:r>
      <w:r>
        <w:rPr>
          <w:spacing w:val="-8"/>
          <w:w w:val="100"/>
        </w:rPr>
        <w:t>新（安徽）基地事宜签署《投资协议书》，项目计划投资</w:t>
      </w:r>
      <w:r>
        <w:rPr>
          <w:spacing w:val="-47"/>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spacing w:val="-3"/>
          <w:w w:val="100"/>
        </w:rPr>
        <w:t>亿元。为确保基地的投资</w:t>
      </w:r>
      <w:r>
        <w:rPr>
          <w:spacing w:val="-104"/>
          <w:w w:val="100"/>
        </w:rPr>
        <w:t> </w:t>
      </w:r>
      <w:r>
        <w:rPr>
          <w:spacing w:val="-104"/>
          <w:w w:val="100"/>
        </w:rPr>
      </w:r>
      <w:r>
        <w:rPr>
          <w:spacing w:val="-2"/>
        </w:rPr>
        <w:t>建设及运营管理，公司设立全资子公司安徽长城计算机系统有限公司，注册资本为</w:t>
      </w:r>
      <w:r>
        <w:rPr>
          <w:spacing w:val="-35"/>
        </w:rPr>
        <w:t> </w:t>
      </w:r>
      <w:r>
        <w:rPr>
          <w:spacing w:val="-35"/>
        </w:rPr>
      </w:r>
      <w:r>
        <w:rPr/>
        <w:t>人民币</w:t>
      </w:r>
      <w:r>
        <w:rPr>
          <w:spacing w:val="-53"/>
        </w:rPr>
        <w:t> </w:t>
      </w:r>
      <w:r>
        <w:rPr>
          <w:rFonts w:ascii="Times New Roman" w:hAnsi="Times New Roman" w:cs="Times New Roman" w:eastAsia="Times New Roman" w:hint="default"/>
        </w:rPr>
        <w:t>1 </w:t>
      </w:r>
      <w:r>
        <w:rPr/>
        <w:t>亿元。</w:t>
      </w:r>
    </w:p>
    <w:p>
      <w:pPr>
        <w:pStyle w:val="BodyText"/>
        <w:spacing w:line="286" w:lineRule="exact" w:before="0"/>
        <w:ind w:left="850" w:right="0"/>
        <w:jc w:val="both"/>
      </w:pPr>
      <w:r>
        <w:rPr/>
        <w:t>（</w:t>
      </w:r>
      <w:r>
        <w:rPr>
          <w:rFonts w:ascii="Times New Roman" w:hAnsi="Times New Roman" w:cs="Times New Roman" w:eastAsia="Times New Roman" w:hint="default"/>
        </w:rPr>
        <w:t>4</w:t>
      </w:r>
      <w:r>
        <w:rPr/>
        <w:t>）经</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日公司第七届董事会临时会议审议，同意公司在温州市投</w:t>
      </w:r>
    </w:p>
    <w:p>
      <w:pPr>
        <w:pStyle w:val="BodyText"/>
        <w:spacing w:line="254" w:lineRule="auto" w:before="9"/>
        <w:ind w:left="850" w:right="1825"/>
        <w:jc w:val="both"/>
      </w:pPr>
      <w:r>
        <w:rPr/>
        <w:t>资建设中国长城（温州）自主创新基地，项目计划投资约</w:t>
      </w:r>
      <w:r>
        <w:rPr>
          <w:spacing w:val="-53"/>
        </w:rPr>
        <w:t> </w:t>
      </w:r>
      <w:r>
        <w:rPr>
          <w:rFonts w:ascii="Times New Roman" w:hAnsi="Times New Roman" w:cs="Times New Roman" w:eastAsia="Times New Roman" w:hint="default"/>
        </w:rPr>
        <w:t>5.3</w:t>
      </w:r>
      <w:r>
        <w:rPr>
          <w:rFonts w:ascii="Times New Roman" w:hAnsi="Times New Roman" w:cs="Times New Roman" w:eastAsia="Times New Roman" w:hint="default"/>
          <w:spacing w:val="-3"/>
        </w:rPr>
        <w:t> </w:t>
      </w:r>
      <w:r>
        <w:rPr/>
        <w:t>亿元。为确保基地的</w:t>
      </w:r>
      <w:r>
        <w:rPr>
          <w:w w:val="100"/>
        </w:rPr>
        <w:t> </w:t>
      </w:r>
      <w:r>
        <w:rPr>
          <w:spacing w:val="-2"/>
        </w:rPr>
        <w:t>投资建设及运营管理，公司设立配套全资子公司浙江长城计算机系统有限公司，注</w:t>
      </w:r>
      <w:r>
        <w:rPr>
          <w:spacing w:val="-35"/>
        </w:rPr>
        <w:t> </w:t>
      </w:r>
      <w:r>
        <w:rPr>
          <w:spacing w:val="-35"/>
        </w:rPr>
      </w:r>
      <w:r>
        <w:rPr/>
        <w:t>册资本为人民币</w:t>
      </w:r>
      <w:r>
        <w:rPr>
          <w:spacing w:val="-52"/>
        </w:rPr>
        <w:t> </w:t>
      </w:r>
      <w:r>
        <w:rPr>
          <w:rFonts w:ascii="Times New Roman" w:hAnsi="Times New Roman" w:cs="Times New Roman" w:eastAsia="Times New Roman" w:hint="default"/>
        </w:rPr>
        <w:t>1 </w:t>
      </w:r>
      <w:r>
        <w:rPr/>
        <w:t>亿元。</w:t>
      </w:r>
    </w:p>
    <w:p>
      <w:pPr>
        <w:pStyle w:val="BodyText"/>
        <w:spacing w:line="286" w:lineRule="exact" w:before="0"/>
        <w:ind w:left="850" w:right="0"/>
        <w:jc w:val="both"/>
      </w:pPr>
      <w:r>
        <w:rPr/>
        <w:t>（</w:t>
      </w:r>
      <w:r>
        <w:rPr>
          <w:rFonts w:ascii="Times New Roman" w:hAnsi="Times New Roman" w:cs="Times New Roman" w:eastAsia="Times New Roman" w:hint="default"/>
        </w:rPr>
        <w:t>5</w:t>
      </w:r>
      <w:r>
        <w:rPr/>
        <w:t>）经</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日公司第七届董事会临时会议审议，同意公司在乌鲁木齐</w:t>
      </w:r>
    </w:p>
    <w:p>
      <w:pPr>
        <w:pStyle w:val="BodyText"/>
        <w:spacing w:line="254" w:lineRule="auto" w:before="9"/>
        <w:ind w:left="850" w:right="1468"/>
        <w:jc w:val="left"/>
      </w:pPr>
      <w:r>
        <w:rPr/>
        <w:t>市投资建设中国长城（新疆）自主创新基地，一期计划投资约</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亿元。为确保基</w:t>
      </w:r>
      <w:r>
        <w:rPr>
          <w:w w:val="100"/>
        </w:rPr>
        <w:t> </w:t>
      </w:r>
      <w:r>
        <w:rPr>
          <w:spacing w:val="-4"/>
        </w:rPr>
        <w:t>地的投资建设及运营管理，公司设立配套全资子公司新疆长城计算机系统有限公司，</w:t>
      </w:r>
      <w:r>
        <w:rPr>
          <w:spacing w:val="-25"/>
        </w:rPr>
        <w:t> </w:t>
      </w:r>
      <w:r>
        <w:rPr>
          <w:spacing w:val="-25"/>
        </w:rPr>
      </w:r>
      <w:r>
        <w:rPr/>
        <w:t>注册资本为人民币</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亿元。</w:t>
      </w:r>
    </w:p>
    <w:p>
      <w:pPr>
        <w:pStyle w:val="BodyText"/>
        <w:spacing w:line="247" w:lineRule="auto" w:before="0"/>
        <w:ind w:left="850" w:right="1786"/>
        <w:jc w:val="both"/>
      </w:pPr>
      <w:r>
        <w:rPr/>
        <w:t>截至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日，公司尚未出资，新疆长城计算机系统有限公司尚未开展业</w:t>
      </w:r>
      <w:r>
        <w:rPr>
          <w:spacing w:val="-103"/>
        </w:rPr>
        <w:t> </w:t>
      </w:r>
      <w:r>
        <w:rPr>
          <w:spacing w:val="-103"/>
        </w:rPr>
      </w:r>
      <w:r>
        <w:rPr/>
        <w:t>务。</w:t>
      </w:r>
    </w:p>
    <w:p>
      <w:pPr>
        <w:pStyle w:val="BodyText"/>
        <w:spacing w:line="240" w:lineRule="auto" w:before="19"/>
        <w:ind w:left="850"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日，公司第七届董事会临时会议审议通过关于对全资子公司股权</w:t>
      </w:r>
    </w:p>
    <w:p>
      <w:pPr>
        <w:pStyle w:val="BodyText"/>
        <w:spacing w:line="240" w:lineRule="auto" w:before="9"/>
        <w:ind w:left="850" w:right="0"/>
        <w:jc w:val="both"/>
        <w:rPr>
          <w:rFonts w:ascii="Times New Roman" w:hAnsi="Times New Roman" w:cs="Times New Roman" w:eastAsia="Times New Roman" w:hint="default"/>
        </w:rPr>
      </w:pPr>
      <w:r>
        <w:rPr>
          <w:w w:val="100"/>
        </w:rPr>
        <w:t>结构</w:t>
      </w:r>
      <w:r>
        <w:rPr>
          <w:spacing w:val="-3"/>
          <w:w w:val="100"/>
        </w:rPr>
        <w:t>调</w:t>
      </w:r>
      <w:r>
        <w:rPr>
          <w:w w:val="100"/>
        </w:rPr>
        <w:t>整</w:t>
      </w:r>
      <w:r>
        <w:rPr>
          <w:spacing w:val="-87"/>
          <w:w w:val="100"/>
        </w:rPr>
        <w:t>，</w:t>
      </w:r>
      <w:r>
        <w:rPr>
          <w:w w:val="100"/>
        </w:rPr>
        <w:t>将</w:t>
      </w:r>
      <w:r>
        <w:rPr>
          <w:spacing w:val="-3"/>
          <w:w w:val="100"/>
        </w:rPr>
        <w:t>持</w:t>
      </w:r>
      <w:r>
        <w:rPr>
          <w:w w:val="100"/>
        </w:rPr>
        <w:t>有</w:t>
      </w:r>
      <w:r>
        <w:rPr>
          <w:spacing w:val="-3"/>
          <w:w w:val="100"/>
        </w:rPr>
        <w:t>的</w:t>
      </w:r>
      <w:r>
        <w:rPr>
          <w:w w:val="100"/>
        </w:rPr>
        <w:t>湖</w:t>
      </w:r>
      <w:r>
        <w:rPr>
          <w:spacing w:val="-3"/>
          <w:w w:val="100"/>
        </w:rPr>
        <w:t>南长</w:t>
      </w:r>
      <w:r>
        <w:rPr>
          <w:w w:val="100"/>
        </w:rPr>
        <w:t>城信</w:t>
      </w:r>
      <w:r>
        <w:rPr>
          <w:spacing w:val="-3"/>
          <w:w w:val="100"/>
        </w:rPr>
        <w:t>息</w:t>
      </w:r>
      <w:r>
        <w:rPr>
          <w:w w:val="100"/>
        </w:rPr>
        <w:t>金</w:t>
      </w:r>
      <w:r>
        <w:rPr>
          <w:spacing w:val="-3"/>
          <w:w w:val="100"/>
        </w:rPr>
        <w:t>融</w:t>
      </w:r>
      <w:r>
        <w:rPr>
          <w:w w:val="100"/>
        </w:rPr>
        <w:t>设</w:t>
      </w:r>
      <w:r>
        <w:rPr>
          <w:spacing w:val="-3"/>
          <w:w w:val="100"/>
        </w:rPr>
        <w:t>备</w:t>
      </w:r>
      <w:r>
        <w:rPr>
          <w:w w:val="100"/>
        </w:rPr>
        <w:t>有</w:t>
      </w:r>
      <w:r>
        <w:rPr>
          <w:spacing w:val="-3"/>
          <w:w w:val="100"/>
        </w:rPr>
        <w:t>限</w:t>
      </w:r>
      <w:r>
        <w:rPr>
          <w:w w:val="100"/>
        </w:rPr>
        <w:t>责</w:t>
      </w:r>
      <w:r>
        <w:rPr>
          <w:spacing w:val="-3"/>
          <w:w w:val="100"/>
        </w:rPr>
        <w:t>任</w:t>
      </w:r>
      <w:r>
        <w:rPr>
          <w:w w:val="100"/>
        </w:rPr>
        <w:t>公司</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w:t>
      </w:r>
      <w:r>
        <w:rPr>
          <w:spacing w:val="-3"/>
          <w:w w:val="100"/>
        </w:rPr>
        <w:t>股</w:t>
      </w:r>
      <w:r>
        <w:rPr>
          <w:w w:val="100"/>
        </w:rPr>
        <w:t>权按</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p>
    <w:p>
      <w:pPr>
        <w:pStyle w:val="BodyText"/>
        <w:spacing w:line="247" w:lineRule="auto" w:before="9"/>
        <w:ind w:left="850" w:right="1789"/>
        <w:jc w:val="both"/>
      </w:pPr>
      <w:r>
        <w:rPr/>
        <w:t>月 </w:t>
      </w:r>
      <w:r>
        <w:rPr>
          <w:rFonts w:ascii="Times New Roman" w:hAnsi="Times New Roman" w:cs="Times New Roman" w:eastAsia="Times New Roman" w:hint="default"/>
        </w:rPr>
        <w:t>31 </w:t>
      </w:r>
      <w:r>
        <w:rPr>
          <w:spacing w:val="-4"/>
        </w:rPr>
        <w:t>日经审计的账面净值划转给全资子公司湖南长城科技信息有限公司。经上述结</w:t>
      </w:r>
      <w:r>
        <w:rPr>
          <w:spacing w:val="-94"/>
        </w:rPr>
        <w:t> </w:t>
      </w:r>
      <w:r>
        <w:rPr>
          <w:spacing w:val="-94"/>
        </w:rPr>
      </w:r>
      <w:r>
        <w:rPr/>
        <w:t>构调整后，湖南长城信息金融设备有限责任公司级次下沉。</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5"/>
        <w:tabs>
          <w:tab w:pos="850" w:val="left" w:leader="none"/>
        </w:tabs>
        <w:spacing w:line="240" w:lineRule="auto" w:before="0"/>
        <w:ind w:right="3683"/>
        <w:jc w:val="left"/>
        <w:rPr>
          <w:b w:val="0"/>
          <w:bCs w:val="0"/>
        </w:rPr>
      </w:pPr>
      <w:r>
        <w:rPr/>
        <w:t>七、</w:t>
        <w:tab/>
        <w:t>在其他主体中的权益</w:t>
      </w:r>
      <w:r>
        <w:rPr>
          <w:b w:val="0"/>
          <w:bCs w:val="0"/>
        </w:rPr>
      </w:r>
    </w:p>
    <w:p>
      <w:pPr>
        <w:pStyle w:val="Heading5"/>
        <w:tabs>
          <w:tab w:pos="850" w:val="left" w:leader="none"/>
        </w:tabs>
        <w:spacing w:line="240" w:lineRule="auto" w:before="123"/>
        <w:ind w:right="368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在子公司中的权益</w:t>
      </w:r>
      <w:r>
        <w:rPr>
          <w:b w:val="0"/>
          <w:bCs w:val="0"/>
        </w:rPr>
      </w:r>
    </w:p>
    <w:p>
      <w:pPr>
        <w:pStyle w:val="Heading5"/>
        <w:spacing w:line="240" w:lineRule="auto" w:before="110"/>
        <w:ind w:left="846" w:right="0"/>
        <w:jc w:val="both"/>
        <w:rPr>
          <w:b w:val="0"/>
          <w:bCs w:val="0"/>
        </w:rPr>
      </w:pPr>
      <w:r>
        <w:rPr>
          <w:rFonts w:ascii="Times New Roman" w:hAnsi="Times New Roman" w:cs="Times New Roman" w:eastAsia="Times New Roman" w:hint="default"/>
        </w:rPr>
        <w:t>1</w:t>
      </w:r>
      <w:r>
        <w:rPr/>
        <w:t>、 </w:t>
      </w:r>
      <w:r>
        <w:rPr>
          <w:spacing w:val="26"/>
        </w:rPr>
        <w:t> </w:t>
      </w:r>
      <w:r>
        <w:rPr/>
        <w:t>企业集团的构成</w:t>
      </w:r>
      <w:r>
        <w:rPr>
          <w:b w:val="0"/>
          <w:bCs w:val="0"/>
        </w:rPr>
      </w:r>
    </w:p>
    <w:tbl>
      <w:tblPr>
        <w:tblW w:w="0" w:type="auto"/>
        <w:jc w:val="left"/>
        <w:tblInd w:w="109" w:type="dxa"/>
        <w:tblLayout w:type="fixed"/>
        <w:tblCellMar>
          <w:top w:w="0" w:type="dxa"/>
          <w:left w:w="0" w:type="dxa"/>
          <w:bottom w:w="0" w:type="dxa"/>
          <w:right w:w="0" w:type="dxa"/>
        </w:tblCellMar>
        <w:tblLook w:val="01E0"/>
      </w:tblPr>
      <w:tblGrid>
        <w:gridCol w:w="2893"/>
        <w:gridCol w:w="1190"/>
        <w:gridCol w:w="1191"/>
        <w:gridCol w:w="914"/>
        <w:gridCol w:w="739"/>
        <w:gridCol w:w="737"/>
        <w:gridCol w:w="1154"/>
      </w:tblGrid>
      <w:tr>
        <w:trPr>
          <w:trHeight w:val="360" w:hRule="exact"/>
        </w:trPr>
        <w:tc>
          <w:tcPr>
            <w:tcW w:w="2893"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0" w:right="0"/>
              <w:jc w:val="center"/>
              <w:rPr>
                <w:rFonts w:ascii="宋体" w:hAnsi="宋体" w:cs="宋体" w:eastAsia="宋体" w:hint="default"/>
                <w:sz w:val="16"/>
                <w:szCs w:val="16"/>
              </w:rPr>
            </w:pPr>
            <w:r>
              <w:rPr>
                <w:rFonts w:ascii="宋体" w:hAnsi="宋体" w:cs="宋体" w:eastAsia="宋体" w:hint="default"/>
                <w:sz w:val="16"/>
                <w:szCs w:val="16"/>
              </w:rPr>
              <w:t>子公司名称</w:t>
            </w:r>
          </w:p>
        </w:tc>
        <w:tc>
          <w:tcPr>
            <w:tcW w:w="1190"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89" w:right="0"/>
              <w:jc w:val="left"/>
              <w:rPr>
                <w:rFonts w:ascii="宋体" w:hAnsi="宋体" w:cs="宋体" w:eastAsia="宋体" w:hint="default"/>
                <w:sz w:val="16"/>
                <w:szCs w:val="16"/>
              </w:rPr>
            </w:pPr>
            <w:r>
              <w:rPr>
                <w:rFonts w:ascii="宋体" w:hAnsi="宋体" w:cs="宋体" w:eastAsia="宋体" w:hint="default"/>
                <w:sz w:val="16"/>
                <w:szCs w:val="16"/>
              </w:rPr>
              <w:t>主要经营地</w:t>
            </w:r>
          </w:p>
        </w:tc>
        <w:tc>
          <w:tcPr>
            <w:tcW w:w="1191"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350"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914"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29" w:right="0"/>
              <w:jc w:val="left"/>
              <w:rPr>
                <w:rFonts w:ascii="宋体" w:hAnsi="宋体" w:cs="宋体" w:eastAsia="宋体" w:hint="default"/>
                <w:sz w:val="16"/>
                <w:szCs w:val="16"/>
              </w:rPr>
            </w:pPr>
            <w:r>
              <w:rPr>
                <w:rFonts w:ascii="宋体" w:hAnsi="宋体" w:cs="宋体" w:eastAsia="宋体" w:hint="default"/>
                <w:sz w:val="16"/>
                <w:szCs w:val="16"/>
              </w:rPr>
              <w:t>业务性质</w:t>
            </w:r>
          </w:p>
        </w:tc>
        <w:tc>
          <w:tcPr>
            <w:tcW w:w="147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90"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持股比例</w:t>
            </w:r>
            <w:r>
              <w:rPr>
                <w:rFonts w:ascii="Times New Roman" w:hAnsi="Times New Roman" w:cs="Times New Roman" w:eastAsia="Times New Roman" w:hint="default"/>
                <w:sz w:val="16"/>
                <w:szCs w:val="16"/>
              </w:rPr>
              <w:t>(%)</w:t>
            </w:r>
          </w:p>
        </w:tc>
        <w:tc>
          <w:tcPr>
            <w:tcW w:w="1154"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49" w:right="0"/>
              <w:jc w:val="left"/>
              <w:rPr>
                <w:rFonts w:ascii="宋体" w:hAnsi="宋体" w:cs="宋体" w:eastAsia="宋体" w:hint="default"/>
                <w:sz w:val="16"/>
                <w:szCs w:val="16"/>
              </w:rPr>
            </w:pPr>
            <w:r>
              <w:rPr>
                <w:rFonts w:ascii="宋体" w:hAnsi="宋体" w:cs="宋体" w:eastAsia="宋体" w:hint="default"/>
                <w:sz w:val="16"/>
                <w:szCs w:val="16"/>
              </w:rPr>
              <w:t>取得方式</w:t>
            </w:r>
          </w:p>
        </w:tc>
      </w:tr>
      <w:tr>
        <w:trPr>
          <w:trHeight w:val="349" w:hRule="exact"/>
        </w:trPr>
        <w:tc>
          <w:tcPr>
            <w:tcW w:w="2893" w:type="dxa"/>
            <w:vMerge/>
            <w:tcBorders>
              <w:left w:val="nil" w:sz="6" w:space="0" w:color="auto"/>
              <w:bottom w:val="dotted" w:sz="4" w:space="0" w:color="000000"/>
              <w:right w:val="dotted" w:sz="4" w:space="0" w:color="000000"/>
            </w:tcBorders>
          </w:tcPr>
          <w:p>
            <w:pPr/>
          </w:p>
        </w:tc>
        <w:tc>
          <w:tcPr>
            <w:tcW w:w="1190" w:type="dxa"/>
            <w:vMerge/>
            <w:tcBorders>
              <w:left w:val="dotted" w:sz="4" w:space="0" w:color="000000"/>
              <w:bottom w:val="dotted" w:sz="4" w:space="0" w:color="000000"/>
              <w:right w:val="dotted" w:sz="4" w:space="0" w:color="000000"/>
            </w:tcBorders>
          </w:tcPr>
          <w:p>
            <w:pPr/>
          </w:p>
        </w:tc>
        <w:tc>
          <w:tcPr>
            <w:tcW w:w="1191" w:type="dxa"/>
            <w:vMerge/>
            <w:tcBorders>
              <w:left w:val="dotted" w:sz="4" w:space="0" w:color="000000"/>
              <w:bottom w:val="dotted" w:sz="4" w:space="0" w:color="000000"/>
              <w:right w:val="dotted" w:sz="4" w:space="0" w:color="000000"/>
            </w:tcBorders>
          </w:tcPr>
          <w:p>
            <w:pPr/>
          </w:p>
        </w:tc>
        <w:tc>
          <w:tcPr>
            <w:tcW w:w="914" w:type="dxa"/>
            <w:vMerge/>
            <w:tcBorders>
              <w:left w:val="dotted" w:sz="4" w:space="0" w:color="000000"/>
              <w:bottom w:val="dotted" w:sz="4" w:space="0" w:color="000000"/>
              <w:right w:val="dotted" w:sz="4" w:space="0" w:color="000000"/>
            </w:tcBorders>
          </w:tcPr>
          <w:p>
            <w:pP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201" w:right="0"/>
              <w:jc w:val="left"/>
              <w:rPr>
                <w:rFonts w:ascii="宋体" w:hAnsi="宋体" w:cs="宋体" w:eastAsia="宋体" w:hint="default"/>
                <w:sz w:val="16"/>
                <w:szCs w:val="16"/>
              </w:rPr>
            </w:pPr>
            <w:r>
              <w:rPr>
                <w:rFonts w:ascii="宋体" w:hAnsi="宋体" w:cs="宋体" w:eastAsia="宋体" w:hint="default"/>
                <w:sz w:val="16"/>
                <w:szCs w:val="16"/>
              </w:rPr>
              <w:t>直接</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203" w:right="0"/>
              <w:jc w:val="left"/>
              <w:rPr>
                <w:rFonts w:ascii="宋体" w:hAnsi="宋体" w:cs="宋体" w:eastAsia="宋体" w:hint="default"/>
                <w:sz w:val="16"/>
                <w:szCs w:val="16"/>
              </w:rPr>
            </w:pPr>
            <w:r>
              <w:rPr>
                <w:rFonts w:ascii="宋体" w:hAnsi="宋体" w:cs="宋体" w:eastAsia="宋体" w:hint="default"/>
                <w:sz w:val="16"/>
                <w:szCs w:val="16"/>
              </w:rPr>
              <w:t>间接</w:t>
            </w:r>
          </w:p>
        </w:tc>
        <w:tc>
          <w:tcPr>
            <w:tcW w:w="1154" w:type="dxa"/>
            <w:vMerge/>
            <w:tcBorders>
              <w:left w:val="dotted" w:sz="4" w:space="0" w:color="000000"/>
              <w:bottom w:val="dotted" w:sz="4" w:space="0" w:color="000000"/>
              <w:right w:val="nil" w:sz="6" w:space="0" w:color="auto"/>
            </w:tcBorders>
          </w:tcPr>
          <w:p>
            <w:pPr/>
          </w:p>
        </w:tc>
      </w:tr>
      <w:tr>
        <w:trPr>
          <w:trHeight w:val="350"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湖南长城科技信息有限公司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湖南长沙</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湖南长沙</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184" w:right="0"/>
              <w:jc w:val="left"/>
              <w:rPr>
                <w:rFonts w:ascii="Times New Roman" w:hAnsi="Times New Roman" w:cs="Times New Roman" w:eastAsia="Times New Roman" w:hint="default"/>
                <w:sz w:val="16"/>
                <w:szCs w:val="16"/>
              </w:rPr>
            </w:pPr>
            <w:r>
              <w:rPr>
                <w:rFonts w:ascii="Times New Roman"/>
                <w:sz w:val="16"/>
              </w:rPr>
              <w:t>100.00</w:t>
            </w: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0" w:right="0"/>
              <w:jc w:val="left"/>
              <w:rPr>
                <w:rFonts w:ascii="宋体" w:hAnsi="宋体" w:cs="宋体" w:eastAsia="宋体" w:hint="default"/>
                <w:sz w:val="16"/>
                <w:szCs w:val="16"/>
              </w:rPr>
            </w:pPr>
            <w:r>
              <w:rPr>
                <w:rFonts w:ascii="宋体" w:hAnsi="宋体" w:cs="宋体" w:eastAsia="宋体" w:hint="default"/>
                <w:sz w:val="16"/>
                <w:szCs w:val="16"/>
              </w:rPr>
              <w:t>设立</w:t>
            </w:r>
          </w:p>
        </w:tc>
      </w:tr>
      <w:tr>
        <w:trPr>
          <w:trHeight w:val="480"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深圳中电长城能源有限公司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100.00</w:t>
            </w: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06" w:lineRule="exact" w:before="25"/>
              <w:ind w:left="100" w:right="245"/>
              <w:jc w:val="left"/>
              <w:rPr>
                <w:rFonts w:ascii="宋体" w:hAnsi="宋体" w:cs="宋体" w:eastAsia="宋体" w:hint="default"/>
                <w:sz w:val="16"/>
                <w:szCs w:val="16"/>
              </w:rPr>
            </w:pPr>
            <w:r>
              <w:rPr>
                <w:rFonts w:ascii="宋体" w:hAnsi="宋体" w:cs="宋体" w:eastAsia="宋体" w:hint="default"/>
                <w:sz w:val="16"/>
                <w:szCs w:val="16"/>
              </w:rPr>
              <w:t>同一控制下</w:t>
            </w:r>
            <w:r>
              <w:rPr>
                <w:rFonts w:ascii="宋体" w:hAnsi="宋体" w:cs="宋体" w:eastAsia="宋体" w:hint="default"/>
                <w:w w:val="100"/>
                <w:sz w:val="16"/>
                <w:szCs w:val="16"/>
              </w:rPr>
              <w:t> </w:t>
            </w:r>
            <w:r>
              <w:rPr>
                <w:rFonts w:ascii="宋体" w:hAnsi="宋体" w:cs="宋体" w:eastAsia="宋体" w:hint="default"/>
                <w:sz w:val="16"/>
                <w:szCs w:val="16"/>
              </w:rPr>
              <w:t>企业合并</w:t>
            </w:r>
          </w:p>
        </w:tc>
      </w:tr>
      <w:tr>
        <w:trPr>
          <w:trHeight w:val="350"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海南长城系统科技有限公司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海南澄迈</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海南澄迈</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184" w:right="0"/>
              <w:jc w:val="left"/>
              <w:rPr>
                <w:rFonts w:ascii="Times New Roman" w:hAnsi="Times New Roman" w:cs="Times New Roman" w:eastAsia="Times New Roman" w:hint="default"/>
                <w:sz w:val="16"/>
                <w:szCs w:val="16"/>
              </w:rPr>
            </w:pPr>
            <w:r>
              <w:rPr>
                <w:rFonts w:ascii="Times New Roman"/>
                <w:sz w:val="16"/>
              </w:rPr>
              <w:t>100.00</w:t>
            </w: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0" w:right="0"/>
              <w:jc w:val="left"/>
              <w:rPr>
                <w:rFonts w:ascii="宋体" w:hAnsi="宋体" w:cs="宋体" w:eastAsia="宋体" w:hint="default"/>
                <w:sz w:val="16"/>
                <w:szCs w:val="16"/>
              </w:rPr>
            </w:pPr>
            <w:r>
              <w:rPr>
                <w:rFonts w:ascii="宋体" w:hAnsi="宋体" w:cs="宋体" w:eastAsia="宋体" w:hint="default"/>
                <w:sz w:val="16"/>
                <w:szCs w:val="16"/>
              </w:rPr>
              <w:t>设立</w:t>
            </w:r>
          </w:p>
        </w:tc>
      </w:tr>
      <w:tr>
        <w:trPr>
          <w:trHeight w:val="348"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湖南长城计算机系统有限公司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湖南株洲</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湖南株洲</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84" w:right="0"/>
              <w:jc w:val="left"/>
              <w:rPr>
                <w:rFonts w:ascii="Times New Roman" w:hAnsi="Times New Roman" w:cs="Times New Roman" w:eastAsia="Times New Roman" w:hint="default"/>
                <w:sz w:val="16"/>
                <w:szCs w:val="16"/>
              </w:rPr>
            </w:pPr>
            <w:r>
              <w:rPr>
                <w:rFonts w:ascii="Times New Roman"/>
                <w:sz w:val="16"/>
              </w:rPr>
              <w:t>100.00</w:t>
            </w: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0" w:right="0"/>
              <w:jc w:val="left"/>
              <w:rPr>
                <w:rFonts w:ascii="宋体" w:hAnsi="宋体" w:cs="宋体" w:eastAsia="宋体" w:hint="default"/>
                <w:sz w:val="16"/>
                <w:szCs w:val="16"/>
              </w:rPr>
            </w:pPr>
            <w:r>
              <w:rPr>
                <w:rFonts w:ascii="宋体" w:hAnsi="宋体" w:cs="宋体" w:eastAsia="宋体" w:hint="default"/>
                <w:sz w:val="16"/>
                <w:szCs w:val="16"/>
              </w:rPr>
              <w:t>设立</w:t>
            </w:r>
          </w:p>
        </w:tc>
      </w:tr>
      <w:tr>
        <w:trPr>
          <w:trHeight w:val="360" w:hRule="exact"/>
        </w:trPr>
        <w:tc>
          <w:tcPr>
            <w:tcW w:w="28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pacing w:val="-5"/>
                <w:sz w:val="16"/>
                <w:szCs w:val="16"/>
              </w:rPr>
              <w:t>中国长城计算机（香港）控股有限公司</w:t>
            </w:r>
          </w:p>
        </w:tc>
        <w:tc>
          <w:tcPr>
            <w:tcW w:w="11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11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9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贸易与代</w:t>
            </w:r>
          </w:p>
        </w:tc>
        <w:tc>
          <w:tcPr>
            <w:tcW w:w="7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left="184" w:right="0"/>
              <w:jc w:val="left"/>
              <w:rPr>
                <w:rFonts w:ascii="Times New Roman" w:hAnsi="Times New Roman" w:cs="Times New Roman" w:eastAsia="Times New Roman" w:hint="default"/>
                <w:sz w:val="16"/>
                <w:szCs w:val="16"/>
              </w:rPr>
            </w:pPr>
            <w:r>
              <w:rPr>
                <w:rFonts w:ascii="Times New Roman"/>
                <w:sz w:val="16"/>
              </w:rPr>
              <w:t>100.00</w:t>
            </w:r>
          </w:p>
        </w:tc>
        <w:tc>
          <w:tcPr>
            <w:tcW w:w="737" w:type="dxa"/>
            <w:tcBorders>
              <w:top w:val="dotted" w:sz="4" w:space="0" w:color="000000"/>
              <w:left w:val="dotted" w:sz="4" w:space="0" w:color="000000"/>
              <w:bottom w:val="single" w:sz="12" w:space="0" w:color="000000"/>
              <w:right w:val="dotted" w:sz="4" w:space="0" w:color="000000"/>
            </w:tcBorders>
          </w:tcPr>
          <w:p>
            <w:pPr/>
          </w:p>
        </w:tc>
        <w:tc>
          <w:tcPr>
            <w:tcW w:w="11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8"/>
              <w:ind w:left="100" w:right="0"/>
              <w:jc w:val="left"/>
              <w:rPr>
                <w:rFonts w:ascii="宋体" w:hAnsi="宋体" w:cs="宋体" w:eastAsia="宋体" w:hint="default"/>
                <w:sz w:val="16"/>
                <w:szCs w:val="16"/>
              </w:rPr>
            </w:pPr>
            <w:r>
              <w:rPr>
                <w:rFonts w:ascii="宋体" w:hAnsi="宋体" w:cs="宋体" w:eastAsia="宋体" w:hint="default"/>
                <w:sz w:val="16"/>
                <w:szCs w:val="16"/>
              </w:rPr>
              <w:t>同一控制下</w:t>
            </w:r>
          </w:p>
        </w:tc>
      </w:tr>
    </w:tbl>
    <w:p>
      <w:pPr>
        <w:spacing w:after="0" w:line="240" w:lineRule="auto"/>
        <w:jc w:val="left"/>
        <w:rPr>
          <w:rFonts w:ascii="宋体" w:hAnsi="宋体" w:cs="宋体" w:eastAsia="宋体" w:hint="default"/>
          <w:sz w:val="16"/>
          <w:szCs w:val="16"/>
        </w:rPr>
        <w:sectPr>
          <w:footerReference w:type="default" r:id="rId65"/>
          <w:pgSz w:w="11910" w:h="16840"/>
          <w:pgMar w:footer="997" w:header="0" w:top="1500" w:bottom="1180" w:left="1660" w:right="0"/>
          <w:pgNumType w:start="93"/>
        </w:sectPr>
      </w:pPr>
    </w:p>
    <w:p>
      <w:pPr>
        <w:spacing w:line="240" w:lineRule="auto" w:before="7"/>
        <w:rPr>
          <w:rFonts w:ascii="宋体" w:hAnsi="宋体" w:cs="宋体" w:eastAsia="宋体" w:hint="default"/>
          <w:b/>
          <w:bCs/>
          <w:sz w:val="18"/>
          <w:szCs w:val="18"/>
        </w:rPr>
      </w:pPr>
    </w:p>
    <w:tbl>
      <w:tblPr>
        <w:tblW w:w="0" w:type="auto"/>
        <w:jc w:val="left"/>
        <w:tblInd w:w="109" w:type="dxa"/>
        <w:tblLayout w:type="fixed"/>
        <w:tblCellMar>
          <w:top w:w="0" w:type="dxa"/>
          <w:left w:w="0" w:type="dxa"/>
          <w:bottom w:w="0" w:type="dxa"/>
          <w:right w:w="0" w:type="dxa"/>
        </w:tblCellMar>
        <w:tblLook w:val="01E0"/>
      </w:tblPr>
      <w:tblGrid>
        <w:gridCol w:w="2893"/>
        <w:gridCol w:w="1190"/>
        <w:gridCol w:w="1191"/>
        <w:gridCol w:w="914"/>
        <w:gridCol w:w="739"/>
        <w:gridCol w:w="737"/>
        <w:gridCol w:w="1154"/>
      </w:tblGrid>
      <w:tr>
        <w:trPr>
          <w:trHeight w:val="360" w:hRule="exact"/>
        </w:trPr>
        <w:tc>
          <w:tcPr>
            <w:tcW w:w="2893"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0" w:right="0"/>
              <w:jc w:val="center"/>
              <w:rPr>
                <w:rFonts w:ascii="宋体" w:hAnsi="宋体" w:cs="宋体" w:eastAsia="宋体" w:hint="default"/>
                <w:sz w:val="16"/>
                <w:szCs w:val="16"/>
              </w:rPr>
            </w:pPr>
            <w:r>
              <w:rPr>
                <w:rFonts w:ascii="宋体" w:hAnsi="宋体" w:cs="宋体" w:eastAsia="宋体" w:hint="default"/>
                <w:sz w:val="16"/>
                <w:szCs w:val="16"/>
              </w:rPr>
              <w:t>子公司名称</w:t>
            </w:r>
          </w:p>
        </w:tc>
        <w:tc>
          <w:tcPr>
            <w:tcW w:w="1190"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89" w:right="0"/>
              <w:jc w:val="left"/>
              <w:rPr>
                <w:rFonts w:ascii="宋体" w:hAnsi="宋体" w:cs="宋体" w:eastAsia="宋体" w:hint="default"/>
                <w:sz w:val="16"/>
                <w:szCs w:val="16"/>
              </w:rPr>
            </w:pPr>
            <w:r>
              <w:rPr>
                <w:rFonts w:ascii="宋体" w:hAnsi="宋体" w:cs="宋体" w:eastAsia="宋体" w:hint="default"/>
                <w:sz w:val="16"/>
                <w:szCs w:val="16"/>
              </w:rPr>
              <w:t>主要经营地</w:t>
            </w:r>
          </w:p>
        </w:tc>
        <w:tc>
          <w:tcPr>
            <w:tcW w:w="1191"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350"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914"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29" w:right="0"/>
              <w:jc w:val="left"/>
              <w:rPr>
                <w:rFonts w:ascii="宋体" w:hAnsi="宋体" w:cs="宋体" w:eastAsia="宋体" w:hint="default"/>
                <w:sz w:val="16"/>
                <w:szCs w:val="16"/>
              </w:rPr>
            </w:pPr>
            <w:r>
              <w:rPr>
                <w:rFonts w:ascii="宋体" w:hAnsi="宋体" w:cs="宋体" w:eastAsia="宋体" w:hint="default"/>
                <w:sz w:val="16"/>
                <w:szCs w:val="16"/>
              </w:rPr>
              <w:t>业务性质</w:t>
            </w:r>
          </w:p>
        </w:tc>
        <w:tc>
          <w:tcPr>
            <w:tcW w:w="147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90"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持股比例</w:t>
            </w:r>
            <w:r>
              <w:rPr>
                <w:rFonts w:ascii="Times New Roman" w:hAnsi="Times New Roman" w:cs="Times New Roman" w:eastAsia="Times New Roman" w:hint="default"/>
                <w:sz w:val="16"/>
                <w:szCs w:val="16"/>
              </w:rPr>
              <w:t>(%)</w:t>
            </w:r>
          </w:p>
        </w:tc>
        <w:tc>
          <w:tcPr>
            <w:tcW w:w="1154" w:type="dxa"/>
            <w:vMerge w:val="restart"/>
            <w:tcBorders>
              <w:top w:val="single" w:sz="12" w:space="0" w:color="000000"/>
              <w:left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49" w:right="0"/>
              <w:jc w:val="left"/>
              <w:rPr>
                <w:rFonts w:ascii="宋体" w:hAnsi="宋体" w:cs="宋体" w:eastAsia="宋体" w:hint="default"/>
                <w:sz w:val="16"/>
                <w:szCs w:val="16"/>
              </w:rPr>
            </w:pPr>
            <w:r>
              <w:rPr>
                <w:rFonts w:ascii="宋体" w:hAnsi="宋体" w:cs="宋体" w:eastAsia="宋体" w:hint="default"/>
                <w:sz w:val="16"/>
                <w:szCs w:val="16"/>
              </w:rPr>
              <w:t>取得方式</w:t>
            </w:r>
          </w:p>
        </w:tc>
      </w:tr>
      <w:tr>
        <w:trPr>
          <w:trHeight w:val="348" w:hRule="exact"/>
        </w:trPr>
        <w:tc>
          <w:tcPr>
            <w:tcW w:w="2893" w:type="dxa"/>
            <w:vMerge/>
            <w:tcBorders>
              <w:left w:val="nil" w:sz="6" w:space="0" w:color="auto"/>
              <w:bottom w:val="dotted" w:sz="4" w:space="0" w:color="000000"/>
              <w:right w:val="dotted" w:sz="4" w:space="0" w:color="000000"/>
            </w:tcBorders>
          </w:tcPr>
          <w:p>
            <w:pPr/>
          </w:p>
        </w:tc>
        <w:tc>
          <w:tcPr>
            <w:tcW w:w="1190" w:type="dxa"/>
            <w:vMerge/>
            <w:tcBorders>
              <w:left w:val="dotted" w:sz="4" w:space="0" w:color="000000"/>
              <w:bottom w:val="dotted" w:sz="4" w:space="0" w:color="000000"/>
              <w:right w:val="dotted" w:sz="4" w:space="0" w:color="000000"/>
            </w:tcBorders>
          </w:tcPr>
          <w:p>
            <w:pPr/>
          </w:p>
        </w:tc>
        <w:tc>
          <w:tcPr>
            <w:tcW w:w="1191" w:type="dxa"/>
            <w:vMerge/>
            <w:tcBorders>
              <w:left w:val="dotted" w:sz="4" w:space="0" w:color="000000"/>
              <w:bottom w:val="dotted" w:sz="4" w:space="0" w:color="000000"/>
              <w:right w:val="dotted" w:sz="4" w:space="0" w:color="000000"/>
            </w:tcBorders>
          </w:tcPr>
          <w:p>
            <w:pPr/>
          </w:p>
        </w:tc>
        <w:tc>
          <w:tcPr>
            <w:tcW w:w="914" w:type="dxa"/>
            <w:vMerge/>
            <w:tcBorders>
              <w:left w:val="dotted" w:sz="4" w:space="0" w:color="000000"/>
              <w:bottom w:val="dotted" w:sz="4" w:space="0" w:color="000000"/>
              <w:right w:val="dotted" w:sz="4" w:space="0" w:color="000000"/>
            </w:tcBorders>
          </w:tcPr>
          <w:p>
            <w:pP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201" w:right="0"/>
              <w:jc w:val="left"/>
              <w:rPr>
                <w:rFonts w:ascii="宋体" w:hAnsi="宋体" w:cs="宋体" w:eastAsia="宋体" w:hint="default"/>
                <w:sz w:val="16"/>
                <w:szCs w:val="16"/>
              </w:rPr>
            </w:pPr>
            <w:r>
              <w:rPr>
                <w:rFonts w:ascii="宋体" w:hAnsi="宋体" w:cs="宋体" w:eastAsia="宋体" w:hint="default"/>
                <w:sz w:val="16"/>
                <w:szCs w:val="16"/>
              </w:rPr>
              <w:t>直接</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203" w:right="0"/>
              <w:jc w:val="left"/>
              <w:rPr>
                <w:rFonts w:ascii="宋体" w:hAnsi="宋体" w:cs="宋体" w:eastAsia="宋体" w:hint="default"/>
                <w:sz w:val="16"/>
                <w:szCs w:val="16"/>
              </w:rPr>
            </w:pPr>
            <w:r>
              <w:rPr>
                <w:rFonts w:ascii="宋体" w:hAnsi="宋体" w:cs="宋体" w:eastAsia="宋体" w:hint="default"/>
                <w:sz w:val="16"/>
                <w:szCs w:val="16"/>
              </w:rPr>
              <w:t>间接</w:t>
            </w:r>
          </w:p>
        </w:tc>
        <w:tc>
          <w:tcPr>
            <w:tcW w:w="1154" w:type="dxa"/>
            <w:vMerge/>
            <w:tcBorders>
              <w:left w:val="dotted" w:sz="4" w:space="0" w:color="000000"/>
              <w:bottom w:val="dotted" w:sz="4" w:space="0" w:color="000000"/>
              <w:right w:val="nil" w:sz="6" w:space="0" w:color="auto"/>
            </w:tcBorders>
          </w:tcPr>
          <w:p>
            <w:pPr/>
          </w:p>
        </w:tc>
      </w:tr>
      <w:tr>
        <w:trPr>
          <w:trHeight w:val="348" w:hRule="exact"/>
        </w:trPr>
        <w:tc>
          <w:tcPr>
            <w:tcW w:w="2893" w:type="dxa"/>
            <w:tcBorders>
              <w:top w:val="dotted" w:sz="4" w:space="0" w:color="000000"/>
              <w:left w:val="nil" w:sz="6" w:space="0" w:color="auto"/>
              <w:bottom w:val="dotted" w:sz="4" w:space="0" w:color="000000"/>
              <w:right w:val="dotted" w:sz="4" w:space="0" w:color="000000"/>
            </w:tcBorders>
          </w:tcPr>
          <w:p>
            <w:pPr/>
          </w:p>
        </w:tc>
        <w:tc>
          <w:tcPr>
            <w:tcW w:w="1190"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w w:val="100"/>
                <w:sz w:val="16"/>
                <w:szCs w:val="16"/>
              </w:rPr>
              <w:t>理</w:t>
            </w:r>
          </w:p>
        </w:tc>
        <w:tc>
          <w:tcPr>
            <w:tcW w:w="739"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企业合并</w:t>
            </w:r>
          </w:p>
        </w:tc>
      </w:tr>
      <w:tr>
        <w:trPr>
          <w:trHeight w:val="482"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柏怡国际控股有限公司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113"/>
              <w:jc w:val="left"/>
              <w:rPr>
                <w:rFonts w:ascii="宋体" w:hAnsi="宋体" w:cs="宋体" w:eastAsia="宋体" w:hint="default"/>
                <w:sz w:val="16"/>
                <w:szCs w:val="16"/>
              </w:rPr>
            </w:pPr>
            <w:r>
              <w:rPr>
                <w:rFonts w:ascii="宋体" w:hAnsi="宋体" w:cs="宋体" w:eastAsia="宋体" w:hint="default"/>
                <w:sz w:val="16"/>
                <w:szCs w:val="16"/>
              </w:rPr>
              <w:t>英属维尔京群</w:t>
            </w:r>
            <w:r>
              <w:rPr>
                <w:rFonts w:ascii="宋体" w:hAnsi="宋体" w:cs="宋体" w:eastAsia="宋体" w:hint="default"/>
                <w:w w:val="100"/>
                <w:sz w:val="16"/>
                <w:szCs w:val="16"/>
              </w:rPr>
              <w:t> </w:t>
            </w:r>
            <w:r>
              <w:rPr>
                <w:rFonts w:ascii="宋体" w:hAnsi="宋体" w:cs="宋体" w:eastAsia="宋体" w:hint="default"/>
                <w:sz w:val="16"/>
                <w:szCs w:val="16"/>
              </w:rPr>
              <w:t>岛</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51.00</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263" w:right="0"/>
              <w:jc w:val="left"/>
              <w:rPr>
                <w:rFonts w:ascii="Times New Roman" w:hAnsi="Times New Roman" w:cs="Times New Roman" w:eastAsia="Times New Roman" w:hint="default"/>
                <w:sz w:val="16"/>
                <w:szCs w:val="16"/>
              </w:rPr>
            </w:pPr>
            <w:r>
              <w:rPr>
                <w:rFonts w:ascii="Times New Roman"/>
                <w:sz w:val="16"/>
              </w:rPr>
              <w:t>20.00</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0" w:right="245"/>
              <w:jc w:val="left"/>
              <w:rPr>
                <w:rFonts w:ascii="宋体" w:hAnsi="宋体" w:cs="宋体" w:eastAsia="宋体" w:hint="default"/>
                <w:sz w:val="16"/>
                <w:szCs w:val="16"/>
              </w:rPr>
            </w:pPr>
            <w:r>
              <w:rPr>
                <w:rFonts w:ascii="宋体" w:hAnsi="宋体" w:cs="宋体" w:eastAsia="宋体" w:hint="default"/>
                <w:sz w:val="16"/>
                <w:szCs w:val="16"/>
              </w:rPr>
              <w:t>非同一控制</w:t>
            </w:r>
            <w:r>
              <w:rPr>
                <w:rFonts w:ascii="宋体" w:hAnsi="宋体" w:cs="宋体" w:eastAsia="宋体" w:hint="default"/>
                <w:w w:val="100"/>
                <w:sz w:val="16"/>
                <w:szCs w:val="16"/>
              </w:rPr>
              <w:t> </w:t>
            </w:r>
            <w:r>
              <w:rPr>
                <w:rFonts w:ascii="宋体" w:hAnsi="宋体" w:cs="宋体" w:eastAsia="宋体" w:hint="default"/>
                <w:sz w:val="16"/>
                <w:szCs w:val="16"/>
              </w:rPr>
              <w:t>下企业合并</w:t>
            </w:r>
          </w:p>
        </w:tc>
      </w:tr>
      <w:tr>
        <w:trPr>
          <w:trHeight w:val="480"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长沙湘计海盾科技有限公司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湖南长沙</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湖南长沙</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06" w:lineRule="exact" w:before="24"/>
              <w:ind w:left="100" w:right="245"/>
              <w:jc w:val="left"/>
              <w:rPr>
                <w:rFonts w:ascii="宋体" w:hAnsi="宋体" w:cs="宋体" w:eastAsia="宋体" w:hint="default"/>
                <w:sz w:val="16"/>
                <w:szCs w:val="16"/>
              </w:rPr>
            </w:pPr>
            <w:r>
              <w:rPr>
                <w:rFonts w:ascii="宋体" w:hAnsi="宋体" w:cs="宋体" w:eastAsia="宋体" w:hint="default"/>
                <w:sz w:val="16"/>
                <w:szCs w:val="16"/>
              </w:rPr>
              <w:t>同一控制下</w:t>
            </w:r>
            <w:r>
              <w:rPr>
                <w:rFonts w:ascii="宋体" w:hAnsi="宋体" w:cs="宋体" w:eastAsia="宋体" w:hint="default"/>
                <w:w w:val="100"/>
                <w:sz w:val="16"/>
                <w:szCs w:val="16"/>
              </w:rPr>
              <w:t> </w:t>
            </w:r>
            <w:r>
              <w:rPr>
                <w:rFonts w:ascii="宋体" w:hAnsi="宋体" w:cs="宋体" w:eastAsia="宋体" w:hint="default"/>
                <w:sz w:val="16"/>
                <w:szCs w:val="16"/>
              </w:rPr>
              <w:t>企业合并</w:t>
            </w:r>
          </w:p>
        </w:tc>
      </w:tr>
      <w:tr>
        <w:trPr>
          <w:trHeight w:val="482"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湖南长城医疗科技有限公司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湖南长沙</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湖南长沙</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98.00</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343" w:right="0"/>
              <w:jc w:val="left"/>
              <w:rPr>
                <w:rFonts w:ascii="Times New Roman" w:hAnsi="Times New Roman" w:cs="Times New Roman" w:eastAsia="Times New Roman" w:hint="default"/>
                <w:sz w:val="16"/>
                <w:szCs w:val="16"/>
              </w:rPr>
            </w:pPr>
            <w:r>
              <w:rPr>
                <w:rFonts w:ascii="Times New Roman"/>
                <w:sz w:val="16"/>
              </w:rPr>
              <w:t>2.00</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06" w:lineRule="exact" w:before="24"/>
              <w:ind w:left="100" w:right="245"/>
              <w:jc w:val="left"/>
              <w:rPr>
                <w:rFonts w:ascii="宋体" w:hAnsi="宋体" w:cs="宋体" w:eastAsia="宋体" w:hint="default"/>
                <w:sz w:val="16"/>
                <w:szCs w:val="16"/>
              </w:rPr>
            </w:pPr>
            <w:r>
              <w:rPr>
                <w:rFonts w:ascii="宋体" w:hAnsi="宋体" w:cs="宋体" w:eastAsia="宋体" w:hint="default"/>
                <w:sz w:val="16"/>
                <w:szCs w:val="16"/>
              </w:rPr>
              <w:t>同一控制下</w:t>
            </w:r>
            <w:r>
              <w:rPr>
                <w:rFonts w:ascii="宋体" w:hAnsi="宋体" w:cs="宋体" w:eastAsia="宋体" w:hint="default"/>
                <w:w w:val="100"/>
                <w:sz w:val="16"/>
                <w:szCs w:val="16"/>
              </w:rPr>
              <w:t> </w:t>
            </w:r>
            <w:r>
              <w:rPr>
                <w:rFonts w:ascii="宋体" w:hAnsi="宋体" w:cs="宋体" w:eastAsia="宋体" w:hint="default"/>
                <w:sz w:val="16"/>
                <w:szCs w:val="16"/>
              </w:rPr>
              <w:t>企业合并</w:t>
            </w:r>
          </w:p>
        </w:tc>
      </w:tr>
      <w:tr>
        <w:trPr>
          <w:trHeight w:val="480"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长沙中电软件园有限公司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湖南长沙</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湖南长沙</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156"/>
              <w:jc w:val="left"/>
              <w:rPr>
                <w:rFonts w:ascii="宋体" w:hAnsi="宋体" w:cs="宋体" w:eastAsia="宋体" w:hint="default"/>
                <w:sz w:val="16"/>
                <w:szCs w:val="16"/>
              </w:rPr>
            </w:pPr>
            <w:r>
              <w:rPr>
                <w:rFonts w:ascii="宋体" w:hAnsi="宋体" w:cs="宋体" w:eastAsia="宋体" w:hint="default"/>
                <w:sz w:val="16"/>
                <w:szCs w:val="16"/>
              </w:rPr>
              <w:t>园区开发</w:t>
            </w:r>
            <w:r>
              <w:rPr>
                <w:rFonts w:ascii="宋体" w:hAnsi="宋体" w:cs="宋体" w:eastAsia="宋体" w:hint="default"/>
                <w:spacing w:val="-77"/>
                <w:sz w:val="16"/>
                <w:szCs w:val="16"/>
              </w:rPr>
              <w:t> </w:t>
            </w:r>
            <w:r>
              <w:rPr>
                <w:rFonts w:ascii="宋体" w:hAnsi="宋体" w:cs="宋体" w:eastAsia="宋体" w:hint="default"/>
                <w:sz w:val="16"/>
                <w:szCs w:val="16"/>
              </w:rPr>
              <w:t>与服务</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70.00</w:t>
            </w: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left="100" w:right="245"/>
              <w:jc w:val="left"/>
              <w:rPr>
                <w:rFonts w:ascii="宋体" w:hAnsi="宋体" w:cs="宋体" w:eastAsia="宋体" w:hint="default"/>
                <w:sz w:val="16"/>
                <w:szCs w:val="16"/>
              </w:rPr>
            </w:pPr>
            <w:r>
              <w:rPr>
                <w:rFonts w:ascii="宋体" w:hAnsi="宋体" w:cs="宋体" w:eastAsia="宋体" w:hint="default"/>
                <w:sz w:val="16"/>
                <w:szCs w:val="16"/>
              </w:rPr>
              <w:t>同一控制下</w:t>
            </w:r>
            <w:r>
              <w:rPr>
                <w:rFonts w:ascii="宋体" w:hAnsi="宋体" w:cs="宋体" w:eastAsia="宋体" w:hint="default"/>
                <w:w w:val="100"/>
                <w:sz w:val="16"/>
                <w:szCs w:val="16"/>
              </w:rPr>
              <w:t> </w:t>
            </w:r>
            <w:r>
              <w:rPr>
                <w:rFonts w:ascii="宋体" w:hAnsi="宋体" w:cs="宋体" w:eastAsia="宋体" w:hint="default"/>
                <w:sz w:val="16"/>
                <w:szCs w:val="16"/>
              </w:rPr>
              <w:t>企业合并</w:t>
            </w:r>
          </w:p>
        </w:tc>
      </w:tr>
      <w:tr>
        <w:trPr>
          <w:trHeight w:val="480"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深圳中电长城信息安全系统有限公司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06" w:lineRule="exact" w:before="24"/>
              <w:ind w:left="100" w:right="245"/>
              <w:jc w:val="left"/>
              <w:rPr>
                <w:rFonts w:ascii="宋体" w:hAnsi="宋体" w:cs="宋体" w:eastAsia="宋体" w:hint="default"/>
                <w:sz w:val="16"/>
                <w:szCs w:val="16"/>
              </w:rPr>
            </w:pPr>
            <w:r>
              <w:rPr>
                <w:rFonts w:ascii="宋体" w:hAnsi="宋体" w:cs="宋体" w:eastAsia="宋体" w:hint="default"/>
                <w:sz w:val="16"/>
                <w:szCs w:val="16"/>
              </w:rPr>
              <w:t>同一控制下</w:t>
            </w:r>
            <w:r>
              <w:rPr>
                <w:rFonts w:ascii="宋体" w:hAnsi="宋体" w:cs="宋体" w:eastAsia="宋体" w:hint="default"/>
                <w:w w:val="100"/>
                <w:sz w:val="16"/>
                <w:szCs w:val="16"/>
              </w:rPr>
              <w:t> </w:t>
            </w:r>
            <w:r>
              <w:rPr>
                <w:rFonts w:ascii="宋体" w:hAnsi="宋体" w:cs="宋体" w:eastAsia="宋体" w:hint="default"/>
                <w:sz w:val="16"/>
                <w:szCs w:val="16"/>
              </w:rPr>
              <w:t>企业合并</w:t>
            </w:r>
          </w:p>
        </w:tc>
      </w:tr>
      <w:tr>
        <w:trPr>
          <w:trHeight w:val="350"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河南长城计算机系统有限公司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河南郑州</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河南郑州</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0" w:right="0"/>
              <w:jc w:val="left"/>
              <w:rPr>
                <w:rFonts w:ascii="宋体" w:hAnsi="宋体" w:cs="宋体" w:eastAsia="宋体" w:hint="default"/>
                <w:sz w:val="16"/>
                <w:szCs w:val="16"/>
              </w:rPr>
            </w:pPr>
            <w:r>
              <w:rPr>
                <w:rFonts w:ascii="宋体" w:hAnsi="宋体" w:cs="宋体" w:eastAsia="宋体" w:hint="default"/>
                <w:sz w:val="16"/>
                <w:szCs w:val="16"/>
              </w:rPr>
              <w:t>设立</w:t>
            </w:r>
          </w:p>
        </w:tc>
      </w:tr>
      <w:tr>
        <w:trPr>
          <w:trHeight w:val="349"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6"/>
                <w:szCs w:val="16"/>
              </w:rPr>
            </w:pPr>
            <w:r>
              <w:rPr>
                <w:rFonts w:ascii="宋体" w:hAnsi="宋体" w:cs="宋体" w:eastAsia="宋体" w:hint="default"/>
                <w:sz w:val="16"/>
                <w:szCs w:val="16"/>
              </w:rPr>
              <w:t>山西长城计算机系统有限公司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6"/>
                <w:szCs w:val="16"/>
              </w:rPr>
            </w:pPr>
            <w:r>
              <w:rPr>
                <w:rFonts w:ascii="宋体" w:hAnsi="宋体" w:cs="宋体" w:eastAsia="宋体" w:hint="default"/>
                <w:sz w:val="16"/>
                <w:szCs w:val="16"/>
              </w:rPr>
              <w:t>山西太原</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6"/>
                <w:szCs w:val="16"/>
              </w:rPr>
            </w:pPr>
            <w:r>
              <w:rPr>
                <w:rFonts w:ascii="宋体" w:hAnsi="宋体" w:cs="宋体" w:eastAsia="宋体" w:hint="default"/>
                <w:sz w:val="16"/>
                <w:szCs w:val="16"/>
              </w:rPr>
              <w:t>山西太原</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0" w:right="0"/>
              <w:jc w:val="left"/>
              <w:rPr>
                <w:rFonts w:ascii="宋体" w:hAnsi="宋体" w:cs="宋体" w:eastAsia="宋体" w:hint="default"/>
                <w:sz w:val="16"/>
                <w:szCs w:val="16"/>
              </w:rPr>
            </w:pPr>
            <w:r>
              <w:rPr>
                <w:rFonts w:ascii="宋体" w:hAnsi="宋体" w:cs="宋体" w:eastAsia="宋体" w:hint="default"/>
                <w:sz w:val="16"/>
                <w:szCs w:val="16"/>
              </w:rPr>
              <w:t>设立</w:t>
            </w:r>
          </w:p>
        </w:tc>
      </w:tr>
      <w:tr>
        <w:trPr>
          <w:trHeight w:val="350"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安徽长城计算机系统有限公司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安徽合肥</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安徽合肥</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0" w:right="0"/>
              <w:jc w:val="left"/>
              <w:rPr>
                <w:rFonts w:ascii="宋体" w:hAnsi="宋体" w:cs="宋体" w:eastAsia="宋体" w:hint="default"/>
                <w:sz w:val="16"/>
                <w:szCs w:val="16"/>
              </w:rPr>
            </w:pPr>
            <w:r>
              <w:rPr>
                <w:rFonts w:ascii="宋体" w:hAnsi="宋体" w:cs="宋体" w:eastAsia="宋体" w:hint="default"/>
                <w:sz w:val="16"/>
                <w:szCs w:val="16"/>
              </w:rPr>
              <w:t>设立</w:t>
            </w:r>
          </w:p>
        </w:tc>
      </w:tr>
      <w:tr>
        <w:trPr>
          <w:trHeight w:val="348" w:hRule="exact"/>
        </w:trPr>
        <w:tc>
          <w:tcPr>
            <w:tcW w:w="28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浙江长城计算机系统有限公司</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浙江温州</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浙江温州</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73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8"/>
              <w:ind w:left="100" w:right="0"/>
              <w:jc w:val="left"/>
              <w:rPr>
                <w:rFonts w:ascii="宋体" w:hAnsi="宋体" w:cs="宋体" w:eastAsia="宋体" w:hint="default"/>
                <w:sz w:val="16"/>
                <w:szCs w:val="16"/>
              </w:rPr>
            </w:pPr>
            <w:r>
              <w:rPr>
                <w:rFonts w:ascii="宋体" w:hAnsi="宋体" w:cs="宋体" w:eastAsia="宋体" w:hint="default"/>
                <w:sz w:val="16"/>
                <w:szCs w:val="16"/>
              </w:rPr>
              <w:t>设立</w:t>
            </w:r>
          </w:p>
        </w:tc>
      </w:tr>
      <w:tr>
        <w:trPr>
          <w:trHeight w:val="360" w:hRule="exact"/>
        </w:trPr>
        <w:tc>
          <w:tcPr>
            <w:tcW w:w="28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新疆长城计算机系统有限公司</w:t>
            </w:r>
          </w:p>
        </w:tc>
        <w:tc>
          <w:tcPr>
            <w:tcW w:w="11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新疆乌鲁木齐</w:t>
            </w:r>
          </w:p>
        </w:tc>
        <w:tc>
          <w:tcPr>
            <w:tcW w:w="11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新疆乌鲁木齐</w:t>
            </w:r>
          </w:p>
        </w:tc>
        <w:tc>
          <w:tcPr>
            <w:tcW w:w="9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制造业</w:t>
            </w:r>
          </w:p>
        </w:tc>
        <w:tc>
          <w:tcPr>
            <w:tcW w:w="7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7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20"/>
              <w:jc w:val="right"/>
              <w:rPr>
                <w:rFonts w:ascii="宋体" w:hAnsi="宋体" w:cs="宋体" w:eastAsia="宋体" w:hint="default"/>
                <w:sz w:val="16"/>
                <w:szCs w:val="16"/>
              </w:rPr>
            </w:pPr>
            <w:r>
              <w:rPr>
                <w:rFonts w:ascii="宋体"/>
                <w:w w:val="100"/>
                <w:sz w:val="16"/>
              </w:rPr>
              <w:t> </w:t>
            </w:r>
          </w:p>
        </w:tc>
        <w:tc>
          <w:tcPr>
            <w:tcW w:w="11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1"/>
              <w:ind w:left="100" w:right="0"/>
              <w:jc w:val="left"/>
              <w:rPr>
                <w:rFonts w:ascii="宋体" w:hAnsi="宋体" w:cs="宋体" w:eastAsia="宋体" w:hint="default"/>
                <w:sz w:val="16"/>
                <w:szCs w:val="16"/>
              </w:rPr>
            </w:pPr>
            <w:r>
              <w:rPr>
                <w:rFonts w:ascii="宋体" w:hAnsi="宋体" w:cs="宋体" w:eastAsia="宋体" w:hint="default"/>
                <w:sz w:val="16"/>
                <w:szCs w:val="16"/>
              </w:rPr>
              <w:t>设立</w:t>
            </w:r>
          </w:p>
        </w:tc>
      </w:tr>
    </w:tbl>
    <w:p>
      <w:pPr>
        <w:spacing w:line="240" w:lineRule="auto" w:before="5"/>
        <w:rPr>
          <w:rFonts w:ascii="宋体" w:hAnsi="宋体" w:cs="宋体" w:eastAsia="宋体" w:hint="default"/>
          <w:b/>
          <w:bCs/>
          <w:sz w:val="26"/>
          <w:szCs w:val="26"/>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t>重要的非全资子公司</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015"/>
        <w:gridCol w:w="850"/>
        <w:gridCol w:w="1536"/>
        <w:gridCol w:w="1469"/>
        <w:gridCol w:w="1433"/>
      </w:tblGrid>
      <w:tr>
        <w:trPr>
          <w:trHeight w:val="780" w:hRule="exact"/>
        </w:trPr>
        <w:tc>
          <w:tcPr>
            <w:tcW w:w="30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子公司名称</w:t>
            </w:r>
          </w:p>
        </w:tc>
        <w:tc>
          <w:tcPr>
            <w:tcW w:w="850"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45"/>
              <w:ind w:left="100" w:right="23" w:hanging="80"/>
              <w:jc w:val="center"/>
              <w:rPr>
                <w:rFonts w:ascii="宋体" w:hAnsi="宋体" w:cs="宋体" w:eastAsia="宋体" w:hint="default"/>
                <w:sz w:val="16"/>
                <w:szCs w:val="16"/>
              </w:rPr>
            </w:pPr>
            <w:r>
              <w:rPr>
                <w:rFonts w:ascii="宋体" w:hAnsi="宋体" w:cs="宋体" w:eastAsia="宋体" w:hint="default"/>
                <w:sz w:val="16"/>
                <w:szCs w:val="16"/>
              </w:rPr>
              <w:t>少数股</w:t>
            </w:r>
            <w:r>
              <w:rPr>
                <w:rFonts w:ascii="宋体" w:hAnsi="宋体" w:cs="宋体" w:eastAsia="宋体" w:hint="default"/>
                <w:w w:val="100"/>
                <w:sz w:val="16"/>
                <w:szCs w:val="16"/>
              </w:rPr>
              <w:t> </w:t>
            </w:r>
            <w:r>
              <w:rPr>
                <w:rFonts w:ascii="宋体" w:hAnsi="宋体" w:cs="宋体" w:eastAsia="宋体" w:hint="default"/>
                <w:sz w:val="16"/>
                <w:szCs w:val="16"/>
              </w:rPr>
              <w:t>东持股</w:t>
            </w:r>
            <w:r>
              <w:rPr>
                <w:rFonts w:ascii="宋体" w:hAnsi="宋体" w:cs="宋体" w:eastAsia="宋体" w:hint="default"/>
                <w:w w:val="100"/>
                <w:sz w:val="16"/>
                <w:szCs w:val="16"/>
              </w:rPr>
              <w:t> </w:t>
            </w:r>
            <w:r>
              <w:rPr>
                <w:rFonts w:ascii="宋体" w:hAnsi="宋体" w:cs="宋体" w:eastAsia="宋体" w:hint="default"/>
                <w:spacing w:val="-13"/>
                <w:sz w:val="16"/>
                <w:szCs w:val="16"/>
              </w:rPr>
              <w:t>比例（</w:t>
            </w:r>
            <w:r>
              <w:rPr>
                <w:rFonts w:ascii="Times New Roman" w:hAnsi="Times New Roman" w:cs="Times New Roman" w:eastAsia="Times New Roman" w:hint="default"/>
                <w:spacing w:val="-13"/>
                <w:sz w:val="16"/>
                <w:szCs w:val="16"/>
              </w:rPr>
              <w:t>%</w:t>
            </w:r>
            <w:r>
              <w:rPr>
                <w:rFonts w:ascii="宋体" w:hAnsi="宋体" w:cs="宋体" w:eastAsia="宋体" w:hint="default"/>
                <w:spacing w:val="-13"/>
                <w:sz w:val="16"/>
                <w:szCs w:val="16"/>
              </w:rPr>
              <w:t>）</w:t>
            </w:r>
          </w:p>
        </w:tc>
        <w:tc>
          <w:tcPr>
            <w:tcW w:w="1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06" w:lineRule="exact"/>
              <w:ind w:left="442" w:right="120" w:hanging="320"/>
              <w:jc w:val="left"/>
              <w:rPr>
                <w:rFonts w:ascii="宋体" w:hAnsi="宋体" w:cs="宋体" w:eastAsia="宋体" w:hint="default"/>
                <w:sz w:val="16"/>
                <w:szCs w:val="16"/>
              </w:rPr>
            </w:pPr>
            <w:r>
              <w:rPr>
                <w:rFonts w:ascii="宋体" w:hAnsi="宋体" w:cs="宋体" w:eastAsia="宋体" w:hint="default"/>
                <w:sz w:val="16"/>
                <w:szCs w:val="16"/>
              </w:rPr>
              <w:t>本期归属于少数股</w:t>
            </w:r>
            <w:r>
              <w:rPr>
                <w:rFonts w:ascii="宋体" w:hAnsi="宋体" w:cs="宋体" w:eastAsia="宋体" w:hint="default"/>
                <w:w w:val="100"/>
                <w:sz w:val="16"/>
                <w:szCs w:val="16"/>
              </w:rPr>
              <w:t> </w:t>
            </w:r>
            <w:r>
              <w:rPr>
                <w:rFonts w:ascii="宋体" w:hAnsi="宋体" w:cs="宋体" w:eastAsia="宋体" w:hint="default"/>
                <w:sz w:val="16"/>
                <w:szCs w:val="16"/>
              </w:rPr>
              <w:t>东的损益</w:t>
            </w:r>
          </w:p>
        </w:tc>
        <w:tc>
          <w:tcPr>
            <w:tcW w:w="14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06" w:lineRule="exact"/>
              <w:ind w:left="168" w:right="166"/>
              <w:jc w:val="left"/>
              <w:rPr>
                <w:rFonts w:ascii="宋体" w:hAnsi="宋体" w:cs="宋体" w:eastAsia="宋体" w:hint="default"/>
                <w:sz w:val="16"/>
                <w:szCs w:val="16"/>
              </w:rPr>
            </w:pPr>
            <w:r>
              <w:rPr>
                <w:rFonts w:ascii="宋体" w:hAnsi="宋体" w:cs="宋体" w:eastAsia="宋体" w:hint="default"/>
                <w:sz w:val="16"/>
                <w:szCs w:val="16"/>
              </w:rPr>
              <w:t>本期向少数股东</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宣告分派的股利</w:t>
            </w:r>
          </w:p>
        </w:tc>
        <w:tc>
          <w:tcPr>
            <w:tcW w:w="14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06" w:lineRule="exact"/>
              <w:ind w:left="470" w:right="151" w:hanging="320"/>
              <w:jc w:val="left"/>
              <w:rPr>
                <w:rFonts w:ascii="宋体" w:hAnsi="宋体" w:cs="宋体" w:eastAsia="宋体" w:hint="default"/>
                <w:sz w:val="16"/>
                <w:szCs w:val="16"/>
              </w:rPr>
            </w:pPr>
            <w:r>
              <w:rPr>
                <w:rFonts w:ascii="宋体" w:hAnsi="宋体" w:cs="宋体" w:eastAsia="宋体" w:hint="default"/>
                <w:sz w:val="16"/>
                <w:szCs w:val="16"/>
              </w:rPr>
              <w:t>期末少数股东权</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益余额</w:t>
            </w:r>
          </w:p>
        </w:tc>
      </w:tr>
      <w:tr>
        <w:trPr>
          <w:trHeight w:val="353" w:hRule="exact"/>
        </w:trPr>
        <w:tc>
          <w:tcPr>
            <w:tcW w:w="30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柏怡国际控股有限公司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1"/>
                <w:sz w:val="16"/>
              </w:rPr>
              <w:t>29.00</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21,963,887.50</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12,073,385.20</w:t>
            </w:r>
          </w:p>
        </w:tc>
        <w:tc>
          <w:tcPr>
            <w:tcW w:w="14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138,476,356.23</w:t>
            </w:r>
          </w:p>
        </w:tc>
      </w:tr>
      <w:tr>
        <w:trPr>
          <w:trHeight w:val="365" w:hRule="exact"/>
        </w:trPr>
        <w:tc>
          <w:tcPr>
            <w:tcW w:w="30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长沙中电软件园有限公司</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1"/>
                <w:sz w:val="16"/>
              </w:rPr>
              <w:t>30.00</w:t>
            </w:r>
          </w:p>
        </w:tc>
        <w:tc>
          <w:tcPr>
            <w:tcW w:w="1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19,182,325.75</w:t>
            </w:r>
          </w:p>
        </w:tc>
        <w:tc>
          <w:tcPr>
            <w:tcW w:w="14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11,214,400.00</w:t>
            </w:r>
          </w:p>
        </w:tc>
        <w:tc>
          <w:tcPr>
            <w:tcW w:w="14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138,639,084.02</w:t>
            </w:r>
          </w:p>
        </w:tc>
      </w:tr>
    </w:tbl>
    <w:p>
      <w:pPr>
        <w:spacing w:after="0" w:line="240" w:lineRule="auto"/>
        <w:jc w:val="right"/>
        <w:rPr>
          <w:rFonts w:ascii="Times New Roman" w:hAnsi="Times New Roman" w:cs="Times New Roman" w:eastAsia="Times New Roman" w:hint="default"/>
          <w:sz w:val="16"/>
          <w:szCs w:val="16"/>
        </w:rPr>
        <w:sectPr>
          <w:pgSz w:w="11910" w:h="16840"/>
          <w:pgMar w:header="0" w:footer="997" w:top="1500" w:bottom="1180" w:left="1660" w:right="0"/>
        </w:sectPr>
      </w:pPr>
    </w:p>
    <w:p>
      <w:pPr>
        <w:spacing w:line="530" w:lineRule="auto" w:before="25"/>
        <w:ind w:left="280" w:right="12278" w:firstLine="0"/>
        <w:jc w:val="left"/>
        <w:rPr>
          <w:rFonts w:ascii="宋体" w:hAnsi="宋体" w:cs="宋体" w:eastAsia="宋体" w:hint="default"/>
          <w:sz w:val="18"/>
          <w:szCs w:val="18"/>
        </w:rPr>
      </w:pPr>
      <w:r>
        <w:rPr/>
        <w:pict>
          <v:group style="position:absolute;margin-left:70.559998pt;margin-top:41.661732pt;width:700.9pt;height:.1pt;mso-position-horizontal-relative:page;mso-position-vertical-relative:paragraph;z-index:-1629280" coordorigin="1411,833" coordsize="14018,2">
            <v:shape style="position:absolute;left:1411;top:833;width:14018;height:2" coordorigin="1411,833" coordsize="14018,0" path="m1411,833l15429,833e" filled="false" stroked="true" strokeweight=".48pt" strokecolor="#000000">
              <v:path arrowok="t"/>
            </v:shape>
            <w10:wrap type="none"/>
          </v:group>
        </w:pict>
      </w:r>
      <w:r>
        <w:rPr>
          <w:rFonts w:ascii="宋体" w:hAnsi="宋体" w:cs="宋体" w:eastAsia="宋体" w:hint="default"/>
          <w:sz w:val="18"/>
          <w:szCs w:val="18"/>
        </w:rPr>
        <w:t>中国长城科技集团股份有限公司 财务报表附注</w:t>
      </w:r>
      <w:r>
        <w:rPr>
          <w:rFonts w:ascii="宋体" w:hAnsi="宋体" w:cs="宋体" w:eastAsia="宋体" w:hint="default"/>
          <w:sz w:val="18"/>
          <w:szCs w:val="18"/>
        </w:rPr>
        <w:t> </w:t>
      </w:r>
    </w:p>
    <w:p>
      <w:pPr>
        <w:spacing w:line="240" w:lineRule="auto" w:before="7"/>
        <w:rPr>
          <w:rFonts w:ascii="宋体" w:hAnsi="宋体" w:cs="宋体" w:eastAsia="宋体" w:hint="default"/>
          <w:sz w:val="10"/>
          <w:szCs w:val="10"/>
        </w:rPr>
      </w:pPr>
    </w:p>
    <w:p>
      <w:pPr>
        <w:pStyle w:val="Heading5"/>
        <w:tabs>
          <w:tab w:pos="1540" w:val="left" w:leader="none"/>
        </w:tabs>
        <w:spacing w:line="240" w:lineRule="auto"/>
        <w:ind w:left="988" w:right="0"/>
        <w:jc w:val="left"/>
        <w:rPr>
          <w:b w:val="0"/>
          <w:bCs w:val="0"/>
        </w:rPr>
      </w:pPr>
      <w:r>
        <w:rPr>
          <w:rFonts w:ascii="Times New Roman" w:hAnsi="Times New Roman" w:cs="Times New Roman" w:eastAsia="Times New Roman" w:hint="default"/>
        </w:rPr>
        <w:t>3</w:t>
      </w:r>
      <w:r>
        <w:rPr/>
        <w:t>、</w:t>
        <w:tab/>
      </w:r>
      <w:r>
        <w:rPr>
          <w:spacing w:val="-1"/>
        </w:rPr>
        <w:t>重要非全资子公司的主要财务信息</w:t>
      </w:r>
      <w:r>
        <w:rPr>
          <w:b w:val="0"/>
          <w:bCs w:val="0"/>
          <w:spacing w:val="-1"/>
        </w:rPr>
      </w:r>
    </w:p>
    <w:tbl>
      <w:tblPr>
        <w:tblW w:w="0" w:type="auto"/>
        <w:jc w:val="left"/>
        <w:tblInd w:w="143" w:type="dxa"/>
        <w:tblLayout w:type="fixed"/>
        <w:tblCellMar>
          <w:top w:w="0" w:type="dxa"/>
          <w:left w:w="0" w:type="dxa"/>
          <w:bottom w:w="0" w:type="dxa"/>
          <w:right w:w="0" w:type="dxa"/>
        </w:tblCellMar>
        <w:tblLook w:val="01E0"/>
      </w:tblPr>
      <w:tblGrid>
        <w:gridCol w:w="958"/>
        <w:gridCol w:w="1140"/>
        <w:gridCol w:w="1140"/>
        <w:gridCol w:w="1138"/>
        <w:gridCol w:w="1140"/>
        <w:gridCol w:w="1138"/>
        <w:gridCol w:w="1140"/>
        <w:gridCol w:w="1253"/>
        <w:gridCol w:w="1150"/>
        <w:gridCol w:w="1147"/>
        <w:gridCol w:w="1150"/>
        <w:gridCol w:w="1150"/>
        <w:gridCol w:w="1150"/>
      </w:tblGrid>
      <w:tr>
        <w:trPr>
          <w:trHeight w:val="360" w:hRule="exact"/>
        </w:trPr>
        <w:tc>
          <w:tcPr>
            <w:tcW w:w="958"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34" w:right="0"/>
              <w:jc w:val="left"/>
              <w:rPr>
                <w:rFonts w:ascii="宋体" w:hAnsi="宋体" w:cs="宋体" w:eastAsia="宋体" w:hint="default"/>
                <w:sz w:val="14"/>
                <w:szCs w:val="14"/>
              </w:rPr>
            </w:pPr>
            <w:r>
              <w:rPr>
                <w:rFonts w:ascii="宋体" w:hAnsi="宋体" w:cs="宋体" w:eastAsia="宋体" w:hint="default"/>
                <w:sz w:val="14"/>
                <w:szCs w:val="14"/>
              </w:rPr>
              <w:t>子公司名称</w:t>
            </w:r>
          </w:p>
        </w:tc>
        <w:tc>
          <w:tcPr>
            <w:tcW w:w="6836" w:type="dxa"/>
            <w:gridSpan w:val="6"/>
            <w:tcBorders>
              <w:top w:val="single" w:sz="12" w:space="0" w:color="000000"/>
              <w:left w:val="dotted" w:sz="4" w:space="0" w:color="000000"/>
              <w:bottom w:val="dotted" w:sz="4" w:space="0" w:color="000000"/>
              <w:right w:val="dotted" w:sz="4" w:space="0" w:color="000000"/>
            </w:tcBorders>
          </w:tcPr>
          <w:p>
            <w:pPr>
              <w:pStyle w:val="TableParagraph"/>
              <w:spacing w:line="240" w:lineRule="auto" w:before="67"/>
              <w:ind w:left="-1" w:right="3"/>
              <w:jc w:val="center"/>
              <w:rPr>
                <w:rFonts w:ascii="宋体" w:hAnsi="宋体" w:cs="宋体" w:eastAsia="宋体" w:hint="default"/>
                <w:sz w:val="14"/>
                <w:szCs w:val="14"/>
              </w:rPr>
            </w:pPr>
            <w:r>
              <w:rPr>
                <w:rFonts w:ascii="宋体" w:hAnsi="宋体" w:cs="宋体" w:eastAsia="宋体" w:hint="default"/>
                <w:sz w:val="14"/>
                <w:szCs w:val="14"/>
              </w:rPr>
              <w:t>期末余额</w:t>
            </w:r>
          </w:p>
        </w:tc>
        <w:tc>
          <w:tcPr>
            <w:tcW w:w="6999"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67"/>
              <w:ind w:right="10"/>
              <w:jc w:val="center"/>
              <w:rPr>
                <w:rFonts w:ascii="宋体" w:hAnsi="宋体" w:cs="宋体" w:eastAsia="宋体" w:hint="default"/>
                <w:sz w:val="14"/>
                <w:szCs w:val="14"/>
              </w:rPr>
            </w:pPr>
            <w:r>
              <w:rPr>
                <w:rFonts w:ascii="宋体" w:hAnsi="宋体" w:cs="宋体" w:eastAsia="宋体" w:hint="default"/>
                <w:sz w:val="14"/>
                <w:szCs w:val="14"/>
              </w:rPr>
              <w:t>上年年末余额</w:t>
            </w:r>
          </w:p>
        </w:tc>
      </w:tr>
      <w:tr>
        <w:trPr>
          <w:trHeight w:val="348" w:hRule="exact"/>
        </w:trPr>
        <w:tc>
          <w:tcPr>
            <w:tcW w:w="958" w:type="dxa"/>
            <w:vMerge/>
            <w:tcBorders>
              <w:left w:val="nil" w:sz="6" w:space="0" w:color="auto"/>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0"/>
              <w:jc w:val="center"/>
              <w:rPr>
                <w:rFonts w:ascii="宋体" w:hAnsi="宋体" w:cs="宋体" w:eastAsia="宋体" w:hint="default"/>
                <w:sz w:val="14"/>
                <w:szCs w:val="14"/>
              </w:rPr>
            </w:pPr>
            <w:r>
              <w:rPr>
                <w:rFonts w:ascii="宋体" w:hAnsi="宋体" w:cs="宋体" w:eastAsia="宋体" w:hint="default"/>
                <w:sz w:val="14"/>
                <w:szCs w:val="14"/>
              </w:rPr>
              <w:t>流动资产</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left="213" w:right="0"/>
              <w:jc w:val="left"/>
              <w:rPr>
                <w:rFonts w:ascii="宋体" w:hAnsi="宋体" w:cs="宋体" w:eastAsia="宋体" w:hint="default"/>
                <w:sz w:val="14"/>
                <w:szCs w:val="14"/>
              </w:rPr>
            </w:pPr>
            <w:r>
              <w:rPr>
                <w:rFonts w:ascii="宋体" w:hAnsi="宋体" w:cs="宋体" w:eastAsia="宋体" w:hint="default"/>
                <w:sz w:val="14"/>
                <w:szCs w:val="14"/>
              </w:rPr>
              <w:t>非流动资产</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3"/>
              <w:jc w:val="center"/>
              <w:rPr>
                <w:rFonts w:ascii="宋体" w:hAnsi="宋体" w:cs="宋体" w:eastAsia="宋体" w:hint="default"/>
                <w:sz w:val="14"/>
                <w:szCs w:val="14"/>
              </w:rPr>
            </w:pPr>
            <w:r>
              <w:rPr>
                <w:rFonts w:ascii="宋体" w:hAnsi="宋体" w:cs="宋体" w:eastAsia="宋体" w:hint="default"/>
                <w:sz w:val="14"/>
                <w:szCs w:val="14"/>
              </w:rPr>
              <w:t>资产合计</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0"/>
              <w:jc w:val="center"/>
              <w:rPr>
                <w:rFonts w:ascii="宋体" w:hAnsi="宋体" w:cs="宋体" w:eastAsia="宋体" w:hint="default"/>
                <w:sz w:val="14"/>
                <w:szCs w:val="14"/>
              </w:rPr>
            </w:pPr>
            <w:r>
              <w:rPr>
                <w:rFonts w:ascii="宋体" w:hAnsi="宋体" w:cs="宋体" w:eastAsia="宋体" w:hint="default"/>
                <w:sz w:val="14"/>
                <w:szCs w:val="14"/>
              </w:rPr>
              <w:t>流动负债</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0"/>
              <w:jc w:val="center"/>
              <w:rPr>
                <w:rFonts w:ascii="宋体" w:hAnsi="宋体" w:cs="宋体" w:eastAsia="宋体" w:hint="default"/>
                <w:sz w:val="14"/>
                <w:szCs w:val="14"/>
              </w:rPr>
            </w:pPr>
            <w:r>
              <w:rPr>
                <w:rFonts w:ascii="宋体" w:hAnsi="宋体" w:cs="宋体" w:eastAsia="宋体" w:hint="default"/>
                <w:sz w:val="14"/>
                <w:szCs w:val="14"/>
              </w:rPr>
              <w:t>非流动负债</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0"/>
              <w:jc w:val="center"/>
              <w:rPr>
                <w:rFonts w:ascii="宋体" w:hAnsi="宋体" w:cs="宋体" w:eastAsia="宋体" w:hint="default"/>
                <w:sz w:val="14"/>
                <w:szCs w:val="14"/>
              </w:rPr>
            </w:pPr>
            <w:r>
              <w:rPr>
                <w:rFonts w:ascii="宋体" w:hAnsi="宋体" w:cs="宋体" w:eastAsia="宋体" w:hint="default"/>
                <w:sz w:val="14"/>
                <w:szCs w:val="14"/>
              </w:rPr>
              <w:t>负债合计</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left="341" w:right="0"/>
              <w:jc w:val="left"/>
              <w:rPr>
                <w:rFonts w:ascii="宋体" w:hAnsi="宋体" w:cs="宋体" w:eastAsia="宋体" w:hint="default"/>
                <w:sz w:val="14"/>
                <w:szCs w:val="14"/>
              </w:rPr>
            </w:pPr>
            <w:r>
              <w:rPr>
                <w:rFonts w:ascii="宋体" w:hAnsi="宋体" w:cs="宋体" w:eastAsia="宋体" w:hint="default"/>
                <w:sz w:val="14"/>
                <w:szCs w:val="14"/>
              </w:rPr>
              <w:t>流动资产</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left="218" w:right="0"/>
              <w:jc w:val="left"/>
              <w:rPr>
                <w:rFonts w:ascii="宋体" w:hAnsi="宋体" w:cs="宋体" w:eastAsia="宋体" w:hint="default"/>
                <w:sz w:val="14"/>
                <w:szCs w:val="14"/>
              </w:rPr>
            </w:pPr>
            <w:r>
              <w:rPr>
                <w:rFonts w:ascii="宋体" w:hAnsi="宋体" w:cs="宋体" w:eastAsia="宋体" w:hint="default"/>
                <w:sz w:val="14"/>
                <w:szCs w:val="14"/>
              </w:rPr>
              <w:t>非流动资产</w:t>
            </w:r>
          </w:p>
        </w:tc>
        <w:tc>
          <w:tcPr>
            <w:tcW w:w="11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0"/>
              <w:jc w:val="center"/>
              <w:rPr>
                <w:rFonts w:ascii="宋体" w:hAnsi="宋体" w:cs="宋体" w:eastAsia="宋体" w:hint="default"/>
                <w:sz w:val="14"/>
                <w:szCs w:val="14"/>
              </w:rPr>
            </w:pPr>
            <w:r>
              <w:rPr>
                <w:rFonts w:ascii="宋体" w:hAnsi="宋体" w:cs="宋体" w:eastAsia="宋体" w:hint="default"/>
                <w:sz w:val="14"/>
                <w:szCs w:val="14"/>
              </w:rPr>
              <w:t>资产合计</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2"/>
              <w:jc w:val="center"/>
              <w:rPr>
                <w:rFonts w:ascii="宋体" w:hAnsi="宋体" w:cs="宋体" w:eastAsia="宋体" w:hint="default"/>
                <w:sz w:val="14"/>
                <w:szCs w:val="14"/>
              </w:rPr>
            </w:pPr>
            <w:r>
              <w:rPr>
                <w:rFonts w:ascii="宋体" w:hAnsi="宋体" w:cs="宋体" w:eastAsia="宋体" w:hint="default"/>
                <w:sz w:val="14"/>
                <w:szCs w:val="14"/>
              </w:rPr>
              <w:t>流动负债</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left="218" w:right="0"/>
              <w:jc w:val="left"/>
              <w:rPr>
                <w:rFonts w:ascii="宋体" w:hAnsi="宋体" w:cs="宋体" w:eastAsia="宋体" w:hint="default"/>
                <w:sz w:val="14"/>
                <w:szCs w:val="14"/>
              </w:rPr>
            </w:pPr>
            <w:r>
              <w:rPr>
                <w:rFonts w:ascii="宋体" w:hAnsi="宋体" w:cs="宋体" w:eastAsia="宋体" w:hint="default"/>
                <w:sz w:val="14"/>
                <w:szCs w:val="14"/>
              </w:rPr>
              <w:t>非流动负债</w:t>
            </w:r>
          </w:p>
        </w:tc>
        <w:tc>
          <w:tcPr>
            <w:tcW w:w="11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4"/>
              <w:ind w:right="5"/>
              <w:jc w:val="center"/>
              <w:rPr>
                <w:rFonts w:ascii="宋体" w:hAnsi="宋体" w:cs="宋体" w:eastAsia="宋体" w:hint="default"/>
                <w:sz w:val="14"/>
                <w:szCs w:val="14"/>
              </w:rPr>
            </w:pPr>
            <w:r>
              <w:rPr>
                <w:rFonts w:ascii="宋体" w:hAnsi="宋体" w:cs="宋体" w:eastAsia="宋体" w:hint="default"/>
                <w:sz w:val="14"/>
                <w:szCs w:val="14"/>
              </w:rPr>
              <w:t>负债合计</w:t>
            </w:r>
          </w:p>
        </w:tc>
      </w:tr>
      <w:tr>
        <w:trPr>
          <w:trHeight w:val="547" w:hRule="exact"/>
        </w:trPr>
        <w:tc>
          <w:tcPr>
            <w:tcW w:w="958" w:type="dxa"/>
            <w:tcBorders>
              <w:top w:val="dotted" w:sz="4" w:space="0" w:color="000000"/>
              <w:left w:val="nil" w:sz="6" w:space="0" w:color="auto"/>
              <w:bottom w:val="dotted" w:sz="4" w:space="0" w:color="000000"/>
              <w:right w:val="dotted" w:sz="4" w:space="0" w:color="000000"/>
            </w:tcBorders>
          </w:tcPr>
          <w:p>
            <w:pPr>
              <w:pStyle w:val="TableParagraph"/>
              <w:spacing w:line="264" w:lineRule="auto" w:before="64"/>
              <w:ind w:left="122" w:right="130"/>
              <w:jc w:val="left"/>
              <w:rPr>
                <w:rFonts w:ascii="宋体" w:hAnsi="宋体" w:cs="宋体" w:eastAsia="宋体" w:hint="default"/>
                <w:sz w:val="14"/>
                <w:szCs w:val="14"/>
              </w:rPr>
            </w:pPr>
            <w:r>
              <w:rPr>
                <w:rFonts w:ascii="宋体" w:hAnsi="宋体" w:cs="宋体" w:eastAsia="宋体" w:hint="default"/>
                <w:sz w:val="14"/>
                <w:szCs w:val="14"/>
              </w:rPr>
              <w:t>柏怡国际控</w:t>
            </w:r>
            <w:r>
              <w:rPr>
                <w:rFonts w:ascii="宋体" w:hAnsi="宋体" w:cs="宋体" w:eastAsia="宋体" w:hint="default"/>
                <w:w w:val="99"/>
                <w:sz w:val="14"/>
                <w:szCs w:val="14"/>
              </w:rPr>
              <w:t> </w:t>
            </w:r>
            <w:r>
              <w:rPr>
                <w:rFonts w:ascii="宋体" w:hAnsi="宋体" w:cs="宋体" w:eastAsia="宋体" w:hint="default"/>
                <w:sz w:val="14"/>
                <w:szCs w:val="14"/>
              </w:rPr>
              <w:t>股有限公司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5" w:right="0"/>
              <w:jc w:val="center"/>
              <w:rPr>
                <w:rFonts w:ascii="Times New Roman" w:hAnsi="Times New Roman" w:cs="Times New Roman" w:eastAsia="Times New Roman" w:hint="default"/>
                <w:sz w:val="14"/>
                <w:szCs w:val="14"/>
              </w:rPr>
            </w:pPr>
            <w:r>
              <w:rPr>
                <w:rFonts w:ascii="Times New Roman"/>
                <w:sz w:val="14"/>
              </w:rPr>
              <w:t>693,226,060.90</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1" w:right="0"/>
              <w:jc w:val="left"/>
              <w:rPr>
                <w:rFonts w:ascii="Times New Roman" w:hAnsi="Times New Roman" w:cs="Times New Roman" w:eastAsia="Times New Roman" w:hint="default"/>
                <w:sz w:val="14"/>
                <w:szCs w:val="14"/>
              </w:rPr>
            </w:pPr>
            <w:r>
              <w:rPr>
                <w:rFonts w:ascii="Times New Roman"/>
                <w:sz w:val="14"/>
              </w:rPr>
              <w:t>190,091,849.57</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2" w:right="0"/>
              <w:jc w:val="center"/>
              <w:rPr>
                <w:rFonts w:ascii="Times New Roman" w:hAnsi="Times New Roman" w:cs="Times New Roman" w:eastAsia="Times New Roman" w:hint="default"/>
                <w:sz w:val="14"/>
                <w:szCs w:val="14"/>
              </w:rPr>
            </w:pPr>
            <w:r>
              <w:rPr>
                <w:rFonts w:ascii="Times New Roman"/>
                <w:sz w:val="14"/>
              </w:rPr>
              <w:t>883,317,910.47</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5" w:right="0"/>
              <w:jc w:val="center"/>
              <w:rPr>
                <w:rFonts w:ascii="Times New Roman" w:hAnsi="Times New Roman" w:cs="Times New Roman" w:eastAsia="Times New Roman" w:hint="default"/>
                <w:sz w:val="14"/>
                <w:szCs w:val="14"/>
              </w:rPr>
            </w:pPr>
            <w:r>
              <w:rPr>
                <w:rFonts w:ascii="Times New Roman"/>
                <w:sz w:val="14"/>
              </w:rPr>
              <w:t>413,097,658.25</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2" w:right="0"/>
              <w:jc w:val="center"/>
              <w:rPr>
                <w:rFonts w:ascii="Times New Roman" w:hAnsi="Times New Roman" w:cs="Times New Roman" w:eastAsia="Times New Roman" w:hint="default"/>
                <w:sz w:val="14"/>
                <w:szCs w:val="14"/>
              </w:rPr>
            </w:pPr>
            <w:r>
              <w:rPr>
                <w:rFonts w:ascii="Times New Roman"/>
                <w:sz w:val="14"/>
              </w:rPr>
              <w:t>18,750,800.45</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5" w:right="0"/>
              <w:jc w:val="center"/>
              <w:rPr>
                <w:rFonts w:ascii="Times New Roman" w:hAnsi="Times New Roman" w:cs="Times New Roman" w:eastAsia="Times New Roman" w:hint="default"/>
                <w:sz w:val="14"/>
                <w:szCs w:val="14"/>
              </w:rPr>
            </w:pPr>
            <w:r>
              <w:rPr>
                <w:rFonts w:ascii="Times New Roman"/>
                <w:sz w:val="14"/>
              </w:rPr>
              <w:t>431,848,458.70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4"/>
                <w:szCs w:val="14"/>
              </w:rPr>
            </w:pPr>
            <w:r>
              <w:rPr>
                <w:rFonts w:ascii="Times New Roman"/>
                <w:w w:val="95"/>
                <w:sz w:val="14"/>
              </w:rPr>
              <w:t>692,553,224.96</w:t>
            </w:r>
            <w:r>
              <w:rPr>
                <w:rFonts w:ascii="Times New Roman"/>
                <w:sz w:val="14"/>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0" w:right="0"/>
              <w:jc w:val="left"/>
              <w:rPr>
                <w:rFonts w:ascii="Times New Roman" w:hAnsi="Times New Roman" w:cs="Times New Roman" w:eastAsia="Times New Roman" w:hint="default"/>
                <w:sz w:val="14"/>
                <w:szCs w:val="14"/>
              </w:rPr>
            </w:pPr>
            <w:r>
              <w:rPr>
                <w:rFonts w:ascii="Times New Roman"/>
                <w:sz w:val="14"/>
              </w:rPr>
              <w:t>183,614,083.01</w:t>
            </w:r>
          </w:p>
        </w:tc>
        <w:tc>
          <w:tcPr>
            <w:tcW w:w="11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7" w:right="0"/>
              <w:jc w:val="center"/>
              <w:rPr>
                <w:rFonts w:ascii="Times New Roman" w:hAnsi="Times New Roman" w:cs="Times New Roman" w:eastAsia="Times New Roman" w:hint="default"/>
                <w:sz w:val="14"/>
                <w:szCs w:val="14"/>
              </w:rPr>
            </w:pPr>
            <w:r>
              <w:rPr>
                <w:rFonts w:ascii="Times New Roman"/>
                <w:sz w:val="14"/>
              </w:rPr>
              <w:t>876,167,307.97</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4" w:right="0"/>
              <w:jc w:val="center"/>
              <w:rPr>
                <w:rFonts w:ascii="Times New Roman" w:hAnsi="Times New Roman" w:cs="Times New Roman" w:eastAsia="Times New Roman" w:hint="default"/>
                <w:sz w:val="14"/>
                <w:szCs w:val="14"/>
              </w:rPr>
            </w:pPr>
            <w:r>
              <w:rPr>
                <w:rFonts w:ascii="Times New Roman"/>
                <w:sz w:val="14"/>
              </w:rPr>
              <w:t>433,640,646.69</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Times New Roman" w:hAnsi="Times New Roman" w:cs="Times New Roman" w:eastAsia="Times New Roman" w:hint="default"/>
                <w:sz w:val="14"/>
                <w:szCs w:val="14"/>
              </w:rPr>
            </w:pPr>
            <w:r>
              <w:rPr>
                <w:rFonts w:ascii="Times New Roman"/>
                <w:sz w:val="14"/>
              </w:rPr>
              <w:t>22,036,358.56</w:t>
            </w:r>
          </w:p>
        </w:tc>
        <w:tc>
          <w:tcPr>
            <w:tcW w:w="11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0" w:right="0"/>
              <w:jc w:val="center"/>
              <w:rPr>
                <w:rFonts w:ascii="Times New Roman" w:hAnsi="Times New Roman" w:cs="Times New Roman" w:eastAsia="Times New Roman" w:hint="default"/>
                <w:sz w:val="14"/>
                <w:szCs w:val="14"/>
              </w:rPr>
            </w:pPr>
            <w:r>
              <w:rPr>
                <w:rFonts w:ascii="Times New Roman"/>
                <w:sz w:val="14"/>
              </w:rPr>
              <w:t>455,677,005.25</w:t>
            </w:r>
          </w:p>
        </w:tc>
      </w:tr>
      <w:tr>
        <w:trPr>
          <w:trHeight w:val="757" w:hRule="exact"/>
        </w:trPr>
        <w:tc>
          <w:tcPr>
            <w:tcW w:w="958" w:type="dxa"/>
            <w:tcBorders>
              <w:top w:val="dotted" w:sz="4" w:space="0" w:color="000000"/>
              <w:left w:val="nil" w:sz="6" w:space="0" w:color="auto"/>
              <w:bottom w:val="single" w:sz="12" w:space="0" w:color="000000"/>
              <w:right w:val="dotted" w:sz="4" w:space="0" w:color="000000"/>
            </w:tcBorders>
          </w:tcPr>
          <w:p>
            <w:pPr>
              <w:pStyle w:val="TableParagraph"/>
              <w:spacing w:line="264" w:lineRule="auto" w:before="62"/>
              <w:ind w:left="122" w:right="130"/>
              <w:jc w:val="both"/>
              <w:rPr>
                <w:rFonts w:ascii="宋体" w:hAnsi="宋体" w:cs="宋体" w:eastAsia="宋体" w:hint="default"/>
                <w:sz w:val="14"/>
                <w:szCs w:val="14"/>
              </w:rPr>
            </w:pPr>
            <w:r>
              <w:rPr>
                <w:rFonts w:ascii="宋体" w:hAnsi="宋体" w:cs="宋体" w:eastAsia="宋体" w:hint="default"/>
                <w:sz w:val="14"/>
                <w:szCs w:val="14"/>
              </w:rPr>
              <w:t>长沙中电软</w:t>
            </w:r>
            <w:r>
              <w:rPr>
                <w:rFonts w:ascii="宋体" w:hAnsi="宋体" w:cs="宋体" w:eastAsia="宋体" w:hint="default"/>
                <w:w w:val="99"/>
                <w:sz w:val="14"/>
                <w:szCs w:val="14"/>
              </w:rPr>
              <w:t> </w:t>
            </w:r>
            <w:r>
              <w:rPr>
                <w:rFonts w:ascii="宋体" w:hAnsi="宋体" w:cs="宋体" w:eastAsia="宋体" w:hint="default"/>
                <w:sz w:val="14"/>
                <w:szCs w:val="14"/>
              </w:rPr>
              <w:t>件园有限公</w:t>
            </w:r>
            <w:r>
              <w:rPr>
                <w:rFonts w:ascii="宋体" w:hAnsi="宋体" w:cs="宋体" w:eastAsia="宋体" w:hint="default"/>
                <w:w w:val="99"/>
                <w:sz w:val="14"/>
                <w:szCs w:val="14"/>
              </w:rPr>
              <w:t> </w:t>
            </w:r>
            <w:r>
              <w:rPr>
                <w:rFonts w:ascii="宋体" w:hAnsi="宋体" w:cs="宋体" w:eastAsia="宋体" w:hint="default"/>
                <w:sz w:val="14"/>
                <w:szCs w:val="14"/>
              </w:rPr>
              <w:t>司</w:t>
            </w:r>
          </w:p>
        </w:tc>
        <w:tc>
          <w:tcPr>
            <w:tcW w:w="11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45" w:right="0"/>
              <w:jc w:val="center"/>
              <w:rPr>
                <w:rFonts w:ascii="Times New Roman" w:hAnsi="Times New Roman" w:cs="Times New Roman" w:eastAsia="Times New Roman" w:hint="default"/>
                <w:sz w:val="14"/>
                <w:szCs w:val="14"/>
              </w:rPr>
            </w:pPr>
            <w:r>
              <w:rPr>
                <w:rFonts w:ascii="Times New Roman"/>
                <w:sz w:val="14"/>
              </w:rPr>
              <w:t>126,328,160.70</w:t>
            </w:r>
          </w:p>
        </w:tc>
        <w:tc>
          <w:tcPr>
            <w:tcW w:w="11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151" w:right="0"/>
              <w:jc w:val="left"/>
              <w:rPr>
                <w:rFonts w:ascii="Times New Roman" w:hAnsi="Times New Roman" w:cs="Times New Roman" w:eastAsia="Times New Roman" w:hint="default"/>
                <w:sz w:val="14"/>
                <w:szCs w:val="14"/>
              </w:rPr>
            </w:pPr>
            <w:r>
              <w:rPr>
                <w:rFonts w:ascii="Times New Roman"/>
                <w:sz w:val="14"/>
              </w:rPr>
              <w:t>665,252,910.39</w:t>
            </w:r>
          </w:p>
        </w:tc>
        <w:tc>
          <w:tcPr>
            <w:tcW w:w="11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42" w:right="0"/>
              <w:jc w:val="center"/>
              <w:rPr>
                <w:rFonts w:ascii="Times New Roman" w:hAnsi="Times New Roman" w:cs="Times New Roman" w:eastAsia="Times New Roman" w:hint="default"/>
                <w:sz w:val="14"/>
                <w:szCs w:val="14"/>
              </w:rPr>
            </w:pPr>
            <w:r>
              <w:rPr>
                <w:rFonts w:ascii="Times New Roman"/>
                <w:sz w:val="14"/>
              </w:rPr>
              <w:t>791,581,071.09</w:t>
            </w:r>
          </w:p>
        </w:tc>
        <w:tc>
          <w:tcPr>
            <w:tcW w:w="11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45" w:right="0"/>
              <w:jc w:val="center"/>
              <w:rPr>
                <w:rFonts w:ascii="Times New Roman" w:hAnsi="Times New Roman" w:cs="Times New Roman" w:eastAsia="Times New Roman" w:hint="default"/>
                <w:sz w:val="14"/>
                <w:szCs w:val="14"/>
              </w:rPr>
            </w:pPr>
            <w:r>
              <w:rPr>
                <w:rFonts w:ascii="Times New Roman"/>
                <w:sz w:val="14"/>
              </w:rPr>
              <w:t>154,349,816.58</w:t>
            </w:r>
          </w:p>
        </w:tc>
        <w:tc>
          <w:tcPr>
            <w:tcW w:w="11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47" w:right="0"/>
              <w:jc w:val="center"/>
              <w:rPr>
                <w:rFonts w:ascii="Times New Roman" w:hAnsi="Times New Roman" w:cs="Times New Roman" w:eastAsia="Times New Roman" w:hint="default"/>
                <w:sz w:val="14"/>
                <w:szCs w:val="14"/>
              </w:rPr>
            </w:pPr>
            <w:r>
              <w:rPr>
                <w:rFonts w:ascii="Times New Roman"/>
                <w:sz w:val="14"/>
              </w:rPr>
              <w:t>175,100,941.12</w:t>
            </w:r>
          </w:p>
        </w:tc>
        <w:tc>
          <w:tcPr>
            <w:tcW w:w="11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45" w:right="0"/>
              <w:jc w:val="center"/>
              <w:rPr>
                <w:rFonts w:ascii="Times New Roman" w:hAnsi="Times New Roman" w:cs="Times New Roman" w:eastAsia="Times New Roman" w:hint="default"/>
                <w:sz w:val="14"/>
                <w:szCs w:val="14"/>
              </w:rPr>
            </w:pPr>
            <w:r>
              <w:rPr>
                <w:rFonts w:ascii="Times New Roman"/>
                <w:sz w:val="14"/>
              </w:rPr>
              <w:t>329,450,757.70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right="104"/>
              <w:jc w:val="right"/>
              <w:rPr>
                <w:rFonts w:ascii="Times New Roman" w:hAnsi="Times New Roman" w:cs="Times New Roman" w:eastAsia="Times New Roman" w:hint="default"/>
                <w:sz w:val="14"/>
                <w:szCs w:val="14"/>
              </w:rPr>
            </w:pPr>
            <w:r>
              <w:rPr>
                <w:rFonts w:ascii="Times New Roman"/>
                <w:w w:val="95"/>
                <w:sz w:val="14"/>
              </w:rPr>
              <w:t>153,168,343.02</w:t>
            </w:r>
            <w:r>
              <w:rPr>
                <w:rFonts w:ascii="Times New Roman"/>
                <w:sz w:val="14"/>
              </w:rPr>
            </w:r>
          </w:p>
        </w:tc>
        <w:tc>
          <w:tcPr>
            <w:tcW w:w="11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160" w:right="0"/>
              <w:jc w:val="left"/>
              <w:rPr>
                <w:rFonts w:ascii="Times New Roman" w:hAnsi="Times New Roman" w:cs="Times New Roman" w:eastAsia="Times New Roman" w:hint="default"/>
                <w:sz w:val="14"/>
                <w:szCs w:val="14"/>
              </w:rPr>
            </w:pPr>
            <w:r>
              <w:rPr>
                <w:rFonts w:ascii="Times New Roman"/>
                <w:sz w:val="14"/>
              </w:rPr>
              <w:t>450,571,633.16</w:t>
            </w:r>
          </w:p>
        </w:tc>
        <w:tc>
          <w:tcPr>
            <w:tcW w:w="11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57" w:right="0"/>
              <w:jc w:val="center"/>
              <w:rPr>
                <w:rFonts w:ascii="Times New Roman" w:hAnsi="Times New Roman" w:cs="Times New Roman" w:eastAsia="Times New Roman" w:hint="default"/>
                <w:sz w:val="14"/>
                <w:szCs w:val="14"/>
              </w:rPr>
            </w:pPr>
            <w:r>
              <w:rPr>
                <w:rFonts w:ascii="Times New Roman"/>
                <w:sz w:val="14"/>
              </w:rPr>
              <w:t>603,739,976.18</w:t>
            </w:r>
          </w:p>
        </w:tc>
        <w:tc>
          <w:tcPr>
            <w:tcW w:w="11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54" w:right="0"/>
              <w:jc w:val="center"/>
              <w:rPr>
                <w:rFonts w:ascii="Times New Roman" w:hAnsi="Times New Roman" w:cs="Times New Roman" w:eastAsia="Times New Roman" w:hint="default"/>
                <w:sz w:val="14"/>
                <w:szCs w:val="14"/>
              </w:rPr>
            </w:pPr>
            <w:r>
              <w:rPr>
                <w:rFonts w:ascii="Times New Roman"/>
                <w:sz w:val="14"/>
              </w:rPr>
              <w:t>160,492,910.24</w:t>
            </w:r>
          </w:p>
        </w:tc>
        <w:tc>
          <w:tcPr>
            <w:tcW w:w="11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160" w:right="0"/>
              <w:jc w:val="left"/>
              <w:rPr>
                <w:rFonts w:ascii="Times New Roman" w:hAnsi="Times New Roman" w:cs="Times New Roman" w:eastAsia="Times New Roman" w:hint="default"/>
                <w:sz w:val="14"/>
                <w:szCs w:val="14"/>
              </w:rPr>
            </w:pPr>
            <w:r>
              <w:rPr>
                <w:rFonts w:ascii="Times New Roman"/>
                <w:sz w:val="14"/>
              </w:rPr>
              <w:t>156,501,232.42</w:t>
            </w:r>
          </w:p>
        </w:tc>
        <w:tc>
          <w:tcPr>
            <w:tcW w:w="1150"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50" w:right="0"/>
              <w:jc w:val="center"/>
              <w:rPr>
                <w:rFonts w:ascii="Times New Roman" w:hAnsi="Times New Roman" w:cs="Times New Roman" w:eastAsia="Times New Roman" w:hint="default"/>
                <w:sz w:val="14"/>
                <w:szCs w:val="14"/>
              </w:rPr>
            </w:pPr>
            <w:r>
              <w:rPr>
                <w:rFonts w:ascii="Times New Roman"/>
                <w:sz w:val="14"/>
              </w:rPr>
              <w:t>316,994,142.66</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tbl>
      <w:tblPr>
        <w:tblW w:w="0" w:type="auto"/>
        <w:jc w:val="left"/>
        <w:tblInd w:w="109" w:type="dxa"/>
        <w:tblLayout w:type="fixed"/>
        <w:tblCellMar>
          <w:top w:w="0" w:type="dxa"/>
          <w:left w:w="0" w:type="dxa"/>
          <w:bottom w:w="0" w:type="dxa"/>
          <w:right w:w="0" w:type="dxa"/>
        </w:tblCellMar>
        <w:tblLook w:val="01E0"/>
      </w:tblPr>
      <w:tblGrid>
        <w:gridCol w:w="1997"/>
        <w:gridCol w:w="1562"/>
        <w:gridCol w:w="1417"/>
        <w:gridCol w:w="1560"/>
        <w:gridCol w:w="1714"/>
        <w:gridCol w:w="1358"/>
        <w:gridCol w:w="1361"/>
        <w:gridCol w:w="1359"/>
        <w:gridCol w:w="1579"/>
      </w:tblGrid>
      <w:tr>
        <w:trPr>
          <w:trHeight w:val="365" w:hRule="exact"/>
        </w:trPr>
        <w:tc>
          <w:tcPr>
            <w:tcW w:w="1997"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605" w:right="0"/>
              <w:jc w:val="left"/>
              <w:rPr>
                <w:rFonts w:ascii="宋体" w:hAnsi="宋体" w:cs="宋体" w:eastAsia="宋体" w:hint="default"/>
                <w:sz w:val="16"/>
                <w:szCs w:val="16"/>
              </w:rPr>
            </w:pPr>
            <w:r>
              <w:rPr>
                <w:rFonts w:ascii="宋体" w:hAnsi="宋体" w:cs="宋体" w:eastAsia="宋体" w:hint="default"/>
                <w:sz w:val="16"/>
                <w:szCs w:val="16"/>
              </w:rPr>
              <w:t>子公司名称</w:t>
            </w:r>
          </w:p>
        </w:tc>
        <w:tc>
          <w:tcPr>
            <w:tcW w:w="6253"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46"/>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565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46"/>
              <w:ind w:right="2"/>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353" w:hRule="exact"/>
        </w:trPr>
        <w:tc>
          <w:tcPr>
            <w:tcW w:w="1997" w:type="dxa"/>
            <w:vMerge/>
            <w:tcBorders>
              <w:left w:val="nil" w:sz="6" w:space="0" w:color="auto"/>
              <w:bottom w:val="dotted" w:sz="4" w:space="0" w:color="000000"/>
              <w:right w:val="dotted" w:sz="4" w:space="0" w:color="000000"/>
            </w:tcBorders>
          </w:tcPr>
          <w:p>
            <w:pP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453"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463"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95" w:right="0"/>
              <w:jc w:val="left"/>
              <w:rPr>
                <w:rFonts w:ascii="宋体" w:hAnsi="宋体" w:cs="宋体" w:eastAsia="宋体" w:hint="default"/>
                <w:sz w:val="16"/>
                <w:szCs w:val="16"/>
              </w:rPr>
            </w:pPr>
            <w:r>
              <w:rPr>
                <w:rFonts w:ascii="宋体" w:hAnsi="宋体" w:cs="宋体" w:eastAsia="宋体" w:hint="default"/>
                <w:sz w:val="16"/>
                <w:szCs w:val="16"/>
              </w:rPr>
              <w:t>综合收益总额</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211" w:right="0"/>
              <w:jc w:val="left"/>
              <w:rPr>
                <w:rFonts w:ascii="宋体" w:hAnsi="宋体" w:cs="宋体" w:eastAsia="宋体" w:hint="default"/>
                <w:sz w:val="16"/>
                <w:szCs w:val="16"/>
              </w:rPr>
            </w:pPr>
            <w:r>
              <w:rPr>
                <w:rFonts w:ascii="宋体" w:hAnsi="宋体" w:cs="宋体" w:eastAsia="宋体" w:hint="default"/>
                <w:sz w:val="16"/>
                <w:szCs w:val="16"/>
              </w:rPr>
              <w:t>经营活动现金流量</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352"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434"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3"/>
              <w:ind w:left="194" w:right="0"/>
              <w:jc w:val="left"/>
              <w:rPr>
                <w:rFonts w:ascii="宋体" w:hAnsi="宋体" w:cs="宋体" w:eastAsia="宋体" w:hint="default"/>
                <w:sz w:val="16"/>
                <w:szCs w:val="16"/>
              </w:rPr>
            </w:pPr>
            <w:r>
              <w:rPr>
                <w:rFonts w:ascii="宋体" w:hAnsi="宋体" w:cs="宋体" w:eastAsia="宋体" w:hint="default"/>
                <w:sz w:val="16"/>
                <w:szCs w:val="16"/>
              </w:rPr>
              <w:t>综合收益总额</w:t>
            </w:r>
          </w:p>
        </w:tc>
        <w:tc>
          <w:tcPr>
            <w:tcW w:w="15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3"/>
              <w:ind w:right="146"/>
              <w:jc w:val="right"/>
              <w:rPr>
                <w:rFonts w:ascii="宋体" w:hAnsi="宋体" w:cs="宋体" w:eastAsia="宋体" w:hint="default"/>
                <w:sz w:val="16"/>
                <w:szCs w:val="16"/>
              </w:rPr>
            </w:pPr>
            <w:r>
              <w:rPr>
                <w:rFonts w:ascii="宋体" w:hAnsi="宋体" w:cs="宋体" w:eastAsia="宋体" w:hint="default"/>
                <w:spacing w:val="-1"/>
                <w:sz w:val="16"/>
                <w:szCs w:val="16"/>
              </w:rPr>
              <w:t>经营活动现金流量</w:t>
            </w:r>
          </w:p>
        </w:tc>
      </w:tr>
      <w:tr>
        <w:trPr>
          <w:trHeight w:val="355" w:hRule="exact"/>
        </w:trPr>
        <w:tc>
          <w:tcPr>
            <w:tcW w:w="19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柏怡国际控股有限公司</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1,462,384,936.91</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98"/>
              <w:jc w:val="right"/>
              <w:rPr>
                <w:rFonts w:ascii="Times New Roman" w:hAnsi="Times New Roman" w:cs="Times New Roman" w:eastAsia="Times New Roman" w:hint="default"/>
                <w:sz w:val="16"/>
                <w:szCs w:val="16"/>
              </w:rPr>
            </w:pPr>
            <w:r>
              <w:rPr>
                <w:rFonts w:ascii="Times New Roman"/>
                <w:spacing w:val="-2"/>
                <w:sz w:val="16"/>
              </w:rPr>
              <w:t>65,860,872.34</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64,758,332.90</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2"/>
                <w:sz w:val="16"/>
              </w:rPr>
              <w:t>81,586,336.83</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1,462,131,372.83</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2"/>
                <w:sz w:val="16"/>
              </w:rPr>
              <w:t>60,436,219.97</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2"/>
                <w:sz w:val="16"/>
              </w:rPr>
              <w:t>63,337,145.60</w:t>
            </w:r>
          </w:p>
        </w:tc>
        <w:tc>
          <w:tcPr>
            <w:tcW w:w="15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2"/>
                <w:sz w:val="16"/>
              </w:rPr>
              <w:t>22,240,078.97</w:t>
            </w:r>
          </w:p>
        </w:tc>
      </w:tr>
      <w:tr>
        <w:trPr>
          <w:trHeight w:val="362" w:hRule="exact"/>
        </w:trPr>
        <w:tc>
          <w:tcPr>
            <w:tcW w:w="19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长沙中电软件园有限公司</w:t>
            </w:r>
          </w:p>
        </w:tc>
        <w:tc>
          <w:tcPr>
            <w:tcW w:w="15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Times New Roman"/>
                <w:spacing w:val="-2"/>
                <w:sz w:val="16"/>
              </w:rPr>
              <w:t>118,964,530.67</w:t>
            </w:r>
          </w:p>
        </w:tc>
        <w:tc>
          <w:tcPr>
            <w:tcW w:w="14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2"/>
                <w:sz w:val="16"/>
              </w:rPr>
              <w:t>63,941,085.82</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128,727,925.40</w:t>
            </w:r>
          </w:p>
        </w:tc>
        <w:tc>
          <w:tcPr>
            <w:tcW w:w="17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2"/>
                <w:sz w:val="16"/>
              </w:rPr>
              <w:t>53,205,526.68</w:t>
            </w:r>
          </w:p>
        </w:tc>
        <w:tc>
          <w:tcPr>
            <w:tcW w:w="13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177,354,570.20</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124,469,774.35</w:t>
            </w:r>
          </w:p>
        </w:tc>
        <w:tc>
          <w:tcPr>
            <w:tcW w:w="13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124,469,774.35</w:t>
            </w:r>
          </w:p>
        </w:tc>
        <w:tc>
          <w:tcPr>
            <w:tcW w:w="157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2"/>
                <w:sz w:val="16"/>
              </w:rPr>
              <w:t>47,042,704.56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spacing w:before="44"/>
        <w:ind w:left="6384" w:right="6961" w:firstLine="0"/>
        <w:jc w:val="center"/>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95</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62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9" name="image1.jpeg" descr=""/>
            <wp:cNvGraphicFramePr>
              <a:graphicFrameLocks noChangeAspect="1"/>
            </wp:cNvGraphicFramePr>
            <a:graphic>
              <a:graphicData uri="http://schemas.openxmlformats.org/drawingml/2006/picture">
                <pic:pic>
                  <pic:nvPicPr>
                    <pic:cNvPr id="20" name="image1.jpeg"/>
                    <pic:cNvPicPr/>
                  </pic:nvPicPr>
                  <pic:blipFill>
                    <a:blip r:embed="rId36"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66"/>
          <w:footerReference w:type="default" r:id="rId67"/>
          <w:pgSz w:w="16840" w:h="11910" w:orient="landscape"/>
          <w:pgMar w:header="0" w:footer="0" w:top="780" w:bottom="0" w:left="1160" w:right="580"/>
        </w:sectPr>
      </w:pPr>
    </w:p>
    <w:p>
      <w:pPr>
        <w:spacing w:line="240" w:lineRule="auto" w:before="12"/>
        <w:rPr>
          <w:rFonts w:ascii="宋体" w:hAnsi="宋体" w:cs="宋体" w:eastAsia="宋体" w:hint="default"/>
          <w:sz w:val="22"/>
          <w:szCs w:val="22"/>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在合营安排或联营企业中的权益</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r>
      <w:r>
        <w:rPr>
          <w:spacing w:val="-1"/>
        </w:rPr>
        <w:t>重要的合营企业或联营企业</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1609"/>
        <w:gridCol w:w="890"/>
        <w:gridCol w:w="893"/>
        <w:gridCol w:w="1128"/>
        <w:gridCol w:w="662"/>
        <w:gridCol w:w="677"/>
        <w:gridCol w:w="1342"/>
        <w:gridCol w:w="1133"/>
      </w:tblGrid>
      <w:tr>
        <w:trPr>
          <w:trHeight w:val="283" w:hRule="exact"/>
        </w:trPr>
        <w:tc>
          <w:tcPr>
            <w:tcW w:w="1609" w:type="dxa"/>
            <w:vMerge w:val="restart"/>
            <w:tcBorders>
              <w:top w:val="single" w:sz="12" w:space="0" w:color="000000"/>
              <w:left w:val="nil" w:sz="6" w:space="0" w:color="auto"/>
              <w:right w:val="dotted" w:sz="4" w:space="0" w:color="000000"/>
            </w:tcBorders>
          </w:tcPr>
          <w:p>
            <w:pPr>
              <w:pStyle w:val="TableParagraph"/>
              <w:spacing w:line="206" w:lineRule="exact" w:before="130"/>
              <w:ind w:left="571" w:right="149" w:hanging="401"/>
              <w:jc w:val="left"/>
              <w:rPr>
                <w:rFonts w:ascii="宋体" w:hAnsi="宋体" w:cs="宋体" w:eastAsia="宋体" w:hint="default"/>
                <w:sz w:val="16"/>
                <w:szCs w:val="16"/>
              </w:rPr>
            </w:pPr>
            <w:r>
              <w:rPr>
                <w:rFonts w:ascii="宋体" w:hAnsi="宋体" w:cs="宋体" w:eastAsia="宋体" w:hint="default"/>
                <w:sz w:val="16"/>
                <w:szCs w:val="16"/>
              </w:rPr>
              <w:t>合营企业或联营企</w:t>
            </w:r>
            <w:r>
              <w:rPr>
                <w:rFonts w:ascii="宋体" w:hAnsi="宋体" w:cs="宋体" w:eastAsia="宋体" w:hint="default"/>
                <w:w w:val="100"/>
                <w:sz w:val="16"/>
                <w:szCs w:val="16"/>
              </w:rPr>
              <w:t> </w:t>
            </w:r>
            <w:r>
              <w:rPr>
                <w:rFonts w:ascii="宋体" w:hAnsi="宋体" w:cs="宋体" w:eastAsia="宋体" w:hint="default"/>
                <w:sz w:val="16"/>
                <w:szCs w:val="16"/>
              </w:rPr>
              <w:t>业名称</w:t>
            </w:r>
          </w:p>
        </w:tc>
        <w:tc>
          <w:tcPr>
            <w:tcW w:w="890" w:type="dxa"/>
            <w:vMerge w:val="restart"/>
            <w:tcBorders>
              <w:top w:val="single" w:sz="12" w:space="0" w:color="000000"/>
              <w:left w:val="dotted" w:sz="4" w:space="0" w:color="000000"/>
              <w:right w:val="dotted" w:sz="4" w:space="0" w:color="000000"/>
            </w:tcBorders>
          </w:tcPr>
          <w:p>
            <w:pPr>
              <w:pStyle w:val="TableParagraph"/>
              <w:spacing w:line="206" w:lineRule="exact" w:before="130"/>
              <w:ind w:left="359" w:right="115" w:hanging="240"/>
              <w:jc w:val="left"/>
              <w:rPr>
                <w:rFonts w:ascii="宋体" w:hAnsi="宋体" w:cs="宋体" w:eastAsia="宋体" w:hint="default"/>
                <w:sz w:val="16"/>
                <w:szCs w:val="16"/>
              </w:rPr>
            </w:pPr>
            <w:r>
              <w:rPr>
                <w:rFonts w:ascii="宋体" w:hAnsi="宋体" w:cs="宋体" w:eastAsia="宋体" w:hint="default"/>
                <w:sz w:val="16"/>
                <w:szCs w:val="16"/>
              </w:rPr>
              <w:t>主要经营</w:t>
            </w:r>
            <w:r>
              <w:rPr>
                <w:rFonts w:ascii="宋体" w:hAnsi="宋体" w:cs="宋体" w:eastAsia="宋体" w:hint="default"/>
                <w:spacing w:val="-77"/>
                <w:sz w:val="16"/>
                <w:szCs w:val="16"/>
              </w:rPr>
              <w:t> </w:t>
            </w:r>
            <w:r>
              <w:rPr>
                <w:rFonts w:ascii="宋体" w:hAnsi="宋体" w:cs="宋体" w:eastAsia="宋体" w:hint="default"/>
                <w:sz w:val="16"/>
                <w:szCs w:val="16"/>
              </w:rPr>
              <w:t>地</w:t>
            </w:r>
          </w:p>
        </w:tc>
        <w:tc>
          <w:tcPr>
            <w:tcW w:w="893" w:type="dxa"/>
            <w:vMerge w:val="restart"/>
            <w:tcBorders>
              <w:top w:val="single" w:sz="12" w:space="0" w:color="000000"/>
              <w:left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01"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1128" w:type="dxa"/>
            <w:vMerge w:val="restart"/>
            <w:tcBorders>
              <w:top w:val="single" w:sz="12" w:space="0" w:color="000000"/>
              <w:left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37" w:right="0"/>
              <w:jc w:val="left"/>
              <w:rPr>
                <w:rFonts w:ascii="宋体" w:hAnsi="宋体" w:cs="宋体" w:eastAsia="宋体" w:hint="default"/>
                <w:sz w:val="16"/>
                <w:szCs w:val="16"/>
              </w:rPr>
            </w:pPr>
            <w:r>
              <w:rPr>
                <w:rFonts w:ascii="宋体" w:hAnsi="宋体" w:cs="宋体" w:eastAsia="宋体" w:hint="default"/>
                <w:sz w:val="16"/>
                <w:szCs w:val="16"/>
              </w:rPr>
              <w:t>业务性质</w:t>
            </w:r>
          </w:p>
        </w:tc>
        <w:tc>
          <w:tcPr>
            <w:tcW w:w="133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2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持股比例</w:t>
            </w:r>
            <w:r>
              <w:rPr>
                <w:rFonts w:ascii="Times New Roman" w:hAnsi="Times New Roman" w:cs="Times New Roman" w:eastAsia="Times New Roman" w:hint="default"/>
                <w:sz w:val="16"/>
                <w:szCs w:val="16"/>
              </w:rPr>
              <w:t>(%)</w:t>
            </w:r>
          </w:p>
        </w:tc>
        <w:tc>
          <w:tcPr>
            <w:tcW w:w="1342" w:type="dxa"/>
            <w:vMerge w:val="restart"/>
            <w:tcBorders>
              <w:top w:val="single" w:sz="12" w:space="0" w:color="000000"/>
              <w:left w:val="dotted" w:sz="4" w:space="0" w:color="000000"/>
              <w:right w:val="dotted" w:sz="4" w:space="0" w:color="000000"/>
            </w:tcBorders>
          </w:tcPr>
          <w:p>
            <w:pPr>
              <w:pStyle w:val="TableParagraph"/>
              <w:spacing w:line="237" w:lineRule="auto" w:before="4"/>
              <w:ind w:left="103" w:right="104"/>
              <w:jc w:val="center"/>
              <w:rPr>
                <w:rFonts w:ascii="宋体" w:hAnsi="宋体" w:cs="宋体" w:eastAsia="宋体" w:hint="default"/>
                <w:sz w:val="16"/>
                <w:szCs w:val="16"/>
              </w:rPr>
            </w:pPr>
            <w:r>
              <w:rPr>
                <w:rFonts w:ascii="宋体" w:hAnsi="宋体" w:cs="宋体" w:eastAsia="宋体" w:hint="default"/>
                <w:sz w:val="16"/>
                <w:szCs w:val="16"/>
              </w:rPr>
              <w:t>对合营企业或联</w:t>
            </w:r>
            <w:r>
              <w:rPr>
                <w:rFonts w:ascii="宋体" w:hAnsi="宋体" w:cs="宋体" w:eastAsia="宋体" w:hint="default"/>
                <w:w w:val="100"/>
                <w:sz w:val="16"/>
                <w:szCs w:val="16"/>
              </w:rPr>
              <w:t> </w:t>
            </w:r>
            <w:r>
              <w:rPr>
                <w:rFonts w:ascii="宋体" w:hAnsi="宋体" w:cs="宋体" w:eastAsia="宋体" w:hint="default"/>
                <w:sz w:val="16"/>
                <w:szCs w:val="16"/>
              </w:rPr>
              <w:t>营企业投资的会</w:t>
            </w:r>
            <w:r>
              <w:rPr>
                <w:rFonts w:ascii="宋体" w:hAnsi="宋体" w:cs="宋体" w:eastAsia="宋体" w:hint="default"/>
                <w:w w:val="100"/>
                <w:sz w:val="16"/>
                <w:szCs w:val="16"/>
              </w:rPr>
              <w:t> </w:t>
            </w:r>
            <w:r>
              <w:rPr>
                <w:rFonts w:ascii="宋体" w:hAnsi="宋体" w:cs="宋体" w:eastAsia="宋体" w:hint="default"/>
                <w:sz w:val="16"/>
                <w:szCs w:val="16"/>
              </w:rPr>
              <w:t>计处理方法</w:t>
            </w:r>
          </w:p>
        </w:tc>
        <w:tc>
          <w:tcPr>
            <w:tcW w:w="1133" w:type="dxa"/>
            <w:vMerge w:val="restart"/>
            <w:tcBorders>
              <w:top w:val="single" w:sz="12" w:space="0" w:color="000000"/>
              <w:left w:val="dotted" w:sz="4" w:space="0" w:color="000000"/>
              <w:right w:val="nil" w:sz="6" w:space="0" w:color="auto"/>
            </w:tcBorders>
          </w:tcPr>
          <w:p>
            <w:pPr>
              <w:pStyle w:val="TableParagraph"/>
              <w:spacing w:line="237" w:lineRule="auto" w:before="4"/>
              <w:ind w:left="160" w:right="163"/>
              <w:jc w:val="center"/>
              <w:rPr>
                <w:rFonts w:ascii="宋体" w:hAnsi="宋体" w:cs="宋体" w:eastAsia="宋体" w:hint="default"/>
                <w:sz w:val="16"/>
                <w:szCs w:val="16"/>
              </w:rPr>
            </w:pPr>
            <w:r>
              <w:rPr>
                <w:rFonts w:ascii="宋体" w:hAnsi="宋体" w:cs="宋体" w:eastAsia="宋体" w:hint="default"/>
                <w:spacing w:val="-1"/>
                <w:sz w:val="16"/>
                <w:szCs w:val="16"/>
              </w:rPr>
              <w:t>对本公司活</w:t>
            </w:r>
            <w:r>
              <w:rPr>
                <w:rFonts w:ascii="宋体" w:hAnsi="宋体" w:cs="宋体" w:eastAsia="宋体" w:hint="default"/>
                <w:w w:val="100"/>
                <w:sz w:val="16"/>
                <w:szCs w:val="16"/>
              </w:rPr>
              <w:t> </w:t>
            </w:r>
            <w:r>
              <w:rPr>
                <w:rFonts w:ascii="宋体" w:hAnsi="宋体" w:cs="宋体" w:eastAsia="宋体" w:hint="default"/>
                <w:spacing w:val="-1"/>
                <w:sz w:val="16"/>
                <w:szCs w:val="16"/>
              </w:rPr>
              <w:t>动是否具有</w:t>
            </w:r>
            <w:r>
              <w:rPr>
                <w:rFonts w:ascii="宋体" w:hAnsi="宋体" w:cs="宋体" w:eastAsia="宋体" w:hint="default"/>
                <w:w w:val="100"/>
                <w:sz w:val="16"/>
                <w:szCs w:val="16"/>
              </w:rPr>
              <w:t> </w:t>
            </w:r>
            <w:r>
              <w:rPr>
                <w:rFonts w:ascii="宋体" w:hAnsi="宋体" w:cs="宋体" w:eastAsia="宋体" w:hint="default"/>
                <w:sz w:val="16"/>
                <w:szCs w:val="16"/>
              </w:rPr>
              <w:t>战略性</w:t>
            </w:r>
          </w:p>
        </w:tc>
      </w:tr>
      <w:tr>
        <w:trPr>
          <w:trHeight w:val="415" w:hRule="exact"/>
        </w:trPr>
        <w:tc>
          <w:tcPr>
            <w:tcW w:w="1609" w:type="dxa"/>
            <w:vMerge/>
            <w:tcBorders>
              <w:left w:val="nil" w:sz="6" w:space="0" w:color="auto"/>
              <w:bottom w:val="dotted" w:sz="4" w:space="0" w:color="000000"/>
              <w:right w:val="dotted" w:sz="4" w:space="0" w:color="000000"/>
            </w:tcBorders>
          </w:tcPr>
          <w:p>
            <w:pPr/>
          </w:p>
        </w:tc>
        <w:tc>
          <w:tcPr>
            <w:tcW w:w="890" w:type="dxa"/>
            <w:vMerge/>
            <w:tcBorders>
              <w:left w:val="dotted" w:sz="4" w:space="0" w:color="000000"/>
              <w:bottom w:val="dotted" w:sz="4" w:space="0" w:color="000000"/>
              <w:right w:val="dotted" w:sz="4" w:space="0" w:color="000000"/>
            </w:tcBorders>
          </w:tcPr>
          <w:p>
            <w:pPr/>
          </w:p>
        </w:tc>
        <w:tc>
          <w:tcPr>
            <w:tcW w:w="893" w:type="dxa"/>
            <w:vMerge/>
            <w:tcBorders>
              <w:left w:val="dotted" w:sz="4" w:space="0" w:color="000000"/>
              <w:bottom w:val="dotted" w:sz="4" w:space="0" w:color="000000"/>
              <w:right w:val="dotted" w:sz="4" w:space="0" w:color="000000"/>
            </w:tcBorders>
          </w:tcPr>
          <w:p>
            <w:pPr/>
          </w:p>
        </w:tc>
        <w:tc>
          <w:tcPr>
            <w:tcW w:w="1128" w:type="dxa"/>
            <w:vMerge/>
            <w:tcBorders>
              <w:left w:val="dotted" w:sz="4" w:space="0" w:color="000000"/>
              <w:bottom w:val="dotted" w:sz="4" w:space="0" w:color="000000"/>
              <w:right w:val="dotted" w:sz="4" w:space="0" w:color="000000"/>
            </w:tcBorders>
          </w:tcPr>
          <w:p>
            <w:pPr/>
          </w:p>
        </w:tc>
        <w:tc>
          <w:tcPr>
            <w:tcW w:w="6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63"/>
              <w:jc w:val="right"/>
              <w:rPr>
                <w:rFonts w:ascii="宋体" w:hAnsi="宋体" w:cs="宋体" w:eastAsia="宋体" w:hint="default"/>
                <w:sz w:val="16"/>
                <w:szCs w:val="16"/>
              </w:rPr>
            </w:pPr>
            <w:r>
              <w:rPr>
                <w:rFonts w:ascii="宋体" w:hAnsi="宋体" w:cs="宋体" w:eastAsia="宋体" w:hint="default"/>
                <w:sz w:val="16"/>
                <w:szCs w:val="16"/>
              </w:rPr>
              <w:t>直接</w:t>
            </w: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172" w:right="0"/>
              <w:jc w:val="left"/>
              <w:rPr>
                <w:rFonts w:ascii="宋体" w:hAnsi="宋体" w:cs="宋体" w:eastAsia="宋体" w:hint="default"/>
                <w:sz w:val="16"/>
                <w:szCs w:val="16"/>
              </w:rPr>
            </w:pPr>
            <w:r>
              <w:rPr>
                <w:rFonts w:ascii="宋体" w:hAnsi="宋体" w:cs="宋体" w:eastAsia="宋体" w:hint="default"/>
                <w:sz w:val="16"/>
                <w:szCs w:val="16"/>
              </w:rPr>
              <w:t>间接</w:t>
            </w:r>
          </w:p>
        </w:tc>
        <w:tc>
          <w:tcPr>
            <w:tcW w:w="1342" w:type="dxa"/>
            <w:vMerge/>
            <w:tcBorders>
              <w:left w:val="dotted" w:sz="4" w:space="0" w:color="000000"/>
              <w:bottom w:val="dotted" w:sz="4" w:space="0" w:color="000000"/>
              <w:right w:val="dotted" w:sz="4" w:space="0" w:color="000000"/>
            </w:tcBorders>
          </w:tcPr>
          <w:p>
            <w:pPr/>
          </w:p>
        </w:tc>
        <w:tc>
          <w:tcPr>
            <w:tcW w:w="1133" w:type="dxa"/>
            <w:vMerge/>
            <w:tcBorders>
              <w:left w:val="dotted" w:sz="4" w:space="0" w:color="000000"/>
              <w:bottom w:val="dotted" w:sz="4" w:space="0" w:color="000000"/>
              <w:right w:val="nil" w:sz="6" w:space="0" w:color="auto"/>
            </w:tcBorders>
          </w:tcPr>
          <w:p>
            <w:pPr/>
          </w:p>
        </w:tc>
      </w:tr>
      <w:tr>
        <w:trPr>
          <w:trHeight w:val="482" w:hRule="exact"/>
        </w:trPr>
        <w:tc>
          <w:tcPr>
            <w:tcW w:w="16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197"/>
              <w:jc w:val="left"/>
              <w:rPr>
                <w:rFonts w:ascii="宋体" w:hAnsi="宋体" w:cs="宋体" w:eastAsia="宋体" w:hint="default"/>
                <w:sz w:val="16"/>
                <w:szCs w:val="16"/>
              </w:rPr>
            </w:pPr>
            <w:r>
              <w:rPr>
                <w:rFonts w:ascii="宋体" w:hAnsi="宋体" w:cs="宋体" w:eastAsia="宋体" w:hint="default"/>
                <w:sz w:val="16"/>
                <w:szCs w:val="16"/>
              </w:rPr>
              <w:t>天津飞腾信息技术</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天津市</w:t>
            </w:r>
          </w:p>
        </w:tc>
        <w:tc>
          <w:tcPr>
            <w:tcW w:w="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天津市</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212"/>
              <w:jc w:val="left"/>
              <w:rPr>
                <w:rFonts w:ascii="宋体" w:hAnsi="宋体" w:cs="宋体" w:eastAsia="宋体" w:hint="default"/>
                <w:sz w:val="16"/>
                <w:szCs w:val="16"/>
              </w:rPr>
            </w:pPr>
            <w:r>
              <w:rPr>
                <w:rFonts w:ascii="宋体" w:hAnsi="宋体" w:cs="宋体" w:eastAsia="宋体" w:hint="default"/>
                <w:sz w:val="16"/>
                <w:szCs w:val="16"/>
              </w:rPr>
              <w:t>专业技术服</w:t>
            </w:r>
            <w:r>
              <w:rPr>
                <w:rFonts w:ascii="宋体" w:hAnsi="宋体" w:cs="宋体" w:eastAsia="宋体" w:hint="default"/>
                <w:w w:val="100"/>
                <w:sz w:val="16"/>
                <w:szCs w:val="16"/>
              </w:rPr>
              <w:t> </w:t>
            </w:r>
            <w:r>
              <w:rPr>
                <w:rFonts w:ascii="宋体" w:hAnsi="宋体" w:cs="宋体" w:eastAsia="宋体" w:hint="default"/>
                <w:sz w:val="16"/>
                <w:szCs w:val="16"/>
              </w:rPr>
              <w:t>务业</w:t>
            </w:r>
          </w:p>
        </w:tc>
        <w:tc>
          <w:tcPr>
            <w:tcW w:w="6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31.50</w:t>
            </w:r>
          </w:p>
        </w:tc>
        <w:tc>
          <w:tcPr>
            <w:tcW w:w="67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423"/>
              <w:jc w:val="right"/>
              <w:rPr>
                <w:rFonts w:ascii="宋体" w:hAnsi="宋体" w:cs="宋体" w:eastAsia="宋体" w:hint="default"/>
                <w:sz w:val="16"/>
                <w:szCs w:val="16"/>
              </w:rPr>
            </w:pPr>
            <w:r>
              <w:rPr>
                <w:rFonts w:ascii="宋体" w:hAnsi="宋体" w:cs="宋体" w:eastAsia="宋体" w:hint="default"/>
                <w:sz w:val="16"/>
                <w:szCs w:val="16"/>
              </w:rPr>
              <w:t>权益法</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w w:val="100"/>
                <w:sz w:val="16"/>
                <w:szCs w:val="16"/>
              </w:rPr>
              <w:t>是</w:t>
            </w:r>
          </w:p>
        </w:tc>
      </w:tr>
      <w:tr>
        <w:trPr>
          <w:trHeight w:val="492" w:hRule="exact"/>
        </w:trPr>
        <w:tc>
          <w:tcPr>
            <w:tcW w:w="1609" w:type="dxa"/>
            <w:tcBorders>
              <w:top w:val="dotted" w:sz="4" w:space="0" w:color="000000"/>
              <w:left w:val="nil" w:sz="6" w:space="0" w:color="auto"/>
              <w:bottom w:val="single" w:sz="12" w:space="0" w:color="000000"/>
              <w:right w:val="dotted" w:sz="4" w:space="0" w:color="000000"/>
            </w:tcBorders>
          </w:tcPr>
          <w:p>
            <w:pPr>
              <w:pStyle w:val="TableParagraph"/>
              <w:spacing w:line="206" w:lineRule="exact" w:before="25"/>
              <w:ind w:left="122" w:right="99"/>
              <w:jc w:val="left"/>
              <w:rPr>
                <w:rFonts w:ascii="宋体" w:hAnsi="宋体" w:cs="宋体" w:eastAsia="宋体" w:hint="default"/>
                <w:sz w:val="16"/>
                <w:szCs w:val="16"/>
              </w:rPr>
            </w:pPr>
            <w:r>
              <w:rPr>
                <w:rFonts w:ascii="宋体" w:hAnsi="宋体" w:cs="宋体" w:eastAsia="宋体" w:hint="default"/>
                <w:spacing w:val="-8"/>
                <w:sz w:val="16"/>
                <w:szCs w:val="16"/>
              </w:rPr>
              <w:t>长城超云（北京）科</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z w:val="16"/>
                <w:szCs w:val="16"/>
              </w:rPr>
              <w:t>技有限公司</w:t>
            </w:r>
          </w:p>
        </w:tc>
        <w:tc>
          <w:tcPr>
            <w:tcW w:w="8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北京市</w:t>
            </w:r>
          </w:p>
        </w:tc>
        <w:tc>
          <w:tcPr>
            <w:tcW w:w="8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北京市</w:t>
            </w:r>
          </w:p>
        </w:tc>
        <w:tc>
          <w:tcPr>
            <w:tcW w:w="1128" w:type="dxa"/>
            <w:tcBorders>
              <w:top w:val="dotted" w:sz="4" w:space="0" w:color="000000"/>
              <w:left w:val="dotted" w:sz="4" w:space="0" w:color="000000"/>
              <w:bottom w:val="single" w:sz="12" w:space="0" w:color="000000"/>
              <w:right w:val="dotted" w:sz="4" w:space="0" w:color="000000"/>
            </w:tcBorders>
          </w:tcPr>
          <w:p>
            <w:pPr>
              <w:pStyle w:val="TableParagraph"/>
              <w:spacing w:line="206" w:lineRule="exact" w:before="25"/>
              <w:ind w:left="103" w:right="212"/>
              <w:jc w:val="left"/>
              <w:rPr>
                <w:rFonts w:ascii="宋体" w:hAnsi="宋体" w:cs="宋体" w:eastAsia="宋体" w:hint="default"/>
                <w:sz w:val="16"/>
                <w:szCs w:val="16"/>
              </w:rPr>
            </w:pPr>
            <w:r>
              <w:rPr>
                <w:rFonts w:ascii="宋体" w:hAnsi="宋体" w:cs="宋体" w:eastAsia="宋体" w:hint="default"/>
                <w:sz w:val="16"/>
                <w:szCs w:val="16"/>
              </w:rPr>
              <w:t>科技推广和</w:t>
            </w:r>
            <w:r>
              <w:rPr>
                <w:rFonts w:ascii="宋体" w:hAnsi="宋体" w:cs="宋体" w:eastAsia="宋体" w:hint="default"/>
                <w:w w:val="100"/>
                <w:sz w:val="16"/>
                <w:szCs w:val="16"/>
              </w:rPr>
              <w:t> </w:t>
            </w:r>
            <w:r>
              <w:rPr>
                <w:rFonts w:ascii="宋体" w:hAnsi="宋体" w:cs="宋体" w:eastAsia="宋体" w:hint="default"/>
                <w:sz w:val="16"/>
                <w:szCs w:val="16"/>
              </w:rPr>
              <w:t>应用服务业</w:t>
            </w:r>
          </w:p>
        </w:tc>
        <w:tc>
          <w:tcPr>
            <w:tcW w:w="6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44.00</w:t>
            </w:r>
          </w:p>
        </w:tc>
        <w:tc>
          <w:tcPr>
            <w:tcW w:w="677"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right="423"/>
              <w:jc w:val="right"/>
              <w:rPr>
                <w:rFonts w:ascii="宋体" w:hAnsi="宋体" w:cs="宋体" w:eastAsia="宋体" w:hint="default"/>
                <w:sz w:val="16"/>
                <w:szCs w:val="16"/>
              </w:rPr>
            </w:pPr>
            <w:r>
              <w:rPr>
                <w:rFonts w:ascii="宋体" w:hAnsi="宋体" w:cs="宋体" w:eastAsia="宋体" w:hint="default"/>
                <w:sz w:val="16"/>
                <w:szCs w:val="16"/>
              </w:rPr>
              <w:t>权益法</w:t>
            </w: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bl>
    <w:p>
      <w:pPr>
        <w:pStyle w:val="BodyText"/>
        <w:spacing w:line="314" w:lineRule="auto" w:before="69"/>
        <w:ind w:right="1786"/>
        <w:jc w:val="both"/>
      </w:pPr>
      <w:r>
        <w:rPr>
          <w:spacing w:val="-5"/>
        </w:rPr>
        <w:t>说明：为充分利用集团内部资源推进自主安全业务专业化的整合，进一步充实</w:t>
      </w:r>
      <w:r>
        <w:rPr>
          <w:spacing w:val="-47"/>
        </w:rPr>
        <w:t> </w:t>
      </w:r>
      <w:r>
        <w:rPr>
          <w:spacing w:val="-47"/>
        </w:rPr>
      </w:r>
      <w:r>
        <w:rPr>
          <w:spacing w:val="-5"/>
        </w:rPr>
        <w:t>核心关键技术、完善业务结构和优化产业链，提升公司在自主安全生态体系建</w:t>
      </w:r>
      <w:r>
        <w:rPr>
          <w:spacing w:val="-47"/>
        </w:rPr>
        <w:t> </w:t>
      </w:r>
      <w:r>
        <w:rPr>
          <w:spacing w:val="-47"/>
        </w:rPr>
      </w:r>
      <w:r>
        <w:rPr>
          <w:spacing w:val="-8"/>
          <w:w w:val="100"/>
        </w:rPr>
        <w:t>设中的整体实力和核心竞争力，经</w:t>
      </w:r>
      <w:r>
        <w:rPr>
          <w:spacing w:val="-51"/>
          <w:w w:val="100"/>
        </w:rPr>
        <w:t> </w:t>
      </w:r>
      <w:r>
        <w:rPr>
          <w:rFonts w:ascii="Times New Roman" w:hAnsi="Times New Roman" w:cs="Times New Roman" w:eastAsia="Times New Roman" w:hint="default"/>
          <w:spacing w:val="-1"/>
          <w:w w:val="100"/>
        </w:rPr>
        <w:t>2019 </w:t>
      </w:r>
      <w:r>
        <w:rPr>
          <w:w w:val="100"/>
        </w:rPr>
        <w:t>年</w:t>
      </w:r>
      <w:r>
        <w:rPr>
          <w:spacing w:val="-53"/>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26</w:t>
      </w:r>
      <w:r>
        <w:rPr>
          <w:rFonts w:ascii="Times New Roman" w:hAnsi="Times New Roman" w:cs="Times New Roman" w:eastAsia="Times New Roman" w:hint="default"/>
          <w:spacing w:val="-2"/>
          <w:w w:val="100"/>
        </w:rPr>
        <w:t> </w:t>
      </w:r>
      <w:r>
        <w:rPr>
          <w:spacing w:val="-2"/>
          <w:w w:val="100"/>
        </w:rPr>
        <w:t>日公司第七届董事会第二十</w:t>
      </w:r>
    </w:p>
    <w:p>
      <w:pPr>
        <w:pStyle w:val="BodyText"/>
        <w:spacing w:line="302" w:lineRule="auto" w:before="0"/>
        <w:ind w:right="1468"/>
        <w:jc w:val="left"/>
      </w:pPr>
      <w:r>
        <w:rPr/>
        <w:t>二次会议、</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9 </w:t>
      </w:r>
      <w:r>
        <w:rPr/>
        <w:t>月</w:t>
      </w:r>
      <w:r>
        <w:rPr>
          <w:spacing w:val="-53"/>
        </w:rPr>
        <w:t> </w:t>
      </w:r>
      <w:r>
        <w:rPr>
          <w:rFonts w:ascii="Times New Roman" w:hAnsi="Times New Roman" w:cs="Times New Roman" w:eastAsia="Times New Roman" w:hint="default"/>
        </w:rPr>
        <w:t>12 </w:t>
      </w:r>
      <w:r>
        <w:rPr/>
        <w:t>日公司</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年度第三次临时股东大会审议，同意</w:t>
      </w:r>
      <w:r>
        <w:rPr>
          <w:w w:val="100"/>
        </w:rPr>
        <w:t> </w:t>
      </w:r>
      <w:r>
        <w:rPr/>
        <w:t>公司向华大半导体有限公司收购其所持有的天津飞腾</w:t>
      </w:r>
      <w:r>
        <w:rPr>
          <w:spacing w:val="-54"/>
        </w:rPr>
        <w:t> </w:t>
      </w:r>
      <w:r>
        <w:rPr>
          <w:rFonts w:ascii="Times New Roman" w:hAnsi="Times New Roman" w:cs="Times New Roman" w:eastAsia="Times New Roman" w:hint="default"/>
        </w:rPr>
        <w:t>13.54%</w:t>
      </w:r>
      <w:r>
        <w:rPr/>
        <w:t>股权、向中国振</w:t>
      </w:r>
      <w:r>
        <w:rPr>
          <w:w w:val="100"/>
        </w:rPr>
        <w:t> </w:t>
      </w:r>
      <w:r>
        <w:rPr/>
        <w:t>华电子集团有限公司收购其所持有的天津飞腾</w:t>
      </w:r>
      <w:r>
        <w:rPr>
          <w:spacing w:val="-54"/>
        </w:rPr>
        <w:t> </w:t>
      </w:r>
      <w:r>
        <w:rPr>
          <w:rFonts w:ascii="Times New Roman" w:hAnsi="Times New Roman" w:cs="Times New Roman" w:eastAsia="Times New Roman" w:hint="default"/>
        </w:rPr>
        <w:t>21.46%</w:t>
      </w:r>
      <w:r>
        <w:rPr/>
        <w:t>股权并签署相应的《股</w:t>
      </w:r>
      <w:r>
        <w:rPr>
          <w:w w:val="100"/>
        </w:rPr>
        <w:t> </w:t>
      </w:r>
      <w:r>
        <w:rPr>
          <w:spacing w:val="-8"/>
          <w:w w:val="100"/>
        </w:rPr>
        <w:t>权转让合同书》。报告期内，收购事项完成；其后天津飞腾实施股权激励方案，</w:t>
      </w:r>
      <w:r>
        <w:rPr>
          <w:spacing w:val="-84"/>
          <w:w w:val="100"/>
        </w:rPr>
        <w:t> </w:t>
      </w:r>
      <w:r>
        <w:rPr>
          <w:spacing w:val="-84"/>
          <w:w w:val="100"/>
        </w:rPr>
      </w:r>
      <w:r>
        <w:rPr/>
        <w:t>通过增资引入员工持股平台，公司持股比例由原</w:t>
      </w:r>
      <w:r>
        <w:rPr>
          <w:spacing w:val="-53"/>
        </w:rPr>
        <w:t> </w:t>
      </w:r>
      <w:r>
        <w:rPr>
          <w:rFonts w:ascii="Times New Roman" w:hAnsi="Times New Roman" w:cs="Times New Roman" w:eastAsia="Times New Roman" w:hint="default"/>
        </w:rPr>
        <w:t>35%</w:t>
      </w:r>
      <w:r>
        <w:rPr/>
        <w:t>下降至</w:t>
      </w:r>
      <w:r>
        <w:rPr>
          <w:spacing w:val="-54"/>
        </w:rPr>
        <w:t> </w:t>
      </w:r>
      <w:r>
        <w:rPr>
          <w:rFonts w:ascii="Times New Roman" w:hAnsi="Times New Roman" w:cs="Times New Roman" w:eastAsia="Times New Roman" w:hint="default"/>
        </w:rPr>
        <w:t>31.50%</w:t>
      </w:r>
      <w:r>
        <w:rPr/>
        <w:t>。</w:t>
      </w:r>
      <w:r>
        <w:rPr>
          <w:w w:val="100"/>
        </w:rPr>
        <w:t> </w:t>
      </w:r>
      <w:r>
        <w:rPr>
          <w:spacing w:val="-5"/>
          <w:w w:val="100"/>
        </w:rPr>
        <w:t>公司承继中国振华电子集团有限公司、华大半导体有限公司原在天津飞腾的表</w:t>
      </w:r>
      <w:r>
        <w:rPr>
          <w:spacing w:val="-85"/>
          <w:w w:val="100"/>
        </w:rPr>
        <w:t> </w:t>
      </w:r>
      <w:r>
        <w:rPr>
          <w:spacing w:val="-85"/>
          <w:w w:val="100"/>
        </w:rPr>
      </w:r>
      <w:r>
        <w:rPr/>
        <w:t>决权比例合计</w:t>
      </w:r>
      <w:r>
        <w:rPr>
          <w:spacing w:val="-54"/>
        </w:rPr>
        <w:t> </w:t>
      </w:r>
      <w:r>
        <w:rPr>
          <w:rFonts w:ascii="Times New Roman" w:hAnsi="Times New Roman" w:cs="Times New Roman" w:eastAsia="Times New Roman" w:hint="default"/>
        </w:rPr>
        <w:t>26.20%</w:t>
      </w:r>
      <w:r>
        <w:rPr/>
        <w:t>；天津飞腾员工持股平台不具有表决权。</w:t>
      </w:r>
    </w:p>
    <w:p>
      <w:pPr>
        <w:pStyle w:val="Heading5"/>
        <w:tabs>
          <w:tab w:pos="1397" w:val="left" w:leader="none"/>
        </w:tabs>
        <w:spacing w:line="240" w:lineRule="auto" w:before="47"/>
        <w:ind w:left="846" w:right="3683"/>
        <w:jc w:val="left"/>
        <w:rPr>
          <w:b w:val="0"/>
          <w:bCs w:val="0"/>
        </w:rPr>
      </w:pPr>
      <w:r>
        <w:rPr>
          <w:rFonts w:ascii="Times New Roman" w:hAnsi="Times New Roman" w:cs="Times New Roman" w:eastAsia="Times New Roman" w:hint="default"/>
        </w:rPr>
        <w:t>2</w:t>
      </w:r>
      <w:r>
        <w:rPr/>
        <w:t>、</w:t>
        <w:tab/>
      </w:r>
      <w:r>
        <w:rPr>
          <w:spacing w:val="-1"/>
        </w:rPr>
        <w:t>重要联营企业的主要财务信息</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509"/>
        <w:gridCol w:w="1640"/>
        <w:gridCol w:w="1459"/>
        <w:gridCol w:w="1681"/>
        <w:gridCol w:w="1375"/>
      </w:tblGrid>
      <w:tr>
        <w:trPr>
          <w:trHeight w:val="286" w:hRule="exact"/>
        </w:trPr>
        <w:tc>
          <w:tcPr>
            <w:tcW w:w="2509" w:type="dxa"/>
            <w:vMerge w:val="restart"/>
            <w:tcBorders>
              <w:top w:val="single" w:sz="12" w:space="0" w:color="000000"/>
              <w:left w:val="nil" w:sz="6" w:space="0" w:color="auto"/>
              <w:right w:val="dotted" w:sz="4" w:space="0" w:color="000000"/>
            </w:tcBorders>
          </w:tcPr>
          <w:p>
            <w:pPr/>
          </w:p>
        </w:tc>
        <w:tc>
          <w:tcPr>
            <w:tcW w:w="309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880" w:right="0"/>
              <w:jc w:val="left"/>
              <w:rPr>
                <w:rFonts w:ascii="宋体" w:hAnsi="宋体" w:cs="宋体" w:eastAsia="宋体" w:hint="default"/>
                <w:sz w:val="16"/>
                <w:szCs w:val="16"/>
              </w:rPr>
            </w:pPr>
            <w:r>
              <w:rPr>
                <w:rFonts w:ascii="宋体" w:hAnsi="宋体" w:cs="宋体" w:eastAsia="宋体" w:hint="default"/>
                <w:sz w:val="16"/>
                <w:szCs w:val="16"/>
              </w:rPr>
              <w:t>期末余额</w:t>
            </w:r>
            <w:r>
              <w:rPr>
                <w:rFonts w:ascii="Times New Roman" w:hAnsi="Times New Roman" w:cs="Times New Roman" w:eastAsia="Times New Roman" w:hint="default"/>
                <w:sz w:val="16"/>
                <w:szCs w:val="16"/>
              </w:rPr>
              <w:t>/</w:t>
            </w:r>
            <w:r>
              <w:rPr>
                <w:rFonts w:ascii="宋体" w:hAnsi="宋体" w:cs="宋体" w:eastAsia="宋体" w:hint="default"/>
                <w:sz w:val="16"/>
                <w:szCs w:val="16"/>
              </w:rPr>
              <w:t>本期金额</w:t>
            </w:r>
          </w:p>
        </w:tc>
        <w:tc>
          <w:tcPr>
            <w:tcW w:w="3056"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00" w:right="0"/>
              <w:jc w:val="left"/>
              <w:rPr>
                <w:rFonts w:ascii="宋体" w:hAnsi="宋体" w:cs="宋体" w:eastAsia="宋体" w:hint="default"/>
                <w:sz w:val="16"/>
                <w:szCs w:val="16"/>
              </w:rPr>
            </w:pPr>
            <w:r>
              <w:rPr>
                <w:rFonts w:ascii="宋体" w:hAnsi="宋体" w:cs="宋体" w:eastAsia="宋体" w:hint="default"/>
                <w:sz w:val="16"/>
                <w:szCs w:val="16"/>
              </w:rPr>
              <w:t>上年年末余额</w:t>
            </w:r>
            <w:r>
              <w:rPr>
                <w:rFonts w:ascii="Times New Roman" w:hAnsi="Times New Roman" w:cs="Times New Roman" w:eastAsia="Times New Roman" w:hint="default"/>
                <w:sz w:val="16"/>
                <w:szCs w:val="16"/>
              </w:rPr>
              <w:t>/</w:t>
            </w:r>
            <w:r>
              <w:rPr>
                <w:rFonts w:ascii="宋体" w:hAnsi="宋体" w:cs="宋体" w:eastAsia="宋体" w:hint="default"/>
                <w:sz w:val="16"/>
                <w:szCs w:val="16"/>
              </w:rPr>
              <w:t>上期金额</w:t>
            </w:r>
          </w:p>
        </w:tc>
      </w:tr>
      <w:tr>
        <w:trPr>
          <w:trHeight w:val="480" w:hRule="exact"/>
        </w:trPr>
        <w:tc>
          <w:tcPr>
            <w:tcW w:w="2509" w:type="dxa"/>
            <w:vMerge/>
            <w:tcBorders>
              <w:left w:val="nil" w:sz="6" w:space="0" w:color="auto"/>
              <w:bottom w:val="dotted" w:sz="4" w:space="0" w:color="000000"/>
              <w:right w:val="dotted" w:sz="4" w:space="0" w:color="000000"/>
            </w:tcBorders>
          </w:tcPr>
          <w:p>
            <w:pP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494" w:right="171" w:hanging="320"/>
              <w:jc w:val="left"/>
              <w:rPr>
                <w:rFonts w:ascii="宋体" w:hAnsi="宋体" w:cs="宋体" w:eastAsia="宋体" w:hint="default"/>
                <w:sz w:val="16"/>
                <w:szCs w:val="16"/>
              </w:rPr>
            </w:pPr>
            <w:r>
              <w:rPr>
                <w:rFonts w:ascii="宋体" w:hAnsi="宋体" w:cs="宋体" w:eastAsia="宋体" w:hint="default"/>
                <w:sz w:val="16"/>
                <w:szCs w:val="16"/>
              </w:rPr>
              <w:t>天津飞腾信息技术</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242" w:right="62" w:hanging="142"/>
              <w:jc w:val="left"/>
              <w:rPr>
                <w:rFonts w:ascii="宋体" w:hAnsi="宋体" w:cs="宋体" w:eastAsia="宋体" w:hint="default"/>
                <w:sz w:val="16"/>
                <w:szCs w:val="16"/>
              </w:rPr>
            </w:pPr>
            <w:r>
              <w:rPr>
                <w:rFonts w:ascii="宋体" w:hAnsi="宋体" w:cs="宋体" w:eastAsia="宋体" w:hint="default"/>
                <w:sz w:val="16"/>
                <w:szCs w:val="16"/>
              </w:rPr>
              <w:t>长城超云（北京）</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科技有限公司</w:t>
            </w:r>
          </w:p>
        </w:tc>
        <w:tc>
          <w:tcPr>
            <w:tcW w:w="1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595" w:right="111" w:hanging="480"/>
              <w:jc w:val="left"/>
              <w:rPr>
                <w:rFonts w:ascii="宋体" w:hAnsi="宋体" w:cs="宋体" w:eastAsia="宋体" w:hint="default"/>
                <w:sz w:val="16"/>
                <w:szCs w:val="16"/>
              </w:rPr>
            </w:pPr>
            <w:r>
              <w:rPr>
                <w:rFonts w:ascii="宋体" w:hAnsi="宋体" w:cs="宋体" w:eastAsia="宋体" w:hint="default"/>
                <w:sz w:val="16"/>
                <w:szCs w:val="16"/>
              </w:rPr>
              <w:t>天津飞腾信息技术有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left="201" w:right="24" w:hanging="99"/>
              <w:jc w:val="left"/>
              <w:rPr>
                <w:rFonts w:ascii="宋体" w:hAnsi="宋体" w:cs="宋体" w:eastAsia="宋体" w:hint="default"/>
                <w:sz w:val="16"/>
                <w:szCs w:val="16"/>
              </w:rPr>
            </w:pPr>
            <w:r>
              <w:rPr>
                <w:rFonts w:ascii="宋体" w:hAnsi="宋体" w:cs="宋体" w:eastAsia="宋体" w:hint="default"/>
                <w:spacing w:val="-6"/>
                <w:sz w:val="16"/>
                <w:szCs w:val="16"/>
              </w:rPr>
              <w:t>长城超云（北京）</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科技有限公司</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405" w:right="0"/>
              <w:jc w:val="left"/>
              <w:rPr>
                <w:rFonts w:ascii="Times New Roman" w:hAnsi="Times New Roman" w:cs="Times New Roman" w:eastAsia="Times New Roman" w:hint="default"/>
                <w:sz w:val="16"/>
                <w:szCs w:val="16"/>
              </w:rPr>
            </w:pPr>
            <w:r>
              <w:rPr>
                <w:rFonts w:ascii="Times New Roman"/>
                <w:sz w:val="16"/>
              </w:rPr>
              <w:t>1,131,489,815.51</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517,066,835.28</w:t>
            </w:r>
          </w:p>
        </w:tc>
        <w:tc>
          <w:tcPr>
            <w:tcW w:w="1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558,966,782.82</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259,680,506.88</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6"/>
                <w:szCs w:val="16"/>
              </w:rPr>
            </w:pPr>
            <w:r>
              <w:rPr>
                <w:rFonts w:ascii="Times New Roman"/>
                <w:spacing w:val="-1"/>
                <w:sz w:val="16"/>
              </w:rPr>
              <w:t>596,132,286.78</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2"/>
                <w:sz w:val="16"/>
              </w:rPr>
              <w:t>17,983,939.06</w:t>
            </w:r>
          </w:p>
        </w:tc>
        <w:tc>
          <w:tcPr>
            <w:tcW w:w="1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6"/>
                <w:szCs w:val="16"/>
              </w:rPr>
            </w:pPr>
            <w:r>
              <w:rPr>
                <w:rFonts w:ascii="Times New Roman"/>
                <w:spacing w:val="-1"/>
                <w:sz w:val="16"/>
              </w:rPr>
              <w:t>258,853,850.99</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6"/>
                <w:szCs w:val="16"/>
              </w:rPr>
            </w:pPr>
            <w:r>
              <w:rPr>
                <w:rFonts w:ascii="Times New Roman"/>
                <w:spacing w:val="-1"/>
                <w:sz w:val="16"/>
              </w:rPr>
              <w:t>9,995,869.92</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资产合计</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405" w:right="0"/>
              <w:jc w:val="left"/>
              <w:rPr>
                <w:rFonts w:ascii="Times New Roman" w:hAnsi="Times New Roman" w:cs="Times New Roman" w:eastAsia="Times New Roman" w:hint="default"/>
                <w:sz w:val="16"/>
                <w:szCs w:val="16"/>
              </w:rPr>
            </w:pPr>
            <w:r>
              <w:rPr>
                <w:rFonts w:ascii="Times New Roman"/>
                <w:sz w:val="16"/>
              </w:rPr>
              <w:t>1,727,622,102.29</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535,050,774.34</w:t>
            </w:r>
          </w:p>
        </w:tc>
        <w:tc>
          <w:tcPr>
            <w:tcW w:w="1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817,820,633.81</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269,676,376.80</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405" w:right="0"/>
              <w:jc w:val="left"/>
              <w:rPr>
                <w:rFonts w:ascii="Times New Roman" w:hAnsi="Times New Roman" w:cs="Times New Roman" w:eastAsia="Times New Roman" w:hint="default"/>
                <w:sz w:val="16"/>
                <w:szCs w:val="16"/>
              </w:rPr>
            </w:pPr>
            <w:r>
              <w:rPr>
                <w:rFonts w:ascii="Times New Roman"/>
                <w:sz w:val="16"/>
              </w:rPr>
              <w:t>1,021,294,101.12</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273,186,252.63</w:t>
            </w:r>
          </w:p>
        </w:tc>
        <w:tc>
          <w:tcPr>
            <w:tcW w:w="1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8,596,912.13</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39,362,159.02</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76,899,728.34</w:t>
            </w:r>
          </w:p>
        </w:tc>
        <w:tc>
          <w:tcPr>
            <w:tcW w:w="1459" w:type="dxa"/>
            <w:tcBorders>
              <w:top w:val="dotted" w:sz="4" w:space="0" w:color="000000"/>
              <w:left w:val="dotted" w:sz="4" w:space="0" w:color="000000"/>
              <w:bottom w:val="dotted" w:sz="4" w:space="0" w:color="000000"/>
              <w:right w:val="dotted" w:sz="4" w:space="0" w:color="000000"/>
            </w:tcBorders>
          </w:tcPr>
          <w:p>
            <w:pPr/>
          </w:p>
        </w:tc>
        <w:tc>
          <w:tcPr>
            <w:tcW w:w="1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210,863,321.55</w:t>
            </w:r>
          </w:p>
        </w:tc>
        <w:tc>
          <w:tcPr>
            <w:tcW w:w="137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负债合计</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405" w:right="0"/>
              <w:jc w:val="left"/>
              <w:rPr>
                <w:rFonts w:ascii="Times New Roman" w:hAnsi="Times New Roman" w:cs="Times New Roman" w:eastAsia="Times New Roman" w:hint="default"/>
                <w:sz w:val="16"/>
                <w:szCs w:val="16"/>
              </w:rPr>
            </w:pPr>
            <w:r>
              <w:rPr>
                <w:rFonts w:ascii="Times New Roman"/>
                <w:sz w:val="16"/>
              </w:rPr>
              <w:t>1,098,193,829.46</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273,186,252.63</w:t>
            </w:r>
          </w:p>
        </w:tc>
        <w:tc>
          <w:tcPr>
            <w:tcW w:w="1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219,460,233.68</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39,362,159.02</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640" w:type="dxa"/>
            <w:tcBorders>
              <w:top w:val="dotted" w:sz="4" w:space="0" w:color="000000"/>
              <w:left w:val="dotted" w:sz="4" w:space="0" w:color="000000"/>
              <w:bottom w:val="dotted" w:sz="4" w:space="0" w:color="000000"/>
              <w:right w:val="dotted" w:sz="4" w:space="0" w:color="000000"/>
            </w:tcBorders>
          </w:tcPr>
          <w:p>
            <w:pPr/>
          </w:p>
        </w:tc>
        <w:tc>
          <w:tcPr>
            <w:tcW w:w="1459" w:type="dxa"/>
            <w:tcBorders>
              <w:top w:val="dotted" w:sz="4" w:space="0" w:color="000000"/>
              <w:left w:val="dotted" w:sz="4" w:space="0" w:color="000000"/>
              <w:bottom w:val="dotted" w:sz="4" w:space="0" w:color="000000"/>
              <w:right w:val="dotted" w:sz="4" w:space="0" w:color="000000"/>
            </w:tcBorders>
          </w:tcPr>
          <w:p>
            <w:pPr/>
          </w:p>
        </w:tc>
        <w:tc>
          <w:tcPr>
            <w:tcW w:w="1681"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归属于母公司股东权益</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629,428,272.83</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261,864,521.71</w:t>
            </w:r>
          </w:p>
        </w:tc>
        <w:tc>
          <w:tcPr>
            <w:tcW w:w="1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598,360,400.13</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230,314,217.78</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按持股比例计算的净资产份额</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198,269,905.94</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115,220,389.55</w:t>
            </w:r>
          </w:p>
        </w:tc>
        <w:tc>
          <w:tcPr>
            <w:tcW w:w="1681"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101,338,255.82</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调整事项</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92,763,859.96</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115,193,658.31</w:t>
            </w:r>
          </w:p>
        </w:tc>
        <w:tc>
          <w:tcPr>
            <w:tcW w:w="1681"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115,193,658.31</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商誉</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92,763,859.96</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115,193,658.31</w:t>
            </w:r>
          </w:p>
        </w:tc>
        <w:tc>
          <w:tcPr>
            <w:tcW w:w="1681"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115,193,658.31</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内部交易未实现利润</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1"/>
              <w:jc w:val="right"/>
              <w:rPr>
                <w:rFonts w:ascii="宋体" w:hAnsi="宋体" w:cs="宋体" w:eastAsia="宋体" w:hint="default"/>
                <w:sz w:val="16"/>
                <w:szCs w:val="16"/>
              </w:rPr>
            </w:pPr>
            <w:r>
              <w:rPr>
                <w:rFonts w:ascii="宋体"/>
                <w:w w:val="100"/>
                <w:sz w:val="16"/>
              </w:rPr>
              <w:t> </w:t>
            </w:r>
          </w:p>
        </w:tc>
        <w:tc>
          <w:tcPr>
            <w:tcW w:w="1459" w:type="dxa"/>
            <w:tcBorders>
              <w:top w:val="dotted" w:sz="4" w:space="0" w:color="000000"/>
              <w:left w:val="dotted" w:sz="4" w:space="0" w:color="000000"/>
              <w:bottom w:val="dotted" w:sz="4" w:space="0" w:color="000000"/>
              <w:right w:val="dotted" w:sz="4" w:space="0" w:color="000000"/>
            </w:tcBorders>
          </w:tcPr>
          <w:p>
            <w:pPr/>
          </w:p>
        </w:tc>
        <w:tc>
          <w:tcPr>
            <w:tcW w:w="1681"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nil" w:sz="6" w:space="0" w:color="auto"/>
            </w:tcBorders>
          </w:tcPr>
          <w:p>
            <w:pPr/>
          </w:p>
        </w:tc>
      </w:tr>
      <w:tr>
        <w:trPr>
          <w:trHeight w:val="271"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1"/>
              <w:jc w:val="right"/>
              <w:rPr>
                <w:rFonts w:ascii="宋体" w:hAnsi="宋体" w:cs="宋体" w:eastAsia="宋体" w:hint="default"/>
                <w:sz w:val="16"/>
                <w:szCs w:val="16"/>
              </w:rPr>
            </w:pPr>
            <w:r>
              <w:rPr>
                <w:rFonts w:ascii="宋体"/>
                <w:w w:val="100"/>
                <w:sz w:val="16"/>
              </w:rPr>
              <w:t> </w:t>
            </w:r>
          </w:p>
        </w:tc>
        <w:tc>
          <w:tcPr>
            <w:tcW w:w="1459" w:type="dxa"/>
            <w:tcBorders>
              <w:top w:val="dotted" w:sz="4" w:space="0" w:color="000000"/>
              <w:left w:val="dotted" w:sz="4" w:space="0" w:color="000000"/>
              <w:bottom w:val="dotted" w:sz="4" w:space="0" w:color="000000"/>
              <w:right w:val="dotted" w:sz="4" w:space="0" w:color="000000"/>
            </w:tcBorders>
          </w:tcPr>
          <w:p>
            <w:pPr/>
          </w:p>
        </w:tc>
        <w:tc>
          <w:tcPr>
            <w:tcW w:w="1681"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对联营企业权益投资的账面价值</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291,033,765.90</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230,414,047.86</w:t>
            </w:r>
          </w:p>
        </w:tc>
        <w:tc>
          <w:tcPr>
            <w:tcW w:w="1681"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216,531,914.13</w:t>
            </w:r>
          </w:p>
        </w:tc>
      </w:tr>
      <w:tr>
        <w:trPr>
          <w:trHeight w:val="483"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137"/>
              <w:jc w:val="left"/>
              <w:rPr>
                <w:rFonts w:ascii="宋体" w:hAnsi="宋体" w:cs="宋体" w:eastAsia="宋体" w:hint="default"/>
                <w:sz w:val="16"/>
                <w:szCs w:val="16"/>
              </w:rPr>
            </w:pPr>
            <w:r>
              <w:rPr>
                <w:rFonts w:ascii="宋体" w:hAnsi="宋体" w:cs="宋体" w:eastAsia="宋体" w:hint="default"/>
                <w:spacing w:val="-1"/>
                <w:sz w:val="16"/>
                <w:szCs w:val="16"/>
              </w:rPr>
              <w:t>存在公开报价的联营企业权益投</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资的公允价值</w:t>
            </w:r>
          </w:p>
        </w:tc>
        <w:tc>
          <w:tcPr>
            <w:tcW w:w="1640" w:type="dxa"/>
            <w:tcBorders>
              <w:top w:val="dotted" w:sz="4" w:space="0" w:color="000000"/>
              <w:left w:val="dotted" w:sz="4" w:space="0" w:color="000000"/>
              <w:bottom w:val="dotted" w:sz="4" w:space="0" w:color="000000"/>
              <w:right w:val="dotted" w:sz="4" w:space="0" w:color="000000"/>
            </w:tcBorders>
          </w:tcPr>
          <w:p>
            <w:pPr/>
          </w:p>
        </w:tc>
        <w:tc>
          <w:tcPr>
            <w:tcW w:w="1459" w:type="dxa"/>
            <w:tcBorders>
              <w:top w:val="dotted" w:sz="4" w:space="0" w:color="000000"/>
              <w:left w:val="dotted" w:sz="4" w:space="0" w:color="000000"/>
              <w:bottom w:val="dotted" w:sz="4" w:space="0" w:color="000000"/>
              <w:right w:val="dotted" w:sz="4" w:space="0" w:color="000000"/>
            </w:tcBorders>
          </w:tcPr>
          <w:p>
            <w:pPr/>
          </w:p>
        </w:tc>
        <w:tc>
          <w:tcPr>
            <w:tcW w:w="1681"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207,214,768.66</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388,050,766.01</w:t>
            </w:r>
          </w:p>
        </w:tc>
        <w:tc>
          <w:tcPr>
            <w:tcW w:w="1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63,692,633.80</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244,402,586.25</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4,467,859.40</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31,550,303.93</w:t>
            </w:r>
          </w:p>
        </w:tc>
        <w:tc>
          <w:tcPr>
            <w:tcW w:w="1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-1,753,690.10</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12,117,986.66</w:t>
            </w: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终止经营的净利润</w:t>
            </w:r>
          </w:p>
        </w:tc>
        <w:tc>
          <w:tcPr>
            <w:tcW w:w="1640" w:type="dxa"/>
            <w:tcBorders>
              <w:top w:val="dotted" w:sz="4" w:space="0" w:color="000000"/>
              <w:left w:val="dotted" w:sz="4" w:space="0" w:color="000000"/>
              <w:bottom w:val="dotted" w:sz="4" w:space="0" w:color="000000"/>
              <w:right w:val="dotted" w:sz="4" w:space="0" w:color="000000"/>
            </w:tcBorders>
          </w:tcPr>
          <w:p>
            <w:pPr/>
          </w:p>
        </w:tc>
        <w:tc>
          <w:tcPr>
            <w:tcW w:w="1459" w:type="dxa"/>
            <w:tcBorders>
              <w:top w:val="dotted" w:sz="4" w:space="0" w:color="000000"/>
              <w:left w:val="dotted" w:sz="4" w:space="0" w:color="000000"/>
              <w:bottom w:val="dotted" w:sz="4" w:space="0" w:color="000000"/>
              <w:right w:val="dotted" w:sz="4" w:space="0" w:color="000000"/>
            </w:tcBorders>
          </w:tcPr>
          <w:p>
            <w:pPr/>
          </w:p>
        </w:tc>
        <w:tc>
          <w:tcPr>
            <w:tcW w:w="1681"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640" w:type="dxa"/>
            <w:tcBorders>
              <w:top w:val="dotted" w:sz="4" w:space="0" w:color="000000"/>
              <w:left w:val="dotted" w:sz="4" w:space="0" w:color="000000"/>
              <w:bottom w:val="dotted" w:sz="4" w:space="0" w:color="000000"/>
              <w:right w:val="dotted" w:sz="4" w:space="0" w:color="000000"/>
            </w:tcBorders>
          </w:tcPr>
          <w:p>
            <w:pPr/>
          </w:p>
        </w:tc>
        <w:tc>
          <w:tcPr>
            <w:tcW w:w="1459" w:type="dxa"/>
            <w:tcBorders>
              <w:top w:val="dotted" w:sz="4" w:space="0" w:color="000000"/>
              <w:left w:val="dotted" w:sz="4" w:space="0" w:color="000000"/>
              <w:bottom w:val="dotted" w:sz="4" w:space="0" w:color="000000"/>
              <w:right w:val="dotted" w:sz="4" w:space="0" w:color="000000"/>
            </w:tcBorders>
          </w:tcPr>
          <w:p>
            <w:pPr/>
          </w:p>
        </w:tc>
        <w:tc>
          <w:tcPr>
            <w:tcW w:w="1681"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0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综合收益总额</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4,467,859.40</w:t>
            </w:r>
          </w:p>
        </w:tc>
        <w:tc>
          <w:tcPr>
            <w:tcW w:w="1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31,550,303.93</w:t>
            </w:r>
          </w:p>
        </w:tc>
        <w:tc>
          <w:tcPr>
            <w:tcW w:w="1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-1,753,690.10</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12,117,986.66</w:t>
            </w:r>
          </w:p>
        </w:tc>
      </w:tr>
      <w:tr>
        <w:trPr>
          <w:trHeight w:val="283" w:hRule="exact"/>
        </w:trPr>
        <w:tc>
          <w:tcPr>
            <w:tcW w:w="250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本期收到的来自联营企业的股利</w:t>
            </w:r>
          </w:p>
        </w:tc>
        <w:tc>
          <w:tcPr>
            <w:tcW w:w="1640" w:type="dxa"/>
            <w:tcBorders>
              <w:top w:val="dotted" w:sz="4" w:space="0" w:color="000000"/>
              <w:left w:val="dotted" w:sz="4" w:space="0" w:color="000000"/>
              <w:bottom w:val="single" w:sz="12" w:space="0" w:color="000000"/>
              <w:right w:val="dotted" w:sz="4" w:space="0" w:color="000000"/>
            </w:tcBorders>
          </w:tcPr>
          <w:p>
            <w:pPr/>
          </w:p>
        </w:tc>
        <w:tc>
          <w:tcPr>
            <w:tcW w:w="1459" w:type="dxa"/>
            <w:tcBorders>
              <w:top w:val="dotted" w:sz="4" w:space="0" w:color="000000"/>
              <w:left w:val="dotted" w:sz="4" w:space="0" w:color="000000"/>
              <w:bottom w:val="single" w:sz="12" w:space="0" w:color="000000"/>
              <w:right w:val="dotted" w:sz="4" w:space="0" w:color="000000"/>
            </w:tcBorders>
          </w:tcPr>
          <w:p>
            <w:pPr/>
          </w:p>
        </w:tc>
        <w:tc>
          <w:tcPr>
            <w:tcW w:w="1681" w:type="dxa"/>
            <w:tcBorders>
              <w:top w:val="dotted" w:sz="4" w:space="0" w:color="000000"/>
              <w:left w:val="dotted" w:sz="4" w:space="0" w:color="000000"/>
              <w:bottom w:val="single" w:sz="12" w:space="0" w:color="000000"/>
              <w:right w:val="dotted" w:sz="4" w:space="0" w:color="000000"/>
            </w:tcBorders>
          </w:tcPr>
          <w:p>
            <w:pPr/>
          </w:p>
        </w:tc>
        <w:tc>
          <w:tcPr>
            <w:tcW w:w="1375" w:type="dxa"/>
            <w:tcBorders>
              <w:top w:val="dotted" w:sz="4" w:space="0" w:color="000000"/>
              <w:left w:val="dotted" w:sz="4" w:space="0" w:color="000000"/>
              <w:bottom w:val="single" w:sz="12" w:space="0" w:color="000000"/>
              <w:right w:val="nil" w:sz="6" w:space="0" w:color="auto"/>
            </w:tcBorders>
          </w:tcPr>
          <w:p>
            <w:pPr/>
          </w:p>
        </w:tc>
      </w:tr>
    </w:tbl>
    <w:p>
      <w:pPr>
        <w:spacing w:after="0"/>
        <w:sectPr>
          <w:footerReference w:type="default" r:id="rId68"/>
          <w:pgSz w:w="11910" w:h="16840"/>
          <w:pgMar w:footer="997" w:header="0" w:top="1500" w:bottom="1180" w:left="1660" w:right="0"/>
          <w:pgNumType w:start="96"/>
        </w:sectPr>
      </w:pPr>
    </w:p>
    <w:p>
      <w:pPr>
        <w:spacing w:line="240" w:lineRule="auto" w:before="12"/>
        <w:rPr>
          <w:rFonts w:ascii="宋体" w:hAnsi="宋体" w:cs="宋体" w:eastAsia="宋体" w:hint="default"/>
          <w:b/>
          <w:bCs/>
          <w:sz w:val="22"/>
          <w:szCs w:val="22"/>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3</w:t>
      </w:r>
      <w:r>
        <w:rPr/>
        <w:t>、</w:t>
        <w:tab/>
      </w:r>
      <w:r>
        <w:rPr>
          <w:spacing w:val="-1"/>
        </w:rPr>
        <w:t>不重要的合营企业和联营企业的汇总财务信息</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437"/>
        <w:gridCol w:w="2384"/>
        <w:gridCol w:w="2384"/>
      </w:tblGrid>
      <w:tr>
        <w:trPr>
          <w:trHeight w:val="286" w:hRule="exact"/>
        </w:trPr>
        <w:tc>
          <w:tcPr>
            <w:tcW w:w="3437" w:type="dxa"/>
            <w:tcBorders>
              <w:top w:val="single" w:sz="12" w:space="0" w:color="000000"/>
              <w:left w:val="nil" w:sz="6" w:space="0" w:color="auto"/>
              <w:bottom w:val="dotted" w:sz="4" w:space="0" w:color="000000"/>
              <w:right w:val="dotted" w:sz="4" w:space="0" w:color="000000"/>
            </w:tcBorders>
          </w:tcPr>
          <w:p>
            <w:pPr/>
          </w:p>
        </w:tc>
        <w:tc>
          <w:tcPr>
            <w:tcW w:w="23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523" w:right="0"/>
              <w:jc w:val="left"/>
              <w:rPr>
                <w:rFonts w:ascii="宋体" w:hAnsi="宋体" w:cs="宋体" w:eastAsia="宋体" w:hint="default"/>
                <w:sz w:val="16"/>
                <w:szCs w:val="16"/>
              </w:rPr>
            </w:pPr>
            <w:r>
              <w:rPr>
                <w:rFonts w:ascii="宋体" w:hAnsi="宋体" w:cs="宋体" w:eastAsia="宋体" w:hint="default"/>
                <w:sz w:val="16"/>
                <w:szCs w:val="16"/>
              </w:rPr>
              <w:t>期末余额</w:t>
            </w:r>
            <w:r>
              <w:rPr>
                <w:rFonts w:ascii="Times New Roman" w:hAnsi="Times New Roman" w:cs="Times New Roman" w:eastAsia="Times New Roman" w:hint="default"/>
                <w:sz w:val="16"/>
                <w:szCs w:val="16"/>
              </w:rPr>
              <w:t>/</w:t>
            </w:r>
            <w:r>
              <w:rPr>
                <w:rFonts w:ascii="宋体" w:hAnsi="宋体" w:cs="宋体" w:eastAsia="宋体" w:hint="default"/>
                <w:sz w:val="16"/>
                <w:szCs w:val="16"/>
              </w:rPr>
              <w:t>本期金额</w:t>
            </w:r>
          </w:p>
        </w:tc>
        <w:tc>
          <w:tcPr>
            <w:tcW w:w="238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364" w:right="0"/>
              <w:jc w:val="left"/>
              <w:rPr>
                <w:rFonts w:ascii="宋体" w:hAnsi="宋体" w:cs="宋体" w:eastAsia="宋体" w:hint="default"/>
                <w:sz w:val="16"/>
                <w:szCs w:val="16"/>
              </w:rPr>
            </w:pPr>
            <w:r>
              <w:rPr>
                <w:rFonts w:ascii="宋体" w:hAnsi="宋体" w:cs="宋体" w:eastAsia="宋体" w:hint="default"/>
                <w:sz w:val="16"/>
                <w:szCs w:val="16"/>
              </w:rPr>
              <w:t>上年年末余额</w:t>
            </w:r>
            <w:r>
              <w:rPr>
                <w:rFonts w:ascii="Times New Roman" w:hAnsi="Times New Roman" w:cs="Times New Roman" w:eastAsia="Times New Roman" w:hint="default"/>
                <w:sz w:val="16"/>
                <w:szCs w:val="16"/>
              </w:rPr>
              <w:t>/</w:t>
            </w:r>
            <w:r>
              <w:rPr>
                <w:rFonts w:ascii="宋体" w:hAnsi="宋体" w:cs="宋体" w:eastAsia="宋体" w:hint="default"/>
                <w:sz w:val="16"/>
                <w:szCs w:val="16"/>
              </w:rPr>
              <w:t>上期金额</w:t>
            </w:r>
          </w:p>
        </w:tc>
      </w:tr>
      <w:tr>
        <w:trPr>
          <w:trHeight w:val="274" w:hRule="exact"/>
        </w:trPr>
        <w:tc>
          <w:tcPr>
            <w:tcW w:w="3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联营企业：</w:t>
            </w:r>
          </w:p>
        </w:tc>
        <w:tc>
          <w:tcPr>
            <w:tcW w:w="2384" w:type="dxa"/>
            <w:tcBorders>
              <w:top w:val="dotted" w:sz="4" w:space="0" w:color="000000"/>
              <w:left w:val="dotted" w:sz="4" w:space="0" w:color="000000"/>
              <w:bottom w:val="dotted" w:sz="4" w:space="0" w:color="000000"/>
              <w:right w:val="dotted" w:sz="4" w:space="0" w:color="000000"/>
            </w:tcBorders>
          </w:tcPr>
          <w:p>
            <w:pPr/>
          </w:p>
        </w:tc>
        <w:tc>
          <w:tcPr>
            <w:tcW w:w="238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投资账面价值合计</w:t>
            </w:r>
          </w:p>
        </w:tc>
        <w:tc>
          <w:tcPr>
            <w:tcW w:w="23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126,239,512.85</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97,242,014.48</w:t>
            </w:r>
          </w:p>
        </w:tc>
      </w:tr>
      <w:tr>
        <w:trPr>
          <w:trHeight w:val="274" w:hRule="exact"/>
        </w:trPr>
        <w:tc>
          <w:tcPr>
            <w:tcW w:w="343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下列各项按持股比例计算的合计数</w:t>
            </w:r>
          </w:p>
        </w:tc>
        <w:tc>
          <w:tcPr>
            <w:tcW w:w="2384" w:type="dxa"/>
            <w:tcBorders>
              <w:top w:val="dotted" w:sz="4" w:space="0" w:color="000000"/>
              <w:left w:val="dotted" w:sz="4" w:space="0" w:color="000000"/>
              <w:bottom w:val="dotted" w:sz="4" w:space="0" w:color="000000"/>
              <w:right w:val="dotted" w:sz="4" w:space="0" w:color="000000"/>
            </w:tcBorders>
          </w:tcPr>
          <w:p>
            <w:pPr/>
          </w:p>
        </w:tc>
        <w:tc>
          <w:tcPr>
            <w:tcW w:w="238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43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净利润</w:t>
            </w:r>
          </w:p>
        </w:tc>
        <w:tc>
          <w:tcPr>
            <w:tcW w:w="23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-1,468,949.30</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-7,990,230.67</w:t>
            </w:r>
          </w:p>
        </w:tc>
      </w:tr>
      <w:tr>
        <w:trPr>
          <w:trHeight w:val="274" w:hRule="exact"/>
        </w:trPr>
        <w:tc>
          <w:tcPr>
            <w:tcW w:w="343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其他综合收益</w:t>
            </w:r>
          </w:p>
        </w:tc>
        <w:tc>
          <w:tcPr>
            <w:tcW w:w="23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5"/>
              <w:jc w:val="right"/>
              <w:rPr>
                <w:rFonts w:ascii="宋体" w:hAnsi="宋体" w:cs="宋体" w:eastAsia="宋体" w:hint="default"/>
                <w:sz w:val="16"/>
                <w:szCs w:val="16"/>
              </w:rPr>
            </w:pPr>
            <w:r>
              <w:rPr>
                <w:rFonts w:ascii="宋体"/>
                <w:w w:val="100"/>
                <w:sz w:val="16"/>
              </w:rPr>
              <w:t> </w:t>
            </w:r>
          </w:p>
        </w:tc>
      </w:tr>
      <w:tr>
        <w:trPr>
          <w:trHeight w:val="283" w:hRule="exact"/>
        </w:trPr>
        <w:tc>
          <w:tcPr>
            <w:tcW w:w="3437"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综合收益总额</w:t>
            </w:r>
          </w:p>
        </w:tc>
        <w:tc>
          <w:tcPr>
            <w:tcW w:w="23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-1,468,949.30</w:t>
            </w:r>
          </w:p>
        </w:tc>
        <w:tc>
          <w:tcPr>
            <w:tcW w:w="238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-7,990,230.67</w:t>
            </w:r>
          </w:p>
        </w:tc>
      </w:tr>
    </w:tbl>
    <w:p>
      <w:pPr>
        <w:spacing w:line="240" w:lineRule="auto" w:before="6"/>
        <w:rPr>
          <w:rFonts w:ascii="宋体" w:hAnsi="宋体" w:cs="宋体" w:eastAsia="宋体" w:hint="default"/>
          <w:b/>
          <w:bCs/>
          <w:sz w:val="27"/>
          <w:szCs w:val="27"/>
        </w:rPr>
      </w:pPr>
    </w:p>
    <w:p>
      <w:pPr>
        <w:pStyle w:val="BodyText"/>
        <w:tabs>
          <w:tab w:pos="850" w:val="left" w:leader="none"/>
        </w:tabs>
        <w:spacing w:line="314" w:lineRule="auto"/>
        <w:ind w:left="850" w:right="1835" w:hanging="713"/>
        <w:jc w:val="left"/>
      </w:pPr>
      <w:r>
        <w:rPr>
          <w:rFonts w:ascii="宋体" w:hAnsi="宋体" w:cs="宋体" w:eastAsia="宋体" w:hint="default"/>
          <w:b/>
          <w:bCs/>
        </w:rPr>
        <w:t>八、</w:t>
        <w:tab/>
        <w:t>与金融工具相关的风险</w:t>
      </w:r>
      <w:r>
        <w:rPr>
          <w:rFonts w:ascii="宋体" w:hAnsi="宋体" w:cs="宋体" w:eastAsia="宋体" w:hint="default"/>
          <w:b/>
          <w:bCs/>
          <w:w w:val="100"/>
        </w:rPr>
        <w:t> </w:t>
      </w:r>
      <w:r>
        <w:rPr>
          <w:spacing w:val="-2"/>
        </w:rPr>
        <w:t>本公司的主要金融工具包括借款、应收款项、应付款项、交易性金融资产等，各项</w:t>
      </w:r>
      <w:r>
        <w:rPr>
          <w:w w:val="100"/>
        </w:rPr>
        <w:t> </w:t>
      </w:r>
      <w:r>
        <w:rPr>
          <w:spacing w:val="-2"/>
        </w:rPr>
        <w:t>金融工具的详细情况说明见本附注五。与这些金融工具有关的风险，以及本公司为</w:t>
      </w:r>
      <w:r>
        <w:rPr>
          <w:w w:val="100"/>
        </w:rPr>
        <w:t> </w:t>
      </w:r>
      <w:r>
        <w:rPr>
          <w:spacing w:val="-2"/>
        </w:rPr>
        <w:t>降低这些风险所采取的风险管理政策如下所述。本公司管理层对这些风险敞口进行</w:t>
      </w:r>
      <w:r>
        <w:rPr>
          <w:w w:val="100"/>
        </w:rPr>
        <w:t> </w:t>
      </w:r>
      <w:r>
        <w:rPr/>
        <w:t>管理和监控以确保将上述风险控制在限定的范围之内。</w:t>
      </w:r>
      <w:r>
        <w:rPr>
          <w:w w:val="100"/>
        </w:rPr>
        <w:t> </w:t>
      </w:r>
      <w:r>
        <w:rPr>
          <w:spacing w:val="-2"/>
        </w:rPr>
        <w:t>本公司从事风险管理的目标是在风险和收益之间取得适当的平衡，将风险对本公司</w:t>
      </w:r>
      <w:r>
        <w:rPr>
          <w:w w:val="100"/>
        </w:rPr>
        <w:t> </w:t>
      </w:r>
      <w:r>
        <w:rPr>
          <w:spacing w:val="-2"/>
        </w:rPr>
        <w:t>经营业绩的负面影响降低到最低水平，使股东及其它权益投资者的利益最大化。基</w:t>
      </w:r>
      <w:r>
        <w:rPr>
          <w:w w:val="100"/>
        </w:rPr>
        <w:t> </w:t>
      </w:r>
      <w:r>
        <w:rPr>
          <w:spacing w:val="-2"/>
        </w:rPr>
        <w:t>于该风险管理目标，本公司风险管理的基本策略是确定和分析本公司所面临的各种</w:t>
      </w:r>
      <w:r>
        <w:rPr>
          <w:w w:val="100"/>
        </w:rPr>
        <w:t> </w:t>
      </w:r>
      <w:r>
        <w:rPr>
          <w:spacing w:val="-2"/>
        </w:rPr>
        <w:t>风险，建立适当的风险承受底线并进行风险管理，并及时可靠地对各种风险进行监</w:t>
      </w:r>
      <w:r>
        <w:rPr>
          <w:w w:val="100"/>
        </w:rPr>
        <w:t> </w:t>
      </w:r>
      <w:r>
        <w:rPr/>
        <w:t>督，将风险控制在限定的范围之内。</w:t>
      </w:r>
    </w:p>
    <w:p>
      <w:pPr>
        <w:pStyle w:val="Heading5"/>
        <w:tabs>
          <w:tab w:pos="850" w:val="left" w:leader="none"/>
        </w:tabs>
        <w:spacing w:line="240" w:lineRule="auto" w:before="61"/>
        <w:ind w:right="368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信用风险</w:t>
      </w:r>
      <w:r>
        <w:rPr>
          <w:b w:val="0"/>
          <w:bCs w:val="0"/>
        </w:rPr>
      </w:r>
    </w:p>
    <w:p>
      <w:pPr>
        <w:pStyle w:val="BodyText"/>
        <w:spacing w:line="312" w:lineRule="auto" w:before="69"/>
        <w:ind w:left="850" w:right="1468"/>
        <w:jc w:val="left"/>
      </w:pPr>
      <w:r>
        <w:rPr/>
        <w:t>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日，可能引起本公司财务损失的最大信用风险敞口主要来自于合</w:t>
      </w:r>
      <w:r>
        <w:rPr>
          <w:spacing w:val="-103"/>
        </w:rPr>
        <w:t> </w:t>
      </w:r>
      <w:r>
        <w:rPr>
          <w:spacing w:val="-103"/>
        </w:rPr>
      </w:r>
      <w:r>
        <w:rPr>
          <w:spacing w:val="-2"/>
        </w:rPr>
        <w:t>同另一方未能履行义务而导致本公司金融资产产生的损失以及本公司承担的财务担</w:t>
      </w:r>
      <w:r>
        <w:rPr>
          <w:spacing w:val="-35"/>
        </w:rPr>
        <w:t> </w:t>
      </w:r>
      <w:r>
        <w:rPr>
          <w:spacing w:val="-35"/>
        </w:rPr>
      </w:r>
      <w:r>
        <w:rPr/>
        <w:t>保，具体包括：</w:t>
      </w:r>
      <w:r>
        <w:rPr>
          <w:spacing w:val="-103"/>
        </w:rPr>
        <w:t> </w:t>
      </w:r>
      <w:r>
        <w:rPr>
          <w:spacing w:val="-103"/>
        </w:rPr>
      </w:r>
      <w:r>
        <w:rPr>
          <w:spacing w:val="-2"/>
        </w:rPr>
        <w:t>合并资产负债表中已确认的金融资产的账面金额；对于以公允价值计量的金融工具</w:t>
      </w:r>
      <w:r>
        <w:rPr>
          <w:spacing w:val="-35"/>
        </w:rPr>
        <w:t> </w:t>
      </w:r>
      <w:r>
        <w:rPr>
          <w:spacing w:val="-35"/>
        </w:rPr>
      </w:r>
      <w:r>
        <w:rPr>
          <w:spacing w:val="-2"/>
        </w:rPr>
        <w:t>而言，账面价值反映了其风险敞口，但并非最大风险敞口，其最大风险敞口将随着</w:t>
      </w:r>
      <w:r>
        <w:rPr>
          <w:spacing w:val="-35"/>
        </w:rPr>
        <w:t> </w:t>
      </w:r>
      <w:r>
        <w:rPr>
          <w:spacing w:val="-35"/>
        </w:rPr>
      </w:r>
      <w:r>
        <w:rPr/>
        <w:t>未来公允价值的变化而改变。</w:t>
      </w:r>
      <w:r>
        <w:rPr>
          <w:w w:val="100"/>
        </w:rPr>
        <w:t> </w:t>
      </w:r>
      <w:r>
        <w:rPr>
          <w:spacing w:val="-2"/>
        </w:rPr>
        <w:t>为降低信用风险，本公司成立专门部门确定信用额度、进行信用审批，并执行其它</w:t>
      </w:r>
      <w:r>
        <w:rPr>
          <w:spacing w:val="-35"/>
        </w:rPr>
        <w:t> </w:t>
      </w:r>
      <w:r>
        <w:rPr>
          <w:spacing w:val="-35"/>
        </w:rPr>
      </w:r>
      <w:r>
        <w:rPr>
          <w:spacing w:val="-2"/>
        </w:rPr>
        <w:t>监控程序以确保采取必要的措施回收过期债权。此外，本公司于每个资产负债表日</w:t>
      </w:r>
      <w:r>
        <w:rPr>
          <w:spacing w:val="-35"/>
        </w:rPr>
        <w:t> </w:t>
      </w:r>
      <w:r>
        <w:rPr>
          <w:spacing w:val="-35"/>
        </w:rPr>
      </w:r>
      <w:r>
        <w:rPr>
          <w:spacing w:val="-2"/>
        </w:rPr>
        <w:t>审核每一单项应收款的回收情况，以确保就无法回收的款项计提充分的坏账准备。</w:t>
      </w:r>
      <w:r>
        <w:rPr>
          <w:spacing w:val="-35"/>
        </w:rPr>
        <w:t> </w:t>
      </w:r>
      <w:r>
        <w:rPr>
          <w:spacing w:val="-35"/>
        </w:rPr>
      </w:r>
      <w:r>
        <w:rPr/>
        <w:t>因此，本公司管理层认为本公司所承担的信用风险已经大为降低。</w:t>
      </w:r>
      <w:r>
        <w:rPr>
          <w:w w:val="100"/>
        </w:rPr>
        <w:t> </w:t>
      </w:r>
      <w:r>
        <w:rPr/>
        <w:t>本公司的流动资金存放在信用评级较高的银行，故流动资金的信用风险较低。</w:t>
      </w:r>
      <w:r>
        <w:rPr>
          <w:w w:val="100"/>
        </w:rPr>
        <w:t> </w:t>
      </w:r>
      <w:r>
        <w:rPr>
          <w:spacing w:val="-2"/>
        </w:rPr>
        <w:t>本公司采用了必要的政策确保所有销售客户均具有良好的信用记录。除应收账款金</w:t>
      </w:r>
      <w:r>
        <w:rPr>
          <w:spacing w:val="-35"/>
        </w:rPr>
        <w:t> </w:t>
      </w:r>
      <w:r>
        <w:rPr>
          <w:spacing w:val="-35"/>
        </w:rPr>
      </w:r>
      <w:r>
        <w:rPr/>
        <w:t>额前五名外，本公司无其他重大信用集中风险。应收账款前五名金额合计为</w:t>
      </w:r>
      <w:r>
        <w:rPr>
          <w:w w:val="100"/>
        </w:rPr>
        <w:t> </w:t>
      </w:r>
      <w:r>
        <w:rPr>
          <w:rFonts w:ascii="Times New Roman" w:hAnsi="Times New Roman" w:cs="Times New Roman" w:eastAsia="Times New Roman" w:hint="default"/>
        </w:rPr>
        <w:t>569,250,375.09 </w:t>
      </w:r>
      <w:r>
        <w:rPr/>
        <w:t>元。</w:t>
      </w:r>
    </w:p>
    <w:p>
      <w:pPr>
        <w:pStyle w:val="Heading5"/>
        <w:tabs>
          <w:tab w:pos="850" w:val="left" w:leader="none"/>
        </w:tabs>
        <w:spacing w:line="240" w:lineRule="auto" w:before="40"/>
        <w:ind w:right="36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市场风险</w:t>
      </w:r>
      <w:r>
        <w:rPr>
          <w:b w:val="0"/>
          <w:bCs w:val="0"/>
        </w:rPr>
      </w:r>
    </w:p>
    <w:p>
      <w:pPr>
        <w:pStyle w:val="BodyText"/>
        <w:spacing w:line="297" w:lineRule="auto" w:before="69"/>
        <w:ind w:left="850" w:right="1468"/>
        <w:jc w:val="left"/>
      </w:pPr>
      <w:r>
        <w:rPr>
          <w:rFonts w:ascii="Times New Roman" w:hAnsi="Times New Roman" w:cs="Times New Roman" w:eastAsia="Times New Roman" w:hint="default"/>
        </w:rPr>
        <w:t>1</w:t>
      </w:r>
      <w:r>
        <w:rPr/>
        <w:t>、汇率风险</w:t>
      </w:r>
      <w:r>
        <w:rPr>
          <w:w w:val="100"/>
        </w:rPr>
        <w:t> </w:t>
      </w:r>
      <w:r>
        <w:rPr>
          <w:spacing w:val="-2"/>
        </w:rPr>
        <w:t>本公司承受的汇率风险主要来自子公司柏怡国际控股有限公司和中国长城计算机</w:t>
      </w:r>
    </w:p>
    <w:p>
      <w:pPr>
        <w:pStyle w:val="BodyText"/>
        <w:spacing w:line="314" w:lineRule="auto" w:before="34"/>
        <w:ind w:left="850" w:right="1782"/>
        <w:jc w:val="left"/>
      </w:pPr>
      <w:r>
        <w:rPr>
          <w:spacing w:val="-2"/>
        </w:rPr>
        <w:t>（香港）控股有限公司，其外汇风险主要与美元、港币有关；除上述公司以美元、</w:t>
      </w:r>
      <w:r>
        <w:rPr>
          <w:spacing w:val="-35"/>
        </w:rPr>
        <w:t> </w:t>
      </w:r>
      <w:r>
        <w:rPr>
          <w:spacing w:val="-35"/>
        </w:rPr>
      </w:r>
      <w:r>
        <w:rPr>
          <w:spacing w:val="-4"/>
        </w:rPr>
        <w:t>港币进行采购和销售外，本公司的其它主要业务活动以人民币计价结算。于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p>
    <w:p>
      <w:pPr>
        <w:spacing w:after="0" w:line="314" w:lineRule="auto"/>
        <w:jc w:val="left"/>
        <w:sectPr>
          <w:pgSz w:w="11910" w:h="16840"/>
          <w:pgMar w:header="0" w:footer="997" w:top="1500" w:bottom="1180" w:left="1660" w:right="0"/>
        </w:sectPr>
      </w:pPr>
    </w:p>
    <w:p>
      <w:pPr>
        <w:spacing w:line="240" w:lineRule="auto" w:before="13"/>
        <w:rPr>
          <w:rFonts w:ascii="宋体" w:hAnsi="宋体" w:cs="宋体" w:eastAsia="宋体" w:hint="default"/>
          <w:sz w:val="19"/>
          <w:szCs w:val="19"/>
        </w:rPr>
      </w:pPr>
    </w:p>
    <w:p>
      <w:pPr>
        <w:pStyle w:val="BodyText"/>
        <w:spacing w:line="309" w:lineRule="auto"/>
        <w:ind w:left="850" w:right="1468"/>
        <w:jc w:val="left"/>
      </w:pPr>
      <w:r>
        <w:rPr>
          <w:rFonts w:ascii="Times New Roman" w:hAnsi="Times New Roman" w:cs="Times New Roman" w:eastAsia="Times New Roman" w:hint="default"/>
          <w:w w:val="100"/>
        </w:rPr>
        <w:t>12</w:t>
      </w:r>
      <w:r>
        <w:rPr>
          <w:rFonts w:ascii="Times New Roman" w:hAnsi="Times New Roman" w:cs="Times New Roman" w:eastAsia="Times New Roman" w:hint="default"/>
          <w:spacing w:val="4"/>
          <w:w w:val="100"/>
        </w:rPr>
        <w:t> </w:t>
      </w:r>
      <w:r>
        <w:rPr>
          <w:w w:val="100"/>
        </w:rPr>
        <w:t>月</w:t>
      </w:r>
      <w:r>
        <w:rPr>
          <w:spacing w:val="-50"/>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spacing w:val="4"/>
          <w:w w:val="100"/>
        </w:rPr>
        <w:t> </w:t>
      </w:r>
      <w:r>
        <w:rPr>
          <w:spacing w:val="-5"/>
          <w:w w:val="100"/>
        </w:rPr>
        <w:t>日，除本附注</w:t>
      </w:r>
      <w:r>
        <w:rPr>
          <w:rFonts w:ascii="Times New Roman" w:hAnsi="Times New Roman" w:cs="Times New Roman" w:eastAsia="Times New Roman" w:hint="default"/>
          <w:spacing w:val="-5"/>
          <w:w w:val="100"/>
        </w:rPr>
        <w:t>“</w:t>
      </w:r>
      <w:r>
        <w:rPr>
          <w:spacing w:val="-5"/>
          <w:w w:val="100"/>
        </w:rPr>
        <w:t>五、（六十五）外币货币性项目</w:t>
      </w:r>
      <w:r>
        <w:rPr>
          <w:rFonts w:ascii="Times New Roman" w:hAnsi="Times New Roman" w:cs="Times New Roman" w:eastAsia="Times New Roman" w:hint="default"/>
          <w:spacing w:val="-5"/>
          <w:w w:val="100"/>
        </w:rPr>
        <w:t>”</w:t>
      </w:r>
      <w:r>
        <w:rPr>
          <w:spacing w:val="-5"/>
          <w:w w:val="100"/>
        </w:rPr>
        <w:t>中所述资产及负债的外币余</w:t>
      </w:r>
      <w:r>
        <w:rPr>
          <w:w w:val="100"/>
        </w:rPr>
        <w:t> </w:t>
      </w:r>
      <w:r>
        <w:rPr>
          <w:spacing w:val="-2"/>
        </w:rPr>
        <w:t>额外，本公司的资产及负债均为人民币余额。该等外币余额的资产和负债产生的汇</w:t>
      </w:r>
      <w:r>
        <w:rPr>
          <w:spacing w:val="-35"/>
        </w:rPr>
        <w:t> </w:t>
      </w:r>
      <w:r>
        <w:rPr>
          <w:spacing w:val="-35"/>
        </w:rPr>
      </w:r>
      <w:r>
        <w:rPr/>
        <w:t>率风险可能对本公司的经营业绩产生影响。</w:t>
      </w:r>
      <w:r>
        <w:rPr>
          <w:w w:val="100"/>
        </w:rPr>
        <w:t> </w:t>
      </w:r>
      <w:r>
        <w:rPr/>
        <w:t>本公司密切关注汇率变动对本公司的影响。</w:t>
      </w:r>
    </w:p>
    <w:p>
      <w:pPr>
        <w:pStyle w:val="BodyText"/>
        <w:spacing w:line="312" w:lineRule="auto" w:before="24"/>
        <w:ind w:left="850" w:right="1468"/>
        <w:jc w:val="left"/>
      </w:pPr>
      <w:r>
        <w:rPr>
          <w:rFonts w:ascii="Times New Roman" w:hAnsi="Times New Roman" w:cs="Times New Roman" w:eastAsia="Times New Roman" w:hint="default"/>
        </w:rPr>
        <w:t>2</w:t>
      </w:r>
      <w:r>
        <w:rPr/>
        <w:t>、利率风险</w:t>
      </w:r>
      <w:r>
        <w:rPr>
          <w:w w:val="100"/>
        </w:rPr>
        <w:t> </w:t>
      </w:r>
      <w:r>
        <w:rPr>
          <w:spacing w:val="-2"/>
        </w:rPr>
        <w:t>本公司的利率风险产生于银行借款等带息债务。浮动利率的金融负债使本公司面临</w:t>
      </w:r>
      <w:r>
        <w:rPr>
          <w:spacing w:val="-35"/>
        </w:rPr>
        <w:t> </w:t>
      </w:r>
      <w:r>
        <w:rPr>
          <w:spacing w:val="-35"/>
        </w:rPr>
      </w:r>
      <w:r>
        <w:rPr>
          <w:spacing w:val="-2"/>
        </w:rPr>
        <w:t>现金流量利率风险，固定利率的金融负债使本公司面临公允价值利率风险。本公司</w:t>
      </w:r>
      <w:r>
        <w:rPr>
          <w:spacing w:val="-35"/>
        </w:rPr>
        <w:t> </w:t>
      </w:r>
      <w:r>
        <w:rPr>
          <w:spacing w:val="-35"/>
        </w:rPr>
      </w:r>
      <w:r>
        <w:rPr/>
        <w:t>根据当时的市场环境来决定固定利率及浮动利率合同的相对比例。</w:t>
      </w:r>
      <w:r>
        <w:rPr>
          <w:w w:val="100"/>
        </w:rPr>
        <w:t> </w:t>
      </w:r>
      <w:r>
        <w:rPr/>
        <w:t>本公司因利率变动引起金融工具公允价值变动的风险主要与固定利率银行借款有</w:t>
      </w:r>
      <w:r>
        <w:rPr>
          <w:w w:val="100"/>
        </w:rPr>
        <w:t> </w:t>
      </w:r>
      <w:r>
        <w:rPr/>
        <w:t>关。对于固定利率借款，本公司的目标是保持其浮动利率。</w:t>
      </w:r>
      <w:r>
        <w:rPr>
          <w:w w:val="100"/>
        </w:rPr>
        <w:t> </w:t>
      </w:r>
      <w:r>
        <w:rPr/>
        <w:t>本公司因利率变动引起金融工具现金流量变动的风险主要与浮动利率银行借款有</w:t>
      </w:r>
      <w:r>
        <w:rPr>
          <w:w w:val="100"/>
        </w:rPr>
        <w:t> </w:t>
      </w:r>
      <w:r>
        <w:rPr>
          <w:spacing w:val="-2"/>
        </w:rPr>
        <w:t>关。本公司的政策是保持这些借款的浮动利率，以消除利率变动的公允价值风险。</w:t>
      </w:r>
      <w:r>
        <w:rPr>
          <w:spacing w:val="-35"/>
        </w:rPr>
        <w:t> </w:t>
      </w:r>
      <w:r>
        <w:rPr>
          <w:spacing w:val="-35"/>
        </w:rPr>
      </w:r>
      <w:r>
        <w:rPr>
          <w:rFonts w:ascii="Times New Roman" w:hAnsi="Times New Roman" w:cs="Times New Roman" w:eastAsia="Times New Roman" w:hint="default"/>
        </w:rPr>
        <w:t>3</w:t>
      </w:r>
      <w:r>
        <w:rPr/>
        <w:t>、价格风险</w:t>
      </w:r>
    </w:p>
    <w:p>
      <w:pPr>
        <w:pStyle w:val="BodyText"/>
        <w:spacing w:line="274" w:lineRule="exact" w:before="0"/>
        <w:ind w:left="850" w:right="1468"/>
        <w:jc w:val="left"/>
      </w:pPr>
      <w:r>
        <w:rPr/>
        <w:t>本公司以市场价格销售电子产品，因此受到此等价格波动的影响。</w:t>
      </w:r>
    </w:p>
    <w:p>
      <w:pPr>
        <w:pStyle w:val="BodyText"/>
        <w:tabs>
          <w:tab w:pos="850" w:val="left" w:leader="none"/>
        </w:tabs>
        <w:spacing w:line="312" w:lineRule="auto" w:before="123"/>
        <w:ind w:left="850" w:right="1835" w:hanging="713"/>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tab/>
      </w:r>
      <w:r>
        <w:rPr>
          <w:rFonts w:ascii="宋体" w:hAnsi="宋体" w:cs="宋体" w:eastAsia="宋体" w:hint="default"/>
          <w:b/>
          <w:bCs/>
        </w:rPr>
        <w:t>流动性风险</w:t>
      </w:r>
      <w:r>
        <w:rPr>
          <w:rFonts w:ascii="宋体" w:hAnsi="宋体" w:cs="宋体" w:eastAsia="宋体" w:hint="default"/>
          <w:b/>
          <w:bCs/>
          <w:w w:val="100"/>
        </w:rPr>
        <w:t> </w:t>
      </w:r>
      <w:r>
        <w:rPr>
          <w:spacing w:val="-2"/>
        </w:rPr>
        <w:t>流动风险为本公司在到期日无法履行其财务义务的风险。本公司管理流动性风险的</w:t>
      </w:r>
      <w:r>
        <w:rPr>
          <w:w w:val="100"/>
        </w:rPr>
        <w:t> </w:t>
      </w:r>
      <w:r>
        <w:rPr>
          <w:spacing w:val="-2"/>
        </w:rPr>
        <w:t>方法是确保有足够的资金流动性来履行到期债务，而不至于造成不可接受的损失或</w:t>
      </w:r>
      <w:r>
        <w:rPr>
          <w:w w:val="100"/>
        </w:rPr>
        <w:t> </w:t>
      </w:r>
      <w:r>
        <w:rPr>
          <w:spacing w:val="-2"/>
        </w:rPr>
        <w:t>对企业信誉造成损害。本公司定期分析负债结构和期限，以确保有充裕的资金。本</w:t>
      </w:r>
      <w:r>
        <w:rPr>
          <w:w w:val="100"/>
        </w:rPr>
        <w:t> </w:t>
      </w:r>
      <w:r>
        <w:rPr>
          <w:spacing w:val="-2"/>
        </w:rPr>
        <w:t>公司管理层对银行借款的使用情况进行监控并确保遵守借款协议。同时与金融机构</w:t>
      </w:r>
      <w:r>
        <w:rPr>
          <w:w w:val="100"/>
        </w:rPr>
        <w:t> </w:t>
      </w:r>
      <w:r>
        <w:rPr/>
        <w:t>进行融资磋商，以保持一定的授信额度，减低流动性风险。</w:t>
      </w:r>
    </w:p>
    <w:p>
      <w:pPr>
        <w:spacing w:line="240" w:lineRule="auto" w:before="0"/>
        <w:rPr>
          <w:rFonts w:ascii="宋体" w:hAnsi="宋体" w:cs="宋体" w:eastAsia="宋体" w:hint="default"/>
          <w:sz w:val="20"/>
          <w:szCs w:val="20"/>
        </w:rPr>
      </w:pPr>
    </w:p>
    <w:p>
      <w:pPr>
        <w:pStyle w:val="Heading5"/>
        <w:tabs>
          <w:tab w:pos="850" w:val="left" w:leader="none"/>
        </w:tabs>
        <w:spacing w:line="240" w:lineRule="auto" w:before="161"/>
        <w:ind w:right="3683"/>
        <w:jc w:val="left"/>
        <w:rPr>
          <w:b w:val="0"/>
          <w:bCs w:val="0"/>
        </w:rPr>
      </w:pPr>
      <w:r>
        <w:rPr/>
        <w:t>九、</w:t>
        <w:tab/>
        <w:t>公允价值的披露</w:t>
      </w:r>
      <w:r>
        <w:rPr>
          <w:b w:val="0"/>
          <w:bCs w:val="0"/>
        </w:rPr>
      </w:r>
    </w:p>
    <w:p>
      <w:pPr>
        <w:pStyle w:val="BodyText"/>
        <w:spacing w:line="314" w:lineRule="auto" w:before="85"/>
        <w:ind w:left="850" w:right="0"/>
        <w:jc w:val="left"/>
      </w:pPr>
      <w:r>
        <w:rPr/>
        <w:t>公允价值计量所使用的输入值划分为三个层次：</w:t>
      </w:r>
      <w:r>
        <w:rPr>
          <w:w w:val="100"/>
        </w:rPr>
        <w:t> </w:t>
      </w:r>
      <w:r>
        <w:rPr>
          <w:spacing w:val="-2"/>
        </w:rPr>
        <w:t>第一层次输入值是在计量日能够取得的相同资产或负债在活跃市场上未经调整的报价。</w:t>
      </w:r>
      <w:r>
        <w:rPr>
          <w:spacing w:val="-35"/>
        </w:rPr>
        <w:t> </w:t>
      </w:r>
      <w:r>
        <w:rPr>
          <w:spacing w:val="-35"/>
        </w:rPr>
      </w:r>
      <w:r>
        <w:rPr/>
        <w:t>第二层次输入值是除第一层次输入值外相关资产或负债直接或间接可观察的输入值。</w:t>
      </w:r>
      <w:r>
        <w:rPr>
          <w:w w:val="100"/>
        </w:rPr>
        <w:t> </w:t>
      </w:r>
      <w:r>
        <w:rPr/>
        <w:t>第三层次输入值是相关资产或负债的不可观察输入值。</w:t>
      </w:r>
      <w:r>
        <w:rPr>
          <w:w w:val="100"/>
        </w:rPr>
        <w:t> </w:t>
      </w:r>
      <w:r>
        <w:rPr/>
        <w:t>公允价值计量结果所属的层次，由对公允价值计量整体而言具有重要意义的输入值</w:t>
      </w:r>
      <w:r>
        <w:rPr>
          <w:w w:val="100"/>
        </w:rPr>
        <w:t> </w:t>
      </w:r>
      <w:r>
        <w:rPr/>
        <w:t>所属的最低层次决定。</w:t>
      </w:r>
    </w:p>
    <w:p>
      <w:pPr>
        <w:pStyle w:val="Heading5"/>
        <w:tabs>
          <w:tab w:pos="850" w:val="left" w:leader="none"/>
        </w:tabs>
        <w:spacing w:line="240" w:lineRule="auto" w:before="61"/>
        <w:ind w:right="368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以公允价值计量的资产和负债的期末公允价值</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542"/>
        <w:gridCol w:w="1416"/>
        <w:gridCol w:w="1275"/>
        <w:gridCol w:w="1486"/>
        <w:gridCol w:w="1486"/>
      </w:tblGrid>
      <w:tr>
        <w:trPr>
          <w:trHeight w:val="283" w:hRule="exact"/>
        </w:trPr>
        <w:tc>
          <w:tcPr>
            <w:tcW w:w="2542"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5663"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期末公允价值</w:t>
            </w:r>
          </w:p>
        </w:tc>
      </w:tr>
      <w:tr>
        <w:trPr>
          <w:trHeight w:val="480" w:hRule="exact"/>
        </w:trPr>
        <w:tc>
          <w:tcPr>
            <w:tcW w:w="2542" w:type="dxa"/>
            <w:vMerge/>
            <w:tcBorders>
              <w:left w:val="nil" w:sz="6" w:space="0" w:color="auto"/>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463" w:right="139" w:hanging="322"/>
              <w:jc w:val="left"/>
              <w:rPr>
                <w:rFonts w:ascii="宋体" w:hAnsi="宋体" w:cs="宋体" w:eastAsia="宋体" w:hint="default"/>
                <w:sz w:val="16"/>
                <w:szCs w:val="16"/>
              </w:rPr>
            </w:pPr>
            <w:r>
              <w:rPr>
                <w:rFonts w:ascii="宋体" w:hAnsi="宋体" w:cs="宋体" w:eastAsia="宋体" w:hint="default"/>
                <w:sz w:val="16"/>
                <w:szCs w:val="16"/>
              </w:rPr>
              <w:t>第一层次公允价</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值计量</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312" w:right="149" w:hanging="161"/>
              <w:jc w:val="left"/>
              <w:rPr>
                <w:rFonts w:ascii="宋体" w:hAnsi="宋体" w:cs="宋体" w:eastAsia="宋体" w:hint="default"/>
                <w:sz w:val="16"/>
                <w:szCs w:val="16"/>
              </w:rPr>
            </w:pPr>
            <w:r>
              <w:rPr>
                <w:rFonts w:ascii="宋体" w:hAnsi="宋体" w:cs="宋体" w:eastAsia="宋体" w:hint="default"/>
                <w:sz w:val="16"/>
                <w:szCs w:val="16"/>
              </w:rPr>
              <w:t>第二层次公允</w:t>
            </w:r>
            <w:r>
              <w:rPr>
                <w:rFonts w:ascii="宋体" w:hAnsi="宋体" w:cs="宋体" w:eastAsia="宋体" w:hint="default"/>
                <w:w w:val="100"/>
                <w:sz w:val="16"/>
                <w:szCs w:val="16"/>
              </w:rPr>
              <w:t> </w:t>
            </w:r>
            <w:r>
              <w:rPr>
                <w:rFonts w:ascii="宋体" w:hAnsi="宋体" w:cs="宋体" w:eastAsia="宋体" w:hint="default"/>
                <w:sz w:val="16"/>
                <w:szCs w:val="16"/>
              </w:rPr>
              <w:t>价值计量</w:t>
            </w: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496" w:right="173" w:hanging="320"/>
              <w:jc w:val="left"/>
              <w:rPr>
                <w:rFonts w:ascii="宋体" w:hAnsi="宋体" w:cs="宋体" w:eastAsia="宋体" w:hint="default"/>
                <w:sz w:val="16"/>
                <w:szCs w:val="16"/>
              </w:rPr>
            </w:pPr>
            <w:r>
              <w:rPr>
                <w:rFonts w:ascii="宋体" w:hAnsi="宋体" w:cs="宋体" w:eastAsia="宋体" w:hint="default"/>
                <w:sz w:val="16"/>
                <w:szCs w:val="16"/>
              </w:rPr>
              <w:t>第三层次公允价</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值计量</w:t>
            </w: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b/>
                <w:bCs/>
                <w:sz w:val="16"/>
                <w:szCs w:val="16"/>
              </w:rPr>
              <w:t>一、持续的公允价值计量</w:t>
            </w:r>
            <w:r>
              <w:rPr>
                <w:rFonts w:ascii="宋体" w:hAnsi="宋体" w:cs="宋体" w:eastAsia="宋体" w:hint="default"/>
                <w:sz w:val="16"/>
                <w:szCs w:val="16"/>
              </w:rPr>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269,852,788.48</w:t>
            </w: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148,915,600.00</w:t>
            </w: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418,768,388.48</w:t>
            </w:r>
          </w:p>
        </w:tc>
      </w:tr>
      <w:tr>
        <w:trPr>
          <w:trHeight w:val="482"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23"/>
              <w:ind w:left="122" w:right="100" w:firstLine="160"/>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1.</w:t>
            </w:r>
            <w:r>
              <w:rPr>
                <w:rFonts w:ascii="宋体" w:hAnsi="宋体" w:cs="宋体" w:eastAsia="宋体" w:hint="default"/>
                <w:spacing w:val="6"/>
                <w:sz w:val="16"/>
                <w:szCs w:val="16"/>
              </w:rPr>
              <w:t>以公允价值计量且其变动计</w:t>
            </w:r>
            <w:r>
              <w:rPr>
                <w:rFonts w:ascii="宋体" w:hAnsi="宋体" w:cs="宋体" w:eastAsia="宋体" w:hint="default"/>
                <w:w w:val="100"/>
                <w:sz w:val="16"/>
                <w:szCs w:val="16"/>
              </w:rPr>
              <w:t> </w:t>
            </w:r>
            <w:r>
              <w:rPr>
                <w:rFonts w:ascii="宋体" w:hAnsi="宋体" w:cs="宋体" w:eastAsia="宋体" w:hint="default"/>
                <w:sz w:val="16"/>
                <w:szCs w:val="16"/>
              </w:rPr>
              <w:t>入当期损益的金融资产</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269,852,788.48</w:t>
            </w: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148,915,600.00</w:t>
            </w: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418,768,388.48</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）权益工具投资</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269,852,788.48</w:t>
            </w: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269,852,788.48</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）理财产品</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130,000,000.00</w:t>
            </w: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130,000,000.00</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）混合工具</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17,915,600.00</w:t>
            </w: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17,915,600.00</w:t>
            </w:r>
          </w:p>
        </w:tc>
      </w:tr>
      <w:tr>
        <w:trPr>
          <w:trHeight w:val="283" w:hRule="exact"/>
        </w:trPr>
        <w:tc>
          <w:tcPr>
            <w:tcW w:w="25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）债务工具投资</w:t>
            </w:r>
          </w:p>
        </w:tc>
        <w:tc>
          <w:tcPr>
            <w:tcW w:w="1416" w:type="dxa"/>
            <w:tcBorders>
              <w:top w:val="dotted" w:sz="4" w:space="0" w:color="000000"/>
              <w:left w:val="dotted" w:sz="4" w:space="0" w:color="000000"/>
              <w:bottom w:val="single" w:sz="12" w:space="0" w:color="000000"/>
              <w:right w:val="dotted" w:sz="4" w:space="0" w:color="000000"/>
            </w:tcBorders>
          </w:tcPr>
          <w:p>
            <w:pPr/>
          </w:p>
        </w:tc>
        <w:tc>
          <w:tcPr>
            <w:tcW w:w="1275" w:type="dxa"/>
            <w:tcBorders>
              <w:top w:val="dotted" w:sz="4" w:space="0" w:color="000000"/>
              <w:left w:val="dotted" w:sz="4" w:space="0" w:color="000000"/>
              <w:bottom w:val="single" w:sz="12" w:space="0" w:color="000000"/>
              <w:right w:val="dotted" w:sz="4" w:space="0" w:color="000000"/>
            </w:tcBorders>
          </w:tcPr>
          <w:p>
            <w:pPr/>
          </w:p>
        </w:tc>
        <w:tc>
          <w:tcPr>
            <w:tcW w:w="14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1,000,000.00</w:t>
            </w:r>
          </w:p>
        </w:tc>
        <w:tc>
          <w:tcPr>
            <w:tcW w:w="14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1,000,000.00</w:t>
            </w:r>
          </w:p>
        </w:tc>
      </w:tr>
    </w:tbl>
    <w:p>
      <w:pPr>
        <w:spacing w:after="0" w:line="240" w:lineRule="auto"/>
        <w:jc w:val="right"/>
        <w:rPr>
          <w:rFonts w:ascii="Times New Roman" w:hAnsi="Times New Roman" w:cs="Times New Roman" w:eastAsia="Times New Roman" w:hint="default"/>
          <w:sz w:val="16"/>
          <w:szCs w:val="16"/>
        </w:rPr>
        <w:sectPr>
          <w:pgSz w:w="11910" w:h="16840"/>
          <w:pgMar w:header="0" w:footer="997" w:top="1500" w:bottom="1180" w:left="1660" w:right="0"/>
        </w:sectPr>
      </w:pPr>
    </w:p>
    <w:p>
      <w:pPr>
        <w:spacing w:line="240" w:lineRule="auto" w:before="7"/>
        <w:rPr>
          <w:rFonts w:ascii="宋体" w:hAnsi="宋体" w:cs="宋体" w:eastAsia="宋体" w:hint="default"/>
          <w:b/>
          <w:bCs/>
          <w:sz w:val="18"/>
          <w:szCs w:val="18"/>
        </w:rPr>
      </w:pPr>
    </w:p>
    <w:tbl>
      <w:tblPr>
        <w:tblW w:w="0" w:type="auto"/>
        <w:jc w:val="left"/>
        <w:tblInd w:w="721" w:type="dxa"/>
        <w:tblLayout w:type="fixed"/>
        <w:tblCellMar>
          <w:top w:w="0" w:type="dxa"/>
          <w:left w:w="0" w:type="dxa"/>
          <w:bottom w:w="0" w:type="dxa"/>
          <w:right w:w="0" w:type="dxa"/>
        </w:tblCellMar>
        <w:tblLook w:val="01E0"/>
      </w:tblPr>
      <w:tblGrid>
        <w:gridCol w:w="2542"/>
        <w:gridCol w:w="1416"/>
        <w:gridCol w:w="1275"/>
        <w:gridCol w:w="1486"/>
        <w:gridCol w:w="1486"/>
      </w:tblGrid>
      <w:tr>
        <w:trPr>
          <w:trHeight w:val="284" w:hRule="exact"/>
        </w:trPr>
        <w:tc>
          <w:tcPr>
            <w:tcW w:w="2542" w:type="dxa"/>
            <w:vMerge w:val="restart"/>
            <w:tcBorders>
              <w:top w:val="single" w:sz="12" w:space="0" w:color="000000"/>
              <w:left w:val="nil" w:sz="6" w:space="0" w:color="auto"/>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5663"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3"/>
              <w:jc w:val="center"/>
              <w:rPr>
                <w:rFonts w:ascii="宋体" w:hAnsi="宋体" w:cs="宋体" w:eastAsia="宋体" w:hint="default"/>
                <w:sz w:val="16"/>
                <w:szCs w:val="16"/>
              </w:rPr>
            </w:pPr>
            <w:r>
              <w:rPr>
                <w:rFonts w:ascii="宋体" w:hAnsi="宋体" w:cs="宋体" w:eastAsia="宋体" w:hint="default"/>
                <w:sz w:val="16"/>
                <w:szCs w:val="16"/>
              </w:rPr>
              <w:t>期末公允价值</w:t>
            </w:r>
          </w:p>
        </w:tc>
      </w:tr>
      <w:tr>
        <w:trPr>
          <w:trHeight w:val="480" w:hRule="exact"/>
        </w:trPr>
        <w:tc>
          <w:tcPr>
            <w:tcW w:w="2542" w:type="dxa"/>
            <w:vMerge/>
            <w:tcBorders>
              <w:left w:val="nil" w:sz="6" w:space="0" w:color="auto"/>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463" w:right="139" w:hanging="322"/>
              <w:jc w:val="left"/>
              <w:rPr>
                <w:rFonts w:ascii="宋体" w:hAnsi="宋体" w:cs="宋体" w:eastAsia="宋体" w:hint="default"/>
                <w:sz w:val="16"/>
                <w:szCs w:val="16"/>
              </w:rPr>
            </w:pPr>
            <w:r>
              <w:rPr>
                <w:rFonts w:ascii="宋体" w:hAnsi="宋体" w:cs="宋体" w:eastAsia="宋体" w:hint="default"/>
                <w:sz w:val="16"/>
                <w:szCs w:val="16"/>
              </w:rPr>
              <w:t>第一层次公允价</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值计量</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312" w:right="149" w:hanging="161"/>
              <w:jc w:val="left"/>
              <w:rPr>
                <w:rFonts w:ascii="宋体" w:hAnsi="宋体" w:cs="宋体" w:eastAsia="宋体" w:hint="default"/>
                <w:sz w:val="16"/>
                <w:szCs w:val="16"/>
              </w:rPr>
            </w:pPr>
            <w:r>
              <w:rPr>
                <w:rFonts w:ascii="宋体" w:hAnsi="宋体" w:cs="宋体" w:eastAsia="宋体" w:hint="default"/>
                <w:sz w:val="16"/>
                <w:szCs w:val="16"/>
              </w:rPr>
              <w:t>第二层次公允</w:t>
            </w:r>
            <w:r>
              <w:rPr>
                <w:rFonts w:ascii="宋体" w:hAnsi="宋体" w:cs="宋体" w:eastAsia="宋体" w:hint="default"/>
                <w:w w:val="100"/>
                <w:sz w:val="16"/>
                <w:szCs w:val="16"/>
              </w:rPr>
              <w:t> </w:t>
            </w:r>
            <w:r>
              <w:rPr>
                <w:rFonts w:ascii="宋体" w:hAnsi="宋体" w:cs="宋体" w:eastAsia="宋体" w:hint="default"/>
                <w:sz w:val="16"/>
                <w:szCs w:val="16"/>
              </w:rPr>
              <w:t>价值计量</w:t>
            </w: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496" w:right="173" w:hanging="320"/>
              <w:jc w:val="left"/>
              <w:rPr>
                <w:rFonts w:ascii="宋体" w:hAnsi="宋体" w:cs="宋体" w:eastAsia="宋体" w:hint="default"/>
                <w:sz w:val="16"/>
                <w:szCs w:val="16"/>
              </w:rPr>
            </w:pPr>
            <w:r>
              <w:rPr>
                <w:rFonts w:ascii="宋体" w:hAnsi="宋体" w:cs="宋体" w:eastAsia="宋体" w:hint="default"/>
                <w:sz w:val="16"/>
                <w:szCs w:val="16"/>
              </w:rPr>
              <w:t>第三层次公允价</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值计量</w:t>
            </w: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482"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23"/>
              <w:ind w:left="122" w:right="100" w:firstLine="160"/>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2.</w:t>
            </w:r>
            <w:r>
              <w:rPr>
                <w:rFonts w:ascii="宋体" w:hAnsi="宋体" w:cs="宋体" w:eastAsia="宋体" w:hint="default"/>
                <w:spacing w:val="6"/>
                <w:sz w:val="16"/>
                <w:szCs w:val="16"/>
              </w:rPr>
              <w:t>指定为以公允价值计量且其</w:t>
            </w:r>
            <w:r>
              <w:rPr>
                <w:rFonts w:ascii="宋体" w:hAnsi="宋体" w:cs="宋体" w:eastAsia="宋体" w:hint="default"/>
                <w:w w:val="100"/>
                <w:sz w:val="16"/>
                <w:szCs w:val="16"/>
              </w:rPr>
              <w:t> </w:t>
            </w:r>
            <w:r>
              <w:rPr>
                <w:rFonts w:ascii="宋体" w:hAnsi="宋体" w:cs="宋体" w:eastAsia="宋体" w:hint="default"/>
                <w:sz w:val="16"/>
                <w:szCs w:val="16"/>
              </w:rPr>
              <w:t>变动计入当期损益的金融资产</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◆应收款项融资</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5,619,108.20</w:t>
            </w: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5,619,108.20</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◆其他债权投资</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28,219,999.97</w:t>
            </w: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28,219,999.97</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213,398,640.00</w:t>
            </w: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213,398,640.00</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◆其他非流动金融资产</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00" w:firstLine="160"/>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1.</w:t>
            </w:r>
            <w:r>
              <w:rPr>
                <w:rFonts w:ascii="宋体" w:hAnsi="宋体" w:cs="宋体" w:eastAsia="宋体" w:hint="default"/>
                <w:spacing w:val="6"/>
                <w:sz w:val="16"/>
                <w:szCs w:val="16"/>
              </w:rPr>
              <w:t>以公允价值计量且其变动计</w:t>
            </w:r>
            <w:r>
              <w:rPr>
                <w:rFonts w:ascii="宋体" w:hAnsi="宋体" w:cs="宋体" w:eastAsia="宋体" w:hint="default"/>
                <w:w w:val="100"/>
                <w:sz w:val="16"/>
                <w:szCs w:val="16"/>
              </w:rPr>
              <w:t> </w:t>
            </w:r>
            <w:r>
              <w:rPr>
                <w:rFonts w:ascii="宋体" w:hAnsi="宋体" w:cs="宋体" w:eastAsia="宋体" w:hint="default"/>
                <w:sz w:val="16"/>
                <w:szCs w:val="16"/>
              </w:rPr>
              <w:t>入当期损益的金融资产</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）债务工具投资</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）权益工具投资</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）衍生金融资产</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
        </w:tc>
      </w:tr>
      <w:tr>
        <w:trPr>
          <w:trHeight w:val="481"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08" w:lineRule="exact" w:before="23"/>
              <w:ind w:left="122" w:right="100" w:firstLine="160"/>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2.</w:t>
            </w:r>
            <w:r>
              <w:rPr>
                <w:rFonts w:ascii="宋体" w:hAnsi="宋体" w:cs="宋体" w:eastAsia="宋体" w:hint="default"/>
                <w:spacing w:val="6"/>
                <w:sz w:val="16"/>
                <w:szCs w:val="16"/>
              </w:rPr>
              <w:t>指定为以公允价值计量且其</w:t>
            </w:r>
            <w:r>
              <w:rPr>
                <w:rFonts w:ascii="宋体" w:hAnsi="宋体" w:cs="宋体" w:eastAsia="宋体" w:hint="default"/>
                <w:w w:val="100"/>
                <w:sz w:val="16"/>
                <w:szCs w:val="16"/>
              </w:rPr>
              <w:t> </w:t>
            </w:r>
            <w:r>
              <w:rPr>
                <w:rFonts w:ascii="宋体" w:hAnsi="宋体" w:cs="宋体" w:eastAsia="宋体" w:hint="default"/>
                <w:sz w:val="16"/>
                <w:szCs w:val="16"/>
              </w:rPr>
              <w:t>变动计入当期损益的金融资产</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）债务工具投资</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2,774,996,188.59</w:t>
            </w: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2,774,996,188.59</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出租用的土地使用权</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172,796,850.00</w:t>
            </w: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172,796,850.00</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出租的建筑物</w:t>
            </w:r>
          </w:p>
        </w:tc>
        <w:tc>
          <w:tcPr>
            <w:tcW w:w="1416"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2,602,199,338.59</w:t>
            </w: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2,602,199,338.59</w:t>
            </w:r>
          </w:p>
        </w:tc>
      </w:tr>
      <w:tr>
        <w:trPr>
          <w:trHeight w:val="286" w:hRule="exact"/>
        </w:trPr>
        <w:tc>
          <w:tcPr>
            <w:tcW w:w="25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b/>
                <w:bCs/>
                <w:sz w:val="16"/>
                <w:szCs w:val="16"/>
              </w:rPr>
              <w:t>持续以公允价值计量的资产总额</w:t>
            </w:r>
            <w:r>
              <w:rPr>
                <w:rFonts w:ascii="宋体" w:hAnsi="宋体" w:cs="宋体" w:eastAsia="宋体" w:hint="default"/>
                <w:sz w:val="16"/>
                <w:szCs w:val="16"/>
              </w:rPr>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298,072,788.45</w:t>
            </w:r>
          </w:p>
        </w:tc>
        <w:tc>
          <w:tcPr>
            <w:tcW w:w="1275" w:type="dxa"/>
            <w:tcBorders>
              <w:top w:val="dotted" w:sz="4" w:space="0" w:color="000000"/>
              <w:left w:val="dotted" w:sz="4" w:space="0" w:color="000000"/>
              <w:bottom w:val="single" w:sz="12" w:space="0" w:color="000000"/>
              <w:right w:val="dotted" w:sz="4" w:space="0" w:color="000000"/>
            </w:tcBorders>
          </w:tcPr>
          <w:p>
            <w:pPr/>
          </w:p>
        </w:tc>
        <w:tc>
          <w:tcPr>
            <w:tcW w:w="14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3,142,929,536.79</w:t>
            </w:r>
          </w:p>
        </w:tc>
        <w:tc>
          <w:tcPr>
            <w:tcW w:w="14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3,441,002,325.24</w:t>
            </w:r>
          </w:p>
        </w:tc>
      </w:tr>
    </w:tbl>
    <w:p>
      <w:pPr>
        <w:spacing w:line="240" w:lineRule="auto" w:before="5"/>
        <w:rPr>
          <w:rFonts w:ascii="宋体" w:hAnsi="宋体" w:cs="宋体" w:eastAsia="宋体" w:hint="default"/>
          <w:b/>
          <w:bCs/>
          <w:sz w:val="26"/>
          <w:szCs w:val="26"/>
        </w:rPr>
      </w:pPr>
    </w:p>
    <w:p>
      <w:pPr>
        <w:tabs>
          <w:tab w:pos="850" w:val="left" w:leader="none"/>
        </w:tabs>
        <w:spacing w:line="304" w:lineRule="auto" w:before="36"/>
        <w:ind w:left="850" w:right="1835"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本公司持续第一层次公允价值计量项目主要为上市公司股票和债券，其公允价值根</w:t>
      </w:r>
      <w:r>
        <w:rPr>
          <w:rFonts w:ascii="宋体" w:hAnsi="宋体" w:cs="宋体" w:eastAsia="宋体" w:hint="default"/>
          <w:w w:val="100"/>
          <w:sz w:val="21"/>
          <w:szCs w:val="21"/>
        </w:rPr>
        <w:t> </w:t>
      </w:r>
      <w:r>
        <w:rPr>
          <w:rFonts w:ascii="宋体" w:hAnsi="宋体" w:cs="宋体" w:eastAsia="宋体" w:hint="default"/>
          <w:sz w:val="21"/>
          <w:szCs w:val="21"/>
        </w:rPr>
        <w:t>据公开交易市场于资产负债表日最后一个交易日收盘价格确定。</w:t>
      </w:r>
    </w:p>
    <w:p>
      <w:pPr>
        <w:pStyle w:val="BodyText"/>
        <w:tabs>
          <w:tab w:pos="850" w:val="left" w:leader="none"/>
        </w:tabs>
        <w:spacing w:line="314" w:lineRule="auto" w:before="69"/>
        <w:ind w:left="846" w:right="1790" w:hanging="708"/>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tab/>
        <w:tab/>
      </w:r>
      <w:r>
        <w:rPr>
          <w:rFonts w:ascii="宋体" w:hAnsi="宋体" w:cs="宋体" w:eastAsia="宋体" w:hint="default"/>
          <w:b/>
          <w:bCs/>
        </w:rPr>
        <w:t>持续和非持续第三层次公允价值计量项目，采用的估值技术和重要参数的定性及定</w:t>
      </w:r>
      <w:r>
        <w:rPr>
          <w:rFonts w:ascii="宋体" w:hAnsi="宋体" w:cs="宋体" w:eastAsia="宋体" w:hint="default"/>
          <w:b/>
          <w:bCs/>
          <w:spacing w:val="-93"/>
        </w:rPr>
        <w:t> </w:t>
      </w:r>
      <w:r>
        <w:rPr>
          <w:rFonts w:ascii="宋体" w:hAnsi="宋体" w:cs="宋体" w:eastAsia="宋体" w:hint="default"/>
          <w:b/>
          <w:bCs/>
        </w:rPr>
        <w:t>量信息</w:t>
      </w:r>
      <w:r>
        <w:rPr>
          <w:rFonts w:ascii="宋体" w:hAnsi="宋体" w:cs="宋体" w:eastAsia="宋体" w:hint="default"/>
          <w:b/>
          <w:bCs/>
          <w:w w:val="100"/>
        </w:rPr>
        <w:t> </w:t>
      </w:r>
      <w:r>
        <w:rPr>
          <w:spacing w:val="-2"/>
        </w:rPr>
        <w:t>本公司持有第三层次公允价值计量的交易性金融资产为银行理财产品，期末参考理</w:t>
      </w:r>
      <w:r>
        <w:rPr>
          <w:w w:val="100"/>
        </w:rPr>
        <w:t> </w:t>
      </w:r>
      <w:r>
        <w:rPr/>
        <w:t>财产品的预期收益率或业绩基准利率调整公允价值。</w:t>
      </w:r>
      <w:r>
        <w:rPr>
          <w:w w:val="100"/>
        </w:rPr>
        <w:t> </w:t>
      </w:r>
      <w:r>
        <w:rPr>
          <w:spacing w:val="-2"/>
        </w:rPr>
        <w:t>本公司持有第三层次公允价值计量的应收款项融资为应收账款，无法获得第一层次</w:t>
      </w:r>
      <w:r>
        <w:rPr>
          <w:w w:val="100"/>
        </w:rPr>
        <w:t> </w:t>
      </w:r>
      <w:r>
        <w:rPr>
          <w:spacing w:val="-2"/>
        </w:rPr>
        <w:t>及第二层次的公允价值，也无法适用期权定价模型、现金流量折现法等方法确定不</w:t>
      </w:r>
      <w:r>
        <w:rPr>
          <w:w w:val="100"/>
        </w:rPr>
        <w:t> </w:t>
      </w:r>
      <w:r>
        <w:rPr>
          <w:spacing w:val="-2"/>
        </w:rPr>
        <w:t>可观察输入值。在无明显证据表明其公允价值发生变化的情况下，不对其公允价值</w:t>
      </w:r>
      <w:r>
        <w:rPr>
          <w:w w:val="100"/>
        </w:rPr>
        <w:t> </w:t>
      </w:r>
      <w:r>
        <w:rPr/>
        <w:t>进行调整。</w:t>
      </w:r>
      <w:r>
        <w:rPr>
          <w:w w:val="100"/>
        </w:rPr>
        <w:t> </w:t>
      </w:r>
      <w:r>
        <w:rPr>
          <w:spacing w:val="-2"/>
        </w:rPr>
        <w:t>本公司持有第三层次公允价值计量的其他权益工具投资为非上市公司股权投资，本</w:t>
      </w:r>
      <w:r>
        <w:rPr>
          <w:w w:val="100"/>
        </w:rPr>
        <w:t> </w:t>
      </w:r>
      <w:r>
        <w:rPr>
          <w:spacing w:val="-2"/>
        </w:rPr>
        <w:t>公司采用估值技术确定其公允价值，所使用的估值模型为市场乘数法，估值技术的</w:t>
      </w:r>
      <w:r>
        <w:rPr>
          <w:w w:val="100"/>
        </w:rPr>
        <w:t> </w:t>
      </w:r>
      <w:r>
        <w:rPr/>
        <w:t>输入值主要包括可比公司的</w:t>
      </w:r>
      <w:r>
        <w:rPr>
          <w:spacing w:val="-53"/>
        </w:rPr>
        <w:t> </w:t>
      </w:r>
      <w:r>
        <w:rPr>
          <w:rFonts w:ascii="Times New Roman" w:hAnsi="Times New Roman" w:cs="Times New Roman" w:eastAsia="Times New Roman" w:hint="default"/>
        </w:rPr>
        <w:t>PE</w:t>
      </w:r>
      <w:r>
        <w:rPr>
          <w:rFonts w:ascii="Times New Roman" w:hAnsi="Times New Roman" w:cs="Times New Roman" w:eastAsia="Times New Roman" w:hint="default"/>
          <w:spacing w:val="-1"/>
        </w:rPr>
        <w:t> </w:t>
      </w:r>
      <w:r>
        <w:rPr/>
        <w:t>倍数、</w:t>
      </w:r>
      <w:r>
        <w:rPr>
          <w:rFonts w:ascii="Times New Roman" w:hAnsi="Times New Roman" w:cs="Times New Roman" w:eastAsia="Times New Roman" w:hint="default"/>
        </w:rPr>
        <w:t>PB</w:t>
      </w:r>
      <w:r>
        <w:rPr>
          <w:rFonts w:ascii="Times New Roman" w:hAnsi="Times New Roman" w:cs="Times New Roman" w:eastAsia="Times New Roman" w:hint="default"/>
          <w:spacing w:val="-3"/>
        </w:rPr>
        <w:t> </w:t>
      </w:r>
      <w:r>
        <w:rPr/>
        <w:t>倍数以及缺少流动性折扣参数等，并由银</w:t>
      </w:r>
      <w:r>
        <w:rPr>
          <w:w w:val="100"/>
        </w:rPr>
        <w:t> </w:t>
      </w:r>
      <w:r>
        <w:rPr/>
        <w:t>信资产评估有限公司对非上市公司股权投资公允价值出具评估报告。</w:t>
      </w:r>
      <w:r>
        <w:rPr>
          <w:w w:val="100"/>
        </w:rPr>
        <w:t> </w:t>
      </w:r>
      <w:r>
        <w:rPr>
          <w:spacing w:val="-2"/>
        </w:rPr>
        <w:t>投资性房地产主要为本公司持有出租的房屋建筑物以及土地使用权，本公司采用估</w:t>
      </w:r>
      <w:r>
        <w:rPr>
          <w:w w:val="100"/>
        </w:rPr>
        <w:t> </w:t>
      </w:r>
      <w:r>
        <w:rPr>
          <w:spacing w:val="-2"/>
        </w:rPr>
        <w:t>值技术确定其公允价值，所使用的估值模型为收益法，估值技术的输入值主要包括</w:t>
      </w:r>
      <w:r>
        <w:rPr>
          <w:w w:val="100"/>
        </w:rPr>
        <w:t> </w:t>
      </w:r>
      <w:r>
        <w:rPr>
          <w:spacing w:val="-2"/>
        </w:rPr>
        <w:t>空置率、租金增长率、预期收益、预期收益期限以及折现率等参数，并由北京卓信</w:t>
      </w:r>
      <w:r>
        <w:rPr>
          <w:w w:val="100"/>
        </w:rPr>
        <w:t> </w:t>
      </w:r>
      <w:r>
        <w:rPr/>
        <w:t>大华资产评估有限公司对</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日的投资性房地产公允价值出具评估报</w:t>
      </w:r>
      <w:r>
        <w:rPr>
          <w:w w:val="100"/>
        </w:rPr>
        <w:t> </w:t>
      </w:r>
      <w:r>
        <w:rPr/>
        <w:t>告。</w:t>
      </w:r>
    </w:p>
    <w:p>
      <w:pPr>
        <w:spacing w:after="0" w:line="314" w:lineRule="auto"/>
        <w:jc w:val="left"/>
        <w:sectPr>
          <w:pgSz w:w="11910" w:h="16840"/>
          <w:pgMar w:header="0" w:footer="997" w:top="1500" w:bottom="1180" w:left="1660" w:right="0"/>
        </w:sectPr>
      </w:pPr>
    </w:p>
    <w:p>
      <w:pPr>
        <w:spacing w:line="240" w:lineRule="auto" w:before="5"/>
        <w:rPr>
          <w:rFonts w:ascii="宋体" w:hAnsi="宋体" w:cs="宋体" w:eastAsia="宋体" w:hint="default"/>
          <w:sz w:val="26"/>
          <w:szCs w:val="26"/>
        </w:rPr>
      </w:pPr>
    </w:p>
    <w:p>
      <w:pPr>
        <w:pStyle w:val="Heading5"/>
        <w:tabs>
          <w:tab w:pos="853" w:val="left" w:leader="none"/>
        </w:tabs>
        <w:spacing w:line="331" w:lineRule="auto"/>
        <w:ind w:left="848" w:right="4537" w:hanging="709"/>
        <w:jc w:val="left"/>
        <w:rPr>
          <w:b w:val="0"/>
          <w:bCs w:val="0"/>
        </w:rPr>
      </w:pPr>
      <w:r>
        <w:rPr/>
        <w:pict>
          <v:shape style="position:absolute;margin-left:70.559998pt;margin-top:37.103672pt;width:711.7pt;height:364.2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5"/>
                    <w:gridCol w:w="1337"/>
                    <w:gridCol w:w="1217"/>
                    <w:gridCol w:w="1214"/>
                    <w:gridCol w:w="1217"/>
                    <w:gridCol w:w="1217"/>
                    <w:gridCol w:w="1268"/>
                    <w:gridCol w:w="550"/>
                    <w:gridCol w:w="653"/>
                    <w:gridCol w:w="1270"/>
                    <w:gridCol w:w="1354"/>
                    <w:gridCol w:w="1210"/>
                  </w:tblGrid>
                  <w:tr>
                    <w:trPr>
                      <w:trHeight w:val="365" w:hRule="exact"/>
                    </w:trPr>
                    <w:tc>
                      <w:tcPr>
                        <w:tcW w:w="168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3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3"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21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转入第三层次</w:t>
                        </w:r>
                      </w:p>
                    </w:tc>
                    <w:tc>
                      <w:tcPr>
                        <w:tcW w:w="121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转出第三层次</w:t>
                        </w:r>
                      </w:p>
                    </w:tc>
                    <w:tc>
                      <w:tcPr>
                        <w:tcW w:w="243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489" w:right="0"/>
                          <w:jc w:val="left"/>
                          <w:rPr>
                            <w:rFonts w:ascii="宋体" w:hAnsi="宋体" w:cs="宋体" w:eastAsia="宋体" w:hint="default"/>
                            <w:sz w:val="16"/>
                            <w:szCs w:val="16"/>
                          </w:rPr>
                        </w:pPr>
                        <w:r>
                          <w:rPr>
                            <w:rFonts w:ascii="宋体" w:hAnsi="宋体" w:cs="宋体" w:eastAsia="宋体" w:hint="default"/>
                            <w:sz w:val="16"/>
                            <w:szCs w:val="16"/>
                          </w:rPr>
                          <w:t>当期利得或损失总额</w:t>
                        </w:r>
                      </w:p>
                    </w:tc>
                    <w:tc>
                      <w:tcPr>
                        <w:tcW w:w="3740"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984" w:right="0"/>
                          <w:jc w:val="left"/>
                          <w:rPr>
                            <w:rFonts w:ascii="宋体" w:hAnsi="宋体" w:cs="宋体" w:eastAsia="宋体" w:hint="default"/>
                            <w:sz w:val="16"/>
                            <w:szCs w:val="16"/>
                          </w:rPr>
                        </w:pPr>
                        <w:r>
                          <w:rPr>
                            <w:rFonts w:ascii="宋体" w:hAnsi="宋体" w:cs="宋体" w:eastAsia="宋体" w:hint="default"/>
                            <w:sz w:val="16"/>
                            <w:szCs w:val="16"/>
                          </w:rPr>
                          <w:t>购买、发行、出售和结算</w:t>
                        </w:r>
                      </w:p>
                    </w:tc>
                    <w:tc>
                      <w:tcPr>
                        <w:tcW w:w="135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50"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210" w:type="dxa"/>
                        <w:vMerge w:val="restart"/>
                        <w:tcBorders>
                          <w:top w:val="single" w:sz="12" w:space="0" w:color="000000"/>
                          <w:left w:val="dotted" w:sz="4" w:space="0" w:color="000000"/>
                          <w:right w:val="nil" w:sz="6" w:space="0" w:color="auto"/>
                        </w:tcBorders>
                      </w:tcPr>
                      <w:p>
                        <w:pPr>
                          <w:pStyle w:val="TableParagraph"/>
                          <w:spacing w:line="237" w:lineRule="auto" w:before="45"/>
                          <w:ind w:left="120" w:right="120"/>
                          <w:jc w:val="center"/>
                          <w:rPr>
                            <w:rFonts w:ascii="宋体" w:hAnsi="宋体" w:cs="宋体" w:eastAsia="宋体" w:hint="default"/>
                            <w:sz w:val="16"/>
                            <w:szCs w:val="16"/>
                          </w:rPr>
                        </w:pPr>
                        <w:r>
                          <w:rPr>
                            <w:rFonts w:ascii="宋体" w:hAnsi="宋体" w:cs="宋体" w:eastAsia="宋体" w:hint="default"/>
                            <w:spacing w:val="-1"/>
                            <w:sz w:val="16"/>
                            <w:szCs w:val="16"/>
                          </w:rPr>
                          <w:t>对于在报告期</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末持有的资</w:t>
                        </w:r>
                        <w:r>
                          <w:rPr>
                            <w:rFonts w:ascii="宋体" w:hAnsi="宋体" w:cs="宋体" w:eastAsia="宋体" w:hint="default"/>
                            <w:w w:val="100"/>
                            <w:sz w:val="16"/>
                            <w:szCs w:val="16"/>
                          </w:rPr>
                          <w:t> </w:t>
                        </w:r>
                        <w:r>
                          <w:rPr>
                            <w:rFonts w:ascii="宋体" w:hAnsi="宋体" w:cs="宋体" w:eastAsia="宋体" w:hint="default"/>
                            <w:spacing w:val="-1"/>
                            <w:sz w:val="16"/>
                            <w:szCs w:val="16"/>
                          </w:rPr>
                          <w:t>产，计入损益</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pacing w:val="-1"/>
                            <w:sz w:val="16"/>
                            <w:szCs w:val="16"/>
                          </w:rPr>
                          <w:t>的当期未实现</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利得或变动</w:t>
                        </w:r>
                      </w:p>
                    </w:tc>
                  </w:tr>
                  <w:tr>
                    <w:trPr>
                      <w:trHeight w:val="830" w:hRule="exact"/>
                    </w:trPr>
                    <w:tc>
                      <w:tcPr>
                        <w:tcW w:w="1685" w:type="dxa"/>
                        <w:vMerge/>
                        <w:tcBorders>
                          <w:left w:val="nil" w:sz="6" w:space="0" w:color="auto"/>
                          <w:bottom w:val="dotted" w:sz="4" w:space="0" w:color="000000"/>
                          <w:right w:val="dotted" w:sz="4" w:space="0" w:color="000000"/>
                        </w:tcBorders>
                      </w:tcPr>
                      <w:p>
                        <w:pPr/>
                      </w:p>
                    </w:tc>
                    <w:tc>
                      <w:tcPr>
                        <w:tcW w:w="1337" w:type="dxa"/>
                        <w:vMerge/>
                        <w:tcBorders>
                          <w:left w:val="dotted" w:sz="4" w:space="0" w:color="000000"/>
                          <w:bottom w:val="dotted" w:sz="4" w:space="0" w:color="000000"/>
                          <w:right w:val="dotted" w:sz="4" w:space="0" w:color="000000"/>
                        </w:tcBorders>
                      </w:tcPr>
                      <w:p>
                        <w:pPr/>
                      </w:p>
                    </w:tc>
                    <w:tc>
                      <w:tcPr>
                        <w:tcW w:w="1217" w:type="dxa"/>
                        <w:vMerge/>
                        <w:tcBorders>
                          <w:left w:val="dotted" w:sz="4" w:space="0" w:color="000000"/>
                          <w:bottom w:val="dotted" w:sz="4" w:space="0" w:color="000000"/>
                          <w:right w:val="dotted" w:sz="4" w:space="0" w:color="000000"/>
                        </w:tcBorders>
                      </w:tcPr>
                      <w:p>
                        <w:pPr/>
                      </w:p>
                    </w:tc>
                    <w:tc>
                      <w:tcPr>
                        <w:tcW w:w="1214" w:type="dxa"/>
                        <w:vMerge/>
                        <w:tcBorders>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计入损益</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06" w:lineRule="exact"/>
                          <w:ind w:left="443" w:right="120" w:hanging="322"/>
                          <w:jc w:val="left"/>
                          <w:rPr>
                            <w:rFonts w:ascii="宋体" w:hAnsi="宋体" w:cs="宋体" w:eastAsia="宋体" w:hint="default"/>
                            <w:sz w:val="16"/>
                            <w:szCs w:val="16"/>
                          </w:rPr>
                        </w:pPr>
                        <w:r>
                          <w:rPr>
                            <w:rFonts w:ascii="宋体" w:hAnsi="宋体" w:cs="宋体" w:eastAsia="宋体" w:hint="default"/>
                            <w:sz w:val="16"/>
                            <w:szCs w:val="16"/>
                          </w:rPr>
                          <w:t>计入其他综合</w:t>
                        </w:r>
                        <w:r>
                          <w:rPr>
                            <w:rFonts w:ascii="宋体" w:hAnsi="宋体" w:cs="宋体" w:eastAsia="宋体" w:hint="default"/>
                            <w:w w:val="100"/>
                            <w:sz w:val="16"/>
                            <w:szCs w:val="16"/>
                          </w:rPr>
                          <w:t> </w:t>
                        </w:r>
                        <w:r>
                          <w:rPr>
                            <w:rFonts w:ascii="宋体" w:hAnsi="宋体" w:cs="宋体" w:eastAsia="宋体" w:hint="default"/>
                            <w:sz w:val="16"/>
                            <w:szCs w:val="16"/>
                          </w:rPr>
                          <w:t>收益</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购买</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10" w:right="0"/>
                          <w:jc w:val="left"/>
                          <w:rPr>
                            <w:rFonts w:ascii="宋体" w:hAnsi="宋体" w:cs="宋体" w:eastAsia="宋体" w:hint="default"/>
                            <w:sz w:val="16"/>
                            <w:szCs w:val="16"/>
                          </w:rPr>
                        </w:pPr>
                        <w:r>
                          <w:rPr>
                            <w:rFonts w:ascii="宋体" w:hAnsi="宋体" w:cs="宋体" w:eastAsia="宋体" w:hint="default"/>
                            <w:sz w:val="16"/>
                            <w:szCs w:val="16"/>
                          </w:rPr>
                          <w:t>发行</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60" w:right="0"/>
                          <w:jc w:val="left"/>
                          <w:rPr>
                            <w:rFonts w:ascii="宋体" w:hAnsi="宋体" w:cs="宋体" w:eastAsia="宋体" w:hint="default"/>
                            <w:sz w:val="16"/>
                            <w:szCs w:val="16"/>
                          </w:rPr>
                        </w:pPr>
                        <w:r>
                          <w:rPr>
                            <w:rFonts w:ascii="宋体" w:hAnsi="宋体" w:cs="宋体" w:eastAsia="宋体" w:hint="default"/>
                            <w:sz w:val="16"/>
                            <w:szCs w:val="16"/>
                          </w:rPr>
                          <w:t>出售</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结算</w:t>
                        </w:r>
                      </w:p>
                    </w:tc>
                    <w:tc>
                      <w:tcPr>
                        <w:tcW w:w="1354" w:type="dxa"/>
                        <w:vMerge/>
                        <w:tcBorders>
                          <w:left w:val="dotted" w:sz="4" w:space="0" w:color="000000"/>
                          <w:bottom w:val="dotted" w:sz="4" w:space="0" w:color="000000"/>
                          <w:right w:val="dotted" w:sz="4" w:space="0" w:color="000000"/>
                        </w:tcBorders>
                      </w:tcPr>
                      <w:p>
                        <w:pPr/>
                      </w:p>
                    </w:tc>
                    <w:tc>
                      <w:tcPr>
                        <w:tcW w:w="1210" w:type="dxa"/>
                        <w:vMerge/>
                        <w:tcBorders>
                          <w:left w:val="dotted" w:sz="4" w:space="0" w:color="000000"/>
                          <w:bottom w:val="dotted" w:sz="4" w:space="0" w:color="000000"/>
                          <w:right w:val="nil" w:sz="6" w:space="0" w:color="auto"/>
                        </w:tcBorders>
                      </w:tcPr>
                      <w:p>
                        <w:pP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304" w:right="0"/>
                          <w:jc w:val="left"/>
                          <w:rPr>
                            <w:rFonts w:ascii="Times New Roman" w:hAnsi="Times New Roman" w:cs="Times New Roman" w:eastAsia="Times New Roman" w:hint="default"/>
                            <w:sz w:val="16"/>
                            <w:szCs w:val="16"/>
                          </w:rPr>
                        </w:pPr>
                        <w:r>
                          <w:rPr>
                            <w:rFonts w:ascii="Times New Roman"/>
                            <w:sz w:val="16"/>
                          </w:rPr>
                          <w:t>17,524,000.00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383" w:right="0"/>
                          <w:jc w:val="left"/>
                          <w:rPr>
                            <w:rFonts w:ascii="Times New Roman" w:hAnsi="Times New Roman" w:cs="Times New Roman" w:eastAsia="Times New Roman" w:hint="default"/>
                            <w:sz w:val="16"/>
                            <w:szCs w:val="16"/>
                          </w:rPr>
                        </w:pPr>
                        <w:r>
                          <w:rPr>
                            <w:rFonts w:ascii="Times New Roman"/>
                            <w:sz w:val="16"/>
                          </w:rPr>
                          <w:t>391,600.00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18"/>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263" w:right="0"/>
                          <w:jc w:val="left"/>
                          <w:rPr>
                            <w:rFonts w:ascii="Times New Roman" w:hAnsi="Times New Roman" w:cs="Times New Roman" w:eastAsia="Times New Roman" w:hint="default"/>
                            <w:sz w:val="16"/>
                            <w:szCs w:val="16"/>
                          </w:rPr>
                        </w:pPr>
                        <w:r>
                          <w:rPr>
                            <w:rFonts w:ascii="Times New Roman"/>
                            <w:sz w:val="16"/>
                          </w:rPr>
                          <w:t>2,567,635.63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20"/>
                          <w:jc w:val="right"/>
                          <w:rPr>
                            <w:rFonts w:ascii="宋体" w:hAnsi="宋体" w:cs="宋体" w:eastAsia="宋体" w:hint="default"/>
                            <w:sz w:val="16"/>
                            <w:szCs w:val="16"/>
                          </w:rPr>
                        </w:pPr>
                        <w:r>
                          <w:rPr>
                            <w:rFonts w:ascii="宋体"/>
                            <w:w w:val="100"/>
                            <w:sz w:val="16"/>
                          </w:rPr>
                          <w:t> </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156" w:right="0"/>
                          <w:jc w:val="left"/>
                          <w:rPr>
                            <w:rFonts w:ascii="Times New Roman" w:hAnsi="Times New Roman" w:cs="Times New Roman" w:eastAsia="Times New Roman" w:hint="default"/>
                            <w:sz w:val="16"/>
                            <w:szCs w:val="16"/>
                          </w:rPr>
                        </w:pPr>
                        <w:r>
                          <w:rPr>
                            <w:rFonts w:ascii="Times New Roman"/>
                            <w:sz w:val="16"/>
                          </w:rPr>
                          <w:t>626,000,000.00</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156" w:right="0"/>
                          <w:jc w:val="left"/>
                          <w:rPr>
                            <w:rFonts w:ascii="Times New Roman" w:hAnsi="Times New Roman" w:cs="Times New Roman" w:eastAsia="Times New Roman" w:hint="default"/>
                            <w:sz w:val="16"/>
                            <w:szCs w:val="16"/>
                          </w:rPr>
                        </w:pPr>
                        <w:r>
                          <w:rPr>
                            <w:rFonts w:ascii="Times New Roman"/>
                            <w:sz w:val="16"/>
                          </w:rPr>
                          <w:t>497,567,635.63</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240" w:right="0"/>
                          <w:jc w:val="left"/>
                          <w:rPr>
                            <w:rFonts w:ascii="Times New Roman" w:hAnsi="Times New Roman" w:cs="Times New Roman" w:eastAsia="Times New Roman" w:hint="default"/>
                            <w:sz w:val="16"/>
                            <w:szCs w:val="16"/>
                          </w:rPr>
                        </w:pPr>
                        <w:r>
                          <w:rPr>
                            <w:rFonts w:ascii="Times New Roman"/>
                            <w:sz w:val="16"/>
                          </w:rPr>
                          <w:t>148,915,600.00</w:t>
                        </w: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768"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13"/>
                          <w:jc w:val="both"/>
                          <w:rPr>
                            <w:rFonts w:ascii="宋体" w:hAnsi="宋体" w:cs="宋体" w:eastAsia="宋体" w:hint="default"/>
                            <w:sz w:val="16"/>
                            <w:szCs w:val="16"/>
                          </w:rPr>
                        </w:pPr>
                        <w:r>
                          <w:rPr>
                            <w:rFonts w:ascii="宋体" w:hAnsi="宋体" w:cs="宋体" w:eastAsia="宋体" w:hint="default"/>
                            <w:sz w:val="16"/>
                            <w:szCs w:val="16"/>
                          </w:rPr>
                          <w:t>以公允价值计量且其</w:t>
                        </w:r>
                        <w:r>
                          <w:rPr>
                            <w:rFonts w:ascii="宋体" w:hAnsi="宋体" w:cs="宋体" w:eastAsia="宋体" w:hint="default"/>
                            <w:w w:val="100"/>
                            <w:sz w:val="16"/>
                            <w:szCs w:val="16"/>
                          </w:rPr>
                          <w:t> </w:t>
                        </w:r>
                        <w:r>
                          <w:rPr>
                            <w:rFonts w:ascii="宋体" w:hAnsi="宋体" w:cs="宋体" w:eastAsia="宋体" w:hint="default"/>
                            <w:sz w:val="16"/>
                            <w:szCs w:val="16"/>
                          </w:rPr>
                          <w:t>变动计入当期损益的</w:t>
                        </w:r>
                        <w:r>
                          <w:rPr>
                            <w:rFonts w:ascii="宋体" w:hAnsi="宋体" w:cs="宋体" w:eastAsia="宋体" w:hint="default"/>
                            <w:w w:val="100"/>
                            <w:sz w:val="16"/>
                            <w:szCs w:val="16"/>
                          </w:rPr>
                          <w:t> </w:t>
                        </w:r>
                        <w:r>
                          <w:rPr>
                            <w:rFonts w:ascii="宋体" w:hAnsi="宋体" w:cs="宋体" w:eastAsia="宋体" w:hint="default"/>
                            <w:sz w:val="16"/>
                            <w:szCs w:val="16"/>
                          </w:rPr>
                          <w:t>金融资产</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304" w:right="0"/>
                          <w:jc w:val="left"/>
                          <w:rPr>
                            <w:rFonts w:ascii="Times New Roman" w:hAnsi="Times New Roman" w:cs="Times New Roman" w:eastAsia="Times New Roman" w:hint="default"/>
                            <w:sz w:val="16"/>
                            <w:szCs w:val="16"/>
                          </w:rPr>
                        </w:pPr>
                        <w:r>
                          <w:rPr>
                            <w:rFonts w:ascii="Times New Roman"/>
                            <w:sz w:val="16"/>
                          </w:rPr>
                          <w:t>17,524,000.00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383" w:right="0"/>
                          <w:jc w:val="left"/>
                          <w:rPr>
                            <w:rFonts w:ascii="Times New Roman" w:hAnsi="Times New Roman" w:cs="Times New Roman" w:eastAsia="Times New Roman" w:hint="default"/>
                            <w:sz w:val="16"/>
                            <w:szCs w:val="16"/>
                          </w:rPr>
                        </w:pPr>
                        <w:r>
                          <w:rPr>
                            <w:rFonts w:ascii="Times New Roman"/>
                            <w:sz w:val="16"/>
                          </w:rPr>
                          <w:t>391,600.00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18"/>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63" w:right="0"/>
                          <w:jc w:val="left"/>
                          <w:rPr>
                            <w:rFonts w:ascii="Times New Roman" w:hAnsi="Times New Roman" w:cs="Times New Roman" w:eastAsia="Times New Roman" w:hint="default"/>
                            <w:sz w:val="16"/>
                            <w:szCs w:val="16"/>
                          </w:rPr>
                        </w:pPr>
                        <w:r>
                          <w:rPr>
                            <w:rFonts w:ascii="Times New Roman"/>
                            <w:sz w:val="16"/>
                          </w:rPr>
                          <w:t>2,567,635.63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56" w:right="0"/>
                          <w:jc w:val="left"/>
                          <w:rPr>
                            <w:rFonts w:ascii="Times New Roman" w:hAnsi="Times New Roman" w:cs="Times New Roman" w:eastAsia="Times New Roman" w:hint="default"/>
                            <w:sz w:val="16"/>
                            <w:szCs w:val="16"/>
                          </w:rPr>
                        </w:pPr>
                        <w:r>
                          <w:rPr>
                            <w:rFonts w:ascii="Times New Roman"/>
                            <w:sz w:val="16"/>
                          </w:rPr>
                          <w:t>626,000,000.00</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56" w:right="0"/>
                          <w:jc w:val="left"/>
                          <w:rPr>
                            <w:rFonts w:ascii="Times New Roman" w:hAnsi="Times New Roman" w:cs="Times New Roman" w:eastAsia="Times New Roman" w:hint="default"/>
                            <w:sz w:val="16"/>
                            <w:szCs w:val="16"/>
                          </w:rPr>
                        </w:pPr>
                        <w:r>
                          <w:rPr>
                            <w:rFonts w:ascii="Times New Roman"/>
                            <w:sz w:val="16"/>
                          </w:rPr>
                          <w:t>497,567,635.63</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40" w:right="0"/>
                          <w:jc w:val="left"/>
                          <w:rPr>
                            <w:rFonts w:ascii="Times New Roman" w:hAnsi="Times New Roman" w:cs="Times New Roman" w:eastAsia="Times New Roman" w:hint="default"/>
                            <w:sz w:val="16"/>
                            <w:szCs w:val="16"/>
                          </w:rPr>
                        </w:pPr>
                        <w:r>
                          <w:rPr>
                            <w:rFonts w:ascii="Times New Roman"/>
                            <w:sz w:val="16"/>
                          </w:rPr>
                          <w:t>148,915,600.00</w:t>
                        </w: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权益工具投资</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1"/>
                          <w:jc w:val="right"/>
                          <w:rPr>
                            <w:rFonts w:ascii="宋体" w:hAnsi="宋体" w:cs="宋体" w:eastAsia="宋体" w:hint="default"/>
                            <w:sz w:val="16"/>
                            <w:szCs w:val="16"/>
                          </w:rPr>
                        </w:pPr>
                        <w:r>
                          <w:rPr>
                            <w:rFonts w:ascii="宋体"/>
                            <w:w w:val="100"/>
                            <w:sz w:val="16"/>
                          </w:rPr>
                          <w:t> </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理财产品</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1"/>
                          <w:jc w:val="right"/>
                          <w:rPr>
                            <w:rFonts w:ascii="宋体" w:hAnsi="宋体" w:cs="宋体" w:eastAsia="宋体" w:hint="default"/>
                            <w:sz w:val="16"/>
                            <w:szCs w:val="16"/>
                          </w:rPr>
                        </w:pPr>
                        <w:r>
                          <w:rPr>
                            <w:rFonts w:ascii="宋体"/>
                            <w:w w:val="100"/>
                            <w:sz w:val="16"/>
                          </w:rPr>
                          <w:t> </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18"/>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63" w:right="0"/>
                          <w:jc w:val="left"/>
                          <w:rPr>
                            <w:rFonts w:ascii="Times New Roman" w:hAnsi="Times New Roman" w:cs="Times New Roman" w:eastAsia="Times New Roman" w:hint="default"/>
                            <w:sz w:val="16"/>
                            <w:szCs w:val="16"/>
                          </w:rPr>
                        </w:pPr>
                        <w:r>
                          <w:rPr>
                            <w:rFonts w:ascii="Times New Roman"/>
                            <w:sz w:val="16"/>
                          </w:rPr>
                          <w:t>2,567,635.63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56" w:right="0"/>
                          <w:jc w:val="left"/>
                          <w:rPr>
                            <w:rFonts w:ascii="Times New Roman" w:hAnsi="Times New Roman" w:cs="Times New Roman" w:eastAsia="Times New Roman" w:hint="default"/>
                            <w:sz w:val="16"/>
                            <w:szCs w:val="16"/>
                          </w:rPr>
                        </w:pPr>
                        <w:r>
                          <w:rPr>
                            <w:rFonts w:ascii="Times New Roman"/>
                            <w:sz w:val="16"/>
                          </w:rPr>
                          <w:t>625,000,000.00</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56" w:right="0"/>
                          <w:jc w:val="left"/>
                          <w:rPr>
                            <w:rFonts w:ascii="Times New Roman" w:hAnsi="Times New Roman" w:cs="Times New Roman" w:eastAsia="Times New Roman" w:hint="default"/>
                            <w:sz w:val="16"/>
                            <w:szCs w:val="16"/>
                          </w:rPr>
                        </w:pPr>
                        <w:r>
                          <w:rPr>
                            <w:rFonts w:ascii="Times New Roman"/>
                            <w:sz w:val="16"/>
                          </w:rPr>
                          <w:t>497,567,635.63</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40" w:right="0"/>
                          <w:jc w:val="left"/>
                          <w:rPr>
                            <w:rFonts w:ascii="Times New Roman" w:hAnsi="Times New Roman" w:cs="Times New Roman" w:eastAsia="Times New Roman" w:hint="default"/>
                            <w:sz w:val="16"/>
                            <w:szCs w:val="16"/>
                          </w:rPr>
                        </w:pPr>
                        <w:r>
                          <w:rPr>
                            <w:rFonts w:ascii="Times New Roman"/>
                            <w:sz w:val="16"/>
                          </w:rPr>
                          <w:t>130,000,000.00</w:t>
                        </w: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混合工具</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304" w:right="0"/>
                          <w:jc w:val="left"/>
                          <w:rPr>
                            <w:rFonts w:ascii="Times New Roman" w:hAnsi="Times New Roman" w:cs="Times New Roman" w:eastAsia="Times New Roman" w:hint="default"/>
                            <w:sz w:val="16"/>
                            <w:szCs w:val="16"/>
                          </w:rPr>
                        </w:pPr>
                        <w:r>
                          <w:rPr>
                            <w:rFonts w:ascii="Times New Roman"/>
                            <w:sz w:val="16"/>
                          </w:rPr>
                          <w:t>17,524,000.00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383" w:right="0"/>
                          <w:jc w:val="left"/>
                          <w:rPr>
                            <w:rFonts w:ascii="Times New Roman" w:hAnsi="Times New Roman" w:cs="Times New Roman" w:eastAsia="Times New Roman" w:hint="default"/>
                            <w:sz w:val="16"/>
                            <w:szCs w:val="16"/>
                          </w:rPr>
                        </w:pPr>
                        <w:r>
                          <w:rPr>
                            <w:rFonts w:ascii="Times New Roman"/>
                            <w:sz w:val="16"/>
                          </w:rPr>
                          <w:t>391,600.00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322" w:right="0"/>
                          <w:jc w:val="left"/>
                          <w:rPr>
                            <w:rFonts w:ascii="Times New Roman" w:hAnsi="Times New Roman" w:cs="Times New Roman" w:eastAsia="Times New Roman" w:hint="default"/>
                            <w:sz w:val="16"/>
                            <w:szCs w:val="16"/>
                          </w:rPr>
                        </w:pPr>
                        <w:r>
                          <w:rPr>
                            <w:rFonts w:ascii="Times New Roman"/>
                            <w:sz w:val="16"/>
                          </w:rPr>
                          <w:t>17,915,600.00</w:t>
                        </w: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债务工具投资</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1"/>
                          <w:jc w:val="right"/>
                          <w:rPr>
                            <w:rFonts w:ascii="宋体" w:hAnsi="宋体" w:cs="宋体" w:eastAsia="宋体" w:hint="default"/>
                            <w:sz w:val="16"/>
                            <w:szCs w:val="16"/>
                          </w:rPr>
                        </w:pPr>
                        <w:r>
                          <w:rPr>
                            <w:rFonts w:ascii="宋体"/>
                            <w:w w:val="100"/>
                            <w:sz w:val="16"/>
                          </w:rPr>
                          <w:t> </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317" w:right="0"/>
                          <w:jc w:val="left"/>
                          <w:rPr>
                            <w:rFonts w:ascii="Times New Roman" w:hAnsi="Times New Roman" w:cs="Times New Roman" w:eastAsia="Times New Roman" w:hint="default"/>
                            <w:sz w:val="16"/>
                            <w:szCs w:val="16"/>
                          </w:rPr>
                        </w:pPr>
                        <w:r>
                          <w:rPr>
                            <w:rFonts w:ascii="Times New Roman"/>
                            <w:sz w:val="16"/>
                          </w:rPr>
                          <w:t>1,000,000.00</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1,000,000.00</w:t>
                        </w: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768"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45"/>
                          <w:ind w:left="122" w:right="113"/>
                          <w:jc w:val="both"/>
                          <w:rPr>
                            <w:rFonts w:ascii="宋体" w:hAnsi="宋体" w:cs="宋体" w:eastAsia="宋体" w:hint="default"/>
                            <w:sz w:val="16"/>
                            <w:szCs w:val="16"/>
                          </w:rPr>
                        </w:pPr>
                        <w:r>
                          <w:rPr>
                            <w:rFonts w:ascii="宋体" w:hAnsi="宋体" w:cs="宋体" w:eastAsia="宋体" w:hint="default"/>
                            <w:sz w:val="16"/>
                            <w:szCs w:val="16"/>
                          </w:rPr>
                          <w:t>指定为以公允价值计</w:t>
                        </w:r>
                        <w:r>
                          <w:rPr>
                            <w:rFonts w:ascii="宋体" w:hAnsi="宋体" w:cs="宋体" w:eastAsia="宋体" w:hint="default"/>
                            <w:w w:val="100"/>
                            <w:sz w:val="16"/>
                            <w:szCs w:val="16"/>
                          </w:rPr>
                          <w:t> </w:t>
                        </w:r>
                        <w:r>
                          <w:rPr>
                            <w:rFonts w:ascii="宋体" w:hAnsi="宋体" w:cs="宋体" w:eastAsia="宋体" w:hint="default"/>
                            <w:sz w:val="16"/>
                            <w:szCs w:val="16"/>
                          </w:rPr>
                          <w:t>量且其变动计入当期</w:t>
                        </w:r>
                        <w:r>
                          <w:rPr>
                            <w:rFonts w:ascii="宋体" w:hAnsi="宋体" w:cs="宋体" w:eastAsia="宋体" w:hint="default"/>
                            <w:w w:val="100"/>
                            <w:sz w:val="16"/>
                            <w:szCs w:val="16"/>
                          </w:rPr>
                          <w:t> </w:t>
                        </w:r>
                        <w:r>
                          <w:rPr>
                            <w:rFonts w:ascii="宋体" w:hAnsi="宋体" w:cs="宋体" w:eastAsia="宋体" w:hint="default"/>
                            <w:sz w:val="16"/>
                            <w:szCs w:val="16"/>
                          </w:rPr>
                          <w:t>损益的金融资产</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653"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债务工具投资</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653"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◆应收款项融资</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388" w:right="0"/>
                          <w:jc w:val="left"/>
                          <w:rPr>
                            <w:rFonts w:ascii="Times New Roman" w:hAnsi="Times New Roman" w:cs="Times New Roman" w:eastAsia="Times New Roman" w:hint="default"/>
                            <w:sz w:val="16"/>
                            <w:szCs w:val="16"/>
                          </w:rPr>
                        </w:pPr>
                        <w:r>
                          <w:rPr>
                            <w:rFonts w:ascii="Times New Roman"/>
                            <w:sz w:val="16"/>
                          </w:rPr>
                          <w:t>5,152,116.83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29,728,081.91</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37" w:right="0"/>
                          <w:jc w:val="left"/>
                          <w:rPr>
                            <w:rFonts w:ascii="Times New Roman" w:hAnsi="Times New Roman" w:cs="Times New Roman" w:eastAsia="Times New Roman" w:hint="default"/>
                            <w:sz w:val="16"/>
                            <w:szCs w:val="16"/>
                          </w:rPr>
                        </w:pPr>
                        <w:r>
                          <w:rPr>
                            <w:rFonts w:ascii="Times New Roman"/>
                            <w:sz w:val="16"/>
                          </w:rPr>
                          <w:t>29,261,090.54</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5,619,108.20</w:t>
                        </w: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◆其他债权投资</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1"/>
                          <w:jc w:val="right"/>
                          <w:rPr>
                            <w:rFonts w:ascii="宋体" w:hAnsi="宋体" w:cs="宋体" w:eastAsia="宋体" w:hint="default"/>
                            <w:sz w:val="16"/>
                            <w:szCs w:val="16"/>
                          </w:rPr>
                        </w:pPr>
                        <w:r>
                          <w:rPr>
                            <w:rFonts w:ascii="宋体"/>
                            <w:w w:val="100"/>
                            <w:sz w:val="16"/>
                          </w:rPr>
                          <w:t> </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23" w:right="0"/>
                          <w:jc w:val="left"/>
                          <w:rPr>
                            <w:rFonts w:ascii="Times New Roman" w:hAnsi="Times New Roman" w:cs="Times New Roman" w:eastAsia="Times New Roman" w:hint="default"/>
                            <w:sz w:val="16"/>
                            <w:szCs w:val="16"/>
                          </w:rPr>
                        </w:pPr>
                        <w:r>
                          <w:rPr>
                            <w:rFonts w:ascii="Times New Roman"/>
                            <w:sz w:val="16"/>
                          </w:rPr>
                          <w:t>202,321,052.00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1"/>
                          <w:jc w:val="right"/>
                          <w:rPr>
                            <w:rFonts w:ascii="宋体" w:hAnsi="宋体" w:cs="宋体" w:eastAsia="宋体" w:hint="default"/>
                            <w:sz w:val="16"/>
                            <w:szCs w:val="16"/>
                          </w:rPr>
                        </w:pPr>
                        <w:r>
                          <w:rPr>
                            <w:rFonts w:ascii="宋体"/>
                            <w:w w:val="100"/>
                            <w:sz w:val="16"/>
                          </w:rPr>
                          <w:t> </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18"/>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89" w:right="0"/>
                          <w:jc w:val="left"/>
                          <w:rPr>
                            <w:rFonts w:ascii="Times New Roman" w:hAnsi="Times New Roman" w:cs="Times New Roman" w:eastAsia="Times New Roman" w:hint="default"/>
                            <w:sz w:val="16"/>
                            <w:szCs w:val="16"/>
                          </w:rPr>
                        </w:pPr>
                        <w:r>
                          <w:rPr>
                            <w:rFonts w:ascii="Times New Roman"/>
                            <w:sz w:val="16"/>
                          </w:rPr>
                          <w:t>11,077,588.00</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18"/>
                          <w:jc w:val="right"/>
                          <w:rPr>
                            <w:rFonts w:ascii="宋体" w:hAnsi="宋体" w:cs="宋体" w:eastAsia="宋体" w:hint="default"/>
                            <w:sz w:val="16"/>
                            <w:szCs w:val="16"/>
                          </w:rPr>
                        </w:pPr>
                        <w:r>
                          <w:rPr>
                            <w:rFonts w:ascii="宋体"/>
                            <w:w w:val="100"/>
                            <w:sz w:val="16"/>
                          </w:rPr>
                          <w:t> </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40" w:right="0"/>
                          <w:jc w:val="left"/>
                          <w:rPr>
                            <w:rFonts w:ascii="Times New Roman" w:hAnsi="Times New Roman" w:cs="Times New Roman" w:eastAsia="Times New Roman" w:hint="default"/>
                            <w:sz w:val="16"/>
                            <w:szCs w:val="16"/>
                          </w:rPr>
                        </w:pPr>
                        <w:r>
                          <w:rPr>
                            <w:rFonts w:ascii="Times New Roman"/>
                            <w:sz w:val="16"/>
                          </w:rPr>
                          <w:t>213,398,640.00</w:t>
                        </w: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560"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113"/>
                          <w:jc w:val="left"/>
                          <w:rPr>
                            <w:rFonts w:ascii="宋体" w:hAnsi="宋体" w:cs="宋体" w:eastAsia="宋体" w:hint="default"/>
                            <w:sz w:val="16"/>
                            <w:szCs w:val="16"/>
                          </w:rPr>
                        </w:pPr>
                        <w:r>
                          <w:rPr>
                            <w:rFonts w:ascii="宋体" w:hAnsi="宋体" w:cs="宋体" w:eastAsia="宋体" w:hint="default"/>
                            <w:sz w:val="16"/>
                            <w:szCs w:val="16"/>
                          </w:rPr>
                          <w:t>◆其他非流动金融资</w:t>
                        </w:r>
                        <w:r>
                          <w:rPr>
                            <w:rFonts w:ascii="宋体" w:hAnsi="宋体" w:cs="宋体" w:eastAsia="宋体" w:hint="default"/>
                            <w:w w:val="100"/>
                            <w:sz w:val="16"/>
                            <w:szCs w:val="16"/>
                          </w:rPr>
                          <w:t> </w:t>
                        </w:r>
                        <w:r>
                          <w:rPr>
                            <w:rFonts w:ascii="宋体" w:hAnsi="宋体" w:cs="宋体" w:eastAsia="宋体" w:hint="default"/>
                            <w:sz w:val="16"/>
                            <w:szCs w:val="16"/>
                          </w:rPr>
                          <w:t>产</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653"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780" w:hRule="exact"/>
                    </w:trPr>
                    <w:tc>
                      <w:tcPr>
                        <w:tcW w:w="1685" w:type="dxa"/>
                        <w:tcBorders>
                          <w:top w:val="dotted" w:sz="4" w:space="0" w:color="000000"/>
                          <w:left w:val="nil" w:sz="6" w:space="0" w:color="auto"/>
                          <w:bottom w:val="single" w:sz="12" w:space="0" w:color="000000"/>
                          <w:right w:val="dotted" w:sz="4" w:space="0" w:color="000000"/>
                        </w:tcBorders>
                      </w:tcPr>
                      <w:p>
                        <w:pPr>
                          <w:pStyle w:val="TableParagraph"/>
                          <w:spacing w:line="237" w:lineRule="auto" w:before="45"/>
                          <w:ind w:left="122" w:right="113"/>
                          <w:jc w:val="both"/>
                          <w:rPr>
                            <w:rFonts w:ascii="宋体" w:hAnsi="宋体" w:cs="宋体" w:eastAsia="宋体" w:hint="default"/>
                            <w:sz w:val="16"/>
                            <w:szCs w:val="16"/>
                          </w:rPr>
                        </w:pPr>
                        <w:r>
                          <w:rPr>
                            <w:rFonts w:ascii="宋体" w:hAnsi="宋体" w:cs="宋体" w:eastAsia="宋体" w:hint="default"/>
                            <w:sz w:val="16"/>
                            <w:szCs w:val="16"/>
                          </w:rPr>
                          <w:t>以公允价值计量且其</w:t>
                        </w:r>
                        <w:r>
                          <w:rPr>
                            <w:rFonts w:ascii="宋体" w:hAnsi="宋体" w:cs="宋体" w:eastAsia="宋体" w:hint="default"/>
                            <w:w w:val="100"/>
                            <w:sz w:val="16"/>
                            <w:szCs w:val="16"/>
                          </w:rPr>
                          <w:t> </w:t>
                        </w:r>
                        <w:r>
                          <w:rPr>
                            <w:rFonts w:ascii="宋体" w:hAnsi="宋体" w:cs="宋体" w:eastAsia="宋体" w:hint="default"/>
                            <w:sz w:val="16"/>
                            <w:szCs w:val="16"/>
                          </w:rPr>
                          <w:t>变动计入当期损益的</w:t>
                        </w:r>
                        <w:r>
                          <w:rPr>
                            <w:rFonts w:ascii="宋体" w:hAnsi="宋体" w:cs="宋体" w:eastAsia="宋体" w:hint="default"/>
                            <w:w w:val="100"/>
                            <w:sz w:val="16"/>
                            <w:szCs w:val="16"/>
                          </w:rPr>
                          <w:t> </w:t>
                        </w:r>
                        <w:r>
                          <w:rPr>
                            <w:rFonts w:ascii="宋体" w:hAnsi="宋体" w:cs="宋体" w:eastAsia="宋体" w:hint="default"/>
                            <w:sz w:val="16"/>
                            <w:szCs w:val="16"/>
                          </w:rPr>
                          <w:t>金融资产</w:t>
                        </w:r>
                      </w:p>
                    </w:tc>
                    <w:tc>
                      <w:tcPr>
                        <w:tcW w:w="1337" w:type="dxa"/>
                        <w:tcBorders>
                          <w:top w:val="dotted" w:sz="4" w:space="0" w:color="000000"/>
                          <w:left w:val="dotted" w:sz="4" w:space="0" w:color="000000"/>
                          <w:bottom w:val="single" w:sz="12" w:space="0" w:color="000000"/>
                          <w:right w:val="dotted" w:sz="4" w:space="0" w:color="000000"/>
                        </w:tcBorders>
                      </w:tcPr>
                      <w:p>
                        <w:pPr/>
                      </w:p>
                    </w:tc>
                    <w:tc>
                      <w:tcPr>
                        <w:tcW w:w="1217" w:type="dxa"/>
                        <w:tcBorders>
                          <w:top w:val="dotted" w:sz="4" w:space="0" w:color="000000"/>
                          <w:left w:val="dotted" w:sz="4" w:space="0" w:color="000000"/>
                          <w:bottom w:val="single" w:sz="12" w:space="0" w:color="000000"/>
                          <w:right w:val="dotted" w:sz="4" w:space="0" w:color="000000"/>
                        </w:tcBorders>
                      </w:tcPr>
                      <w:p>
                        <w:pPr/>
                      </w:p>
                    </w:tc>
                    <w:tc>
                      <w:tcPr>
                        <w:tcW w:w="1214" w:type="dxa"/>
                        <w:tcBorders>
                          <w:top w:val="dotted" w:sz="4" w:space="0" w:color="000000"/>
                          <w:left w:val="dotted" w:sz="4" w:space="0" w:color="000000"/>
                          <w:bottom w:val="single" w:sz="12" w:space="0" w:color="000000"/>
                          <w:right w:val="dotted" w:sz="4" w:space="0" w:color="000000"/>
                        </w:tcBorders>
                      </w:tcPr>
                      <w:p>
                        <w:pPr/>
                      </w:p>
                    </w:tc>
                    <w:tc>
                      <w:tcPr>
                        <w:tcW w:w="1217" w:type="dxa"/>
                        <w:tcBorders>
                          <w:top w:val="dotted" w:sz="4" w:space="0" w:color="000000"/>
                          <w:left w:val="dotted" w:sz="4" w:space="0" w:color="000000"/>
                          <w:bottom w:val="single" w:sz="12" w:space="0" w:color="000000"/>
                          <w:right w:val="dotted" w:sz="4" w:space="0" w:color="000000"/>
                        </w:tcBorders>
                      </w:tcPr>
                      <w:p>
                        <w:pPr/>
                      </w:p>
                    </w:tc>
                    <w:tc>
                      <w:tcPr>
                        <w:tcW w:w="1217" w:type="dxa"/>
                        <w:tcBorders>
                          <w:top w:val="dotted" w:sz="4" w:space="0" w:color="000000"/>
                          <w:left w:val="dotted" w:sz="4" w:space="0" w:color="000000"/>
                          <w:bottom w:val="single" w:sz="12" w:space="0" w:color="000000"/>
                          <w:right w:val="dotted" w:sz="4" w:space="0" w:color="000000"/>
                        </w:tcBorders>
                      </w:tcPr>
                      <w:p>
                        <w:pPr/>
                      </w:p>
                    </w:tc>
                    <w:tc>
                      <w:tcPr>
                        <w:tcW w:w="1268" w:type="dxa"/>
                        <w:tcBorders>
                          <w:top w:val="dotted" w:sz="4" w:space="0" w:color="000000"/>
                          <w:left w:val="dotted" w:sz="4" w:space="0" w:color="000000"/>
                          <w:bottom w:val="single" w:sz="12" w:space="0" w:color="000000"/>
                          <w:right w:val="dotted" w:sz="4" w:space="0" w:color="000000"/>
                        </w:tcBorders>
                      </w:tcPr>
                      <w:p>
                        <w:pPr/>
                      </w:p>
                    </w:tc>
                    <w:tc>
                      <w:tcPr>
                        <w:tcW w:w="550" w:type="dxa"/>
                        <w:tcBorders>
                          <w:top w:val="dotted" w:sz="4" w:space="0" w:color="000000"/>
                          <w:left w:val="dotted" w:sz="4" w:space="0" w:color="000000"/>
                          <w:bottom w:val="single" w:sz="12" w:space="0" w:color="000000"/>
                          <w:right w:val="dotted" w:sz="4" w:space="0" w:color="000000"/>
                        </w:tcBorders>
                      </w:tcPr>
                      <w:p>
                        <w:pPr/>
                      </w:p>
                    </w:tc>
                    <w:tc>
                      <w:tcPr>
                        <w:tcW w:w="653" w:type="dxa"/>
                        <w:tcBorders>
                          <w:top w:val="dotted" w:sz="4" w:space="0" w:color="000000"/>
                          <w:left w:val="dotted" w:sz="4" w:space="0" w:color="000000"/>
                          <w:bottom w:val="single" w:sz="12" w:space="0" w:color="000000"/>
                          <w:right w:val="dotted" w:sz="4" w:space="0" w:color="000000"/>
                        </w:tcBorders>
                      </w:tcPr>
                      <w:p>
                        <w:pPr/>
                      </w:p>
                    </w:tc>
                    <w:tc>
                      <w:tcPr>
                        <w:tcW w:w="1270" w:type="dxa"/>
                        <w:tcBorders>
                          <w:top w:val="dotted" w:sz="4" w:space="0" w:color="000000"/>
                          <w:left w:val="dotted" w:sz="4" w:space="0" w:color="000000"/>
                          <w:bottom w:val="single" w:sz="12" w:space="0" w:color="000000"/>
                          <w:right w:val="dotted" w:sz="4" w:space="0" w:color="000000"/>
                        </w:tcBorders>
                      </w:tcPr>
                      <w:p>
                        <w:pPr/>
                      </w:p>
                    </w:tc>
                    <w:tc>
                      <w:tcPr>
                        <w:tcW w:w="1354" w:type="dxa"/>
                        <w:tcBorders>
                          <w:top w:val="dotted" w:sz="4" w:space="0" w:color="000000"/>
                          <w:left w:val="dotted" w:sz="4" w:space="0" w:color="000000"/>
                          <w:bottom w:val="single" w:sz="12" w:space="0" w:color="000000"/>
                          <w:right w:val="dotted" w:sz="4" w:space="0" w:color="000000"/>
                        </w:tcBorders>
                      </w:tcPr>
                      <w:p>
                        <w:pPr/>
                      </w:p>
                    </w:tc>
                    <w:tc>
                      <w:tcPr>
                        <w:tcW w:w="1210"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tab/>
      </w:r>
      <w:r>
        <w:rPr>
          <w:spacing w:val="-1"/>
        </w:rPr>
        <w:t>持续的第三层次公允价值计量项目，年初与期末账面价值间的调节信息及不可观察参数敏感性分析</w:t>
      </w:r>
      <w:r>
        <w:rPr>
          <w:spacing w:val="-68"/>
        </w:rPr>
        <w:t> </w:t>
      </w:r>
      <w:r>
        <w:rPr>
          <w:spacing w:val="-68"/>
        </w:rPr>
      </w:r>
      <w:r>
        <w:rPr/>
        <w:t>持续的第三层次公允价值计量项目的调节信息</w:t>
      </w:r>
      <w:r>
        <w:rPr>
          <w:b w:val="0"/>
          <w:bCs w:val="0"/>
        </w:rPr>
      </w:r>
    </w:p>
    <w:p>
      <w:pPr>
        <w:spacing w:after="0" w:line="331" w:lineRule="auto"/>
        <w:jc w:val="left"/>
        <w:sectPr>
          <w:headerReference w:type="default" r:id="rId69"/>
          <w:footerReference w:type="default" r:id="rId70"/>
          <w:pgSz w:w="16840" w:h="11910" w:orient="landscape"/>
          <w:pgMar w:header="753" w:footer="997" w:top="1500" w:bottom="1180" w:left="1300" w:right="1080"/>
          <w:pgNumType w:start="100"/>
        </w:sectPr>
      </w:pPr>
    </w:p>
    <w:p>
      <w:pPr>
        <w:spacing w:line="240" w:lineRule="auto" w:before="1"/>
        <w:rPr>
          <w:rFonts w:ascii="Times New Roman" w:hAnsi="Times New Roman" w:cs="Times New Roman" w:eastAsia="Times New Roman"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1685"/>
        <w:gridCol w:w="1337"/>
        <w:gridCol w:w="1217"/>
        <w:gridCol w:w="1214"/>
        <w:gridCol w:w="1217"/>
        <w:gridCol w:w="1217"/>
        <w:gridCol w:w="1268"/>
        <w:gridCol w:w="550"/>
        <w:gridCol w:w="653"/>
        <w:gridCol w:w="1270"/>
        <w:gridCol w:w="1354"/>
        <w:gridCol w:w="1210"/>
      </w:tblGrid>
      <w:tr>
        <w:trPr>
          <w:trHeight w:val="362" w:hRule="exact"/>
        </w:trPr>
        <w:tc>
          <w:tcPr>
            <w:tcW w:w="168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3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43"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21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转入第三层次</w:t>
            </w:r>
          </w:p>
        </w:tc>
        <w:tc>
          <w:tcPr>
            <w:tcW w:w="121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转出第三层次</w:t>
            </w:r>
          </w:p>
        </w:tc>
        <w:tc>
          <w:tcPr>
            <w:tcW w:w="243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489" w:right="0"/>
              <w:jc w:val="left"/>
              <w:rPr>
                <w:rFonts w:ascii="宋体" w:hAnsi="宋体" w:cs="宋体" w:eastAsia="宋体" w:hint="default"/>
                <w:sz w:val="16"/>
                <w:szCs w:val="16"/>
              </w:rPr>
            </w:pPr>
            <w:r>
              <w:rPr>
                <w:rFonts w:ascii="宋体" w:hAnsi="宋体" w:cs="宋体" w:eastAsia="宋体" w:hint="default"/>
                <w:sz w:val="16"/>
                <w:szCs w:val="16"/>
              </w:rPr>
              <w:t>当期利得或损失总额</w:t>
            </w:r>
          </w:p>
        </w:tc>
        <w:tc>
          <w:tcPr>
            <w:tcW w:w="3740"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left="984" w:right="0"/>
              <w:jc w:val="left"/>
              <w:rPr>
                <w:rFonts w:ascii="宋体" w:hAnsi="宋体" w:cs="宋体" w:eastAsia="宋体" w:hint="default"/>
                <w:sz w:val="16"/>
                <w:szCs w:val="16"/>
              </w:rPr>
            </w:pPr>
            <w:r>
              <w:rPr>
                <w:rFonts w:ascii="宋体" w:hAnsi="宋体" w:cs="宋体" w:eastAsia="宋体" w:hint="default"/>
                <w:sz w:val="16"/>
                <w:szCs w:val="16"/>
              </w:rPr>
              <w:t>购买、发行、出售和结算</w:t>
            </w:r>
          </w:p>
        </w:tc>
        <w:tc>
          <w:tcPr>
            <w:tcW w:w="135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50"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210" w:type="dxa"/>
            <w:vMerge w:val="restart"/>
            <w:tcBorders>
              <w:top w:val="single" w:sz="12" w:space="0" w:color="000000"/>
              <w:left w:val="dotted" w:sz="4" w:space="0" w:color="000000"/>
              <w:right w:val="nil" w:sz="6" w:space="0" w:color="auto"/>
            </w:tcBorders>
          </w:tcPr>
          <w:p>
            <w:pPr>
              <w:pStyle w:val="TableParagraph"/>
              <w:spacing w:line="237" w:lineRule="auto" w:before="45"/>
              <w:ind w:left="120" w:right="120"/>
              <w:jc w:val="center"/>
              <w:rPr>
                <w:rFonts w:ascii="宋体" w:hAnsi="宋体" w:cs="宋体" w:eastAsia="宋体" w:hint="default"/>
                <w:sz w:val="16"/>
                <w:szCs w:val="16"/>
              </w:rPr>
            </w:pPr>
            <w:r>
              <w:rPr>
                <w:rFonts w:ascii="宋体" w:hAnsi="宋体" w:cs="宋体" w:eastAsia="宋体" w:hint="default"/>
                <w:spacing w:val="-1"/>
                <w:sz w:val="16"/>
                <w:szCs w:val="16"/>
              </w:rPr>
              <w:t>对于在报告期</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末持有的资</w:t>
            </w:r>
            <w:r>
              <w:rPr>
                <w:rFonts w:ascii="宋体" w:hAnsi="宋体" w:cs="宋体" w:eastAsia="宋体" w:hint="default"/>
                <w:w w:val="100"/>
                <w:sz w:val="16"/>
                <w:szCs w:val="16"/>
              </w:rPr>
              <w:t> </w:t>
            </w:r>
            <w:r>
              <w:rPr>
                <w:rFonts w:ascii="宋体" w:hAnsi="宋体" w:cs="宋体" w:eastAsia="宋体" w:hint="default"/>
                <w:spacing w:val="-1"/>
                <w:sz w:val="16"/>
                <w:szCs w:val="16"/>
              </w:rPr>
              <w:t>产，计入损益</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pacing w:val="-1"/>
                <w:sz w:val="16"/>
                <w:szCs w:val="16"/>
              </w:rPr>
              <w:t>的当期未实现</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利得或变动</w:t>
            </w:r>
          </w:p>
        </w:tc>
      </w:tr>
      <w:tr>
        <w:trPr>
          <w:trHeight w:val="830" w:hRule="exact"/>
        </w:trPr>
        <w:tc>
          <w:tcPr>
            <w:tcW w:w="1685" w:type="dxa"/>
            <w:vMerge/>
            <w:tcBorders>
              <w:left w:val="nil" w:sz="6" w:space="0" w:color="auto"/>
              <w:bottom w:val="dotted" w:sz="4" w:space="0" w:color="000000"/>
              <w:right w:val="dotted" w:sz="4" w:space="0" w:color="000000"/>
            </w:tcBorders>
          </w:tcPr>
          <w:p>
            <w:pPr/>
          </w:p>
        </w:tc>
        <w:tc>
          <w:tcPr>
            <w:tcW w:w="1337" w:type="dxa"/>
            <w:vMerge/>
            <w:tcBorders>
              <w:left w:val="dotted" w:sz="4" w:space="0" w:color="000000"/>
              <w:bottom w:val="dotted" w:sz="4" w:space="0" w:color="000000"/>
              <w:right w:val="dotted" w:sz="4" w:space="0" w:color="000000"/>
            </w:tcBorders>
          </w:tcPr>
          <w:p>
            <w:pPr/>
          </w:p>
        </w:tc>
        <w:tc>
          <w:tcPr>
            <w:tcW w:w="1217" w:type="dxa"/>
            <w:vMerge/>
            <w:tcBorders>
              <w:left w:val="dotted" w:sz="4" w:space="0" w:color="000000"/>
              <w:bottom w:val="dotted" w:sz="4" w:space="0" w:color="000000"/>
              <w:right w:val="dotted" w:sz="4" w:space="0" w:color="000000"/>
            </w:tcBorders>
          </w:tcPr>
          <w:p>
            <w:pPr/>
          </w:p>
        </w:tc>
        <w:tc>
          <w:tcPr>
            <w:tcW w:w="1214" w:type="dxa"/>
            <w:vMerge/>
            <w:tcBorders>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2" w:right="0"/>
              <w:jc w:val="center"/>
              <w:rPr>
                <w:rFonts w:ascii="宋体" w:hAnsi="宋体" w:cs="宋体" w:eastAsia="宋体" w:hint="default"/>
                <w:sz w:val="16"/>
                <w:szCs w:val="16"/>
              </w:rPr>
            </w:pPr>
            <w:r>
              <w:rPr>
                <w:rFonts w:ascii="宋体" w:hAnsi="宋体" w:cs="宋体" w:eastAsia="宋体" w:hint="default"/>
                <w:sz w:val="16"/>
                <w:szCs w:val="16"/>
              </w:rPr>
              <w:t>计入损益</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06" w:lineRule="exact"/>
              <w:ind w:left="443" w:right="120" w:hanging="322"/>
              <w:jc w:val="left"/>
              <w:rPr>
                <w:rFonts w:ascii="宋体" w:hAnsi="宋体" w:cs="宋体" w:eastAsia="宋体" w:hint="default"/>
                <w:sz w:val="16"/>
                <w:szCs w:val="16"/>
              </w:rPr>
            </w:pPr>
            <w:r>
              <w:rPr>
                <w:rFonts w:ascii="宋体" w:hAnsi="宋体" w:cs="宋体" w:eastAsia="宋体" w:hint="default"/>
                <w:sz w:val="16"/>
                <w:szCs w:val="16"/>
              </w:rPr>
              <w:t>计入其他综合</w:t>
            </w:r>
            <w:r>
              <w:rPr>
                <w:rFonts w:ascii="宋体" w:hAnsi="宋体" w:cs="宋体" w:eastAsia="宋体" w:hint="default"/>
                <w:w w:val="100"/>
                <w:sz w:val="16"/>
                <w:szCs w:val="16"/>
              </w:rPr>
              <w:t> </w:t>
            </w:r>
            <w:r>
              <w:rPr>
                <w:rFonts w:ascii="宋体" w:hAnsi="宋体" w:cs="宋体" w:eastAsia="宋体" w:hint="default"/>
                <w:sz w:val="16"/>
                <w:szCs w:val="16"/>
              </w:rPr>
              <w:t>收益</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5" w:right="0"/>
              <w:jc w:val="center"/>
              <w:rPr>
                <w:rFonts w:ascii="宋体" w:hAnsi="宋体" w:cs="宋体" w:eastAsia="宋体" w:hint="default"/>
                <w:sz w:val="16"/>
                <w:szCs w:val="16"/>
              </w:rPr>
            </w:pPr>
            <w:r>
              <w:rPr>
                <w:rFonts w:ascii="宋体" w:hAnsi="宋体" w:cs="宋体" w:eastAsia="宋体" w:hint="default"/>
                <w:sz w:val="16"/>
                <w:szCs w:val="16"/>
              </w:rPr>
              <w:t>购买</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110" w:right="0"/>
              <w:jc w:val="left"/>
              <w:rPr>
                <w:rFonts w:ascii="宋体" w:hAnsi="宋体" w:cs="宋体" w:eastAsia="宋体" w:hint="default"/>
                <w:sz w:val="16"/>
                <w:szCs w:val="16"/>
              </w:rPr>
            </w:pPr>
            <w:r>
              <w:rPr>
                <w:rFonts w:ascii="宋体" w:hAnsi="宋体" w:cs="宋体" w:eastAsia="宋体" w:hint="default"/>
                <w:sz w:val="16"/>
                <w:szCs w:val="16"/>
              </w:rPr>
              <w:t>发行</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160" w:right="0"/>
              <w:jc w:val="left"/>
              <w:rPr>
                <w:rFonts w:ascii="宋体" w:hAnsi="宋体" w:cs="宋体" w:eastAsia="宋体" w:hint="default"/>
                <w:sz w:val="16"/>
                <w:szCs w:val="16"/>
              </w:rPr>
            </w:pPr>
            <w:r>
              <w:rPr>
                <w:rFonts w:ascii="宋体" w:hAnsi="宋体" w:cs="宋体" w:eastAsia="宋体" w:hint="default"/>
                <w:sz w:val="16"/>
                <w:szCs w:val="16"/>
              </w:rPr>
              <w:t>出售</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2" w:right="0"/>
              <w:jc w:val="center"/>
              <w:rPr>
                <w:rFonts w:ascii="宋体" w:hAnsi="宋体" w:cs="宋体" w:eastAsia="宋体" w:hint="default"/>
                <w:sz w:val="16"/>
                <w:szCs w:val="16"/>
              </w:rPr>
            </w:pPr>
            <w:r>
              <w:rPr>
                <w:rFonts w:ascii="宋体" w:hAnsi="宋体" w:cs="宋体" w:eastAsia="宋体" w:hint="default"/>
                <w:sz w:val="16"/>
                <w:szCs w:val="16"/>
              </w:rPr>
              <w:t>结算</w:t>
            </w:r>
          </w:p>
        </w:tc>
        <w:tc>
          <w:tcPr>
            <w:tcW w:w="1354" w:type="dxa"/>
            <w:vMerge/>
            <w:tcBorders>
              <w:left w:val="dotted" w:sz="4" w:space="0" w:color="000000"/>
              <w:bottom w:val="dotted" w:sz="4" w:space="0" w:color="000000"/>
              <w:right w:val="dotted" w:sz="4" w:space="0" w:color="000000"/>
            </w:tcBorders>
          </w:tcPr>
          <w:p>
            <w:pPr/>
          </w:p>
        </w:tc>
        <w:tc>
          <w:tcPr>
            <w:tcW w:w="1210" w:type="dxa"/>
            <w:vMerge/>
            <w:tcBorders>
              <w:left w:val="dotted" w:sz="4" w:space="0" w:color="000000"/>
              <w:bottom w:val="dotted" w:sz="4" w:space="0" w:color="000000"/>
              <w:right w:val="nil" w:sz="6" w:space="0" w:color="auto"/>
            </w:tcBorders>
          </w:tcPr>
          <w:p>
            <w:pP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债务工具投资</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653"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权益工具投资</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653"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衍生金融资产</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653"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768"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13"/>
              <w:jc w:val="both"/>
              <w:rPr>
                <w:rFonts w:ascii="宋体" w:hAnsi="宋体" w:cs="宋体" w:eastAsia="宋体" w:hint="default"/>
                <w:sz w:val="16"/>
                <w:szCs w:val="16"/>
              </w:rPr>
            </w:pPr>
            <w:r>
              <w:rPr>
                <w:rFonts w:ascii="宋体" w:hAnsi="宋体" w:cs="宋体" w:eastAsia="宋体" w:hint="default"/>
                <w:sz w:val="16"/>
                <w:szCs w:val="16"/>
              </w:rPr>
              <w:t>指定为以公允价值计</w:t>
            </w:r>
            <w:r>
              <w:rPr>
                <w:rFonts w:ascii="宋体" w:hAnsi="宋体" w:cs="宋体" w:eastAsia="宋体" w:hint="default"/>
                <w:w w:val="100"/>
                <w:sz w:val="16"/>
                <w:szCs w:val="16"/>
              </w:rPr>
              <w:t> </w:t>
            </w:r>
            <w:r>
              <w:rPr>
                <w:rFonts w:ascii="宋体" w:hAnsi="宋体" w:cs="宋体" w:eastAsia="宋体" w:hint="default"/>
                <w:sz w:val="16"/>
                <w:szCs w:val="16"/>
              </w:rPr>
              <w:t>量且其变动计入当期</w:t>
            </w:r>
            <w:r>
              <w:rPr>
                <w:rFonts w:ascii="宋体" w:hAnsi="宋体" w:cs="宋体" w:eastAsia="宋体" w:hint="default"/>
                <w:w w:val="100"/>
                <w:sz w:val="16"/>
                <w:szCs w:val="16"/>
              </w:rPr>
              <w:t> </w:t>
            </w:r>
            <w:r>
              <w:rPr>
                <w:rFonts w:ascii="宋体" w:hAnsi="宋体" w:cs="宋体" w:eastAsia="宋体" w:hint="default"/>
                <w:sz w:val="16"/>
                <w:szCs w:val="16"/>
              </w:rPr>
              <w:t>损益的金融资产</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653"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债务工具投资</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653"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3" w:right="0"/>
              <w:jc w:val="left"/>
              <w:rPr>
                <w:rFonts w:ascii="Times New Roman" w:hAnsi="Times New Roman" w:cs="Times New Roman" w:eastAsia="Times New Roman" w:hint="default"/>
                <w:sz w:val="16"/>
                <w:szCs w:val="16"/>
              </w:rPr>
            </w:pPr>
            <w:r>
              <w:rPr>
                <w:rFonts w:ascii="Times New Roman"/>
                <w:sz w:val="16"/>
              </w:rPr>
              <w:t>1,758,671,860.90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0" w:right="0"/>
              <w:jc w:val="left"/>
              <w:rPr>
                <w:rFonts w:ascii="Times New Roman" w:hAnsi="Times New Roman" w:cs="Times New Roman" w:eastAsia="Times New Roman" w:hint="default"/>
                <w:sz w:val="16"/>
                <w:szCs w:val="16"/>
              </w:rPr>
            </w:pPr>
            <w:r>
              <w:rPr>
                <w:rFonts w:ascii="Times New Roman"/>
                <w:sz w:val="16"/>
              </w:rPr>
              <w:t>688,811,480.06</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 w:right="0"/>
              <w:jc w:val="center"/>
              <w:rPr>
                <w:rFonts w:ascii="Times New Roman" w:hAnsi="Times New Roman" w:cs="Times New Roman" w:eastAsia="Times New Roman" w:hint="default"/>
                <w:sz w:val="16"/>
                <w:szCs w:val="16"/>
              </w:rPr>
            </w:pPr>
            <w:r>
              <w:rPr>
                <w:rFonts w:ascii="Times New Roman"/>
                <w:sz w:val="16"/>
              </w:rPr>
              <w:t>347,863,600.70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6"/>
                <w:szCs w:val="16"/>
              </w:rPr>
            </w:pPr>
            <w:r>
              <w:rPr>
                <w:rFonts w:ascii="Times New Roman"/>
                <w:sz w:val="16"/>
              </w:rPr>
              <w:t>210,506,650.78</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464,869,797.55</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Times New Roman"/>
                <w:spacing w:val="-1"/>
                <w:sz w:val="16"/>
              </w:rPr>
              <w:t>2,774,996,188.59</w:t>
            </w: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0"/>
              <w:jc w:val="center"/>
              <w:rPr>
                <w:rFonts w:ascii="Times New Roman" w:hAnsi="Times New Roman" w:cs="Times New Roman" w:eastAsia="Times New Roman" w:hint="default"/>
                <w:sz w:val="16"/>
                <w:szCs w:val="16"/>
              </w:rPr>
            </w:pPr>
            <w:r>
              <w:rPr>
                <w:rFonts w:ascii="Times New Roman"/>
                <w:sz w:val="16"/>
              </w:rPr>
              <w:t>924,117,465.48</w:t>
            </w: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出租的土地使用权</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84" w:right="0"/>
              <w:jc w:val="left"/>
              <w:rPr>
                <w:rFonts w:ascii="Times New Roman" w:hAnsi="Times New Roman" w:cs="Times New Roman" w:eastAsia="Times New Roman" w:hint="default"/>
                <w:sz w:val="16"/>
                <w:szCs w:val="16"/>
              </w:rPr>
            </w:pPr>
            <w:r>
              <w:rPr>
                <w:rFonts w:ascii="Times New Roman"/>
                <w:sz w:val="16"/>
              </w:rPr>
              <w:t>93,375,420.28</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84" w:right="0"/>
              <w:jc w:val="center"/>
              <w:rPr>
                <w:rFonts w:ascii="Times New Roman" w:hAnsi="Times New Roman" w:cs="Times New Roman" w:eastAsia="Times New Roman" w:hint="default"/>
                <w:sz w:val="16"/>
                <w:szCs w:val="16"/>
              </w:rPr>
            </w:pPr>
            <w:r>
              <w:rPr>
                <w:rFonts w:ascii="Times New Roman"/>
                <w:sz w:val="16"/>
              </w:rPr>
              <w:t>45,343,136.59</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82" w:right="0"/>
              <w:jc w:val="center"/>
              <w:rPr>
                <w:rFonts w:ascii="Times New Roman" w:hAnsi="Times New Roman" w:cs="Times New Roman" w:eastAsia="Times New Roman" w:hint="default"/>
                <w:sz w:val="16"/>
                <w:szCs w:val="16"/>
              </w:rPr>
            </w:pPr>
            <w:r>
              <w:rPr>
                <w:rFonts w:ascii="Times New Roman"/>
                <w:sz w:val="16"/>
              </w:rPr>
              <w:t>17,153,222.36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2"/>
                <w:sz w:val="16"/>
              </w:rPr>
              <w:t>107,611,343.95</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8"/>
              <w:jc w:val="right"/>
              <w:rPr>
                <w:rFonts w:ascii="宋体" w:hAnsi="宋体" w:cs="宋体" w:eastAsia="宋体" w:hint="default"/>
                <w:sz w:val="16"/>
                <w:szCs w:val="16"/>
              </w:rPr>
            </w:pPr>
            <w:r>
              <w:rPr>
                <w:rFonts w:ascii="宋体"/>
                <w:w w:val="100"/>
                <w:sz w:val="16"/>
              </w:rPr>
              <w:t> </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172,796,850.00</w:t>
            </w:r>
          </w:p>
        </w:tc>
        <w:tc>
          <w:tcPr>
            <w:tcW w:w="1210" w:type="dxa"/>
            <w:vMerge w:val="restart"/>
            <w:tcBorders>
              <w:top w:val="dotted" w:sz="4" w:space="0" w:color="000000"/>
              <w:left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Times New Roman" w:hAnsi="Times New Roman" w:cs="Times New Roman" w:eastAsia="Times New Roman" w:hint="default"/>
                <w:sz w:val="16"/>
                <w:szCs w:val="16"/>
              </w:rPr>
            </w:pPr>
            <w:r>
              <w:rPr>
                <w:rFonts w:ascii="Times New Roman"/>
                <w:sz w:val="16"/>
              </w:rPr>
              <w:t>924,117,465.48</w:t>
            </w: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出租的建筑物</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Times New Roman" w:hAnsi="Times New Roman" w:cs="Times New Roman" w:eastAsia="Times New Roman" w:hint="default"/>
                <w:sz w:val="16"/>
                <w:szCs w:val="16"/>
              </w:rPr>
            </w:pPr>
            <w:r>
              <w:rPr>
                <w:rFonts w:ascii="Times New Roman"/>
                <w:sz w:val="16"/>
              </w:rPr>
              <w:t>1,758,671,860.90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Times New Roman" w:hAnsi="Times New Roman" w:cs="Times New Roman" w:eastAsia="Times New Roman" w:hint="default"/>
                <w:sz w:val="16"/>
                <w:szCs w:val="16"/>
              </w:rPr>
            </w:pPr>
            <w:r>
              <w:rPr>
                <w:rFonts w:ascii="Times New Roman"/>
                <w:sz w:val="16"/>
              </w:rPr>
              <w:t>595,436,059.78</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 w:right="0"/>
              <w:jc w:val="center"/>
              <w:rPr>
                <w:rFonts w:ascii="Times New Roman" w:hAnsi="Times New Roman" w:cs="Times New Roman" w:eastAsia="Times New Roman" w:hint="default"/>
                <w:sz w:val="16"/>
                <w:szCs w:val="16"/>
              </w:rPr>
            </w:pPr>
            <w:r>
              <w:rPr>
                <w:rFonts w:ascii="Times New Roman"/>
                <w:sz w:val="16"/>
              </w:rPr>
              <w:t>302,520,464.11</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0"/>
              <w:jc w:val="center"/>
              <w:rPr>
                <w:rFonts w:ascii="Times New Roman" w:hAnsi="Times New Roman" w:cs="Times New Roman" w:eastAsia="Times New Roman" w:hint="default"/>
                <w:sz w:val="16"/>
                <w:szCs w:val="16"/>
              </w:rPr>
            </w:pPr>
            <w:r>
              <w:rPr>
                <w:rFonts w:ascii="Times New Roman"/>
                <w:sz w:val="16"/>
              </w:rPr>
              <w:t>193,353,428.42</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357,258,453.60</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18"/>
              <w:jc w:val="right"/>
              <w:rPr>
                <w:rFonts w:ascii="宋体" w:hAnsi="宋体" w:cs="宋体" w:eastAsia="宋体" w:hint="default"/>
                <w:sz w:val="16"/>
                <w:szCs w:val="16"/>
              </w:rPr>
            </w:pPr>
            <w:r>
              <w:rPr>
                <w:rFonts w:ascii="宋体"/>
                <w:w w:val="100"/>
                <w:sz w:val="16"/>
              </w:rPr>
              <w:t> </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2,602,199,338.59</w:t>
            </w:r>
          </w:p>
        </w:tc>
        <w:tc>
          <w:tcPr>
            <w:tcW w:w="1210" w:type="dxa"/>
            <w:vMerge/>
            <w:tcBorders>
              <w:left w:val="dotted" w:sz="4" w:space="0" w:color="000000"/>
              <w:bottom w:val="dotted" w:sz="4" w:space="0" w:color="000000"/>
              <w:right w:val="nil" w:sz="6" w:space="0" w:color="auto"/>
            </w:tcBorders>
          </w:tcPr>
          <w:p>
            <w:pPr/>
          </w:p>
        </w:tc>
      </w:tr>
      <w:tr>
        <w:trPr>
          <w:trHeight w:val="562"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6"/>
              <w:ind w:left="122" w:right="113"/>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持有并准备增值后</w:t>
            </w:r>
            <w:r>
              <w:rPr>
                <w:rFonts w:ascii="宋体" w:hAnsi="宋体" w:cs="宋体" w:eastAsia="宋体" w:hint="default"/>
                <w:w w:val="100"/>
                <w:sz w:val="16"/>
                <w:szCs w:val="16"/>
              </w:rPr>
              <w:t> </w:t>
            </w:r>
            <w:r>
              <w:rPr>
                <w:rFonts w:ascii="宋体" w:hAnsi="宋体" w:cs="宋体" w:eastAsia="宋体" w:hint="default"/>
                <w:sz w:val="16"/>
                <w:szCs w:val="16"/>
              </w:rPr>
              <w:t>转让的土地使用权</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653"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Times New Roman" w:hAnsi="Times New Roman" w:cs="Times New Roman" w:eastAsia="Times New Roman" w:hint="default"/>
                <w:sz w:val="16"/>
                <w:szCs w:val="16"/>
              </w:rPr>
            </w:pPr>
            <w:r>
              <w:rPr>
                <w:rFonts w:ascii="Times New Roman"/>
                <w:sz w:val="16"/>
              </w:rPr>
              <w:t>1,983,669,029.73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Times New Roman" w:hAnsi="Times New Roman" w:cs="Times New Roman" w:eastAsia="Times New Roman" w:hint="default"/>
                <w:sz w:val="16"/>
                <w:szCs w:val="16"/>
              </w:rPr>
            </w:pPr>
            <w:r>
              <w:rPr>
                <w:rFonts w:ascii="Times New Roman"/>
                <w:sz w:val="16"/>
              </w:rPr>
              <w:t>718,931,161.97</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2" w:right="0"/>
              <w:jc w:val="center"/>
              <w:rPr>
                <w:rFonts w:ascii="Times New Roman" w:hAnsi="Times New Roman" w:cs="Times New Roman" w:eastAsia="Times New Roman" w:hint="default"/>
                <w:sz w:val="16"/>
                <w:szCs w:val="16"/>
              </w:rPr>
            </w:pPr>
            <w:r>
              <w:rPr>
                <w:rFonts w:ascii="Times New Roman"/>
                <w:sz w:val="16"/>
              </w:rPr>
              <w:t>347,863,600.70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0"/>
              <w:jc w:val="center"/>
              <w:rPr>
                <w:rFonts w:ascii="Times New Roman" w:hAnsi="Times New Roman" w:cs="Times New Roman" w:eastAsia="Times New Roman" w:hint="default"/>
                <w:sz w:val="16"/>
                <w:szCs w:val="16"/>
              </w:rPr>
            </w:pPr>
            <w:r>
              <w:rPr>
                <w:rFonts w:ascii="Times New Roman"/>
                <w:sz w:val="16"/>
              </w:rPr>
              <w:t>213,074,286.41</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sz w:val="16"/>
              </w:rPr>
              <w:t>475,947,385.55</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56" w:right="0"/>
              <w:jc w:val="left"/>
              <w:rPr>
                <w:rFonts w:ascii="Times New Roman" w:hAnsi="Times New Roman" w:cs="Times New Roman" w:eastAsia="Times New Roman" w:hint="default"/>
                <w:sz w:val="16"/>
                <w:szCs w:val="16"/>
              </w:rPr>
            </w:pPr>
            <w:r>
              <w:rPr>
                <w:rFonts w:ascii="Times New Roman"/>
                <w:sz w:val="16"/>
              </w:rPr>
              <w:t>626,000,000.00</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20"/>
              <w:jc w:val="right"/>
              <w:rPr>
                <w:rFonts w:ascii="宋体" w:hAnsi="宋体" w:cs="宋体" w:eastAsia="宋体" w:hint="default"/>
                <w:sz w:val="16"/>
                <w:szCs w:val="16"/>
              </w:rPr>
            </w:pPr>
            <w:r>
              <w:rPr>
                <w:rFonts w:ascii="宋体"/>
                <w:w w:val="100"/>
                <w:sz w:val="16"/>
              </w:rPr>
              <w:t> </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56" w:right="0"/>
              <w:jc w:val="left"/>
              <w:rPr>
                <w:rFonts w:ascii="Times New Roman" w:hAnsi="Times New Roman" w:cs="Times New Roman" w:eastAsia="Times New Roman" w:hint="default"/>
                <w:sz w:val="16"/>
                <w:szCs w:val="16"/>
              </w:rPr>
            </w:pPr>
            <w:r>
              <w:rPr>
                <w:rFonts w:ascii="Times New Roman"/>
                <w:sz w:val="16"/>
              </w:rPr>
              <w:t>526,828,726.17</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3,142,929,536.79</w:t>
            </w: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0"/>
              <w:jc w:val="center"/>
              <w:rPr>
                <w:rFonts w:ascii="Times New Roman" w:hAnsi="Times New Roman" w:cs="Times New Roman" w:eastAsia="Times New Roman" w:hint="default"/>
                <w:sz w:val="16"/>
                <w:szCs w:val="16"/>
              </w:rPr>
            </w:pPr>
            <w:r>
              <w:rPr>
                <w:rFonts w:ascii="Times New Roman"/>
                <w:sz w:val="16"/>
              </w:rPr>
              <w:t>924,117,465.48</w:t>
            </w:r>
          </w:p>
        </w:tc>
      </w:tr>
      <w:tr>
        <w:trPr>
          <w:trHeight w:val="562"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65"/>
              <w:ind w:left="122" w:right="113"/>
              <w:jc w:val="left"/>
              <w:rPr>
                <w:rFonts w:ascii="宋体" w:hAnsi="宋体" w:cs="宋体" w:eastAsia="宋体" w:hint="default"/>
                <w:sz w:val="16"/>
                <w:szCs w:val="16"/>
              </w:rPr>
            </w:pPr>
            <w:r>
              <w:rPr>
                <w:rFonts w:ascii="宋体" w:hAnsi="宋体" w:cs="宋体" w:eastAsia="宋体" w:hint="default"/>
                <w:sz w:val="16"/>
                <w:szCs w:val="16"/>
              </w:rPr>
              <w:t>其中：与金融资产有</w:t>
            </w:r>
            <w:r>
              <w:rPr>
                <w:rFonts w:ascii="宋体" w:hAnsi="宋体" w:cs="宋体" w:eastAsia="宋体" w:hint="default"/>
                <w:w w:val="100"/>
                <w:sz w:val="16"/>
                <w:szCs w:val="16"/>
              </w:rPr>
              <w:t> </w:t>
            </w:r>
            <w:r>
              <w:rPr>
                <w:rFonts w:ascii="宋体" w:hAnsi="宋体" w:cs="宋体" w:eastAsia="宋体" w:hint="default"/>
                <w:sz w:val="16"/>
                <w:szCs w:val="16"/>
              </w:rPr>
              <w:t>关的损益</w:t>
            </w:r>
          </w:p>
        </w:tc>
        <w:tc>
          <w:tcPr>
            <w:tcW w:w="133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61" w:right="0"/>
              <w:jc w:val="center"/>
              <w:rPr>
                <w:rFonts w:ascii="Times New Roman" w:hAnsi="Times New Roman" w:cs="Times New Roman" w:eastAsia="Times New Roman" w:hint="default"/>
                <w:sz w:val="16"/>
                <w:szCs w:val="16"/>
              </w:rPr>
            </w:pPr>
            <w:r>
              <w:rPr>
                <w:rFonts w:ascii="Times New Roman"/>
                <w:sz w:val="16"/>
              </w:rPr>
              <w:t>2,567,635.63</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653"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571" w:hRule="exact"/>
        </w:trPr>
        <w:tc>
          <w:tcPr>
            <w:tcW w:w="1685" w:type="dxa"/>
            <w:tcBorders>
              <w:top w:val="dotted" w:sz="4" w:space="0" w:color="000000"/>
              <w:left w:val="nil" w:sz="6" w:space="0" w:color="auto"/>
              <w:bottom w:val="single" w:sz="12" w:space="0" w:color="000000"/>
              <w:right w:val="dotted" w:sz="4" w:space="0" w:color="000000"/>
            </w:tcBorders>
          </w:tcPr>
          <w:p>
            <w:pPr>
              <w:pStyle w:val="TableParagraph"/>
              <w:spacing w:line="206" w:lineRule="exact" w:before="65"/>
              <w:ind w:left="122" w:right="113" w:firstLine="482"/>
              <w:jc w:val="left"/>
              <w:rPr>
                <w:rFonts w:ascii="宋体" w:hAnsi="宋体" w:cs="宋体" w:eastAsia="宋体" w:hint="default"/>
                <w:sz w:val="16"/>
                <w:szCs w:val="16"/>
              </w:rPr>
            </w:pPr>
            <w:r>
              <w:rPr>
                <w:rFonts w:ascii="宋体" w:hAnsi="宋体" w:cs="宋体" w:eastAsia="宋体" w:hint="default"/>
                <w:sz w:val="16"/>
                <w:szCs w:val="16"/>
              </w:rPr>
              <w:t>与非金融资产</w:t>
            </w:r>
            <w:r>
              <w:rPr>
                <w:rFonts w:ascii="宋体" w:hAnsi="宋体" w:cs="宋体" w:eastAsia="宋体" w:hint="default"/>
                <w:w w:val="100"/>
                <w:sz w:val="16"/>
                <w:szCs w:val="16"/>
              </w:rPr>
              <w:t> </w:t>
            </w:r>
            <w:r>
              <w:rPr>
                <w:rFonts w:ascii="宋体" w:hAnsi="宋体" w:cs="宋体" w:eastAsia="宋体" w:hint="default"/>
                <w:sz w:val="16"/>
                <w:szCs w:val="16"/>
              </w:rPr>
              <w:t>有关的损益</w:t>
            </w:r>
          </w:p>
        </w:tc>
        <w:tc>
          <w:tcPr>
            <w:tcW w:w="1337" w:type="dxa"/>
            <w:tcBorders>
              <w:top w:val="dotted" w:sz="4" w:space="0" w:color="000000"/>
              <w:left w:val="dotted" w:sz="4" w:space="0" w:color="000000"/>
              <w:bottom w:val="single" w:sz="12" w:space="0" w:color="000000"/>
              <w:right w:val="dotted" w:sz="4" w:space="0" w:color="000000"/>
            </w:tcBorders>
          </w:tcPr>
          <w:p>
            <w:pPr/>
          </w:p>
        </w:tc>
        <w:tc>
          <w:tcPr>
            <w:tcW w:w="1217" w:type="dxa"/>
            <w:tcBorders>
              <w:top w:val="dotted" w:sz="4" w:space="0" w:color="000000"/>
              <w:left w:val="dotted" w:sz="4" w:space="0" w:color="000000"/>
              <w:bottom w:val="single" w:sz="12" w:space="0" w:color="000000"/>
              <w:right w:val="dotted" w:sz="4" w:space="0" w:color="000000"/>
            </w:tcBorders>
          </w:tcPr>
          <w:p>
            <w:pPr/>
          </w:p>
        </w:tc>
        <w:tc>
          <w:tcPr>
            <w:tcW w:w="1214" w:type="dxa"/>
            <w:tcBorders>
              <w:top w:val="dotted" w:sz="4" w:space="0" w:color="000000"/>
              <w:left w:val="dotted" w:sz="4" w:space="0" w:color="000000"/>
              <w:bottom w:val="single" w:sz="12" w:space="0" w:color="000000"/>
              <w:right w:val="dotted" w:sz="4" w:space="0" w:color="000000"/>
            </w:tcBorders>
          </w:tcPr>
          <w:p>
            <w:pP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210,506,650.78</w:t>
            </w:r>
          </w:p>
        </w:tc>
        <w:tc>
          <w:tcPr>
            <w:tcW w:w="1217" w:type="dxa"/>
            <w:tcBorders>
              <w:top w:val="dotted" w:sz="4" w:space="0" w:color="000000"/>
              <w:left w:val="dotted" w:sz="4" w:space="0" w:color="000000"/>
              <w:bottom w:val="single" w:sz="12" w:space="0" w:color="000000"/>
              <w:right w:val="dotted" w:sz="4" w:space="0" w:color="000000"/>
            </w:tcBorders>
          </w:tcPr>
          <w:p>
            <w:pPr/>
          </w:p>
        </w:tc>
        <w:tc>
          <w:tcPr>
            <w:tcW w:w="1268" w:type="dxa"/>
            <w:tcBorders>
              <w:top w:val="dotted" w:sz="4" w:space="0" w:color="000000"/>
              <w:left w:val="dotted" w:sz="4" w:space="0" w:color="000000"/>
              <w:bottom w:val="single" w:sz="12" w:space="0" w:color="000000"/>
              <w:right w:val="dotted" w:sz="4" w:space="0" w:color="000000"/>
            </w:tcBorders>
          </w:tcPr>
          <w:p>
            <w:pPr/>
          </w:p>
        </w:tc>
        <w:tc>
          <w:tcPr>
            <w:tcW w:w="550" w:type="dxa"/>
            <w:tcBorders>
              <w:top w:val="dotted" w:sz="4" w:space="0" w:color="000000"/>
              <w:left w:val="dotted" w:sz="4" w:space="0" w:color="000000"/>
              <w:bottom w:val="single" w:sz="12" w:space="0" w:color="000000"/>
              <w:right w:val="dotted" w:sz="4" w:space="0" w:color="000000"/>
            </w:tcBorders>
          </w:tcPr>
          <w:p>
            <w:pPr/>
          </w:p>
        </w:tc>
        <w:tc>
          <w:tcPr>
            <w:tcW w:w="653" w:type="dxa"/>
            <w:tcBorders>
              <w:top w:val="dotted" w:sz="4" w:space="0" w:color="000000"/>
              <w:left w:val="dotted" w:sz="4" w:space="0" w:color="000000"/>
              <w:bottom w:val="single" w:sz="12" w:space="0" w:color="000000"/>
              <w:right w:val="dotted" w:sz="4" w:space="0" w:color="000000"/>
            </w:tcBorders>
          </w:tcPr>
          <w:p>
            <w:pPr/>
          </w:p>
        </w:tc>
        <w:tc>
          <w:tcPr>
            <w:tcW w:w="1270" w:type="dxa"/>
            <w:tcBorders>
              <w:top w:val="dotted" w:sz="4" w:space="0" w:color="000000"/>
              <w:left w:val="dotted" w:sz="4" w:space="0" w:color="000000"/>
              <w:bottom w:val="single" w:sz="12" w:space="0" w:color="000000"/>
              <w:right w:val="dotted" w:sz="4" w:space="0" w:color="000000"/>
            </w:tcBorders>
          </w:tcPr>
          <w:p>
            <w:pPr/>
          </w:p>
        </w:tc>
        <w:tc>
          <w:tcPr>
            <w:tcW w:w="1354" w:type="dxa"/>
            <w:tcBorders>
              <w:top w:val="dotted" w:sz="4" w:space="0" w:color="000000"/>
              <w:left w:val="dotted" w:sz="4" w:space="0" w:color="000000"/>
              <w:bottom w:val="single" w:sz="12" w:space="0" w:color="000000"/>
              <w:right w:val="dotted" w:sz="4" w:space="0" w:color="000000"/>
            </w:tcBorders>
          </w:tcPr>
          <w:p>
            <w:pPr/>
          </w:p>
        </w:tc>
        <w:tc>
          <w:tcPr>
            <w:tcW w:w="1210"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53" w:footer="997" w:top="1500" w:bottom="1180" w:left="1300" w:right="1080"/>
        </w:sectPr>
      </w:pPr>
    </w:p>
    <w:p>
      <w:pPr>
        <w:spacing w:line="240" w:lineRule="auto" w:before="1"/>
        <w:rPr>
          <w:rFonts w:ascii="Times New Roman" w:hAnsi="Times New Roman" w:cs="Times New Roman" w:eastAsia="Times New Roman" w:hint="default"/>
          <w:sz w:val="26"/>
          <w:szCs w:val="26"/>
        </w:rPr>
      </w:pPr>
    </w:p>
    <w:p>
      <w:pPr>
        <w:pStyle w:val="Heading5"/>
        <w:tabs>
          <w:tab w:pos="850" w:val="left" w:leader="none"/>
        </w:tabs>
        <w:spacing w:line="240" w:lineRule="auto"/>
        <w:ind w:right="3683"/>
        <w:jc w:val="left"/>
        <w:rPr>
          <w:b w:val="0"/>
          <w:bCs w:val="0"/>
        </w:rPr>
      </w:pPr>
      <w:r>
        <w:rPr/>
        <w:t>十、</w:t>
        <w:tab/>
        <w:t>关联方及关联交易</w:t>
      </w:r>
      <w:r>
        <w:rPr>
          <w:b w:val="0"/>
          <w:bCs w:val="0"/>
        </w:rPr>
      </w:r>
    </w:p>
    <w:p>
      <w:pPr>
        <w:pStyle w:val="Heading5"/>
        <w:tabs>
          <w:tab w:pos="850" w:val="left" w:leader="none"/>
        </w:tabs>
        <w:spacing w:line="240" w:lineRule="auto" w:before="126"/>
        <w:ind w:right="368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本公司的母公司情况</w:t>
      </w:r>
      <w:r>
        <w:rPr>
          <w:b w:val="0"/>
          <w:bCs w:val="0"/>
        </w:rPr>
      </w:r>
    </w:p>
    <w:tbl>
      <w:tblPr>
        <w:tblW w:w="0" w:type="auto"/>
        <w:jc w:val="left"/>
        <w:tblInd w:w="109" w:type="dxa"/>
        <w:tblLayout w:type="fixed"/>
        <w:tblCellMar>
          <w:top w:w="0" w:type="dxa"/>
          <w:left w:w="0" w:type="dxa"/>
          <w:bottom w:w="0" w:type="dxa"/>
          <w:right w:w="0" w:type="dxa"/>
        </w:tblCellMar>
        <w:tblLook w:val="01E0"/>
      </w:tblPr>
      <w:tblGrid>
        <w:gridCol w:w="2497"/>
        <w:gridCol w:w="708"/>
        <w:gridCol w:w="1532"/>
        <w:gridCol w:w="1550"/>
        <w:gridCol w:w="1357"/>
        <w:gridCol w:w="1476"/>
      </w:tblGrid>
      <w:tr>
        <w:trPr>
          <w:trHeight w:val="492" w:hRule="exact"/>
        </w:trPr>
        <w:tc>
          <w:tcPr>
            <w:tcW w:w="249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8"/>
              <w:ind w:left="18" w:right="0"/>
              <w:jc w:val="center"/>
              <w:rPr>
                <w:rFonts w:ascii="宋体" w:hAnsi="宋体" w:cs="宋体" w:eastAsia="宋体" w:hint="default"/>
                <w:sz w:val="16"/>
                <w:szCs w:val="16"/>
              </w:rPr>
            </w:pPr>
            <w:r>
              <w:rPr>
                <w:rFonts w:ascii="宋体" w:hAnsi="宋体" w:cs="宋体" w:eastAsia="宋体" w:hint="default"/>
                <w:sz w:val="16"/>
                <w:szCs w:val="16"/>
              </w:rPr>
              <w:t>母公司名称</w:t>
            </w:r>
          </w:p>
        </w:tc>
        <w:tc>
          <w:tcPr>
            <w:tcW w:w="7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left="108"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15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right="0"/>
              <w:jc w:val="center"/>
              <w:rPr>
                <w:rFonts w:ascii="宋体" w:hAnsi="宋体" w:cs="宋体" w:eastAsia="宋体" w:hint="default"/>
                <w:sz w:val="16"/>
                <w:szCs w:val="16"/>
              </w:rPr>
            </w:pPr>
            <w:r>
              <w:rPr>
                <w:rFonts w:ascii="宋体" w:hAnsi="宋体" w:cs="宋体" w:eastAsia="宋体" w:hint="default"/>
                <w:sz w:val="16"/>
                <w:szCs w:val="16"/>
              </w:rPr>
              <w:t>业务性质</w:t>
            </w:r>
          </w:p>
        </w:tc>
        <w:tc>
          <w:tcPr>
            <w:tcW w:w="15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right="127"/>
              <w:jc w:val="right"/>
              <w:rPr>
                <w:rFonts w:ascii="宋体" w:hAnsi="宋体" w:cs="宋体" w:eastAsia="宋体" w:hint="default"/>
                <w:sz w:val="16"/>
                <w:szCs w:val="16"/>
              </w:rPr>
            </w:pPr>
            <w:r>
              <w:rPr>
                <w:rFonts w:ascii="宋体" w:hAnsi="宋体" w:cs="宋体" w:eastAsia="宋体" w:hint="default"/>
                <w:spacing w:val="-1"/>
                <w:sz w:val="16"/>
                <w:szCs w:val="16"/>
              </w:rPr>
              <w:t>注册资本（万元）</w:t>
            </w:r>
          </w:p>
        </w:tc>
        <w:tc>
          <w:tcPr>
            <w:tcW w:w="13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153" w:right="109" w:hanging="41"/>
              <w:jc w:val="left"/>
              <w:rPr>
                <w:rFonts w:ascii="Times New Roman" w:hAnsi="Times New Roman" w:cs="Times New Roman" w:eastAsia="Times New Roman" w:hint="default"/>
                <w:sz w:val="16"/>
                <w:szCs w:val="16"/>
              </w:rPr>
            </w:pPr>
            <w:r>
              <w:rPr>
                <w:rFonts w:ascii="宋体" w:hAnsi="宋体" w:cs="宋体" w:eastAsia="宋体" w:hint="default"/>
                <w:sz w:val="16"/>
                <w:szCs w:val="16"/>
              </w:rPr>
              <w:t>母公司对本公司</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的持股比例</w:t>
            </w:r>
            <w:r>
              <w:rPr>
                <w:rFonts w:ascii="Times New Roman" w:hAnsi="Times New Roman" w:cs="Times New Roman" w:eastAsia="Times New Roman" w:hint="default"/>
                <w:sz w:val="16"/>
                <w:szCs w:val="16"/>
              </w:rPr>
              <w:t>(%)</w:t>
            </w:r>
          </w:p>
        </w:tc>
        <w:tc>
          <w:tcPr>
            <w:tcW w:w="147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132" w:right="134" w:firstLine="38"/>
              <w:jc w:val="left"/>
              <w:rPr>
                <w:rFonts w:ascii="Times New Roman" w:hAnsi="Times New Roman" w:cs="Times New Roman" w:eastAsia="Times New Roman" w:hint="default"/>
                <w:sz w:val="16"/>
                <w:szCs w:val="16"/>
              </w:rPr>
            </w:pPr>
            <w:r>
              <w:rPr>
                <w:rFonts w:ascii="宋体" w:hAnsi="宋体" w:cs="宋体" w:eastAsia="宋体" w:hint="default"/>
                <w:sz w:val="16"/>
                <w:szCs w:val="16"/>
              </w:rPr>
              <w:t>母公司对本公司</w:t>
            </w:r>
            <w:r>
              <w:rPr>
                <w:rFonts w:ascii="宋体" w:hAnsi="宋体" w:cs="宋体" w:eastAsia="宋体" w:hint="default"/>
                <w:w w:val="100"/>
                <w:sz w:val="16"/>
                <w:szCs w:val="16"/>
              </w:rPr>
              <w:t> </w:t>
            </w:r>
            <w:r>
              <w:rPr>
                <w:rFonts w:ascii="宋体" w:hAnsi="宋体" w:cs="宋体" w:eastAsia="宋体" w:hint="default"/>
                <w:sz w:val="16"/>
                <w:szCs w:val="16"/>
              </w:rPr>
              <w:t>的表决权比例</w:t>
            </w:r>
            <w:r>
              <w:rPr>
                <w:rFonts w:ascii="Times New Roman" w:hAnsi="Times New Roman" w:cs="Times New Roman" w:eastAsia="Times New Roman" w:hint="default"/>
                <w:sz w:val="16"/>
                <w:szCs w:val="16"/>
              </w:rPr>
              <w:t>(%)</w:t>
            </w:r>
          </w:p>
        </w:tc>
      </w:tr>
      <w:tr>
        <w:trPr>
          <w:trHeight w:val="283" w:hRule="exact"/>
        </w:trPr>
        <w:tc>
          <w:tcPr>
            <w:tcW w:w="24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北京</w:t>
            </w:r>
          </w:p>
        </w:tc>
        <w:tc>
          <w:tcPr>
            <w:tcW w:w="15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32"/>
              <w:jc w:val="center"/>
              <w:rPr>
                <w:rFonts w:ascii="宋体" w:hAnsi="宋体" w:cs="宋体" w:eastAsia="宋体" w:hint="default"/>
                <w:sz w:val="16"/>
                <w:szCs w:val="16"/>
              </w:rPr>
            </w:pPr>
            <w:r>
              <w:rPr>
                <w:rFonts w:ascii="宋体" w:hAnsi="宋体" w:cs="宋体" w:eastAsia="宋体" w:hint="default"/>
                <w:sz w:val="16"/>
                <w:szCs w:val="16"/>
              </w:rPr>
              <w:t>其他电子设备制造</w:t>
            </w:r>
          </w:p>
        </w:tc>
        <w:tc>
          <w:tcPr>
            <w:tcW w:w="15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1,848,225.199664</w:t>
            </w:r>
          </w:p>
        </w:tc>
        <w:tc>
          <w:tcPr>
            <w:tcW w:w="13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883" w:right="0"/>
              <w:jc w:val="left"/>
              <w:rPr>
                <w:rFonts w:ascii="Times New Roman" w:hAnsi="Times New Roman" w:cs="Times New Roman" w:eastAsia="Times New Roman" w:hint="default"/>
                <w:sz w:val="16"/>
                <w:szCs w:val="16"/>
              </w:rPr>
            </w:pPr>
            <w:r>
              <w:rPr>
                <w:rFonts w:ascii="Times New Roman"/>
                <w:sz w:val="16"/>
              </w:rPr>
              <w:t>40.59</w:t>
            </w:r>
          </w:p>
        </w:tc>
        <w:tc>
          <w:tcPr>
            <w:tcW w:w="14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40.59</w:t>
            </w:r>
          </w:p>
        </w:tc>
      </w:tr>
    </w:tbl>
    <w:p>
      <w:pPr>
        <w:spacing w:line="240" w:lineRule="auto" w:before="8"/>
        <w:rPr>
          <w:rFonts w:ascii="宋体" w:hAnsi="宋体" w:cs="宋体" w:eastAsia="宋体" w:hint="default"/>
          <w:b/>
          <w:bCs/>
          <w:sz w:val="6"/>
          <w:szCs w:val="6"/>
        </w:rPr>
      </w:pPr>
    </w:p>
    <w:p>
      <w:pPr>
        <w:spacing w:before="37"/>
        <w:ind w:left="850" w:right="1468" w:firstLine="0"/>
        <w:jc w:val="left"/>
        <w:rPr>
          <w:rFonts w:ascii="宋体" w:hAnsi="宋体" w:cs="宋体" w:eastAsia="宋体" w:hint="default"/>
          <w:sz w:val="20"/>
          <w:szCs w:val="20"/>
        </w:rPr>
      </w:pPr>
      <w:r>
        <w:rPr>
          <w:rFonts w:ascii="宋体" w:hAnsi="宋体" w:cs="宋体" w:eastAsia="宋体" w:hint="default"/>
          <w:sz w:val="20"/>
          <w:szCs w:val="20"/>
        </w:rPr>
        <w:t>本公司的母公司及最终控制方是：中国电子信息产业集团有限公司</w:t>
      </w:r>
    </w:p>
    <w:p>
      <w:pPr>
        <w:tabs>
          <w:tab w:pos="850" w:val="left" w:leader="none"/>
        </w:tabs>
        <w:spacing w:line="328" w:lineRule="auto" w:before="125"/>
        <w:ind w:left="850" w:right="3743"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本公司的子公司情况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本公司子公司的情况详见本附注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七、在其他主体中的权益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pStyle w:val="BodyText"/>
        <w:tabs>
          <w:tab w:pos="850" w:val="left" w:leader="none"/>
        </w:tabs>
        <w:spacing w:line="336" w:lineRule="auto" w:before="24"/>
        <w:ind w:left="850" w:right="1835" w:hanging="713"/>
        <w:jc w:val="left"/>
      </w:pPr>
      <w:r>
        <w:rPr/>
        <w:pict>
          <v:shape style="position:absolute;margin-left:119.059998pt;margin-top:76.493645pt;width:412.4pt;height:180.3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07"/>
                    <w:gridCol w:w="2998"/>
                  </w:tblGrid>
                  <w:tr>
                    <w:trPr>
                      <w:trHeight w:val="283" w:hRule="exact"/>
                    </w:trPr>
                    <w:tc>
                      <w:tcPr>
                        <w:tcW w:w="520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合营或联营企业名称</w:t>
                        </w:r>
                      </w:p>
                    </w:tc>
                    <w:tc>
                      <w:tcPr>
                        <w:tcW w:w="299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与本公司关系</w:t>
                        </w:r>
                      </w:p>
                    </w:tc>
                  </w:tr>
                  <w:tr>
                    <w:trPr>
                      <w:trHeight w:val="274" w:hRule="exact"/>
                    </w:trPr>
                    <w:tc>
                      <w:tcPr>
                        <w:tcW w:w="5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r>
                    <w:trPr>
                      <w:trHeight w:val="274" w:hRule="exact"/>
                    </w:trPr>
                    <w:tc>
                      <w:tcPr>
                        <w:tcW w:w="5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r>
                    <w:trPr>
                      <w:trHeight w:val="274" w:hRule="exact"/>
                    </w:trPr>
                    <w:tc>
                      <w:tcPr>
                        <w:tcW w:w="5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深圳中电蓝海控股有限公司</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r>
                    <w:trPr>
                      <w:trHeight w:val="274" w:hRule="exact"/>
                    </w:trPr>
                    <w:tc>
                      <w:tcPr>
                        <w:tcW w:w="5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武汉长江融达电子有限公司</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r>
                    <w:trPr>
                      <w:trHeight w:val="274" w:hRule="exact"/>
                    </w:trPr>
                    <w:tc>
                      <w:tcPr>
                        <w:tcW w:w="5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长城超云（北京）科技有限公司</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r>
                    <w:trPr>
                      <w:trHeight w:val="274" w:hRule="exact"/>
                    </w:trPr>
                    <w:tc>
                      <w:tcPr>
                        <w:tcW w:w="5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长信数码信息文化发展有限公司</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r>
                    <w:trPr>
                      <w:trHeight w:val="274" w:hRule="exact"/>
                    </w:trPr>
                    <w:tc>
                      <w:tcPr>
                        <w:tcW w:w="5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中科长城海洋信息系统有限公司</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r>
                    <w:trPr>
                      <w:trHeight w:val="274" w:hRule="exact"/>
                    </w:trPr>
                    <w:tc>
                      <w:tcPr>
                        <w:tcW w:w="5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天津飞腾信息技术有限公司</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r>
                    <w:trPr>
                      <w:trHeight w:val="274" w:hRule="exact"/>
                    </w:trPr>
                    <w:tc>
                      <w:tcPr>
                        <w:tcW w:w="5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广州鼎甲计算机科技有限公司</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r>
                    <w:trPr>
                      <w:trHeight w:val="274" w:hRule="exact"/>
                    </w:trPr>
                    <w:tc>
                      <w:tcPr>
                        <w:tcW w:w="5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山西长城科技信息有限公司</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r>
                    <w:trPr>
                      <w:trHeight w:val="274" w:hRule="exact"/>
                    </w:trPr>
                    <w:tc>
                      <w:tcPr>
                        <w:tcW w:w="5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郑州蓝普锋自动化技术有限公司</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r>
                    <w:trPr>
                      <w:trHeight w:val="283" w:hRule="exact"/>
                    </w:trPr>
                    <w:tc>
                      <w:tcPr>
                        <w:tcW w:w="52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河南中电网安数据科技有限公司</w:t>
                        </w:r>
                      </w:p>
                    </w:tc>
                    <w:tc>
                      <w:tcPr>
                        <w:tcW w:w="299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联营企业</w:t>
                        </w:r>
                      </w:p>
                    </w:tc>
                  </w:tr>
                </w:tbl>
                <w:p>
                  <w:pPr/>
                </w:p>
              </w:txbxContent>
            </v:textbox>
            <w10:wrap type="none"/>
          </v:shape>
        </w:pict>
      </w: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tab/>
      </w:r>
      <w:r>
        <w:rPr>
          <w:rFonts w:ascii="宋体" w:hAnsi="宋体" w:cs="宋体" w:eastAsia="宋体" w:hint="default"/>
          <w:b/>
          <w:bCs/>
        </w:rPr>
        <w:t>本公司的合营和联营企业情况</w:t>
      </w:r>
      <w:r>
        <w:rPr>
          <w:rFonts w:ascii="宋体" w:hAnsi="宋体" w:cs="宋体" w:eastAsia="宋体" w:hint="default"/>
          <w:b/>
          <w:bCs/>
          <w:w w:val="100"/>
        </w:rPr>
        <w:t> </w:t>
      </w:r>
      <w:r>
        <w:rPr/>
        <w:t>本公司重要的合营或联营企业详见本附注</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r>
        <w:rPr>
          <w:w w:val="100"/>
        </w:rPr>
        <w:t> </w:t>
      </w:r>
      <w:r>
        <w:rPr>
          <w:spacing w:val="-2"/>
        </w:rPr>
        <w:t>本期与本公司发生关联方交易，或前期与本公司发生关联方交易形成余额的其他合</w:t>
      </w:r>
      <w:r>
        <w:rPr>
          <w:w w:val="100"/>
        </w:rPr>
        <w:t> </w:t>
      </w:r>
      <w:r>
        <w:rPr/>
        <w:t>营或联营企业情况如下：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其他关联方情况</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4611"/>
        <w:gridCol w:w="3593"/>
      </w:tblGrid>
      <w:tr>
        <w:trPr>
          <w:trHeight w:val="283" w:hRule="exact"/>
        </w:trPr>
        <w:tc>
          <w:tcPr>
            <w:tcW w:w="461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其他关联方名称</w:t>
            </w:r>
          </w:p>
        </w:tc>
        <w:tc>
          <w:tcPr>
            <w:tcW w:w="35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8"/>
              <w:jc w:val="center"/>
              <w:rPr>
                <w:rFonts w:ascii="宋体" w:hAnsi="宋体" w:cs="宋体" w:eastAsia="宋体" w:hint="default"/>
                <w:sz w:val="16"/>
                <w:szCs w:val="16"/>
              </w:rPr>
            </w:pPr>
            <w:r>
              <w:rPr>
                <w:rFonts w:ascii="宋体" w:hAnsi="宋体" w:cs="宋体" w:eastAsia="宋体" w:hint="default"/>
                <w:sz w:val="16"/>
                <w:szCs w:val="16"/>
              </w:rPr>
              <w:t>其他关联方与本公司的关系</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中软云智技术服务有限公司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北京中电华大电子设计有限责任公司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北京中电瑞达物业有限公司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北京中软万维网络技术有限公司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彩虹集团有限公司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成都锦江电子系统工程有限公司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1"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成都长城开发科技有限公司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成都中电锦江信息产业有限公司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东莞市振华新能源科技有限公司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福建捷联电子有限公司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广东亿安仓供应链科技有限公司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广州中软信息技术有限公司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贵州振华红云电子有限公司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贵州振华华联电子有限公司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贵州振华群英电器有限公司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86" w:hRule="exact"/>
        </w:trPr>
        <w:tc>
          <w:tcPr>
            <w:tcW w:w="46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桂林长海发展有限责任公司</w:t>
            </w:r>
          </w:p>
        </w:tc>
        <w:tc>
          <w:tcPr>
            <w:tcW w:w="35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bl>
    <w:p>
      <w:pPr>
        <w:spacing w:after="0" w:line="240" w:lineRule="auto"/>
        <w:jc w:val="center"/>
        <w:rPr>
          <w:rFonts w:ascii="宋体" w:hAnsi="宋体" w:cs="宋体" w:eastAsia="宋体" w:hint="default"/>
          <w:sz w:val="16"/>
          <w:szCs w:val="16"/>
        </w:rPr>
        <w:sectPr>
          <w:headerReference w:type="default" r:id="rId71"/>
          <w:footerReference w:type="default" r:id="rId72"/>
          <w:pgSz w:w="11910" w:h="16840"/>
          <w:pgMar w:header="753" w:footer="997" w:top="1500" w:bottom="1180" w:left="1660" w:right="0"/>
          <w:pgNumType w:start="102"/>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4611"/>
        <w:gridCol w:w="3593"/>
      </w:tblGrid>
      <w:tr>
        <w:trPr>
          <w:trHeight w:val="284" w:hRule="exact"/>
        </w:trPr>
        <w:tc>
          <w:tcPr>
            <w:tcW w:w="461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1" w:right="0"/>
              <w:jc w:val="center"/>
              <w:rPr>
                <w:rFonts w:ascii="宋体" w:hAnsi="宋体" w:cs="宋体" w:eastAsia="宋体" w:hint="default"/>
                <w:sz w:val="16"/>
                <w:szCs w:val="16"/>
              </w:rPr>
            </w:pPr>
            <w:r>
              <w:rPr>
                <w:rFonts w:ascii="宋体" w:hAnsi="宋体" w:cs="宋体" w:eastAsia="宋体" w:hint="default"/>
                <w:sz w:val="16"/>
                <w:szCs w:val="16"/>
              </w:rPr>
              <w:t>其他关联方名称</w:t>
            </w:r>
          </w:p>
        </w:tc>
        <w:tc>
          <w:tcPr>
            <w:tcW w:w="35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8"/>
              <w:jc w:val="center"/>
              <w:rPr>
                <w:rFonts w:ascii="宋体" w:hAnsi="宋体" w:cs="宋体" w:eastAsia="宋体" w:hint="default"/>
                <w:sz w:val="16"/>
                <w:szCs w:val="16"/>
              </w:rPr>
            </w:pPr>
            <w:r>
              <w:rPr>
                <w:rFonts w:ascii="宋体" w:hAnsi="宋体" w:cs="宋体" w:eastAsia="宋体" w:hint="default"/>
                <w:sz w:val="16"/>
                <w:szCs w:val="16"/>
              </w:rPr>
              <w:t>其他关联方与本公司的关系</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湖南计算机厂有限公司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湖南凯杰科技有限责任公司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湖南中软信息系统有限公司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华北计算机系统工程研究所</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华大半导体有限公司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惠州长城开发科技有限公司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建通工程建设监理有限公司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迈普通信技术股份有限公司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南京熊猫汉达科技有限公司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南京中电熊猫磁电科技有限公司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南京中电熊猫家电有限公司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南京中电熊猫平板显示科技有限公司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南京中电熊猫信息产业集团有限公司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2"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left="122" w:right="0"/>
              <w:jc w:val="left"/>
              <w:rPr>
                <w:rFonts w:ascii="宋体" w:hAnsi="宋体" w:cs="宋体" w:eastAsia="宋体" w:hint="default"/>
                <w:sz w:val="16"/>
                <w:szCs w:val="16"/>
              </w:rPr>
            </w:pPr>
            <w:r>
              <w:rPr>
                <w:rFonts w:ascii="宋体" w:hAnsi="宋体" w:cs="宋体" w:eastAsia="宋体" w:hint="default"/>
                <w:sz w:val="16"/>
                <w:szCs w:val="16"/>
              </w:rPr>
              <w:t>南京中电熊猫液晶显示科技有限公司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南京中软软件与技术服务有限公司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上海贝岭股份有限公司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上海浦东软件园股份有限公司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深圳京裕电子有限公司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深圳南方信息企业有限公司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深圳桑达电子设备有限公司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深圳桑达科技发展有限公司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深圳桑达物业发展有限公司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深圳神彩物流有限公司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深圳市爱华电子有限公司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深圳市振华微电子有限公司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深圳长城开发精密技术有限公司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深圳长城开发科技股份有限公司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深圳振华富电子有限公司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深圳中电国际信息科技有限公司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天津麒麟信息技术有限公司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武汉艾德蒙科技股份有限公司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武汉长江电源有限公司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武汉中元物业发展有限公司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长城计算机软件与系统有限公司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长沙湘计开拓物业管理有限公司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长沙智能制造研究总院有限公司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1"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中标软件有限公司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中电（海南）联合创新研究院有限公司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中电工业互联网有限公司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中电惠融商业保理（深圳）有限公司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中电基础产品装备有限公司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中电金融设备服务（烟台）有限公司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中电金融设备系统（深圳）有限公司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中电金投控股有限公司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中电九天智能科技有限公司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中电六所智能系统有限公司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中电系统建设工程有限公司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83" w:hRule="exact"/>
        </w:trPr>
        <w:tc>
          <w:tcPr>
            <w:tcW w:w="46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中电长城计算机集团有限公司</w:t>
            </w:r>
          </w:p>
        </w:tc>
        <w:tc>
          <w:tcPr>
            <w:tcW w:w="35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bl>
    <w:p>
      <w:pPr>
        <w:spacing w:after="0" w:line="240" w:lineRule="auto"/>
        <w:jc w:val="center"/>
        <w:rPr>
          <w:rFonts w:ascii="宋体" w:hAnsi="宋体" w:cs="宋体" w:eastAsia="宋体" w:hint="default"/>
          <w:sz w:val="16"/>
          <w:szCs w:val="16"/>
        </w:rPr>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4611"/>
        <w:gridCol w:w="3593"/>
      </w:tblGrid>
      <w:tr>
        <w:trPr>
          <w:trHeight w:val="284" w:hRule="exact"/>
        </w:trPr>
        <w:tc>
          <w:tcPr>
            <w:tcW w:w="461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1" w:right="0"/>
              <w:jc w:val="center"/>
              <w:rPr>
                <w:rFonts w:ascii="宋体" w:hAnsi="宋体" w:cs="宋体" w:eastAsia="宋体" w:hint="default"/>
                <w:sz w:val="16"/>
                <w:szCs w:val="16"/>
              </w:rPr>
            </w:pPr>
            <w:r>
              <w:rPr>
                <w:rFonts w:ascii="宋体" w:hAnsi="宋体" w:cs="宋体" w:eastAsia="宋体" w:hint="default"/>
                <w:sz w:val="16"/>
                <w:szCs w:val="16"/>
              </w:rPr>
              <w:t>其他关联方名称</w:t>
            </w:r>
          </w:p>
        </w:tc>
        <w:tc>
          <w:tcPr>
            <w:tcW w:w="35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8"/>
              <w:jc w:val="center"/>
              <w:rPr>
                <w:rFonts w:ascii="宋体" w:hAnsi="宋体" w:cs="宋体" w:eastAsia="宋体" w:hint="default"/>
                <w:sz w:val="16"/>
                <w:szCs w:val="16"/>
              </w:rPr>
            </w:pPr>
            <w:r>
              <w:rPr>
                <w:rFonts w:ascii="宋体" w:hAnsi="宋体" w:cs="宋体" w:eastAsia="宋体" w:hint="default"/>
                <w:sz w:val="16"/>
                <w:szCs w:val="16"/>
              </w:rPr>
              <w:t>其他关联方与本公司的关系</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中电长城网际系统应用广东有限公司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中电长城网际系统应用四川有限公司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中电长城网际系统应用有限公司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中电智行技术有限公司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中电智能科技有限公司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中国电子财务有限责任公司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中国电子产业开发有限公司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中国电子国际展览广告有限责任公司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中国电子进出口有限公司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中国电子器材国际有限公司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中国电子器材华东有限公司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亿安仓（香港）有限公司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中国电子系统技术有限公司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2"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left="122"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中国电子信息产业集团有限公司第六研究所</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中国软件与技术服务股份有限公司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中国瑞达投资发展集团有限公司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中国信息安全研究院有限公司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中国振华（集团）新云电子元器件有限责任公司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中国振华电子集团有限公司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中国振华集团永光电子有限公司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中国振华集团云科电子有限公司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中国中电国际信息服务有限公司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中软信息服务有限公司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中软信息系统工程有限公司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122" w:right="0"/>
              <w:jc w:val="left"/>
              <w:rPr>
                <w:rFonts w:ascii="Times New Roman" w:hAnsi="Times New Roman" w:cs="Times New Roman" w:eastAsia="Times New Roman" w:hint="default"/>
                <w:sz w:val="16"/>
                <w:szCs w:val="16"/>
              </w:rPr>
            </w:pPr>
            <w:r>
              <w:rPr>
                <w:rFonts w:ascii="Times New Roman"/>
                <w:spacing w:val="-4"/>
                <w:sz w:val="16"/>
              </w:rPr>
              <w:t>KAIFA </w:t>
            </w:r>
            <w:r>
              <w:rPr>
                <w:rFonts w:ascii="Times New Roman"/>
                <w:sz w:val="16"/>
              </w:rPr>
              <w:t>TECHNOLOGY (HK)</w:t>
            </w:r>
            <w:r>
              <w:rPr>
                <w:rFonts w:ascii="Times New Roman"/>
                <w:spacing w:val="-9"/>
                <w:sz w:val="16"/>
              </w:rPr>
              <w:t> </w:t>
            </w:r>
            <w:r>
              <w:rPr>
                <w:rFonts w:ascii="Times New Roman"/>
                <w:spacing w:val="-5"/>
                <w:sz w:val="16"/>
              </w:rPr>
              <w:t>LTD</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受同一最终控制方控制</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盛科网络（苏州）有限公司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上市公司规则认定</w:t>
            </w:r>
          </w:p>
        </w:tc>
      </w:tr>
      <w:tr>
        <w:trPr>
          <w:trHeight w:val="274" w:hRule="exact"/>
        </w:trPr>
        <w:tc>
          <w:tcPr>
            <w:tcW w:w="46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中电通商商业保理（天津）有限公司</w:t>
            </w:r>
          </w:p>
        </w:tc>
        <w:tc>
          <w:tcPr>
            <w:tcW w:w="35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上市公司规则认定</w:t>
            </w:r>
          </w:p>
        </w:tc>
      </w:tr>
      <w:tr>
        <w:trPr>
          <w:trHeight w:val="283" w:hRule="exact"/>
        </w:trPr>
        <w:tc>
          <w:tcPr>
            <w:tcW w:w="46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中电数据服务有限公司</w:t>
            </w:r>
          </w:p>
        </w:tc>
        <w:tc>
          <w:tcPr>
            <w:tcW w:w="35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上市公司规则认定</w:t>
            </w:r>
          </w:p>
        </w:tc>
      </w:tr>
    </w:tbl>
    <w:p>
      <w:pPr>
        <w:spacing w:line="240" w:lineRule="auto" w:before="0"/>
        <w:rPr>
          <w:rFonts w:ascii="Times New Roman" w:hAnsi="Times New Roman" w:cs="Times New Roman" w:eastAsia="Times New Roman" w:hint="default"/>
          <w:sz w:val="20"/>
          <w:szCs w:val="20"/>
        </w:rPr>
      </w:pPr>
    </w:p>
    <w:p>
      <w:pPr>
        <w:pStyle w:val="Heading5"/>
        <w:tabs>
          <w:tab w:pos="850" w:val="left" w:leader="none"/>
        </w:tabs>
        <w:spacing w:line="240" w:lineRule="auto" w:before="153"/>
        <w:ind w:right="3683"/>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关联交易情况</w:t>
      </w:r>
      <w:r>
        <w:rPr>
          <w:b w:val="0"/>
          <w:bCs w:val="0"/>
        </w:rPr>
      </w:r>
    </w:p>
    <w:p>
      <w:pPr>
        <w:tabs>
          <w:tab w:pos="1397" w:val="left" w:leader="none"/>
        </w:tabs>
        <w:spacing w:line="331" w:lineRule="auto" w:before="107"/>
        <w:ind w:left="1414" w:right="5260" w:hanging="569"/>
        <w:jc w:val="left"/>
        <w:rPr>
          <w:rFonts w:ascii="宋体" w:hAnsi="宋体" w:cs="宋体" w:eastAsia="宋体" w:hint="default"/>
          <w:sz w:val="21"/>
          <w:szCs w:val="21"/>
        </w:rPr>
      </w:pPr>
      <w:r>
        <w:rPr/>
        <w:pict>
          <v:shape style="position:absolute;margin-left:119.059998pt;margin-top:40.653687pt;width:412.4pt;height:207.6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9"/>
                    <w:gridCol w:w="1457"/>
                    <w:gridCol w:w="1608"/>
                    <w:gridCol w:w="1611"/>
                  </w:tblGrid>
                  <w:tr>
                    <w:trPr>
                      <w:trHeight w:val="283" w:hRule="exact"/>
                    </w:trPr>
                    <w:tc>
                      <w:tcPr>
                        <w:tcW w:w="35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2"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14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关联交易内容</w:t>
                        </w:r>
                      </w:p>
                    </w:tc>
                    <w:tc>
                      <w:tcPr>
                        <w:tcW w:w="16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77"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6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478"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广东亿安仓供应链科技有限公司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109,164,081.79</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10,698,559.05</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天津飞腾信息技术有限公司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108,700,535.73</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26,242,771.65</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武汉艾德蒙科技股份有限公司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37,702,013.96</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13,264,233.63</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天津麒麟信息技术有限公司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24,824,189.96</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6,322,440.49</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湖南凯杰科技有限责任公司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20,701,005.37</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武汉长江融达电子有限公司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17,522,200.00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盛科网络（苏州）有限公司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2"/>
                            <w:sz w:val="16"/>
                          </w:rPr>
                          <w:t>11,463,500.00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6"/>
                            <w:szCs w:val="16"/>
                          </w:rPr>
                        </w:pPr>
                        <w:r>
                          <w:rPr>
                            <w:rFonts w:ascii="Times New Roman"/>
                            <w:spacing w:val="-2"/>
                            <w:sz w:val="16"/>
                          </w:rPr>
                          <w:t>15,259,000.06</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深圳振华富电子有限公司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5,390,156.59</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1,357,204.06</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5,376,487.96</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16,437,362.71</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pacing w:val="-4"/>
                            <w:sz w:val="16"/>
                            <w:szCs w:val="16"/>
                          </w:rPr>
                          <w:t>中国振华（集团）新云电子元器件有限责任公司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3,887,469.56</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1,782,360.16</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中电六所智能系统有限公司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3,127,242.48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迈普通信技术股份有限公司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2,910,656.76</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1,961,296.00</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深圳京裕电子有限公司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2,167,975.21</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1,868,032.41</w:t>
                        </w:r>
                      </w:p>
                    </w:tc>
                  </w:tr>
                  <w:tr>
                    <w:trPr>
                      <w:trHeight w:val="283" w:hRule="exact"/>
                    </w:trPr>
                    <w:tc>
                      <w:tcPr>
                        <w:tcW w:w="352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中电智能科技有限公司</w:t>
                        </w:r>
                      </w:p>
                    </w:tc>
                    <w:tc>
                      <w:tcPr>
                        <w:tcW w:w="14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2,147,758.55</w:t>
                        </w:r>
                      </w:p>
                    </w:tc>
                    <w:tc>
                      <w:tcPr>
                        <w:tcW w:w="16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bl>
                <w:p>
                  <w:pPr/>
                </w:p>
              </w:txbxContent>
            </v:textbox>
            <w10:wrap type="none"/>
          </v:shape>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spacing w:after="0" w:line="331" w:lineRule="auto"/>
        <w:jc w:val="left"/>
        <w:rPr>
          <w:rFonts w:ascii="宋体" w:hAnsi="宋体" w:cs="宋体" w:eastAsia="宋体" w:hint="default"/>
          <w:sz w:val="21"/>
          <w:szCs w:val="21"/>
        </w:rPr>
        <w:sectPr>
          <w:pgSz w:w="11910" w:h="16840"/>
          <w:pgMar w:header="753" w:footer="997" w:top="1500" w:bottom="1180" w:left="1660" w:right="0"/>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3529"/>
        <w:gridCol w:w="1457"/>
        <w:gridCol w:w="1608"/>
        <w:gridCol w:w="1611"/>
      </w:tblGrid>
      <w:tr>
        <w:trPr>
          <w:trHeight w:val="284" w:hRule="exact"/>
        </w:trPr>
        <w:tc>
          <w:tcPr>
            <w:tcW w:w="35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2"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14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center"/>
              <w:rPr>
                <w:rFonts w:ascii="宋体" w:hAnsi="宋体" w:cs="宋体" w:eastAsia="宋体" w:hint="default"/>
                <w:sz w:val="16"/>
                <w:szCs w:val="16"/>
              </w:rPr>
            </w:pPr>
            <w:r>
              <w:rPr>
                <w:rFonts w:ascii="宋体" w:hAnsi="宋体" w:cs="宋体" w:eastAsia="宋体" w:hint="default"/>
                <w:sz w:val="16"/>
                <w:szCs w:val="16"/>
              </w:rPr>
              <w:t>关联交易内容</w:t>
            </w:r>
          </w:p>
        </w:tc>
        <w:tc>
          <w:tcPr>
            <w:tcW w:w="16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477"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6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478"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深圳中电国际信息科技有限公司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1,839,275.84</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5,289,848.48</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长城超云（北京）科技有限公司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1,830,373.35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6,681,937.12</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贵州振华华联电子有限公司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1,611,319.41</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1,102,954.78</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中电金融设备系统（深圳）有限公司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1,431,483.26</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贵州振华群英电器有限公司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552,292.08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136,540.00</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中国振华集团永光电子有限公司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502,823.75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1,089,414.98</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上海贝岭股份有限公司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250,457.00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中国振华集团云科电子有限公司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247,796.76</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121,626.82</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中标软件有限公司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175,000.00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458,000.00</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深圳市振华微电子有限公司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160,700.00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291,000.00</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东莞市振华新能源科技有限公司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133,163.72</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73,882.30</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中软信息系统工程有限公司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53,748.23</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中电基础产品装备有限公司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18,268.05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159,376.05</w:t>
            </w:r>
          </w:p>
        </w:tc>
      </w:tr>
      <w:tr>
        <w:trPr>
          <w:trHeight w:val="272"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left="122" w:right="0"/>
              <w:jc w:val="left"/>
              <w:rPr>
                <w:rFonts w:ascii="宋体" w:hAnsi="宋体" w:cs="宋体" w:eastAsia="宋体" w:hint="default"/>
                <w:sz w:val="16"/>
                <w:szCs w:val="16"/>
              </w:rPr>
            </w:pPr>
            <w:r>
              <w:rPr>
                <w:rFonts w:ascii="宋体" w:hAnsi="宋体" w:cs="宋体" w:eastAsia="宋体" w:hint="default"/>
                <w:sz w:val="16"/>
                <w:szCs w:val="16"/>
              </w:rPr>
              <w:t>南京中电熊猫磁电科技有限公司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10,431.03</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郑州蓝普锋自动化技术有限公司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10,264.60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南京中电熊猫液晶显示科技有限公司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7,860.20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南京中电熊猫家电有限公司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2,566.37</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93,750.37</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南京中电熊猫平板显示科技有限公司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1,366.72</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364,895,231.98</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南京熊猫汉达科技有限公司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2,080,441.38</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中国电子信息产业集团有限公司第六研究所</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1,977,600.00</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中国信息安全研究院有限公司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1,714,897.44</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43,457,726.89</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1,031,383.50</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中国中电国际信息服务有限公司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4,000,000.00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3,200,000.00</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南京中软软件与技术服务有限公司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532,641.51</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中国软件与技术服务股份有限公司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341,822.64</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341,822.64</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中国信息安全研究院有限公司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331,688.68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1,515,094.30</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中国电子国际展览广告有限责任公司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254,969.62</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555,224.15</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天津麒麟信息技术有限公司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94,339.62</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中国电子系统技术有限公司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19,673,962.81</w:t>
            </w:r>
          </w:p>
        </w:tc>
      </w:tr>
      <w:tr>
        <w:trPr>
          <w:trHeight w:val="274" w:hRule="exact"/>
        </w:trPr>
        <w:tc>
          <w:tcPr>
            <w:tcW w:w="3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849,056.60</w:t>
            </w:r>
          </w:p>
        </w:tc>
      </w:tr>
      <w:tr>
        <w:trPr>
          <w:trHeight w:val="283" w:hRule="exact"/>
        </w:trPr>
        <w:tc>
          <w:tcPr>
            <w:tcW w:w="35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深圳神彩物流有限公司</w:t>
            </w:r>
          </w:p>
        </w:tc>
        <w:tc>
          <w:tcPr>
            <w:tcW w:w="14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216,963.25</w:t>
            </w:r>
          </w:p>
        </w:tc>
      </w:tr>
    </w:tbl>
    <w:p>
      <w:pPr>
        <w:spacing w:line="240" w:lineRule="auto" w:before="5"/>
        <w:rPr>
          <w:rFonts w:ascii="宋体" w:hAnsi="宋体" w:cs="宋体" w:eastAsia="宋体" w:hint="default"/>
          <w:sz w:val="26"/>
          <w:szCs w:val="26"/>
        </w:rPr>
      </w:pPr>
    </w:p>
    <w:p>
      <w:pPr>
        <w:pStyle w:val="BodyText"/>
        <w:spacing w:line="240" w:lineRule="auto"/>
        <w:ind w:right="3683"/>
        <w:jc w:val="left"/>
      </w:pPr>
      <w:r>
        <w:rPr/>
        <w:t>出售商品</w:t>
      </w:r>
      <w:r>
        <w:rPr>
          <w:rFonts w:ascii="Times New Roman" w:hAnsi="Times New Roman" w:cs="Times New Roman" w:eastAsia="Times New Roman" w:hint="default"/>
        </w:rPr>
        <w:t>/</w:t>
      </w:r>
      <w:r>
        <w:rPr/>
        <w:t>提供劳务情况表</w:t>
      </w:r>
    </w:p>
    <w:tbl>
      <w:tblPr>
        <w:tblW w:w="0" w:type="auto"/>
        <w:jc w:val="left"/>
        <w:tblInd w:w="721" w:type="dxa"/>
        <w:tblLayout w:type="fixed"/>
        <w:tblCellMar>
          <w:top w:w="0" w:type="dxa"/>
          <w:left w:w="0" w:type="dxa"/>
          <w:bottom w:w="0" w:type="dxa"/>
          <w:right w:w="0" w:type="dxa"/>
        </w:tblCellMar>
        <w:tblLook w:val="01E0"/>
      </w:tblPr>
      <w:tblGrid>
        <w:gridCol w:w="3543"/>
        <w:gridCol w:w="1443"/>
        <w:gridCol w:w="1608"/>
        <w:gridCol w:w="1611"/>
      </w:tblGrid>
      <w:tr>
        <w:trPr>
          <w:trHeight w:val="286" w:hRule="exact"/>
        </w:trPr>
        <w:tc>
          <w:tcPr>
            <w:tcW w:w="35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22"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14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235" w:right="0"/>
              <w:jc w:val="left"/>
              <w:rPr>
                <w:rFonts w:ascii="宋体" w:hAnsi="宋体" w:cs="宋体" w:eastAsia="宋体" w:hint="default"/>
                <w:sz w:val="16"/>
                <w:szCs w:val="16"/>
              </w:rPr>
            </w:pPr>
            <w:r>
              <w:rPr>
                <w:rFonts w:ascii="宋体" w:hAnsi="宋体" w:cs="宋体" w:eastAsia="宋体" w:hint="default"/>
                <w:sz w:val="16"/>
                <w:szCs w:val="16"/>
              </w:rPr>
              <w:t>关联交易内容</w:t>
            </w:r>
          </w:p>
        </w:tc>
        <w:tc>
          <w:tcPr>
            <w:tcW w:w="16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477"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6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478"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中软信息系统工程有限公司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211,780,337.75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7,961,206.90</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中软信息服务有限公司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67,353,698.97</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亿安仓（香港）有限公司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58,439,224.45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长城计算机软件与系统有限公司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53,827,950.19</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765,862.07</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122" w:right="0"/>
              <w:jc w:val="left"/>
              <w:rPr>
                <w:rFonts w:ascii="Times New Roman" w:hAnsi="Times New Roman" w:cs="Times New Roman" w:eastAsia="Times New Roman" w:hint="default"/>
                <w:sz w:val="16"/>
                <w:szCs w:val="16"/>
              </w:rPr>
            </w:pPr>
            <w:r>
              <w:rPr>
                <w:rFonts w:ascii="Times New Roman"/>
                <w:spacing w:val="-4"/>
                <w:sz w:val="16"/>
              </w:rPr>
              <w:t>KAIFA </w:t>
            </w:r>
            <w:r>
              <w:rPr>
                <w:rFonts w:ascii="Times New Roman"/>
                <w:sz w:val="16"/>
              </w:rPr>
              <w:t>TECHNOLOGY (HK)</w:t>
            </w:r>
            <w:r>
              <w:rPr>
                <w:rFonts w:ascii="Times New Roman"/>
                <w:spacing w:val="-9"/>
                <w:sz w:val="16"/>
              </w:rPr>
              <w:t> </w:t>
            </w:r>
            <w:r>
              <w:rPr>
                <w:rFonts w:ascii="Times New Roman"/>
                <w:spacing w:val="-5"/>
                <w:sz w:val="16"/>
              </w:rPr>
              <w:t>LTD</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25,116,108.89</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33,608.81</w:t>
            </w:r>
          </w:p>
        </w:tc>
      </w:tr>
      <w:tr>
        <w:trPr>
          <w:trHeight w:val="272"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left="122"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2"/>
                <w:sz w:val="16"/>
              </w:rPr>
              <w:t>21,582,964.43</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6"/>
                <w:szCs w:val="16"/>
              </w:rPr>
            </w:pPr>
            <w:r>
              <w:rPr>
                <w:rFonts w:ascii="Times New Roman"/>
                <w:spacing w:val="-2"/>
                <w:sz w:val="16"/>
              </w:rPr>
              <w:t>12,021,119.37</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中电六所智能系统有限公司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16,360,452.14</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中电智能科技有限公司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11,685,939.99</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中国电子系统技术有限公司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11,215,004.81</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2,080,281.55</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南京中电熊猫平板显示科技有限公司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10,128,100.84</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6,895,721.44</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中国软件与技术服务股份有限公司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7,757,687.37</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22,912,441.38</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山西长城科技信息有限公司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100"/>
              <w:jc w:val="right"/>
              <w:rPr>
                <w:rFonts w:ascii="Times New Roman" w:hAnsi="Times New Roman" w:cs="Times New Roman" w:eastAsia="Times New Roman" w:hint="default"/>
                <w:sz w:val="16"/>
                <w:szCs w:val="16"/>
              </w:rPr>
            </w:pPr>
            <w:r>
              <w:rPr>
                <w:rFonts w:ascii="Times New Roman"/>
                <w:spacing w:val="-1"/>
                <w:sz w:val="16"/>
              </w:rPr>
              <w:t>7,713,625.49</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86" w:hRule="exact"/>
        </w:trPr>
        <w:tc>
          <w:tcPr>
            <w:tcW w:w="35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中国电子进出口有限公司</w:t>
            </w:r>
          </w:p>
        </w:tc>
        <w:tc>
          <w:tcPr>
            <w:tcW w:w="14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7,133,071.68</w:t>
            </w:r>
          </w:p>
        </w:tc>
        <w:tc>
          <w:tcPr>
            <w:tcW w:w="16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144,756.75</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3543"/>
        <w:gridCol w:w="1443"/>
        <w:gridCol w:w="1608"/>
        <w:gridCol w:w="1611"/>
      </w:tblGrid>
      <w:tr>
        <w:trPr>
          <w:trHeight w:val="284" w:hRule="exact"/>
        </w:trPr>
        <w:tc>
          <w:tcPr>
            <w:tcW w:w="35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2"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14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235" w:right="0"/>
              <w:jc w:val="left"/>
              <w:rPr>
                <w:rFonts w:ascii="宋体" w:hAnsi="宋体" w:cs="宋体" w:eastAsia="宋体" w:hint="default"/>
                <w:sz w:val="16"/>
                <w:szCs w:val="16"/>
              </w:rPr>
            </w:pPr>
            <w:r>
              <w:rPr>
                <w:rFonts w:ascii="宋体" w:hAnsi="宋体" w:cs="宋体" w:eastAsia="宋体" w:hint="default"/>
                <w:sz w:val="16"/>
                <w:szCs w:val="16"/>
              </w:rPr>
              <w:t>关联交易内容</w:t>
            </w:r>
          </w:p>
        </w:tc>
        <w:tc>
          <w:tcPr>
            <w:tcW w:w="16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477"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6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478"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南京熊猫汉达科技有限公司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6,951,791.00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成都锦江电子系统工程有限公司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3,421,600.00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571,000.00</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中电（海南）联合创新研究院有限公司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2,775,221.24</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湖南中软信息系统有限公司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2,579,592.93</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2,030,561.94</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1,871,692.67</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295,804,183.72</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中电金融设备系统（深圳）有限公司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1,775,886.10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中电系统建设工程有限公司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1,660,108.96</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3,144,876.45</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福建捷联电子有限公司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1,229,654.71</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529,783.14</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中电长城网际系统应用有限公司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1,179,771.68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2,264,357.44</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盛科网络（苏州）有限公司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1,148,274.79</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桂林长海发展有限责任公司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922,370.00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15,799,093.00</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长城超云（北京）科技有限公司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823,625.58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569,860.35</w:t>
            </w:r>
          </w:p>
        </w:tc>
      </w:tr>
      <w:tr>
        <w:trPr>
          <w:trHeight w:val="272"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left="122" w:right="0"/>
              <w:jc w:val="left"/>
              <w:rPr>
                <w:rFonts w:ascii="宋体" w:hAnsi="宋体" w:cs="宋体" w:eastAsia="宋体" w:hint="default"/>
                <w:sz w:val="16"/>
                <w:szCs w:val="16"/>
              </w:rPr>
            </w:pPr>
            <w:r>
              <w:rPr>
                <w:rFonts w:ascii="宋体" w:hAnsi="宋体" w:cs="宋体" w:eastAsia="宋体" w:hint="default"/>
                <w:sz w:val="16"/>
                <w:szCs w:val="16"/>
              </w:rPr>
              <w:t>湖南凯杰科技有限责任公司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557,787.61</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天津飞腾信息技术有限公司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537,105.31</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迈普通信技术股份有限公司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487,179.04</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906,702.50</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惠州长城开发科技有限公司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427,187.73</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489,853.20</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中国电子器材华东有限公司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418,141.60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中电数据服务有限公司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253,274.34</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428,404.31</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深圳长城开发科技股份有限公司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243,863.90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华北计算机系统工程研究所</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235,929.21</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中电工业互联网有限公司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232,951.33</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深圳桑达科技发展有限公司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107,964.60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中国电子信息产业集团有限公司第六研究所</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106,194.69</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深圳南方信息企业有限公司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88,738.94</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武汉长江融达电子有限公司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71,422.41</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102,241.40</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广州鼎甲计算机科技有限公司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65,044.25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中国信息安全研究院有限公司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36,933.63</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中国电子财务有限责任公司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25,871.68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中国中电国际信息服务有限公司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25,871.68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彩虹集团有限公司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25,871.68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成都中电锦江信息产业有限公司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25,871.68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华大半导体有限公司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25,871.68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南京中电熊猫信息产业集团有限公司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25,871.68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上海浦东软件园股份有限公司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25,871.68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中国瑞达投资发展集团有限公司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25,871.68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1"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中国振华电子集团有限公司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25,871.68</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中电基础产品装备有限公司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17,699.12</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成都长城开发科技有限公司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14,997.65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46,453.82</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深圳桑达电子设备有限公司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12,884.96</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北京中软万维网络技术有限公司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9,115.04</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428,076.92</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南京中电熊猫液晶显示科技有限公司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6,800.00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7,800,515.74</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南京中软软件与技术服务有限公司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173,282.05</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广州中软信息技术有限公司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41,379.31</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中电长城网际系统应用广东有限公司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40,129.41</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中国电子器材国际有限公司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销售商品</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21,953.06</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提供劳务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1,184,431.56</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810,609.13</w:t>
            </w:r>
          </w:p>
        </w:tc>
      </w:tr>
      <w:tr>
        <w:trPr>
          <w:trHeight w:val="283" w:hRule="exact"/>
        </w:trPr>
        <w:tc>
          <w:tcPr>
            <w:tcW w:w="35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中电金融设备服务（烟台）有限公司</w:t>
            </w:r>
          </w:p>
        </w:tc>
        <w:tc>
          <w:tcPr>
            <w:tcW w:w="14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提供劳务</w:t>
            </w:r>
          </w:p>
        </w:tc>
        <w:tc>
          <w:tcPr>
            <w:tcW w:w="16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370,000.00</w:t>
            </w:r>
          </w:p>
        </w:tc>
        <w:tc>
          <w:tcPr>
            <w:tcW w:w="16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bl>
    <w:p>
      <w:pPr>
        <w:spacing w:after="0" w:line="240" w:lineRule="auto"/>
        <w:jc w:val="right"/>
        <w:rPr>
          <w:rFonts w:ascii="宋体" w:hAnsi="宋体" w:cs="宋体" w:eastAsia="宋体" w:hint="default"/>
          <w:sz w:val="16"/>
          <w:szCs w:val="16"/>
        </w:rPr>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3543"/>
        <w:gridCol w:w="1443"/>
        <w:gridCol w:w="1608"/>
        <w:gridCol w:w="1611"/>
      </w:tblGrid>
      <w:tr>
        <w:trPr>
          <w:trHeight w:val="284" w:hRule="exact"/>
        </w:trPr>
        <w:tc>
          <w:tcPr>
            <w:tcW w:w="35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2"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14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235" w:right="0"/>
              <w:jc w:val="left"/>
              <w:rPr>
                <w:rFonts w:ascii="宋体" w:hAnsi="宋体" w:cs="宋体" w:eastAsia="宋体" w:hint="default"/>
                <w:sz w:val="16"/>
                <w:szCs w:val="16"/>
              </w:rPr>
            </w:pPr>
            <w:r>
              <w:rPr>
                <w:rFonts w:ascii="宋体" w:hAnsi="宋体" w:cs="宋体" w:eastAsia="宋体" w:hint="default"/>
                <w:sz w:val="16"/>
                <w:szCs w:val="16"/>
              </w:rPr>
              <w:t>关联交易内容</w:t>
            </w:r>
          </w:p>
        </w:tc>
        <w:tc>
          <w:tcPr>
            <w:tcW w:w="16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477"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6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478"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武汉长江融达电子有限公司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提供劳务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228,783.17</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19,051.92</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提供劳务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171,792.45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桂林长海发展有限责任公司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提供劳务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129,150.35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97,641.51</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湖南凯杰科技有限责任公司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提供劳务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30,584.29</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中电惠融商业保理（深圳）有限公司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提供劳务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6,806.47</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长沙湘计开拓物业管理有限公司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提供劳务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2,600.00</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中电金融设备系统（深圳）有限公司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提供劳务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550,000.00</w:t>
            </w:r>
          </w:p>
        </w:tc>
      </w:tr>
      <w:tr>
        <w:trPr>
          <w:trHeight w:val="274" w:hRule="exact"/>
        </w:trPr>
        <w:tc>
          <w:tcPr>
            <w:tcW w:w="35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中科长城海洋信息系统有限公司</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提供劳务</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48,548.00</w:t>
            </w:r>
          </w:p>
        </w:tc>
      </w:tr>
      <w:tr>
        <w:trPr>
          <w:trHeight w:val="283" w:hRule="exact"/>
        </w:trPr>
        <w:tc>
          <w:tcPr>
            <w:tcW w:w="35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4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提供劳务</w:t>
            </w:r>
          </w:p>
        </w:tc>
        <w:tc>
          <w:tcPr>
            <w:tcW w:w="16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20"/>
              <w:jc w:val="right"/>
              <w:rPr>
                <w:rFonts w:ascii="宋体" w:hAnsi="宋体" w:cs="宋体" w:eastAsia="宋体" w:hint="default"/>
                <w:sz w:val="16"/>
                <w:szCs w:val="16"/>
              </w:rPr>
            </w:pPr>
            <w:r>
              <w:rPr>
                <w:rFonts w:ascii="宋体"/>
                <w:w w:val="100"/>
                <w:sz w:val="16"/>
              </w:rPr>
              <w:t> </w:t>
            </w:r>
          </w:p>
        </w:tc>
        <w:tc>
          <w:tcPr>
            <w:tcW w:w="16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47,169.81</w:t>
            </w:r>
          </w:p>
        </w:tc>
      </w:tr>
    </w:tbl>
    <w:p>
      <w:pPr>
        <w:spacing w:line="240" w:lineRule="auto" w:before="11"/>
        <w:rPr>
          <w:rFonts w:ascii="Times New Roman" w:hAnsi="Times New Roman" w:cs="Times New Roman" w:eastAsia="Times New Roman" w:hint="default"/>
          <w:sz w:val="29"/>
          <w:szCs w:val="29"/>
        </w:rPr>
      </w:pPr>
    </w:p>
    <w:p>
      <w:pPr>
        <w:tabs>
          <w:tab w:pos="1397" w:val="left" w:leader="none"/>
        </w:tabs>
        <w:spacing w:line="331" w:lineRule="auto" w:before="36"/>
        <w:ind w:left="1414" w:right="5142" w:hanging="569"/>
        <w:jc w:val="left"/>
        <w:rPr>
          <w:rFonts w:ascii="宋体" w:hAnsi="宋体" w:cs="宋体" w:eastAsia="宋体" w:hint="default"/>
          <w:sz w:val="21"/>
          <w:szCs w:val="21"/>
        </w:rPr>
      </w:pPr>
      <w:r>
        <w:rPr/>
        <w:pict>
          <v:shape style="position:absolute;margin-left:119.059998pt;margin-top:37.103703pt;width:420.8pt;height:71.4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0"/>
                    <w:gridCol w:w="1313"/>
                    <w:gridCol w:w="1190"/>
                    <w:gridCol w:w="1020"/>
                    <w:gridCol w:w="881"/>
                    <w:gridCol w:w="1453"/>
                    <w:gridCol w:w="1085"/>
                  </w:tblGrid>
                  <w:tr>
                    <w:trPr>
                      <w:trHeight w:val="699" w:hRule="exact"/>
                    </w:trPr>
                    <w:tc>
                      <w:tcPr>
                        <w:tcW w:w="1430" w:type="dxa"/>
                        <w:tcBorders>
                          <w:top w:val="single" w:sz="12" w:space="0" w:color="000000"/>
                          <w:left w:val="nil" w:sz="6" w:space="0" w:color="auto"/>
                          <w:bottom w:val="dotted" w:sz="4" w:space="0" w:color="000000"/>
                          <w:right w:val="dotted" w:sz="4" w:space="0" w:color="000000"/>
                        </w:tcBorders>
                      </w:tcPr>
                      <w:p>
                        <w:pPr>
                          <w:pStyle w:val="TableParagraph"/>
                          <w:spacing w:line="208" w:lineRule="exact" w:before="127"/>
                          <w:ind w:left="640" w:right="118" w:hanging="502"/>
                          <w:jc w:val="left"/>
                          <w:rPr>
                            <w:rFonts w:ascii="宋体" w:hAnsi="宋体" w:cs="宋体" w:eastAsia="宋体" w:hint="default"/>
                            <w:sz w:val="16"/>
                            <w:szCs w:val="16"/>
                          </w:rPr>
                        </w:pPr>
                        <w:r>
                          <w:rPr>
                            <w:rFonts w:ascii="宋体" w:hAnsi="宋体" w:cs="宋体" w:eastAsia="宋体" w:hint="default"/>
                            <w:sz w:val="16"/>
                            <w:szCs w:val="16"/>
                          </w:rPr>
                          <w:t>委托方</w:t>
                        </w:r>
                        <w:r>
                          <w:rPr>
                            <w:rFonts w:ascii="Times New Roman" w:hAnsi="Times New Roman" w:cs="Times New Roman" w:eastAsia="Times New Roman" w:hint="default"/>
                            <w:sz w:val="16"/>
                            <w:szCs w:val="16"/>
                          </w:rPr>
                          <w:t>/</w:t>
                        </w:r>
                        <w:r>
                          <w:rPr>
                            <w:rFonts w:ascii="宋体" w:hAnsi="宋体" w:cs="宋体" w:eastAsia="宋体" w:hint="default"/>
                            <w:sz w:val="16"/>
                            <w:szCs w:val="16"/>
                          </w:rPr>
                          <w:t>出包方名</w:t>
                        </w:r>
                        <w:r>
                          <w:rPr>
                            <w:rFonts w:ascii="宋体" w:hAnsi="宋体" w:cs="宋体" w:eastAsia="宋体" w:hint="default"/>
                            <w:w w:val="100"/>
                            <w:sz w:val="16"/>
                            <w:szCs w:val="16"/>
                          </w:rPr>
                          <w:t> </w:t>
                        </w:r>
                        <w:r>
                          <w:rPr>
                            <w:rFonts w:ascii="宋体" w:hAnsi="宋体" w:cs="宋体" w:eastAsia="宋体" w:hint="default"/>
                            <w:sz w:val="16"/>
                            <w:szCs w:val="16"/>
                          </w:rPr>
                          <w:t>称</w:t>
                        </w:r>
                      </w:p>
                    </w:tc>
                    <w:tc>
                      <w:tcPr>
                        <w:tcW w:w="1313" w:type="dxa"/>
                        <w:tcBorders>
                          <w:top w:val="single" w:sz="12" w:space="0" w:color="000000"/>
                          <w:left w:val="dotted" w:sz="4" w:space="0" w:color="000000"/>
                          <w:bottom w:val="dotted" w:sz="4" w:space="0" w:color="000000"/>
                          <w:right w:val="dotted" w:sz="4" w:space="0" w:color="000000"/>
                        </w:tcBorders>
                      </w:tcPr>
                      <w:p>
                        <w:pPr>
                          <w:pStyle w:val="TableParagraph"/>
                          <w:spacing w:line="208" w:lineRule="exact" w:before="127"/>
                          <w:ind w:left="490" w:right="146" w:hanging="344"/>
                          <w:jc w:val="left"/>
                          <w:rPr>
                            <w:rFonts w:ascii="宋体" w:hAnsi="宋体" w:cs="宋体" w:eastAsia="宋体" w:hint="default"/>
                            <w:sz w:val="16"/>
                            <w:szCs w:val="16"/>
                          </w:rPr>
                        </w:pPr>
                        <w:r>
                          <w:rPr>
                            <w:rFonts w:ascii="宋体" w:hAnsi="宋体" w:cs="宋体" w:eastAsia="宋体" w:hint="default"/>
                            <w:sz w:val="16"/>
                            <w:szCs w:val="16"/>
                          </w:rPr>
                          <w:t>受托方</w:t>
                        </w:r>
                        <w:r>
                          <w:rPr>
                            <w:rFonts w:ascii="Times New Roman" w:hAnsi="Times New Roman" w:cs="Times New Roman" w:eastAsia="Times New Roman" w:hint="default"/>
                            <w:sz w:val="16"/>
                            <w:szCs w:val="16"/>
                          </w:rPr>
                          <w:t>/</w:t>
                        </w:r>
                        <w:r>
                          <w:rPr>
                            <w:rFonts w:ascii="宋体" w:hAnsi="宋体" w:cs="宋体" w:eastAsia="宋体" w:hint="default"/>
                            <w:sz w:val="16"/>
                            <w:szCs w:val="16"/>
                          </w:rPr>
                          <w:t>承包方</w:t>
                        </w:r>
                        <w:r>
                          <w:rPr>
                            <w:rFonts w:ascii="宋体" w:hAnsi="宋体" w:cs="宋体" w:eastAsia="宋体" w:hint="default"/>
                            <w:spacing w:val="-77"/>
                            <w:sz w:val="16"/>
                            <w:szCs w:val="16"/>
                          </w:rPr>
                          <w:t> </w:t>
                        </w:r>
                        <w:r>
                          <w:rPr>
                            <w:rFonts w:ascii="宋体" w:hAnsi="宋体" w:cs="宋体" w:eastAsia="宋体" w:hint="default"/>
                            <w:sz w:val="16"/>
                            <w:szCs w:val="16"/>
                          </w:rPr>
                          <w:t>名称</w:t>
                        </w:r>
                      </w:p>
                    </w:tc>
                    <w:tc>
                      <w:tcPr>
                        <w:tcW w:w="1190" w:type="dxa"/>
                        <w:tcBorders>
                          <w:top w:val="single" w:sz="12" w:space="0" w:color="000000"/>
                          <w:left w:val="dotted" w:sz="4" w:space="0" w:color="000000"/>
                          <w:bottom w:val="dotted" w:sz="4" w:space="0" w:color="000000"/>
                          <w:right w:val="dotted" w:sz="4" w:space="0" w:color="000000"/>
                        </w:tcBorders>
                      </w:tcPr>
                      <w:p>
                        <w:pPr>
                          <w:pStyle w:val="TableParagraph"/>
                          <w:spacing w:line="208" w:lineRule="exact" w:before="127"/>
                          <w:ind w:left="347" w:right="167" w:hanging="183"/>
                          <w:jc w:val="left"/>
                          <w:rPr>
                            <w:rFonts w:ascii="宋体" w:hAnsi="宋体" w:cs="宋体" w:eastAsia="宋体" w:hint="default"/>
                            <w:sz w:val="16"/>
                            <w:szCs w:val="16"/>
                          </w:rPr>
                        </w:pPr>
                        <w:r>
                          <w:rPr>
                            <w:rFonts w:ascii="宋体" w:hAnsi="宋体" w:cs="宋体" w:eastAsia="宋体" w:hint="default"/>
                            <w:sz w:val="16"/>
                            <w:szCs w:val="16"/>
                          </w:rPr>
                          <w:t>受托</w:t>
                        </w:r>
                        <w:r>
                          <w:rPr>
                            <w:rFonts w:ascii="Times New Roman" w:hAnsi="Times New Roman" w:cs="Times New Roman" w:eastAsia="Times New Roman" w:hint="default"/>
                            <w:sz w:val="16"/>
                            <w:szCs w:val="16"/>
                          </w:rPr>
                          <w:t>/</w:t>
                        </w:r>
                        <w:r>
                          <w:rPr>
                            <w:rFonts w:ascii="宋体" w:hAnsi="宋体" w:cs="宋体" w:eastAsia="宋体" w:hint="default"/>
                            <w:sz w:val="16"/>
                            <w:szCs w:val="16"/>
                          </w:rPr>
                          <w:t>承包资</w:t>
                        </w:r>
                        <w:r>
                          <w:rPr>
                            <w:rFonts w:ascii="宋体" w:hAnsi="宋体" w:cs="宋体" w:eastAsia="宋体" w:hint="default"/>
                            <w:w w:val="100"/>
                            <w:sz w:val="16"/>
                            <w:szCs w:val="16"/>
                          </w:rPr>
                          <w:t> </w:t>
                        </w:r>
                        <w:r>
                          <w:rPr>
                            <w:rFonts w:ascii="宋体" w:hAnsi="宋体" w:cs="宋体" w:eastAsia="宋体" w:hint="default"/>
                            <w:sz w:val="16"/>
                            <w:szCs w:val="16"/>
                          </w:rPr>
                          <w:t>产类型</w:t>
                        </w:r>
                      </w:p>
                    </w:tc>
                    <w:tc>
                      <w:tcPr>
                        <w:tcW w:w="1020" w:type="dxa"/>
                        <w:tcBorders>
                          <w:top w:val="single" w:sz="12" w:space="0" w:color="000000"/>
                          <w:left w:val="dotted" w:sz="4" w:space="0" w:color="000000"/>
                          <w:bottom w:val="dotted" w:sz="4" w:space="0" w:color="000000"/>
                          <w:right w:val="dotted" w:sz="4" w:space="0" w:color="000000"/>
                        </w:tcBorders>
                      </w:tcPr>
                      <w:p>
                        <w:pPr>
                          <w:pStyle w:val="TableParagraph"/>
                          <w:spacing w:line="208" w:lineRule="exact" w:before="127"/>
                          <w:ind w:left="264" w:right="161" w:hanging="101"/>
                          <w:jc w:val="left"/>
                          <w:rPr>
                            <w:rFonts w:ascii="宋体" w:hAnsi="宋体" w:cs="宋体" w:eastAsia="宋体" w:hint="default"/>
                            <w:sz w:val="16"/>
                            <w:szCs w:val="16"/>
                          </w:rPr>
                        </w:pPr>
                        <w:r>
                          <w:rPr>
                            <w:rFonts w:ascii="宋体" w:hAnsi="宋体" w:cs="宋体" w:eastAsia="宋体" w:hint="default"/>
                            <w:sz w:val="16"/>
                            <w:szCs w:val="16"/>
                          </w:rPr>
                          <w:t>受托</w:t>
                        </w:r>
                        <w:r>
                          <w:rPr>
                            <w:rFonts w:ascii="Times New Roman" w:hAnsi="Times New Roman" w:cs="Times New Roman" w:eastAsia="Times New Roman" w:hint="default"/>
                            <w:sz w:val="16"/>
                            <w:szCs w:val="16"/>
                          </w:rPr>
                          <w:t>/</w:t>
                        </w:r>
                        <w:r>
                          <w:rPr>
                            <w:rFonts w:ascii="宋体" w:hAnsi="宋体" w:cs="宋体" w:eastAsia="宋体" w:hint="default"/>
                            <w:sz w:val="16"/>
                            <w:szCs w:val="16"/>
                          </w:rPr>
                          <w:t>承包</w:t>
                        </w:r>
                        <w:r>
                          <w:rPr>
                            <w:rFonts w:ascii="宋体" w:hAnsi="宋体" w:cs="宋体" w:eastAsia="宋体" w:hint="default"/>
                            <w:spacing w:val="-3"/>
                            <w:w w:val="100"/>
                            <w:sz w:val="16"/>
                            <w:szCs w:val="16"/>
                          </w:rPr>
                          <w:t> </w:t>
                        </w:r>
                        <w:r>
                          <w:rPr>
                            <w:rFonts w:ascii="宋体" w:hAnsi="宋体" w:cs="宋体" w:eastAsia="宋体" w:hint="default"/>
                            <w:sz w:val="16"/>
                            <w:szCs w:val="16"/>
                          </w:rPr>
                          <w:t>起始日</w:t>
                        </w:r>
                      </w:p>
                    </w:tc>
                    <w:tc>
                      <w:tcPr>
                        <w:tcW w:w="881" w:type="dxa"/>
                        <w:tcBorders>
                          <w:top w:val="single" w:sz="12" w:space="0" w:color="000000"/>
                          <w:left w:val="dotted" w:sz="4" w:space="0" w:color="000000"/>
                          <w:bottom w:val="dotted" w:sz="4" w:space="0" w:color="000000"/>
                          <w:right w:val="dotted" w:sz="4" w:space="0" w:color="000000"/>
                        </w:tcBorders>
                      </w:tcPr>
                      <w:p>
                        <w:pPr>
                          <w:pStyle w:val="TableParagraph"/>
                          <w:spacing w:line="208" w:lineRule="exact" w:before="127"/>
                          <w:ind w:left="115" w:right="110" w:firstLine="57"/>
                          <w:jc w:val="left"/>
                          <w:rPr>
                            <w:rFonts w:ascii="宋体" w:hAnsi="宋体" w:cs="宋体" w:eastAsia="宋体" w:hint="default"/>
                            <w:sz w:val="16"/>
                            <w:szCs w:val="16"/>
                          </w:rPr>
                        </w:pPr>
                        <w:r>
                          <w:rPr>
                            <w:rFonts w:ascii="宋体" w:hAnsi="宋体" w:cs="宋体" w:eastAsia="宋体" w:hint="default"/>
                            <w:sz w:val="16"/>
                            <w:szCs w:val="16"/>
                          </w:rPr>
                          <w:t>受托</w:t>
                        </w:r>
                        <w:r>
                          <w:rPr>
                            <w:rFonts w:ascii="Times New Roman" w:hAnsi="Times New Roman" w:cs="Times New Roman" w:eastAsia="Times New Roman" w:hint="default"/>
                            <w:sz w:val="16"/>
                            <w:szCs w:val="16"/>
                          </w:rPr>
                          <w:t>/</w:t>
                        </w:r>
                        <w:r>
                          <w:rPr>
                            <w:rFonts w:ascii="宋体" w:hAnsi="宋体" w:cs="宋体" w:eastAsia="宋体" w:hint="default"/>
                            <w:sz w:val="16"/>
                            <w:szCs w:val="16"/>
                          </w:rPr>
                          <w:t>承</w:t>
                        </w:r>
                        <w:r>
                          <w:rPr>
                            <w:rFonts w:ascii="宋体" w:hAnsi="宋体" w:cs="宋体" w:eastAsia="宋体" w:hint="default"/>
                            <w:w w:val="100"/>
                            <w:sz w:val="16"/>
                            <w:szCs w:val="16"/>
                          </w:rPr>
                          <w:t> </w:t>
                        </w:r>
                        <w:r>
                          <w:rPr>
                            <w:rFonts w:ascii="宋体" w:hAnsi="宋体" w:cs="宋体" w:eastAsia="宋体" w:hint="default"/>
                            <w:sz w:val="16"/>
                            <w:szCs w:val="16"/>
                          </w:rPr>
                          <w:t>包终止日</w:t>
                        </w:r>
                      </w:p>
                    </w:tc>
                    <w:tc>
                      <w:tcPr>
                        <w:tcW w:w="1453" w:type="dxa"/>
                        <w:tcBorders>
                          <w:top w:val="single" w:sz="12" w:space="0" w:color="000000"/>
                          <w:left w:val="dotted" w:sz="4" w:space="0" w:color="000000"/>
                          <w:bottom w:val="dotted" w:sz="4" w:space="0" w:color="000000"/>
                          <w:right w:val="dotted" w:sz="4" w:space="0" w:color="000000"/>
                        </w:tcBorders>
                      </w:tcPr>
                      <w:p>
                        <w:pPr>
                          <w:pStyle w:val="TableParagraph"/>
                          <w:spacing w:line="208" w:lineRule="exact" w:before="127"/>
                          <w:ind w:left="319" w:right="137" w:hanging="183"/>
                          <w:jc w:val="left"/>
                          <w:rPr>
                            <w:rFonts w:ascii="宋体" w:hAnsi="宋体" w:cs="宋体" w:eastAsia="宋体" w:hint="default"/>
                            <w:sz w:val="16"/>
                            <w:szCs w:val="16"/>
                          </w:rPr>
                        </w:pPr>
                        <w:r>
                          <w:rPr>
                            <w:rFonts w:ascii="宋体" w:hAnsi="宋体" w:cs="宋体" w:eastAsia="宋体" w:hint="default"/>
                            <w:sz w:val="16"/>
                            <w:szCs w:val="16"/>
                          </w:rPr>
                          <w:t>托管收益</w:t>
                        </w:r>
                        <w:r>
                          <w:rPr>
                            <w:rFonts w:ascii="Times New Roman" w:hAnsi="Times New Roman" w:cs="Times New Roman" w:eastAsia="Times New Roman" w:hint="default"/>
                            <w:sz w:val="16"/>
                            <w:szCs w:val="16"/>
                          </w:rPr>
                          <w:t>/</w:t>
                        </w:r>
                        <w:r>
                          <w:rPr>
                            <w:rFonts w:ascii="宋体" w:hAnsi="宋体" w:cs="宋体" w:eastAsia="宋体" w:hint="default"/>
                            <w:sz w:val="16"/>
                            <w:szCs w:val="16"/>
                          </w:rPr>
                          <w:t>承包收</w:t>
                        </w:r>
                        <w:r>
                          <w:rPr>
                            <w:rFonts w:ascii="宋体" w:hAnsi="宋体" w:cs="宋体" w:eastAsia="宋体" w:hint="default"/>
                            <w:w w:val="100"/>
                            <w:sz w:val="16"/>
                            <w:szCs w:val="16"/>
                          </w:rPr>
                          <w:t> </w:t>
                        </w:r>
                        <w:r>
                          <w:rPr>
                            <w:rFonts w:ascii="宋体" w:hAnsi="宋体" w:cs="宋体" w:eastAsia="宋体" w:hint="default"/>
                            <w:sz w:val="16"/>
                            <w:szCs w:val="16"/>
                          </w:rPr>
                          <w:t>益定价依据</w:t>
                        </w:r>
                      </w:p>
                    </w:tc>
                    <w:tc>
                      <w:tcPr>
                        <w:tcW w:w="1085" w:type="dxa"/>
                        <w:tcBorders>
                          <w:top w:val="single" w:sz="12" w:space="0" w:color="000000"/>
                          <w:left w:val="dotted" w:sz="4" w:space="0" w:color="000000"/>
                          <w:bottom w:val="dotted" w:sz="4" w:space="0" w:color="000000"/>
                          <w:right w:val="nil" w:sz="6" w:space="0" w:color="auto"/>
                        </w:tcBorders>
                      </w:tcPr>
                      <w:p>
                        <w:pPr>
                          <w:pStyle w:val="TableParagraph"/>
                          <w:spacing w:line="230" w:lineRule="auto" w:before="11"/>
                          <w:ind w:left="115" w:right="115" w:hanging="3"/>
                          <w:jc w:val="center"/>
                          <w:rPr>
                            <w:rFonts w:ascii="宋体" w:hAnsi="宋体" w:cs="宋体" w:eastAsia="宋体" w:hint="default"/>
                            <w:sz w:val="16"/>
                            <w:szCs w:val="16"/>
                          </w:rPr>
                        </w:pPr>
                        <w:r>
                          <w:rPr>
                            <w:rFonts w:ascii="宋体" w:hAnsi="宋体" w:cs="宋体" w:eastAsia="宋体" w:hint="default"/>
                            <w:sz w:val="16"/>
                            <w:szCs w:val="16"/>
                          </w:rPr>
                          <w:t>本期确认的</w:t>
                        </w:r>
                        <w:r>
                          <w:rPr>
                            <w:rFonts w:ascii="宋体" w:hAnsi="宋体" w:cs="宋体" w:eastAsia="宋体" w:hint="default"/>
                            <w:w w:val="100"/>
                            <w:sz w:val="16"/>
                            <w:szCs w:val="16"/>
                          </w:rPr>
                          <w:t> </w:t>
                        </w:r>
                        <w:r>
                          <w:rPr>
                            <w:rFonts w:ascii="宋体" w:hAnsi="宋体" w:cs="宋体" w:eastAsia="宋体" w:hint="default"/>
                            <w:sz w:val="16"/>
                            <w:szCs w:val="16"/>
                          </w:rPr>
                          <w:t>托管收益</w:t>
                        </w:r>
                        <w:r>
                          <w:rPr>
                            <w:rFonts w:ascii="Times New Roman" w:hAnsi="Times New Roman" w:cs="Times New Roman" w:eastAsia="Times New Roman" w:hint="default"/>
                            <w:sz w:val="16"/>
                            <w:szCs w:val="16"/>
                          </w:rPr>
                          <w:t>/</w:t>
                        </w:r>
                        <w:r>
                          <w:rPr>
                            <w:rFonts w:ascii="宋体" w:hAnsi="宋体" w:cs="宋体" w:eastAsia="宋体" w:hint="default"/>
                            <w:sz w:val="16"/>
                            <w:szCs w:val="16"/>
                          </w:rPr>
                          <w:t>承</w:t>
                        </w:r>
                        <w:r>
                          <w:rPr>
                            <w:rFonts w:ascii="宋体" w:hAnsi="宋体" w:cs="宋体" w:eastAsia="宋体" w:hint="default"/>
                            <w:w w:val="100"/>
                            <w:sz w:val="16"/>
                            <w:szCs w:val="16"/>
                          </w:rPr>
                          <w:t> </w:t>
                        </w:r>
                        <w:r>
                          <w:rPr>
                            <w:rFonts w:ascii="宋体" w:hAnsi="宋体" w:cs="宋体" w:eastAsia="宋体" w:hint="default"/>
                            <w:sz w:val="16"/>
                            <w:szCs w:val="16"/>
                          </w:rPr>
                          <w:t>包收益</w:t>
                        </w:r>
                      </w:p>
                    </w:tc>
                  </w:tr>
                  <w:tr>
                    <w:trPr>
                      <w:trHeight w:val="701" w:hRule="exact"/>
                    </w:trPr>
                    <w:tc>
                      <w:tcPr>
                        <w:tcW w:w="14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6"/>
                          <w:ind w:left="122" w:right="99"/>
                          <w:jc w:val="left"/>
                          <w:rPr>
                            <w:rFonts w:ascii="宋体" w:hAnsi="宋体" w:cs="宋体" w:eastAsia="宋体" w:hint="default"/>
                            <w:sz w:val="16"/>
                            <w:szCs w:val="16"/>
                          </w:rPr>
                        </w:pPr>
                        <w:r>
                          <w:rPr>
                            <w:rFonts w:ascii="宋体" w:hAnsi="宋体" w:cs="宋体" w:eastAsia="宋体" w:hint="default"/>
                            <w:spacing w:val="9"/>
                            <w:sz w:val="16"/>
                            <w:szCs w:val="16"/>
                          </w:rPr>
                          <w:t>中国电子信息产</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业集团有限公司</w:t>
                        </w:r>
                      </w:p>
                    </w:tc>
                    <w:tc>
                      <w:tcPr>
                        <w:tcW w:w="13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103" w:right="74"/>
                          <w:jc w:val="left"/>
                          <w:rPr>
                            <w:rFonts w:ascii="宋体" w:hAnsi="宋体" w:cs="宋体" w:eastAsia="宋体" w:hint="default"/>
                            <w:sz w:val="16"/>
                            <w:szCs w:val="16"/>
                          </w:rPr>
                        </w:pPr>
                        <w:r>
                          <w:rPr>
                            <w:rFonts w:ascii="宋体" w:hAnsi="宋体" w:cs="宋体" w:eastAsia="宋体" w:hint="default"/>
                            <w:spacing w:val="20"/>
                            <w:sz w:val="16"/>
                            <w:szCs w:val="16"/>
                          </w:rPr>
                          <w:t>武汉中原电子</w:t>
                        </w:r>
                        <w:r>
                          <w:rPr>
                            <w:rFonts w:ascii="宋体" w:hAnsi="宋体" w:cs="宋体" w:eastAsia="宋体" w:hint="default"/>
                            <w:spacing w:val="-66"/>
                            <w:sz w:val="16"/>
                            <w:szCs w:val="16"/>
                          </w:rPr>
                          <w:t> </w:t>
                        </w:r>
                        <w:r>
                          <w:rPr>
                            <w:rFonts w:ascii="宋体" w:hAnsi="宋体" w:cs="宋体" w:eastAsia="宋体" w:hint="default"/>
                            <w:sz w:val="16"/>
                            <w:szCs w:val="16"/>
                          </w:rPr>
                          <w:t>集团有限公司</w:t>
                        </w:r>
                      </w:p>
                    </w:tc>
                    <w:tc>
                      <w:tcPr>
                        <w:tcW w:w="1190" w:type="dxa"/>
                        <w:tcBorders>
                          <w:top w:val="dotted" w:sz="4" w:space="0" w:color="000000"/>
                          <w:left w:val="dotted" w:sz="4" w:space="0" w:color="000000"/>
                          <w:bottom w:val="single" w:sz="12" w:space="0" w:color="000000"/>
                          <w:right w:val="dotted" w:sz="4" w:space="0" w:color="000000"/>
                        </w:tcBorders>
                      </w:tcPr>
                      <w:p>
                        <w:pPr>
                          <w:pStyle w:val="TableParagraph"/>
                          <w:spacing w:line="237" w:lineRule="auto" w:before="4"/>
                          <w:ind w:left="100" w:right="98"/>
                          <w:jc w:val="both"/>
                          <w:rPr>
                            <w:rFonts w:ascii="宋体" w:hAnsi="宋体" w:cs="宋体" w:eastAsia="宋体" w:hint="default"/>
                            <w:sz w:val="16"/>
                            <w:szCs w:val="16"/>
                          </w:rPr>
                        </w:pPr>
                        <w:r>
                          <w:rPr>
                            <w:rFonts w:ascii="宋体" w:hAnsi="宋体" w:cs="宋体" w:eastAsia="宋体" w:hint="default"/>
                            <w:spacing w:val="2"/>
                            <w:sz w:val="16"/>
                            <w:szCs w:val="16"/>
                          </w:rPr>
                          <w:t>武汉中原物业</w:t>
                        </w:r>
                        <w:r>
                          <w:rPr>
                            <w:rFonts w:ascii="宋体" w:hAnsi="宋体" w:cs="宋体" w:eastAsia="宋体" w:hint="default"/>
                            <w:spacing w:val="-76"/>
                            <w:sz w:val="16"/>
                            <w:szCs w:val="16"/>
                          </w:rPr>
                          <w:t> </w:t>
                        </w:r>
                        <w:r>
                          <w:rPr>
                            <w:rFonts w:ascii="宋体" w:hAnsi="宋体" w:cs="宋体" w:eastAsia="宋体" w:hint="default"/>
                            <w:spacing w:val="2"/>
                            <w:sz w:val="16"/>
                            <w:szCs w:val="16"/>
                          </w:rPr>
                          <w:t>发展有限公司</w:t>
                        </w:r>
                        <w:r>
                          <w:rPr>
                            <w:rFonts w:ascii="宋体" w:hAnsi="宋体" w:cs="宋体" w:eastAsia="宋体" w:hint="default"/>
                            <w:spacing w:val="-76"/>
                            <w:sz w:val="16"/>
                            <w:szCs w:val="16"/>
                          </w:rPr>
                          <w:t> </w:t>
                        </w:r>
                        <w:r>
                          <w:rPr>
                            <w:rFonts w:ascii="宋体" w:hAnsi="宋体" w:cs="宋体" w:eastAsia="宋体" w:hint="default"/>
                            <w:sz w:val="16"/>
                            <w:szCs w:val="16"/>
                          </w:rPr>
                          <w:t>日常经营管理</w:t>
                        </w:r>
                      </w:p>
                    </w:tc>
                    <w:tc>
                      <w:tcPr>
                        <w:tcW w:w="10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70" w:right="0"/>
                          <w:jc w:val="left"/>
                          <w:rPr>
                            <w:rFonts w:ascii="Times New Roman" w:hAnsi="Times New Roman" w:cs="Times New Roman" w:eastAsia="Times New Roman" w:hint="default"/>
                            <w:sz w:val="16"/>
                            <w:szCs w:val="16"/>
                          </w:rPr>
                        </w:pPr>
                        <w:r>
                          <w:rPr>
                            <w:rFonts w:ascii="Times New Roman"/>
                            <w:sz w:val="16"/>
                          </w:rPr>
                          <w:t>2016-4-25</w:t>
                        </w:r>
                      </w:p>
                    </w:tc>
                    <w:tc>
                      <w:tcPr>
                        <w:tcW w:w="8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6"/>
                            <w:szCs w:val="16"/>
                          </w:rPr>
                        </w:pPr>
                        <w:r>
                          <w:rPr>
                            <w:rFonts w:ascii="宋体" w:hAnsi="宋体" w:cs="宋体" w:eastAsia="宋体" w:hint="default"/>
                            <w:sz w:val="16"/>
                            <w:szCs w:val="16"/>
                          </w:rPr>
                          <w:t>未约定</w:t>
                        </w:r>
                      </w:p>
                    </w:tc>
                    <w:tc>
                      <w:tcPr>
                        <w:tcW w:w="1453" w:type="dxa"/>
                        <w:tcBorders>
                          <w:top w:val="dotted" w:sz="4" w:space="0" w:color="000000"/>
                          <w:left w:val="dotted" w:sz="4" w:space="0" w:color="000000"/>
                          <w:bottom w:val="single" w:sz="12" w:space="0" w:color="000000"/>
                          <w:right w:val="dotted" w:sz="4" w:space="0" w:color="000000"/>
                        </w:tcBorders>
                      </w:tcPr>
                      <w:p>
                        <w:pPr>
                          <w:pStyle w:val="TableParagraph"/>
                          <w:spacing w:line="215" w:lineRule="exact" w:before="106"/>
                          <w:ind w:left="100"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合同约定每年</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100</w:t>
                        </w:r>
                      </w:p>
                      <w:p>
                        <w:pPr>
                          <w:pStyle w:val="TableParagraph"/>
                          <w:spacing w:line="203" w:lineRule="exact"/>
                          <w:ind w:left="100" w:right="0"/>
                          <w:jc w:val="left"/>
                          <w:rPr>
                            <w:rFonts w:ascii="宋体" w:hAnsi="宋体" w:cs="宋体" w:eastAsia="宋体" w:hint="default"/>
                            <w:sz w:val="16"/>
                            <w:szCs w:val="16"/>
                          </w:rPr>
                        </w:pPr>
                        <w:r>
                          <w:rPr>
                            <w:rFonts w:ascii="宋体" w:hAnsi="宋体" w:cs="宋体" w:eastAsia="宋体" w:hint="default"/>
                            <w:sz w:val="16"/>
                            <w:szCs w:val="16"/>
                          </w:rPr>
                          <w:t>万元（含税）</w:t>
                        </w:r>
                      </w:p>
                    </w:tc>
                    <w:tc>
                      <w:tcPr>
                        <w:tcW w:w="108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51" w:right="0"/>
                          <w:jc w:val="left"/>
                          <w:rPr>
                            <w:rFonts w:ascii="Times New Roman" w:hAnsi="Times New Roman" w:cs="Times New Roman" w:eastAsia="Times New Roman" w:hint="default"/>
                            <w:sz w:val="16"/>
                            <w:szCs w:val="16"/>
                          </w:rPr>
                        </w:pPr>
                        <w:r>
                          <w:rPr>
                            <w:rFonts w:ascii="Times New Roman"/>
                            <w:sz w:val="16"/>
                          </w:rPr>
                          <w:t>943,392.63</w:t>
                        </w:r>
                      </w:p>
                    </w:tc>
                  </w:tr>
                </w:tbl>
                <w:p>
                  <w:pPr/>
                </w:p>
              </w:txbxContent>
            </v:textbox>
            <w10:wrap type="non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关联受托管理</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承包及委托管理</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出包情况</w:t>
      </w:r>
      <w:r>
        <w:rPr>
          <w:rFonts w:ascii="宋体" w:hAnsi="宋体" w:cs="宋体" w:eastAsia="宋体" w:hint="default"/>
          <w:b/>
          <w:bCs/>
          <w:spacing w:val="-86"/>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3</w:t>
      </w:r>
      <w:r>
        <w:rPr/>
        <w:t>、</w:t>
        <w:tab/>
        <w:t>关联租赁情况</w:t>
      </w:r>
      <w:r>
        <w:rPr>
          <w:b w:val="0"/>
          <w:bCs w:val="0"/>
        </w:rPr>
      </w:r>
    </w:p>
    <w:p>
      <w:pPr>
        <w:pStyle w:val="BodyText"/>
        <w:spacing w:line="240" w:lineRule="auto" w:before="110"/>
        <w:ind w:right="3683"/>
        <w:jc w:val="left"/>
      </w:pPr>
      <w:r>
        <w:rPr/>
        <w:t>本公司作为出租方：</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645"/>
        <w:gridCol w:w="1488"/>
        <w:gridCol w:w="2035"/>
        <w:gridCol w:w="2036"/>
      </w:tblGrid>
      <w:tr>
        <w:trPr>
          <w:trHeight w:val="283" w:hRule="exact"/>
        </w:trPr>
        <w:tc>
          <w:tcPr>
            <w:tcW w:w="26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承租方名称</w:t>
            </w:r>
          </w:p>
        </w:tc>
        <w:tc>
          <w:tcPr>
            <w:tcW w:w="14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租赁资产种类</w:t>
            </w:r>
          </w:p>
        </w:tc>
        <w:tc>
          <w:tcPr>
            <w:tcW w:w="20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90" w:right="0"/>
              <w:jc w:val="left"/>
              <w:rPr>
                <w:rFonts w:ascii="宋体" w:hAnsi="宋体" w:cs="宋体" w:eastAsia="宋体" w:hint="default"/>
                <w:sz w:val="16"/>
                <w:szCs w:val="16"/>
              </w:rPr>
            </w:pPr>
            <w:r>
              <w:rPr>
                <w:rFonts w:ascii="宋体" w:hAnsi="宋体" w:cs="宋体" w:eastAsia="宋体" w:hint="default"/>
                <w:sz w:val="16"/>
                <w:szCs w:val="16"/>
              </w:rPr>
              <w:t>本期确认的租赁收入</w:t>
            </w:r>
          </w:p>
        </w:tc>
        <w:tc>
          <w:tcPr>
            <w:tcW w:w="203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292" w:right="0"/>
              <w:jc w:val="left"/>
              <w:rPr>
                <w:rFonts w:ascii="宋体" w:hAnsi="宋体" w:cs="宋体" w:eastAsia="宋体" w:hint="default"/>
                <w:sz w:val="16"/>
                <w:szCs w:val="16"/>
              </w:rPr>
            </w:pPr>
            <w:r>
              <w:rPr>
                <w:rFonts w:ascii="宋体" w:hAnsi="宋体" w:cs="宋体" w:eastAsia="宋体" w:hint="default"/>
                <w:sz w:val="16"/>
                <w:szCs w:val="16"/>
              </w:rPr>
              <w:t>上期确认的租赁收入</w:t>
            </w: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长沙湘计开拓物业管理有限公司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12,453,684.70</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12,038,014.81</w:t>
            </w: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11,994,558.61</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10,580,600.16</w:t>
            </w: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深圳长城开发精密技术有限公司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7,561,892.24</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5,061,166.48</w:t>
            </w: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深圳长城开发科技股份有限公司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6"/>
                <w:szCs w:val="16"/>
              </w:rPr>
            </w:pPr>
            <w:r>
              <w:rPr>
                <w:rFonts w:ascii="Times New Roman"/>
                <w:spacing w:val="-1"/>
                <w:sz w:val="16"/>
              </w:rPr>
              <w:t>3,258,756.38</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6"/>
                <w:szCs w:val="16"/>
              </w:rPr>
            </w:pPr>
            <w:r>
              <w:rPr>
                <w:rFonts w:ascii="Times New Roman"/>
                <w:spacing w:val="-1"/>
                <w:sz w:val="16"/>
              </w:rPr>
              <w:t>821,814.36</w:t>
            </w: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2,521,813.55</w:t>
            </w:r>
          </w:p>
        </w:tc>
        <w:tc>
          <w:tcPr>
            <w:tcW w:w="203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中电工业互联网有限公司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2,063,533.46</w:t>
            </w:r>
          </w:p>
        </w:tc>
        <w:tc>
          <w:tcPr>
            <w:tcW w:w="203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中电九天智能科技有限公司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446,360.93</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101,445.67</w:t>
            </w: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设备</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209,368.04</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145,620.00</w:t>
            </w:r>
          </w:p>
        </w:tc>
      </w:tr>
      <w:tr>
        <w:trPr>
          <w:trHeight w:val="271"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深圳中电蓝海控股有限公司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147,752.26</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15,480.00</w:t>
            </w: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河南中电网安数据科技有限公司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109,090.91</w:t>
            </w:r>
          </w:p>
        </w:tc>
        <w:tc>
          <w:tcPr>
            <w:tcW w:w="203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深圳中电国际信息科技有限公司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100,874.85</w:t>
            </w:r>
          </w:p>
        </w:tc>
        <w:tc>
          <w:tcPr>
            <w:tcW w:w="203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长沙智能制造研究总院有限公司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2"/>
                <w:sz w:val="16"/>
              </w:rPr>
              <w:t>61,956.66</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1,878,324.92</w:t>
            </w: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中电智行技术有限公司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2"/>
                <w:sz w:val="16"/>
              </w:rPr>
              <w:t>45,714.28</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82,857.14</w:t>
            </w: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中国电子财务有限责任公司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2"/>
                <w:sz w:val="16"/>
              </w:rPr>
              <w:t>45,714.28</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45,714.26</w:t>
            </w:r>
          </w:p>
        </w:tc>
      </w:tr>
      <w:tr>
        <w:trPr>
          <w:trHeight w:val="274" w:hRule="exact"/>
        </w:trPr>
        <w:tc>
          <w:tcPr>
            <w:tcW w:w="26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长城计算机软件与系统有限公司</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2"/>
                <w:sz w:val="16"/>
              </w:rPr>
              <w:t>26,666.67</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27,428.55</w:t>
            </w:r>
          </w:p>
        </w:tc>
      </w:tr>
      <w:tr>
        <w:trPr>
          <w:trHeight w:val="286" w:hRule="exact"/>
        </w:trPr>
        <w:tc>
          <w:tcPr>
            <w:tcW w:w="26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中国中电国际信息服务有限公司</w:t>
            </w:r>
          </w:p>
        </w:tc>
        <w:tc>
          <w:tcPr>
            <w:tcW w:w="14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2"/>
                <w:sz w:val="16"/>
              </w:rPr>
              <w:t>11,103.77</w:t>
            </w:r>
          </w:p>
        </w:tc>
        <w:tc>
          <w:tcPr>
            <w:tcW w:w="203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188.68</w:t>
            </w:r>
          </w:p>
        </w:tc>
      </w:tr>
    </w:tbl>
    <w:p>
      <w:pPr>
        <w:spacing w:line="240" w:lineRule="auto" w:before="5"/>
        <w:rPr>
          <w:rFonts w:ascii="宋体" w:hAnsi="宋体" w:cs="宋体" w:eastAsia="宋体" w:hint="default"/>
          <w:sz w:val="26"/>
          <w:szCs w:val="26"/>
        </w:rPr>
      </w:pPr>
    </w:p>
    <w:p>
      <w:pPr>
        <w:pStyle w:val="BodyText"/>
        <w:spacing w:line="240" w:lineRule="auto"/>
        <w:ind w:right="3683"/>
        <w:jc w:val="left"/>
      </w:pPr>
      <w:r>
        <w:rPr/>
        <w:t>本公司作为承租方：</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660"/>
        <w:gridCol w:w="1474"/>
        <w:gridCol w:w="2035"/>
        <w:gridCol w:w="2036"/>
      </w:tblGrid>
      <w:tr>
        <w:trPr>
          <w:trHeight w:val="283" w:hRule="exact"/>
        </w:trPr>
        <w:tc>
          <w:tcPr>
            <w:tcW w:w="26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出租方名称</w:t>
            </w:r>
          </w:p>
        </w:tc>
        <w:tc>
          <w:tcPr>
            <w:tcW w:w="14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租赁资产种类</w:t>
            </w:r>
          </w:p>
        </w:tc>
        <w:tc>
          <w:tcPr>
            <w:tcW w:w="20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371" w:right="0"/>
              <w:jc w:val="left"/>
              <w:rPr>
                <w:rFonts w:ascii="宋体" w:hAnsi="宋体" w:cs="宋体" w:eastAsia="宋体" w:hint="default"/>
                <w:sz w:val="16"/>
                <w:szCs w:val="16"/>
              </w:rPr>
            </w:pPr>
            <w:r>
              <w:rPr>
                <w:rFonts w:ascii="宋体" w:hAnsi="宋体" w:cs="宋体" w:eastAsia="宋体" w:hint="default"/>
                <w:sz w:val="16"/>
                <w:szCs w:val="16"/>
              </w:rPr>
              <w:t>本期确认的租赁费</w:t>
            </w:r>
          </w:p>
        </w:tc>
        <w:tc>
          <w:tcPr>
            <w:tcW w:w="203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371" w:right="0"/>
              <w:jc w:val="left"/>
              <w:rPr>
                <w:rFonts w:ascii="宋体" w:hAnsi="宋体" w:cs="宋体" w:eastAsia="宋体" w:hint="default"/>
                <w:sz w:val="16"/>
                <w:szCs w:val="16"/>
              </w:rPr>
            </w:pPr>
            <w:r>
              <w:rPr>
                <w:rFonts w:ascii="宋体" w:hAnsi="宋体" w:cs="宋体" w:eastAsia="宋体" w:hint="default"/>
                <w:sz w:val="16"/>
                <w:szCs w:val="16"/>
              </w:rPr>
              <w:t>上期确认的租赁费</w:t>
            </w:r>
          </w:p>
        </w:tc>
      </w:tr>
      <w:tr>
        <w:trPr>
          <w:trHeight w:val="274"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湖南计算机厂有限公司</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5,596,104.33</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6,338,172.20</w:t>
            </w:r>
          </w:p>
        </w:tc>
      </w:tr>
      <w:tr>
        <w:trPr>
          <w:trHeight w:val="274"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武汉长江电源有限公司</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厂房</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2,048,214.76</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2,048,214.75</w:t>
            </w:r>
          </w:p>
        </w:tc>
      </w:tr>
      <w:tr>
        <w:trPr>
          <w:trHeight w:val="274"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北京中电瑞达物业有限公司</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1,857,174.55</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106,255.69</w:t>
            </w:r>
          </w:p>
        </w:tc>
      </w:tr>
      <w:tr>
        <w:trPr>
          <w:trHeight w:val="274"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长沙湘计开拓物业管理有限公司</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1,030,544.36</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930,282.38</w:t>
            </w:r>
          </w:p>
        </w:tc>
      </w:tr>
      <w:tr>
        <w:trPr>
          <w:trHeight w:val="283" w:hRule="exact"/>
        </w:trPr>
        <w:tc>
          <w:tcPr>
            <w:tcW w:w="26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中国电子系统技术有限公司</w:t>
            </w:r>
          </w:p>
        </w:tc>
        <w:tc>
          <w:tcPr>
            <w:tcW w:w="14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1,016,339.67</w:t>
            </w:r>
          </w:p>
        </w:tc>
        <w:tc>
          <w:tcPr>
            <w:tcW w:w="2036"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53" w:footer="997" w:top="1500" w:bottom="1180" w:left="1660" w:right="0"/>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2660"/>
        <w:gridCol w:w="1474"/>
        <w:gridCol w:w="2035"/>
        <w:gridCol w:w="2036"/>
      </w:tblGrid>
      <w:tr>
        <w:trPr>
          <w:trHeight w:val="284" w:hRule="exact"/>
        </w:trPr>
        <w:tc>
          <w:tcPr>
            <w:tcW w:w="26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18" w:right="0"/>
              <w:jc w:val="center"/>
              <w:rPr>
                <w:rFonts w:ascii="宋体" w:hAnsi="宋体" w:cs="宋体" w:eastAsia="宋体" w:hint="default"/>
                <w:sz w:val="16"/>
                <w:szCs w:val="16"/>
              </w:rPr>
            </w:pPr>
            <w:r>
              <w:rPr>
                <w:rFonts w:ascii="宋体" w:hAnsi="宋体" w:cs="宋体" w:eastAsia="宋体" w:hint="default"/>
                <w:sz w:val="16"/>
                <w:szCs w:val="16"/>
              </w:rPr>
              <w:t>出租方名称</w:t>
            </w:r>
          </w:p>
        </w:tc>
        <w:tc>
          <w:tcPr>
            <w:tcW w:w="14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center"/>
              <w:rPr>
                <w:rFonts w:ascii="宋体" w:hAnsi="宋体" w:cs="宋体" w:eastAsia="宋体" w:hint="default"/>
                <w:sz w:val="16"/>
                <w:szCs w:val="16"/>
              </w:rPr>
            </w:pPr>
            <w:r>
              <w:rPr>
                <w:rFonts w:ascii="宋体" w:hAnsi="宋体" w:cs="宋体" w:eastAsia="宋体" w:hint="default"/>
                <w:sz w:val="16"/>
                <w:szCs w:val="16"/>
              </w:rPr>
              <w:t>租赁资产种类</w:t>
            </w:r>
          </w:p>
        </w:tc>
        <w:tc>
          <w:tcPr>
            <w:tcW w:w="20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371" w:right="0"/>
              <w:jc w:val="left"/>
              <w:rPr>
                <w:rFonts w:ascii="宋体" w:hAnsi="宋体" w:cs="宋体" w:eastAsia="宋体" w:hint="default"/>
                <w:sz w:val="16"/>
                <w:szCs w:val="16"/>
              </w:rPr>
            </w:pPr>
            <w:r>
              <w:rPr>
                <w:rFonts w:ascii="宋体" w:hAnsi="宋体" w:cs="宋体" w:eastAsia="宋体" w:hint="default"/>
                <w:sz w:val="16"/>
                <w:szCs w:val="16"/>
              </w:rPr>
              <w:t>本期确认的租赁费</w:t>
            </w:r>
          </w:p>
        </w:tc>
        <w:tc>
          <w:tcPr>
            <w:tcW w:w="203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371" w:right="0"/>
              <w:jc w:val="left"/>
              <w:rPr>
                <w:rFonts w:ascii="宋体" w:hAnsi="宋体" w:cs="宋体" w:eastAsia="宋体" w:hint="default"/>
                <w:sz w:val="16"/>
                <w:szCs w:val="16"/>
              </w:rPr>
            </w:pPr>
            <w:r>
              <w:rPr>
                <w:rFonts w:ascii="宋体" w:hAnsi="宋体" w:cs="宋体" w:eastAsia="宋体" w:hint="default"/>
                <w:sz w:val="16"/>
                <w:szCs w:val="16"/>
              </w:rPr>
              <w:t>上期确认的租赁费</w:t>
            </w:r>
          </w:p>
        </w:tc>
      </w:tr>
      <w:tr>
        <w:trPr>
          <w:trHeight w:val="274"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中国瑞达投资发展集团有限公司</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467,329.52</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443,319.04</w:t>
            </w:r>
          </w:p>
        </w:tc>
      </w:tr>
      <w:tr>
        <w:trPr>
          <w:trHeight w:val="480"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0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中国电子信息产业集团有限公司第</w:t>
            </w:r>
            <w:r>
              <w:rPr>
                <w:rFonts w:ascii="宋体" w:hAnsi="宋体" w:cs="宋体" w:eastAsia="宋体" w:hint="default"/>
                <w:spacing w:val="-53"/>
                <w:sz w:val="16"/>
                <w:szCs w:val="16"/>
              </w:rPr>
              <w:t> </w:t>
            </w:r>
            <w:r>
              <w:rPr>
                <w:rFonts w:ascii="宋体" w:hAnsi="宋体" w:cs="宋体" w:eastAsia="宋体" w:hint="default"/>
                <w:spacing w:val="-53"/>
                <w:sz w:val="16"/>
                <w:szCs w:val="16"/>
              </w:rPr>
            </w:r>
            <w:r>
              <w:rPr>
                <w:rFonts w:ascii="宋体" w:hAnsi="宋体" w:cs="宋体" w:eastAsia="宋体" w:hint="default"/>
                <w:sz w:val="16"/>
                <w:szCs w:val="16"/>
              </w:rPr>
              <w:t>六研究所</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152,820.46</w:t>
            </w:r>
          </w:p>
        </w:tc>
        <w:tc>
          <w:tcPr>
            <w:tcW w:w="2036"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深圳市爱华电子有限公司</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29,893.74</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58,628.57</w:t>
            </w:r>
          </w:p>
        </w:tc>
      </w:tr>
      <w:tr>
        <w:trPr>
          <w:trHeight w:val="274"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深圳桑达物业发展有限公司</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房屋</w:t>
            </w:r>
          </w:p>
        </w:tc>
        <w:tc>
          <w:tcPr>
            <w:tcW w:w="2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482.17</w:t>
            </w:r>
          </w:p>
        </w:tc>
        <w:tc>
          <w:tcPr>
            <w:tcW w:w="2036"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26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武汉中元物业发展有限公司</w:t>
            </w:r>
          </w:p>
        </w:tc>
        <w:tc>
          <w:tcPr>
            <w:tcW w:w="14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厂房</w:t>
            </w:r>
          </w:p>
        </w:tc>
        <w:tc>
          <w:tcPr>
            <w:tcW w:w="2035" w:type="dxa"/>
            <w:tcBorders>
              <w:top w:val="dotted" w:sz="4" w:space="0" w:color="000000"/>
              <w:left w:val="dotted" w:sz="4" w:space="0" w:color="000000"/>
              <w:bottom w:val="single" w:sz="12" w:space="0" w:color="000000"/>
              <w:right w:val="dotted" w:sz="4" w:space="0" w:color="000000"/>
            </w:tcBorders>
          </w:tcPr>
          <w:p>
            <w:pPr/>
          </w:p>
        </w:tc>
        <w:tc>
          <w:tcPr>
            <w:tcW w:w="203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91,542.25</w:t>
            </w:r>
          </w:p>
        </w:tc>
      </w:tr>
    </w:tbl>
    <w:p>
      <w:pPr>
        <w:spacing w:line="240" w:lineRule="auto" w:before="5"/>
        <w:rPr>
          <w:rFonts w:ascii="宋体" w:hAnsi="宋体" w:cs="宋体" w:eastAsia="宋体" w:hint="default"/>
          <w:sz w:val="26"/>
          <w:szCs w:val="26"/>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4</w:t>
      </w:r>
      <w:r>
        <w:rPr/>
        <w:t>、</w:t>
        <w:tab/>
        <w:t>关联担保情况</w:t>
      </w:r>
      <w:r>
        <w:rPr>
          <w:b w:val="0"/>
          <w:bCs w:val="0"/>
        </w:rPr>
      </w:r>
    </w:p>
    <w:tbl>
      <w:tblPr>
        <w:tblW w:w="0" w:type="auto"/>
        <w:jc w:val="left"/>
        <w:tblInd w:w="109" w:type="dxa"/>
        <w:tblLayout w:type="fixed"/>
        <w:tblCellMar>
          <w:top w:w="0" w:type="dxa"/>
          <w:left w:w="0" w:type="dxa"/>
          <w:bottom w:w="0" w:type="dxa"/>
          <w:right w:w="0" w:type="dxa"/>
        </w:tblCellMar>
        <w:tblLook w:val="01E0"/>
      </w:tblPr>
      <w:tblGrid>
        <w:gridCol w:w="1205"/>
        <w:gridCol w:w="1532"/>
        <w:gridCol w:w="1390"/>
        <w:gridCol w:w="1114"/>
        <w:gridCol w:w="1349"/>
        <w:gridCol w:w="1021"/>
        <w:gridCol w:w="924"/>
      </w:tblGrid>
      <w:tr>
        <w:trPr>
          <w:trHeight w:val="492" w:hRule="exact"/>
        </w:trPr>
        <w:tc>
          <w:tcPr>
            <w:tcW w:w="120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6"/>
              <w:ind w:left="369" w:right="0"/>
              <w:jc w:val="left"/>
              <w:rPr>
                <w:rFonts w:ascii="宋体" w:hAnsi="宋体" w:cs="宋体" w:eastAsia="宋体" w:hint="default"/>
                <w:sz w:val="16"/>
                <w:szCs w:val="16"/>
              </w:rPr>
            </w:pPr>
            <w:r>
              <w:rPr>
                <w:rFonts w:ascii="宋体" w:hAnsi="宋体" w:cs="宋体" w:eastAsia="宋体" w:hint="default"/>
                <w:sz w:val="16"/>
                <w:szCs w:val="16"/>
              </w:rPr>
              <w:t>担保方</w:t>
            </w:r>
          </w:p>
        </w:tc>
        <w:tc>
          <w:tcPr>
            <w:tcW w:w="15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439" w:right="0"/>
              <w:jc w:val="left"/>
              <w:rPr>
                <w:rFonts w:ascii="宋体" w:hAnsi="宋体" w:cs="宋体" w:eastAsia="宋体" w:hint="default"/>
                <w:sz w:val="16"/>
                <w:szCs w:val="16"/>
              </w:rPr>
            </w:pPr>
            <w:r>
              <w:rPr>
                <w:rFonts w:ascii="宋体" w:hAnsi="宋体" w:cs="宋体" w:eastAsia="宋体" w:hint="default"/>
                <w:sz w:val="16"/>
                <w:szCs w:val="16"/>
              </w:rPr>
              <w:t>被担保方</w:t>
            </w:r>
          </w:p>
        </w:tc>
        <w:tc>
          <w:tcPr>
            <w:tcW w:w="13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369"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11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151" w:right="0"/>
              <w:jc w:val="left"/>
              <w:rPr>
                <w:rFonts w:ascii="宋体" w:hAnsi="宋体" w:cs="宋体" w:eastAsia="宋体" w:hint="default"/>
                <w:sz w:val="16"/>
                <w:szCs w:val="16"/>
              </w:rPr>
            </w:pPr>
            <w:r>
              <w:rPr>
                <w:rFonts w:ascii="宋体" w:hAnsi="宋体" w:cs="宋体" w:eastAsia="宋体" w:hint="default"/>
                <w:sz w:val="16"/>
                <w:szCs w:val="16"/>
              </w:rPr>
              <w:t>担保起始日</w:t>
            </w:r>
          </w:p>
        </w:tc>
        <w:tc>
          <w:tcPr>
            <w:tcW w:w="13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268" w:right="0"/>
              <w:jc w:val="left"/>
              <w:rPr>
                <w:rFonts w:ascii="宋体" w:hAnsi="宋体" w:cs="宋体" w:eastAsia="宋体" w:hint="default"/>
                <w:sz w:val="16"/>
                <w:szCs w:val="16"/>
              </w:rPr>
            </w:pPr>
            <w:r>
              <w:rPr>
                <w:rFonts w:ascii="宋体" w:hAnsi="宋体" w:cs="宋体" w:eastAsia="宋体" w:hint="default"/>
                <w:sz w:val="16"/>
                <w:szCs w:val="16"/>
              </w:rPr>
              <w:t>担保到期日</w:t>
            </w:r>
          </w:p>
        </w:tc>
        <w:tc>
          <w:tcPr>
            <w:tcW w:w="10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105" w:right="101"/>
              <w:jc w:val="left"/>
              <w:rPr>
                <w:rFonts w:ascii="宋体" w:hAnsi="宋体" w:cs="宋体" w:eastAsia="宋体" w:hint="default"/>
                <w:sz w:val="16"/>
                <w:szCs w:val="16"/>
              </w:rPr>
            </w:pPr>
            <w:r>
              <w:rPr>
                <w:rFonts w:ascii="宋体" w:hAnsi="宋体" w:cs="宋体" w:eastAsia="宋体" w:hint="default"/>
                <w:sz w:val="16"/>
                <w:szCs w:val="16"/>
              </w:rPr>
              <w:t>担保是否已</w:t>
            </w:r>
            <w:r>
              <w:rPr>
                <w:rFonts w:ascii="宋体" w:hAnsi="宋体" w:cs="宋体" w:eastAsia="宋体" w:hint="default"/>
                <w:w w:val="100"/>
                <w:sz w:val="16"/>
                <w:szCs w:val="16"/>
              </w:rPr>
              <w:t> </w:t>
            </w:r>
            <w:r>
              <w:rPr>
                <w:rFonts w:ascii="宋体" w:hAnsi="宋体" w:cs="宋体" w:eastAsia="宋体" w:hint="default"/>
                <w:sz w:val="16"/>
                <w:szCs w:val="16"/>
              </w:rPr>
              <w:t>经履行完毕</w:t>
            </w:r>
          </w:p>
        </w:tc>
        <w:tc>
          <w:tcPr>
            <w:tcW w:w="9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sz w:val="16"/>
                <w:szCs w:val="16"/>
              </w:rPr>
              <w:t>说明</w:t>
            </w:r>
          </w:p>
        </w:tc>
      </w:tr>
      <w:tr>
        <w:trPr>
          <w:trHeight w:val="480"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103" w:right="100"/>
              <w:jc w:val="left"/>
              <w:rPr>
                <w:rFonts w:ascii="宋体" w:hAnsi="宋体" w:cs="宋体" w:eastAsia="宋体" w:hint="default"/>
                <w:sz w:val="16"/>
                <w:szCs w:val="16"/>
              </w:rPr>
            </w:pPr>
            <w:r>
              <w:rPr>
                <w:rFonts w:ascii="宋体" w:hAnsi="宋体" w:cs="宋体" w:eastAsia="宋体" w:hint="default"/>
                <w:spacing w:val="2"/>
                <w:sz w:val="16"/>
                <w:szCs w:val="16"/>
              </w:rPr>
              <w:t>长沙湘计海盾科技</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有限公司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4"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不超过</w:t>
            </w:r>
            <w:r>
              <w:rPr>
                <w:rFonts w:ascii="宋体" w:hAnsi="宋体" w:cs="宋体" w:eastAsia="宋体" w:hint="default"/>
                <w:spacing w:val="-33"/>
                <w:sz w:val="16"/>
                <w:szCs w:val="16"/>
              </w:rPr>
              <w:t> </w:t>
            </w:r>
            <w:r>
              <w:rPr>
                <w:rFonts w:ascii="Times New Roman" w:hAnsi="Times New Roman" w:cs="Times New Roman" w:eastAsia="Times New Roman" w:hint="default"/>
                <w:sz w:val="16"/>
                <w:szCs w:val="16"/>
              </w:rPr>
              <w:t>10,000.00</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2019-8-19</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103" w:right="99"/>
              <w:jc w:val="left"/>
              <w:rPr>
                <w:rFonts w:ascii="宋体" w:hAnsi="宋体" w:cs="宋体" w:eastAsia="宋体" w:hint="default"/>
                <w:sz w:val="16"/>
                <w:szCs w:val="16"/>
              </w:rPr>
            </w:pPr>
            <w:r>
              <w:rPr>
                <w:rFonts w:ascii="宋体" w:hAnsi="宋体" w:cs="宋体" w:eastAsia="宋体" w:hint="default"/>
                <w:sz w:val="16"/>
                <w:szCs w:val="16"/>
              </w:rPr>
              <w:t>债务履行期限届</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满之日起两年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1</w:t>
            </w:r>
          </w:p>
        </w:tc>
      </w:tr>
      <w:tr>
        <w:trPr>
          <w:trHeight w:val="483"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100"/>
              <w:jc w:val="left"/>
              <w:rPr>
                <w:rFonts w:ascii="宋体" w:hAnsi="宋体" w:cs="宋体" w:eastAsia="宋体" w:hint="default"/>
                <w:sz w:val="16"/>
                <w:szCs w:val="16"/>
              </w:rPr>
            </w:pPr>
            <w:r>
              <w:rPr>
                <w:rFonts w:ascii="宋体" w:hAnsi="宋体" w:cs="宋体" w:eastAsia="宋体" w:hint="default"/>
                <w:spacing w:val="2"/>
                <w:sz w:val="16"/>
                <w:szCs w:val="16"/>
              </w:rPr>
              <w:t>湖南长城计算机系</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统有限公司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5"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不超过</w:t>
            </w:r>
            <w:r>
              <w:rPr>
                <w:rFonts w:ascii="宋体" w:hAnsi="宋体" w:cs="宋体" w:eastAsia="宋体" w:hint="default"/>
                <w:spacing w:val="-33"/>
                <w:sz w:val="16"/>
                <w:szCs w:val="16"/>
              </w:rPr>
              <w:t> </w:t>
            </w:r>
            <w:r>
              <w:rPr>
                <w:rFonts w:ascii="Times New Roman" w:hAnsi="Times New Roman" w:cs="Times New Roman" w:eastAsia="Times New Roman" w:hint="default"/>
                <w:sz w:val="16"/>
                <w:szCs w:val="16"/>
              </w:rPr>
              <w:t>10,000.00</w:t>
            </w:r>
          </w:p>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180" w:right="0"/>
              <w:jc w:val="left"/>
              <w:rPr>
                <w:rFonts w:ascii="Times New Roman" w:hAnsi="Times New Roman" w:cs="Times New Roman" w:eastAsia="Times New Roman" w:hint="default"/>
                <w:sz w:val="16"/>
                <w:szCs w:val="16"/>
              </w:rPr>
            </w:pPr>
            <w:r>
              <w:rPr>
                <w:rFonts w:ascii="Times New Roman"/>
                <w:sz w:val="16"/>
              </w:rPr>
              <w:t>2019-11-28</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99"/>
              <w:jc w:val="left"/>
              <w:rPr>
                <w:rFonts w:ascii="宋体" w:hAnsi="宋体" w:cs="宋体" w:eastAsia="宋体" w:hint="default"/>
                <w:sz w:val="16"/>
                <w:szCs w:val="16"/>
              </w:rPr>
            </w:pPr>
            <w:r>
              <w:rPr>
                <w:rFonts w:ascii="宋体" w:hAnsi="宋体" w:cs="宋体" w:eastAsia="宋体" w:hint="default"/>
                <w:sz w:val="16"/>
                <w:szCs w:val="16"/>
              </w:rPr>
              <w:t>债务履行期限届</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满之日起两年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2</w:t>
            </w:r>
          </w:p>
        </w:tc>
      </w:tr>
      <w:tr>
        <w:trPr>
          <w:trHeight w:val="480"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100"/>
              <w:jc w:val="left"/>
              <w:rPr>
                <w:rFonts w:ascii="宋体" w:hAnsi="宋体" w:cs="宋体" w:eastAsia="宋体" w:hint="default"/>
                <w:sz w:val="16"/>
                <w:szCs w:val="16"/>
              </w:rPr>
            </w:pPr>
            <w:r>
              <w:rPr>
                <w:rFonts w:ascii="宋体" w:hAnsi="宋体" w:cs="宋体" w:eastAsia="宋体" w:hint="default"/>
                <w:spacing w:val="2"/>
                <w:sz w:val="16"/>
                <w:szCs w:val="16"/>
              </w:rPr>
              <w:t>湖南长城计算机系</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统有限公司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08" w:lineRule="exact" w:before="21"/>
              <w:ind w:left="103" w:right="98"/>
              <w:jc w:val="left"/>
              <w:rPr>
                <w:rFonts w:ascii="宋体" w:hAnsi="宋体" w:cs="宋体" w:eastAsia="宋体" w:hint="default"/>
                <w:sz w:val="16"/>
                <w:szCs w:val="16"/>
              </w:rPr>
            </w:pPr>
            <w:r>
              <w:rPr>
                <w:rFonts w:ascii="宋体" w:hAnsi="宋体" w:cs="宋体" w:eastAsia="宋体" w:hint="default"/>
                <w:sz w:val="16"/>
                <w:szCs w:val="16"/>
              </w:rPr>
              <w:t>不超过</w:t>
            </w:r>
            <w:r>
              <w:rPr>
                <w:rFonts w:ascii="宋体" w:hAnsi="宋体" w:cs="宋体" w:eastAsia="宋体" w:hint="default"/>
                <w:spacing w:val="-36"/>
                <w:sz w:val="16"/>
                <w:szCs w:val="16"/>
              </w:rPr>
              <w:t> </w:t>
            </w:r>
            <w:r>
              <w:rPr>
                <w:rFonts w:ascii="Times New Roman" w:hAnsi="Times New Roman" w:cs="Times New Roman" w:eastAsia="Times New Roman" w:hint="default"/>
                <w:sz w:val="16"/>
                <w:szCs w:val="16"/>
              </w:rPr>
              <w:t>100.00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w:t>
            </w:r>
            <w:r>
              <w:rPr>
                <w:rFonts w:ascii="宋体" w:hAnsi="宋体" w:cs="宋体" w:eastAsia="宋体" w:hint="default"/>
                <w:w w:val="100"/>
                <w:sz w:val="16"/>
                <w:szCs w:val="16"/>
              </w:rPr>
              <w:t> </w:t>
            </w:r>
            <w:r>
              <w:rPr>
                <w:rFonts w:ascii="宋体" w:hAnsi="宋体" w:cs="宋体" w:eastAsia="宋体" w:hint="default"/>
                <w:sz w:val="16"/>
                <w:szCs w:val="16"/>
              </w:rPr>
              <w:t>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2019-6-14</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99"/>
              <w:jc w:val="left"/>
              <w:rPr>
                <w:rFonts w:ascii="宋体" w:hAnsi="宋体" w:cs="宋体" w:eastAsia="宋体" w:hint="default"/>
                <w:sz w:val="16"/>
                <w:szCs w:val="16"/>
              </w:rPr>
            </w:pPr>
            <w:r>
              <w:rPr>
                <w:rFonts w:ascii="宋体" w:hAnsi="宋体" w:cs="宋体" w:eastAsia="宋体" w:hint="default"/>
                <w:sz w:val="16"/>
                <w:szCs w:val="16"/>
              </w:rPr>
              <w:t>债务履行期限届</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满之日起两年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3</w:t>
            </w:r>
          </w:p>
        </w:tc>
      </w:tr>
      <w:tr>
        <w:trPr>
          <w:trHeight w:val="480"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103" w:right="100"/>
              <w:jc w:val="left"/>
              <w:rPr>
                <w:rFonts w:ascii="宋体" w:hAnsi="宋体" w:cs="宋体" w:eastAsia="宋体" w:hint="default"/>
                <w:sz w:val="16"/>
                <w:szCs w:val="16"/>
              </w:rPr>
            </w:pPr>
            <w:r>
              <w:rPr>
                <w:rFonts w:ascii="宋体" w:hAnsi="宋体" w:cs="宋体" w:eastAsia="宋体" w:hint="default"/>
                <w:spacing w:val="2"/>
                <w:sz w:val="16"/>
                <w:szCs w:val="16"/>
              </w:rPr>
              <w:t>湖南长城计算机系</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统有限公司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4"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pacing w:val="10"/>
                <w:sz w:val="16"/>
                <w:szCs w:val="16"/>
              </w:rPr>
              <w:t>不超过</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5,000.00</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2019-8-12</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103" w:right="99"/>
              <w:jc w:val="left"/>
              <w:rPr>
                <w:rFonts w:ascii="宋体" w:hAnsi="宋体" w:cs="宋体" w:eastAsia="宋体" w:hint="default"/>
                <w:sz w:val="16"/>
                <w:szCs w:val="16"/>
              </w:rPr>
            </w:pPr>
            <w:r>
              <w:rPr>
                <w:rFonts w:ascii="宋体" w:hAnsi="宋体" w:cs="宋体" w:eastAsia="宋体" w:hint="default"/>
                <w:sz w:val="16"/>
                <w:szCs w:val="16"/>
              </w:rPr>
              <w:t>债务履行期限届</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满之日起两年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4</w:t>
            </w:r>
          </w:p>
        </w:tc>
      </w:tr>
      <w:tr>
        <w:trPr>
          <w:trHeight w:val="482"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8"/>
              <w:ind w:left="122"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100"/>
              <w:jc w:val="left"/>
              <w:rPr>
                <w:rFonts w:ascii="宋体" w:hAnsi="宋体" w:cs="宋体" w:eastAsia="宋体" w:hint="default"/>
                <w:sz w:val="16"/>
                <w:szCs w:val="16"/>
              </w:rPr>
            </w:pPr>
            <w:r>
              <w:rPr>
                <w:rFonts w:ascii="宋体" w:hAnsi="宋体" w:cs="宋体" w:eastAsia="宋体" w:hint="default"/>
                <w:spacing w:val="2"/>
                <w:sz w:val="16"/>
                <w:szCs w:val="16"/>
              </w:rPr>
              <w:t>湖南长城计算机系</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统有限公司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5"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pacing w:val="10"/>
                <w:sz w:val="16"/>
                <w:szCs w:val="16"/>
              </w:rPr>
              <w:t>不超过</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8,000.00</w:t>
            </w:r>
          </w:p>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2019-8-27</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99"/>
              <w:jc w:val="left"/>
              <w:rPr>
                <w:rFonts w:ascii="宋体" w:hAnsi="宋体" w:cs="宋体" w:eastAsia="宋体" w:hint="default"/>
                <w:sz w:val="16"/>
                <w:szCs w:val="16"/>
              </w:rPr>
            </w:pPr>
            <w:r>
              <w:rPr>
                <w:rFonts w:ascii="宋体" w:hAnsi="宋体" w:cs="宋体" w:eastAsia="宋体" w:hint="default"/>
                <w:sz w:val="16"/>
                <w:szCs w:val="16"/>
              </w:rPr>
              <w:t>债务履行期限届</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满之日起两年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5</w:t>
            </w:r>
          </w:p>
        </w:tc>
      </w:tr>
      <w:tr>
        <w:trPr>
          <w:trHeight w:val="480"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103" w:right="100"/>
              <w:jc w:val="left"/>
              <w:rPr>
                <w:rFonts w:ascii="宋体" w:hAnsi="宋体" w:cs="宋体" w:eastAsia="宋体" w:hint="default"/>
                <w:sz w:val="16"/>
                <w:szCs w:val="16"/>
              </w:rPr>
            </w:pPr>
            <w:r>
              <w:rPr>
                <w:rFonts w:ascii="宋体" w:hAnsi="宋体" w:cs="宋体" w:eastAsia="宋体" w:hint="default"/>
                <w:spacing w:val="2"/>
                <w:sz w:val="16"/>
                <w:szCs w:val="16"/>
              </w:rPr>
              <w:t>湖南长城计算机系</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统有限公司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4"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pacing w:val="10"/>
                <w:sz w:val="16"/>
                <w:szCs w:val="16"/>
              </w:rPr>
              <w:t>不超过</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1,900.00</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2019-9-24</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103" w:right="99"/>
              <w:jc w:val="left"/>
              <w:rPr>
                <w:rFonts w:ascii="宋体" w:hAnsi="宋体" w:cs="宋体" w:eastAsia="宋体" w:hint="default"/>
                <w:sz w:val="16"/>
                <w:szCs w:val="16"/>
              </w:rPr>
            </w:pPr>
            <w:r>
              <w:rPr>
                <w:rFonts w:ascii="宋体" w:hAnsi="宋体" w:cs="宋体" w:eastAsia="宋体" w:hint="default"/>
                <w:sz w:val="16"/>
                <w:szCs w:val="16"/>
              </w:rPr>
              <w:t>债务履行期限届</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满之日起两年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6</w:t>
            </w:r>
          </w:p>
        </w:tc>
      </w:tr>
      <w:tr>
        <w:trPr>
          <w:trHeight w:val="482"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100"/>
              <w:jc w:val="left"/>
              <w:rPr>
                <w:rFonts w:ascii="宋体" w:hAnsi="宋体" w:cs="宋体" w:eastAsia="宋体" w:hint="default"/>
                <w:sz w:val="16"/>
                <w:szCs w:val="16"/>
              </w:rPr>
            </w:pPr>
            <w:r>
              <w:rPr>
                <w:rFonts w:ascii="宋体" w:hAnsi="宋体" w:cs="宋体" w:eastAsia="宋体" w:hint="default"/>
                <w:spacing w:val="2"/>
                <w:sz w:val="16"/>
                <w:szCs w:val="16"/>
              </w:rPr>
              <w:t>长沙中电软件园有</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限公司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5"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pacing w:val="10"/>
                <w:sz w:val="16"/>
                <w:szCs w:val="16"/>
              </w:rPr>
              <w:t>不超过</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7,000.00</w:t>
            </w:r>
          </w:p>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2019-3-22</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99"/>
              <w:jc w:val="left"/>
              <w:rPr>
                <w:rFonts w:ascii="宋体" w:hAnsi="宋体" w:cs="宋体" w:eastAsia="宋体" w:hint="default"/>
                <w:sz w:val="16"/>
                <w:szCs w:val="16"/>
              </w:rPr>
            </w:pPr>
            <w:r>
              <w:rPr>
                <w:rFonts w:ascii="宋体" w:hAnsi="宋体" w:cs="宋体" w:eastAsia="宋体" w:hint="default"/>
                <w:sz w:val="16"/>
                <w:szCs w:val="16"/>
              </w:rPr>
              <w:t>债务履行期限届</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满之日起两年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7</w:t>
            </w:r>
          </w:p>
        </w:tc>
      </w:tr>
      <w:tr>
        <w:trPr>
          <w:trHeight w:val="480"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103" w:right="100"/>
              <w:jc w:val="left"/>
              <w:rPr>
                <w:rFonts w:ascii="宋体" w:hAnsi="宋体" w:cs="宋体" w:eastAsia="宋体" w:hint="default"/>
                <w:sz w:val="16"/>
                <w:szCs w:val="16"/>
              </w:rPr>
            </w:pPr>
            <w:r>
              <w:rPr>
                <w:rFonts w:ascii="宋体" w:hAnsi="宋体" w:cs="宋体" w:eastAsia="宋体" w:hint="default"/>
                <w:spacing w:val="2"/>
                <w:sz w:val="16"/>
                <w:szCs w:val="16"/>
              </w:rPr>
              <w:t>湖南长城信息金融</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设备有限责任公司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4"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不超过</w:t>
            </w:r>
            <w:r>
              <w:rPr>
                <w:rFonts w:ascii="宋体" w:hAnsi="宋体" w:cs="宋体" w:eastAsia="宋体" w:hint="default"/>
                <w:spacing w:val="-33"/>
                <w:sz w:val="16"/>
                <w:szCs w:val="16"/>
              </w:rPr>
              <w:t> </w:t>
            </w:r>
            <w:r>
              <w:rPr>
                <w:rFonts w:ascii="Times New Roman" w:hAnsi="Times New Roman" w:cs="Times New Roman" w:eastAsia="Times New Roman" w:hint="default"/>
                <w:sz w:val="16"/>
                <w:szCs w:val="16"/>
              </w:rPr>
              <w:t>20,000.00</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left="177" w:right="0"/>
              <w:jc w:val="left"/>
              <w:rPr>
                <w:rFonts w:ascii="Times New Roman" w:hAnsi="Times New Roman" w:cs="Times New Roman" w:eastAsia="Times New Roman" w:hint="default"/>
                <w:sz w:val="16"/>
                <w:szCs w:val="16"/>
              </w:rPr>
            </w:pPr>
            <w:r>
              <w:rPr>
                <w:rFonts w:ascii="Times New Roman"/>
                <w:sz w:val="16"/>
              </w:rPr>
              <w:t>2019-10-15</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103" w:right="99"/>
              <w:jc w:val="left"/>
              <w:rPr>
                <w:rFonts w:ascii="宋体" w:hAnsi="宋体" w:cs="宋体" w:eastAsia="宋体" w:hint="default"/>
                <w:sz w:val="16"/>
                <w:szCs w:val="16"/>
              </w:rPr>
            </w:pPr>
            <w:r>
              <w:rPr>
                <w:rFonts w:ascii="宋体" w:hAnsi="宋体" w:cs="宋体" w:eastAsia="宋体" w:hint="default"/>
                <w:sz w:val="16"/>
                <w:szCs w:val="16"/>
              </w:rPr>
              <w:t>票据到期届满之</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日起两年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8</w:t>
            </w:r>
          </w:p>
        </w:tc>
      </w:tr>
      <w:tr>
        <w:trPr>
          <w:trHeight w:val="482"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103" w:right="100"/>
              <w:jc w:val="left"/>
              <w:rPr>
                <w:rFonts w:ascii="宋体" w:hAnsi="宋体" w:cs="宋体" w:eastAsia="宋体" w:hint="default"/>
                <w:sz w:val="16"/>
                <w:szCs w:val="16"/>
              </w:rPr>
            </w:pPr>
            <w:r>
              <w:rPr>
                <w:rFonts w:ascii="宋体" w:hAnsi="宋体" w:cs="宋体" w:eastAsia="宋体" w:hint="default"/>
                <w:spacing w:val="2"/>
                <w:sz w:val="16"/>
                <w:szCs w:val="16"/>
              </w:rPr>
              <w:t>湖南长城信息金融</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设备有限责任公司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4"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不超过</w:t>
            </w:r>
            <w:r>
              <w:rPr>
                <w:rFonts w:ascii="宋体" w:hAnsi="宋体" w:cs="宋体" w:eastAsia="宋体" w:hint="default"/>
                <w:spacing w:val="-33"/>
                <w:sz w:val="16"/>
                <w:szCs w:val="16"/>
              </w:rPr>
              <w:t> </w:t>
            </w:r>
            <w:r>
              <w:rPr>
                <w:rFonts w:ascii="Times New Roman" w:hAnsi="Times New Roman" w:cs="Times New Roman" w:eastAsia="Times New Roman" w:hint="default"/>
                <w:sz w:val="16"/>
                <w:szCs w:val="16"/>
              </w:rPr>
              <w:t>23,000.00</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2019-9-19</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103" w:right="99"/>
              <w:jc w:val="left"/>
              <w:rPr>
                <w:rFonts w:ascii="宋体" w:hAnsi="宋体" w:cs="宋体" w:eastAsia="宋体" w:hint="default"/>
                <w:sz w:val="16"/>
                <w:szCs w:val="16"/>
              </w:rPr>
            </w:pPr>
            <w:r>
              <w:rPr>
                <w:rFonts w:ascii="宋体" w:hAnsi="宋体" w:cs="宋体" w:eastAsia="宋体" w:hint="default"/>
                <w:sz w:val="16"/>
                <w:szCs w:val="16"/>
              </w:rPr>
              <w:t>债务履行期限届</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满之日起两年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9</w:t>
            </w:r>
          </w:p>
        </w:tc>
      </w:tr>
      <w:tr>
        <w:trPr>
          <w:trHeight w:val="480"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100"/>
              <w:jc w:val="left"/>
              <w:rPr>
                <w:rFonts w:ascii="宋体" w:hAnsi="宋体" w:cs="宋体" w:eastAsia="宋体" w:hint="default"/>
                <w:sz w:val="16"/>
                <w:szCs w:val="16"/>
              </w:rPr>
            </w:pPr>
            <w:r>
              <w:rPr>
                <w:rFonts w:ascii="宋体" w:hAnsi="宋体" w:cs="宋体" w:eastAsia="宋体" w:hint="default"/>
                <w:spacing w:val="2"/>
                <w:sz w:val="16"/>
                <w:szCs w:val="16"/>
              </w:rPr>
              <w:t>湖南长城信息金融</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设备有限责任公司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5"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不超过</w:t>
            </w:r>
            <w:r>
              <w:rPr>
                <w:rFonts w:ascii="宋体" w:hAnsi="宋体" w:cs="宋体" w:eastAsia="宋体" w:hint="default"/>
                <w:spacing w:val="-33"/>
                <w:sz w:val="16"/>
                <w:szCs w:val="16"/>
              </w:rPr>
              <w:t> </w:t>
            </w:r>
            <w:r>
              <w:rPr>
                <w:rFonts w:ascii="Times New Roman" w:hAnsi="Times New Roman" w:cs="Times New Roman" w:eastAsia="Times New Roman" w:hint="default"/>
                <w:sz w:val="16"/>
                <w:szCs w:val="16"/>
              </w:rPr>
              <w:t>30,000.00</w:t>
            </w:r>
          </w:p>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left="177" w:right="0"/>
              <w:jc w:val="left"/>
              <w:rPr>
                <w:rFonts w:ascii="Times New Roman" w:hAnsi="Times New Roman" w:cs="Times New Roman" w:eastAsia="Times New Roman" w:hint="default"/>
                <w:sz w:val="16"/>
                <w:szCs w:val="16"/>
              </w:rPr>
            </w:pPr>
            <w:r>
              <w:rPr>
                <w:rFonts w:ascii="Times New Roman"/>
                <w:sz w:val="16"/>
              </w:rPr>
              <w:t>2019-10-16</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99"/>
              <w:jc w:val="left"/>
              <w:rPr>
                <w:rFonts w:ascii="宋体" w:hAnsi="宋体" w:cs="宋体" w:eastAsia="宋体" w:hint="default"/>
                <w:sz w:val="16"/>
                <w:szCs w:val="16"/>
              </w:rPr>
            </w:pPr>
            <w:r>
              <w:rPr>
                <w:rFonts w:ascii="宋体" w:hAnsi="宋体" w:cs="宋体" w:eastAsia="宋体" w:hint="default"/>
                <w:sz w:val="16"/>
                <w:szCs w:val="16"/>
              </w:rPr>
              <w:t>债务履行到期日</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另加一年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vMerge/>
            <w:tcBorders>
              <w:left w:val="dotted" w:sz="4" w:space="0" w:color="000000"/>
              <w:bottom w:val="dotted" w:sz="4" w:space="0" w:color="000000"/>
              <w:right w:val="nil" w:sz="6" w:space="0" w:color="auto"/>
            </w:tcBorders>
          </w:tcPr>
          <w:p>
            <w:pPr/>
          </w:p>
        </w:tc>
      </w:tr>
      <w:tr>
        <w:trPr>
          <w:trHeight w:val="480"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103" w:right="100"/>
              <w:jc w:val="left"/>
              <w:rPr>
                <w:rFonts w:ascii="宋体" w:hAnsi="宋体" w:cs="宋体" w:eastAsia="宋体" w:hint="default"/>
                <w:sz w:val="16"/>
                <w:szCs w:val="16"/>
              </w:rPr>
            </w:pPr>
            <w:r>
              <w:rPr>
                <w:rFonts w:ascii="宋体" w:hAnsi="宋体" w:cs="宋体" w:eastAsia="宋体" w:hint="default"/>
                <w:spacing w:val="2"/>
                <w:sz w:val="16"/>
                <w:szCs w:val="16"/>
              </w:rPr>
              <w:t>中国电子财务有限</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责任公司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11,200.00</w:t>
            </w:r>
            <w:r>
              <w:rPr>
                <w:rFonts w:ascii="Times New Roman" w:hAnsi="Times New Roman" w:cs="Times New Roman" w:eastAsia="Times New Roman" w:hint="default"/>
                <w:spacing w:val="-8"/>
                <w:sz w:val="16"/>
                <w:szCs w:val="16"/>
              </w:rPr>
              <w:t> </w:t>
            </w:r>
            <w:r>
              <w:rPr>
                <w:rFonts w:ascii="宋体" w:hAnsi="宋体" w:cs="宋体" w:eastAsia="宋体" w:hint="default"/>
                <w:spacing w:val="-3"/>
                <w:sz w:val="16"/>
                <w:szCs w:val="16"/>
              </w:rPr>
              <w:t>万元</w:t>
            </w:r>
            <w:r>
              <w:rPr>
                <w:rFonts w:ascii="宋体" w:hAnsi="宋体" w:cs="宋体" w:eastAsia="宋体" w:hint="default"/>
                <w:sz w:val="16"/>
                <w:szCs w:val="16"/>
              </w:rPr>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2018-2-12</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2028-2-12</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10</w:t>
            </w:r>
          </w:p>
        </w:tc>
      </w:tr>
      <w:tr>
        <w:trPr>
          <w:trHeight w:val="482"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96"/>
              <w:jc w:val="left"/>
              <w:rPr>
                <w:rFonts w:ascii="宋体" w:hAnsi="宋体" w:cs="宋体" w:eastAsia="宋体" w:hint="default"/>
                <w:sz w:val="16"/>
                <w:szCs w:val="16"/>
              </w:rPr>
            </w:pPr>
            <w:r>
              <w:rPr>
                <w:rFonts w:ascii="宋体" w:hAnsi="宋体" w:cs="宋体" w:eastAsia="宋体" w:hint="default"/>
                <w:spacing w:val="2"/>
                <w:sz w:val="16"/>
                <w:szCs w:val="16"/>
              </w:rPr>
              <w:t>中国电子财务</w:t>
            </w:r>
            <w:r>
              <w:rPr>
                <w:rFonts w:ascii="宋体" w:hAnsi="宋体" w:cs="宋体" w:eastAsia="宋体" w:hint="default"/>
                <w:spacing w:val="-76"/>
                <w:sz w:val="16"/>
                <w:szCs w:val="16"/>
              </w:rPr>
              <w:t> </w:t>
            </w:r>
            <w:r>
              <w:rPr>
                <w:rFonts w:ascii="宋体" w:hAnsi="宋体" w:cs="宋体" w:eastAsia="宋体" w:hint="default"/>
                <w:sz w:val="16"/>
                <w:szCs w:val="16"/>
              </w:rPr>
              <w:t>有限责任公司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11,200.00</w:t>
            </w:r>
            <w:r>
              <w:rPr>
                <w:rFonts w:ascii="Times New Roman" w:hAnsi="Times New Roman" w:cs="Times New Roman" w:eastAsia="Times New Roman" w:hint="default"/>
                <w:spacing w:val="-8"/>
                <w:sz w:val="16"/>
                <w:szCs w:val="16"/>
              </w:rPr>
              <w:t> </w:t>
            </w:r>
            <w:r>
              <w:rPr>
                <w:rFonts w:ascii="宋体" w:hAnsi="宋体" w:cs="宋体" w:eastAsia="宋体" w:hint="default"/>
                <w:spacing w:val="-3"/>
                <w:sz w:val="16"/>
                <w:szCs w:val="16"/>
              </w:rPr>
              <w:t>万元</w:t>
            </w:r>
            <w:r>
              <w:rPr>
                <w:rFonts w:ascii="宋体" w:hAnsi="宋体" w:cs="宋体" w:eastAsia="宋体" w:hint="default"/>
                <w:sz w:val="16"/>
                <w:szCs w:val="16"/>
              </w:rPr>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2018-2-12</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2028-2-12</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vMerge/>
            <w:tcBorders>
              <w:left w:val="dotted" w:sz="4" w:space="0" w:color="000000"/>
              <w:bottom w:val="dotted" w:sz="4" w:space="0" w:color="000000"/>
              <w:right w:val="nil" w:sz="6" w:space="0" w:color="auto"/>
            </w:tcBorders>
          </w:tcPr>
          <w:p>
            <w:pPr/>
          </w:p>
        </w:tc>
      </w:tr>
      <w:tr>
        <w:trPr>
          <w:trHeight w:val="480"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96"/>
              <w:jc w:val="left"/>
              <w:rPr>
                <w:rFonts w:ascii="宋体" w:hAnsi="宋体" w:cs="宋体" w:eastAsia="宋体" w:hint="default"/>
                <w:sz w:val="16"/>
                <w:szCs w:val="16"/>
              </w:rPr>
            </w:pPr>
            <w:r>
              <w:rPr>
                <w:rFonts w:ascii="宋体" w:hAnsi="宋体" w:cs="宋体" w:eastAsia="宋体" w:hint="default"/>
                <w:spacing w:val="2"/>
                <w:sz w:val="16"/>
                <w:szCs w:val="16"/>
              </w:rPr>
              <w:t>武汉中元通信</w:t>
            </w:r>
            <w:r>
              <w:rPr>
                <w:rFonts w:ascii="宋体" w:hAnsi="宋体" w:cs="宋体" w:eastAsia="宋体" w:hint="default"/>
                <w:spacing w:val="-76"/>
                <w:sz w:val="16"/>
                <w:szCs w:val="16"/>
              </w:rPr>
              <w:t> </w:t>
            </w:r>
            <w:r>
              <w:rPr>
                <w:rFonts w:ascii="宋体" w:hAnsi="宋体" w:cs="宋体" w:eastAsia="宋体" w:hint="default"/>
                <w:sz w:val="16"/>
                <w:szCs w:val="16"/>
              </w:rPr>
              <w:t>股份有限公司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103" w:right="99"/>
              <w:jc w:val="left"/>
              <w:rPr>
                <w:rFonts w:ascii="宋体" w:hAnsi="宋体" w:cs="宋体" w:eastAsia="宋体" w:hint="default"/>
                <w:sz w:val="16"/>
                <w:szCs w:val="16"/>
              </w:rPr>
            </w:pPr>
            <w:r>
              <w:rPr>
                <w:rFonts w:ascii="宋体" w:hAnsi="宋体" w:cs="宋体" w:eastAsia="宋体" w:hint="default"/>
                <w:spacing w:val="2"/>
                <w:sz w:val="16"/>
                <w:szCs w:val="16"/>
              </w:rPr>
              <w:t>武汉中原电子信息</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有限公司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4"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pacing w:val="10"/>
                <w:sz w:val="16"/>
                <w:szCs w:val="16"/>
              </w:rPr>
              <w:t>不超过</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6,000.00</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2019-12-4</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103" w:right="99"/>
              <w:jc w:val="left"/>
              <w:rPr>
                <w:rFonts w:ascii="宋体" w:hAnsi="宋体" w:cs="宋体" w:eastAsia="宋体" w:hint="default"/>
                <w:sz w:val="16"/>
                <w:szCs w:val="16"/>
              </w:rPr>
            </w:pPr>
            <w:r>
              <w:rPr>
                <w:rFonts w:ascii="宋体" w:hAnsi="宋体" w:cs="宋体" w:eastAsia="宋体" w:hint="default"/>
                <w:sz w:val="16"/>
                <w:szCs w:val="16"/>
              </w:rPr>
              <w:t>保函到期注销日</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另加两年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1"/>
              <w:jc w:val="center"/>
              <w:rPr>
                <w:rFonts w:ascii="Times New Roman" w:hAnsi="Times New Roman" w:cs="Times New Roman" w:eastAsia="Times New Roman" w:hint="default"/>
                <w:sz w:val="16"/>
                <w:szCs w:val="16"/>
              </w:rPr>
            </w:pPr>
            <w:r>
              <w:rPr>
                <w:rFonts w:ascii="Times New Roman"/>
                <w:spacing w:val="-6"/>
                <w:sz w:val="16"/>
              </w:rPr>
              <w:t>11</w:t>
            </w:r>
            <w:r>
              <w:rPr>
                <w:rFonts w:ascii="Times New Roman"/>
                <w:sz w:val="16"/>
              </w:rPr>
            </w:r>
          </w:p>
        </w:tc>
      </w:tr>
      <w:tr>
        <w:trPr>
          <w:trHeight w:val="482"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96"/>
              <w:jc w:val="left"/>
              <w:rPr>
                <w:rFonts w:ascii="宋体" w:hAnsi="宋体" w:cs="宋体" w:eastAsia="宋体" w:hint="default"/>
                <w:sz w:val="16"/>
                <w:szCs w:val="16"/>
              </w:rPr>
            </w:pPr>
            <w:r>
              <w:rPr>
                <w:rFonts w:ascii="宋体" w:hAnsi="宋体" w:cs="宋体" w:eastAsia="宋体" w:hint="default"/>
                <w:spacing w:val="2"/>
                <w:sz w:val="16"/>
                <w:szCs w:val="16"/>
              </w:rPr>
              <w:t>武汉中原电子</w:t>
            </w:r>
            <w:r>
              <w:rPr>
                <w:rFonts w:ascii="宋体" w:hAnsi="宋体" w:cs="宋体" w:eastAsia="宋体" w:hint="default"/>
                <w:spacing w:val="-76"/>
                <w:sz w:val="16"/>
                <w:szCs w:val="16"/>
              </w:rPr>
              <w:t> </w:t>
            </w:r>
            <w:r>
              <w:rPr>
                <w:rFonts w:ascii="宋体" w:hAnsi="宋体" w:cs="宋体" w:eastAsia="宋体" w:hint="default"/>
                <w:sz w:val="16"/>
                <w:szCs w:val="16"/>
              </w:rPr>
              <w:t>集团有限公司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103" w:right="100"/>
              <w:jc w:val="left"/>
              <w:rPr>
                <w:rFonts w:ascii="宋体" w:hAnsi="宋体" w:cs="宋体" w:eastAsia="宋体" w:hint="default"/>
                <w:sz w:val="16"/>
                <w:szCs w:val="16"/>
              </w:rPr>
            </w:pPr>
            <w:r>
              <w:rPr>
                <w:rFonts w:ascii="宋体" w:hAnsi="宋体" w:cs="宋体" w:eastAsia="宋体" w:hint="default"/>
                <w:spacing w:val="2"/>
                <w:sz w:val="16"/>
                <w:szCs w:val="16"/>
              </w:rPr>
              <w:t>武汉长光电源有限</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4"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pacing w:val="10"/>
                <w:sz w:val="16"/>
                <w:szCs w:val="16"/>
              </w:rPr>
              <w:t>不超过</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8,000.00</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2019-1-18</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5"/>
              <w:ind w:left="103" w:right="99"/>
              <w:jc w:val="left"/>
              <w:rPr>
                <w:rFonts w:ascii="宋体" w:hAnsi="宋体" w:cs="宋体" w:eastAsia="宋体" w:hint="default"/>
                <w:sz w:val="16"/>
                <w:szCs w:val="16"/>
              </w:rPr>
            </w:pPr>
            <w:r>
              <w:rPr>
                <w:rFonts w:ascii="宋体" w:hAnsi="宋体" w:cs="宋体" w:eastAsia="宋体" w:hint="default"/>
                <w:sz w:val="16"/>
                <w:szCs w:val="16"/>
              </w:rPr>
              <w:t>债务履行期限届</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满之日起两年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12</w:t>
            </w:r>
          </w:p>
        </w:tc>
      </w:tr>
      <w:tr>
        <w:trPr>
          <w:trHeight w:val="480"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96"/>
              <w:jc w:val="left"/>
              <w:rPr>
                <w:rFonts w:ascii="宋体" w:hAnsi="宋体" w:cs="宋体" w:eastAsia="宋体" w:hint="default"/>
                <w:sz w:val="16"/>
                <w:szCs w:val="16"/>
              </w:rPr>
            </w:pPr>
            <w:r>
              <w:rPr>
                <w:rFonts w:ascii="宋体" w:hAnsi="宋体" w:cs="宋体" w:eastAsia="宋体" w:hint="default"/>
                <w:spacing w:val="2"/>
                <w:sz w:val="16"/>
                <w:szCs w:val="16"/>
              </w:rPr>
              <w:t>武汉中原电子</w:t>
            </w:r>
            <w:r>
              <w:rPr>
                <w:rFonts w:ascii="宋体" w:hAnsi="宋体" w:cs="宋体" w:eastAsia="宋体" w:hint="default"/>
                <w:spacing w:val="-76"/>
                <w:sz w:val="16"/>
                <w:szCs w:val="16"/>
              </w:rPr>
              <w:t> </w:t>
            </w:r>
            <w:r>
              <w:rPr>
                <w:rFonts w:ascii="宋体" w:hAnsi="宋体" w:cs="宋体" w:eastAsia="宋体" w:hint="default"/>
                <w:sz w:val="16"/>
                <w:szCs w:val="16"/>
              </w:rPr>
              <w:t>集团有限公司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100"/>
              <w:jc w:val="left"/>
              <w:rPr>
                <w:rFonts w:ascii="宋体" w:hAnsi="宋体" w:cs="宋体" w:eastAsia="宋体" w:hint="default"/>
                <w:sz w:val="16"/>
                <w:szCs w:val="16"/>
              </w:rPr>
            </w:pPr>
            <w:r>
              <w:rPr>
                <w:rFonts w:ascii="宋体" w:hAnsi="宋体" w:cs="宋体" w:eastAsia="宋体" w:hint="default"/>
                <w:spacing w:val="2"/>
                <w:sz w:val="16"/>
                <w:szCs w:val="16"/>
              </w:rPr>
              <w:t>武汉中原电子信息</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有限公司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5"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pacing w:val="10"/>
                <w:sz w:val="16"/>
                <w:szCs w:val="16"/>
              </w:rPr>
              <w:t>不超过</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5,000.00</w:t>
            </w:r>
          </w:p>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left="220" w:right="0"/>
              <w:jc w:val="left"/>
              <w:rPr>
                <w:rFonts w:ascii="Times New Roman" w:hAnsi="Times New Roman" w:cs="Times New Roman" w:eastAsia="Times New Roman" w:hint="default"/>
                <w:sz w:val="16"/>
                <w:szCs w:val="16"/>
              </w:rPr>
            </w:pPr>
            <w:r>
              <w:rPr>
                <w:rFonts w:ascii="Times New Roman"/>
                <w:sz w:val="16"/>
              </w:rPr>
              <w:t>2019-11-4</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99"/>
              <w:jc w:val="left"/>
              <w:rPr>
                <w:rFonts w:ascii="宋体" w:hAnsi="宋体" w:cs="宋体" w:eastAsia="宋体" w:hint="default"/>
                <w:sz w:val="16"/>
                <w:szCs w:val="16"/>
              </w:rPr>
            </w:pPr>
            <w:r>
              <w:rPr>
                <w:rFonts w:ascii="宋体" w:hAnsi="宋体" w:cs="宋体" w:eastAsia="宋体" w:hint="default"/>
                <w:sz w:val="16"/>
                <w:szCs w:val="16"/>
              </w:rPr>
              <w:t>票据到期届满之</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后两年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13</w:t>
            </w:r>
          </w:p>
        </w:tc>
      </w:tr>
      <w:tr>
        <w:trPr>
          <w:trHeight w:val="480" w:hRule="exact"/>
        </w:trPr>
        <w:tc>
          <w:tcPr>
            <w:tcW w:w="1205"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96"/>
              <w:jc w:val="left"/>
              <w:rPr>
                <w:rFonts w:ascii="宋体" w:hAnsi="宋体" w:cs="宋体" w:eastAsia="宋体" w:hint="default"/>
                <w:sz w:val="16"/>
                <w:szCs w:val="16"/>
              </w:rPr>
            </w:pPr>
            <w:r>
              <w:rPr>
                <w:rFonts w:ascii="宋体" w:hAnsi="宋体" w:cs="宋体" w:eastAsia="宋体" w:hint="default"/>
                <w:spacing w:val="2"/>
                <w:sz w:val="16"/>
                <w:szCs w:val="16"/>
              </w:rPr>
              <w:t>武汉中原电子</w:t>
            </w:r>
            <w:r>
              <w:rPr>
                <w:rFonts w:ascii="宋体" w:hAnsi="宋体" w:cs="宋体" w:eastAsia="宋体" w:hint="default"/>
                <w:spacing w:val="-76"/>
                <w:sz w:val="16"/>
                <w:szCs w:val="16"/>
              </w:rPr>
              <w:t> </w:t>
            </w:r>
            <w:r>
              <w:rPr>
                <w:rFonts w:ascii="宋体" w:hAnsi="宋体" w:cs="宋体" w:eastAsia="宋体" w:hint="default"/>
                <w:sz w:val="16"/>
                <w:szCs w:val="16"/>
              </w:rPr>
              <w:t>集团有限公司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103" w:right="100"/>
              <w:jc w:val="left"/>
              <w:rPr>
                <w:rFonts w:ascii="宋体" w:hAnsi="宋体" w:cs="宋体" w:eastAsia="宋体" w:hint="default"/>
                <w:sz w:val="16"/>
                <w:szCs w:val="16"/>
              </w:rPr>
            </w:pPr>
            <w:r>
              <w:rPr>
                <w:rFonts w:ascii="宋体" w:hAnsi="宋体" w:cs="宋体" w:eastAsia="宋体" w:hint="default"/>
                <w:spacing w:val="2"/>
                <w:sz w:val="16"/>
                <w:szCs w:val="16"/>
              </w:rPr>
              <w:t>武汉中元通信股份</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有限公司</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14"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不超过</w:t>
            </w:r>
            <w:r>
              <w:rPr>
                <w:rFonts w:ascii="宋体" w:hAnsi="宋体" w:cs="宋体" w:eastAsia="宋体" w:hint="default"/>
                <w:spacing w:val="-33"/>
                <w:sz w:val="16"/>
                <w:szCs w:val="16"/>
              </w:rPr>
              <w:t> </w:t>
            </w:r>
            <w:r>
              <w:rPr>
                <w:rFonts w:ascii="Times New Roman" w:hAnsi="Times New Roman" w:cs="Times New Roman" w:eastAsia="Times New Roman" w:hint="default"/>
                <w:sz w:val="16"/>
                <w:szCs w:val="16"/>
              </w:rPr>
              <w:t>31,000.00</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220" w:right="0"/>
              <w:jc w:val="left"/>
              <w:rPr>
                <w:rFonts w:ascii="Times New Roman" w:hAnsi="Times New Roman" w:cs="Times New Roman" w:eastAsia="Times New Roman" w:hint="default"/>
                <w:sz w:val="16"/>
                <w:szCs w:val="16"/>
              </w:rPr>
            </w:pPr>
            <w:r>
              <w:rPr>
                <w:rFonts w:ascii="Times New Roman"/>
                <w:sz w:val="16"/>
              </w:rPr>
              <w:t>2019-11-8</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103" w:right="99"/>
              <w:jc w:val="left"/>
              <w:rPr>
                <w:rFonts w:ascii="宋体" w:hAnsi="宋体" w:cs="宋体" w:eastAsia="宋体" w:hint="default"/>
                <w:sz w:val="16"/>
                <w:szCs w:val="16"/>
              </w:rPr>
            </w:pPr>
            <w:r>
              <w:rPr>
                <w:rFonts w:ascii="宋体" w:hAnsi="宋体" w:cs="宋体" w:eastAsia="宋体" w:hint="default"/>
                <w:sz w:val="16"/>
                <w:szCs w:val="16"/>
              </w:rPr>
              <w:t>票据到期届满之</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后两年</w:t>
            </w:r>
          </w:p>
        </w:tc>
        <w:tc>
          <w:tcPr>
            <w:tcW w:w="1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14</w:t>
            </w:r>
          </w:p>
        </w:tc>
      </w:tr>
      <w:tr>
        <w:trPr>
          <w:trHeight w:val="492" w:hRule="exact"/>
        </w:trPr>
        <w:tc>
          <w:tcPr>
            <w:tcW w:w="12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96"/>
              <w:jc w:val="left"/>
              <w:rPr>
                <w:rFonts w:ascii="宋体" w:hAnsi="宋体" w:cs="宋体" w:eastAsia="宋体" w:hint="default"/>
                <w:sz w:val="16"/>
                <w:szCs w:val="16"/>
              </w:rPr>
            </w:pPr>
            <w:r>
              <w:rPr>
                <w:rFonts w:ascii="宋体" w:hAnsi="宋体" w:cs="宋体" w:eastAsia="宋体" w:hint="default"/>
                <w:spacing w:val="2"/>
                <w:sz w:val="16"/>
                <w:szCs w:val="16"/>
              </w:rPr>
              <w:t>武汉中原电子</w:t>
            </w:r>
            <w:r>
              <w:rPr>
                <w:rFonts w:ascii="宋体" w:hAnsi="宋体" w:cs="宋体" w:eastAsia="宋体" w:hint="default"/>
                <w:spacing w:val="-76"/>
                <w:sz w:val="16"/>
                <w:szCs w:val="16"/>
              </w:rPr>
              <w:t> </w:t>
            </w:r>
            <w:r>
              <w:rPr>
                <w:rFonts w:ascii="宋体" w:hAnsi="宋体" w:cs="宋体" w:eastAsia="宋体" w:hint="default"/>
                <w:sz w:val="16"/>
                <w:szCs w:val="16"/>
              </w:rPr>
              <w:t>集团有限公司</w:t>
            </w:r>
          </w:p>
        </w:tc>
        <w:tc>
          <w:tcPr>
            <w:tcW w:w="15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100"/>
              <w:jc w:val="left"/>
              <w:rPr>
                <w:rFonts w:ascii="宋体" w:hAnsi="宋体" w:cs="宋体" w:eastAsia="宋体" w:hint="default"/>
                <w:sz w:val="16"/>
                <w:szCs w:val="16"/>
              </w:rPr>
            </w:pPr>
            <w:r>
              <w:rPr>
                <w:rFonts w:ascii="宋体" w:hAnsi="宋体" w:cs="宋体" w:eastAsia="宋体" w:hint="default"/>
                <w:spacing w:val="2"/>
                <w:sz w:val="16"/>
                <w:szCs w:val="16"/>
              </w:rPr>
              <w:t>武汉中原长江科技</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发展有限公司</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15" w:lineRule="exact" w:before="2"/>
              <w:ind w:left="103" w:right="0"/>
              <w:jc w:val="left"/>
              <w:rPr>
                <w:rFonts w:ascii="Times New Roman" w:hAnsi="Times New Roman" w:cs="Times New Roman" w:eastAsia="Times New Roman" w:hint="default"/>
                <w:sz w:val="16"/>
                <w:szCs w:val="16"/>
              </w:rPr>
            </w:pPr>
            <w:r>
              <w:rPr>
                <w:rFonts w:ascii="宋体" w:hAnsi="宋体" w:cs="宋体" w:eastAsia="宋体" w:hint="default"/>
                <w:spacing w:val="10"/>
                <w:sz w:val="16"/>
                <w:szCs w:val="16"/>
              </w:rPr>
              <w:t>不超过</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6,000.00</w:t>
            </w:r>
          </w:p>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220" w:right="0"/>
              <w:jc w:val="left"/>
              <w:rPr>
                <w:rFonts w:ascii="Times New Roman" w:hAnsi="Times New Roman" w:cs="Times New Roman" w:eastAsia="Times New Roman" w:hint="default"/>
                <w:sz w:val="16"/>
                <w:szCs w:val="16"/>
              </w:rPr>
            </w:pPr>
            <w:r>
              <w:rPr>
                <w:rFonts w:ascii="Times New Roman"/>
                <w:sz w:val="16"/>
              </w:rPr>
              <w:t>2019-11-8</w:t>
            </w:r>
          </w:p>
        </w:tc>
        <w:tc>
          <w:tcPr>
            <w:tcW w:w="13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99"/>
              <w:jc w:val="left"/>
              <w:rPr>
                <w:rFonts w:ascii="宋体" w:hAnsi="宋体" w:cs="宋体" w:eastAsia="宋体" w:hint="default"/>
                <w:sz w:val="16"/>
                <w:szCs w:val="16"/>
              </w:rPr>
            </w:pPr>
            <w:r>
              <w:rPr>
                <w:rFonts w:ascii="宋体" w:hAnsi="宋体" w:cs="宋体" w:eastAsia="宋体" w:hint="default"/>
                <w:sz w:val="16"/>
                <w:szCs w:val="16"/>
              </w:rPr>
              <w:t>债务履行期限届</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满之日起两年</w:t>
            </w:r>
          </w:p>
        </w:tc>
        <w:tc>
          <w:tcPr>
            <w:tcW w:w="10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15</w:t>
            </w:r>
          </w:p>
        </w:tc>
      </w:tr>
    </w:tbl>
    <w:p>
      <w:pPr>
        <w:pStyle w:val="BodyText"/>
        <w:spacing w:line="240" w:lineRule="auto" w:before="10"/>
        <w:ind w:right="0"/>
        <w:jc w:val="both"/>
      </w:pPr>
      <w:r>
        <w:rPr/>
        <w:t>说明：</w:t>
      </w:r>
    </w:p>
    <w:p>
      <w:pPr>
        <w:pStyle w:val="BodyText"/>
        <w:spacing w:line="240" w:lineRule="auto" w:before="25"/>
        <w:ind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8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日，长沙湘计海盾科技有限公司与中国电子财务有限责任</w:t>
      </w:r>
    </w:p>
    <w:p>
      <w:pPr>
        <w:pStyle w:val="BodyText"/>
        <w:spacing w:line="247" w:lineRule="auto" w:before="9"/>
        <w:ind w:right="1786"/>
        <w:jc w:val="both"/>
        <w:rPr>
          <w:rFonts w:ascii="Times New Roman" w:hAnsi="Times New Roman" w:cs="Times New Roman" w:eastAsia="Times New Roman" w:hint="default"/>
        </w:rPr>
      </w:pPr>
      <w:r>
        <w:rPr>
          <w:spacing w:val="-9"/>
          <w:w w:val="100"/>
        </w:rPr>
        <w:t>公司签订《综合授信合同》，以本公司信用担保方式取得人民币</w:t>
      </w:r>
      <w:r>
        <w:rPr>
          <w:spacing w:val="-51"/>
          <w:w w:val="100"/>
        </w:rPr>
        <w:t> </w:t>
      </w:r>
      <w:r>
        <w:rPr>
          <w:rFonts w:ascii="Times New Roman" w:hAnsi="Times New Roman" w:cs="Times New Roman" w:eastAsia="Times New Roman" w:hint="default"/>
          <w:spacing w:val="-1"/>
          <w:w w:val="100"/>
        </w:rPr>
        <w:t>10,000.00</w:t>
      </w:r>
      <w:r>
        <w:rPr>
          <w:rFonts w:ascii="Times New Roman" w:hAnsi="Times New Roman" w:cs="Times New Roman" w:eastAsia="Times New Roman" w:hint="default"/>
          <w:spacing w:val="2"/>
          <w:w w:val="100"/>
        </w:rPr>
        <w:t> </w:t>
      </w:r>
      <w:r>
        <w:rPr>
          <w:spacing w:val="-3"/>
          <w:w w:val="100"/>
        </w:rPr>
        <w:t>万元 </w:t>
      </w:r>
      <w:r>
        <w:rPr>
          <w:spacing w:val="-5"/>
        </w:rPr>
        <w:t>的授信额度，其中</w:t>
      </w:r>
      <w:r>
        <w:rPr>
          <w:spacing w:val="-40"/>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12"/>
        </w:rPr>
        <w:t> </w:t>
      </w:r>
      <w:r>
        <w:rPr>
          <w:spacing w:val="-3"/>
        </w:rPr>
        <w:t>万元票据和贴现额度、</w:t>
      </w:r>
      <w:r>
        <w:rPr>
          <w:rFonts w:ascii="Times New Roman" w:hAnsi="Times New Roman" w:cs="Times New Roman" w:eastAsia="Times New Roman" w:hint="default"/>
          <w:spacing w:val="-3"/>
        </w:rPr>
        <w:t>4,000.00</w:t>
      </w:r>
      <w:r>
        <w:rPr>
          <w:rFonts w:ascii="Times New Roman" w:hAnsi="Times New Roman" w:cs="Times New Roman" w:eastAsia="Times New Roman" w:hint="default"/>
          <w:spacing w:val="9"/>
        </w:rPr>
        <w:t> </w:t>
      </w:r>
      <w:r>
        <w:rPr/>
        <w:t>万元流动资金贷款</w:t>
      </w:r>
      <w:r>
        <w:rPr>
          <w:spacing w:val="-101"/>
        </w:rPr>
        <w:t> </w:t>
      </w:r>
      <w:r>
        <w:rPr>
          <w:spacing w:val="-101"/>
        </w:rPr>
      </w:r>
      <w:r>
        <w:rPr/>
        <w:t>授信额度，保证期间为债务履行期限届满之日起两年。截至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247" w:lineRule="auto" w:before="2"/>
        <w:ind w:right="1789"/>
        <w:jc w:val="both"/>
      </w:pPr>
      <w:r>
        <w:rPr>
          <w:spacing w:val="-14"/>
        </w:rPr>
        <w:t>日，其中</w:t>
      </w:r>
      <w:r>
        <w:rPr>
          <w:spacing w:val="-49"/>
        </w:rPr>
        <w:t> </w:t>
      </w:r>
      <w:r>
        <w:rPr>
          <w:rFonts w:ascii="Times New Roman" w:hAnsi="Times New Roman" w:cs="Times New Roman" w:eastAsia="Times New Roman" w:hint="default"/>
        </w:rPr>
        <w:t>6000.00 </w:t>
      </w:r>
      <w:r>
        <w:rPr/>
        <w:t>万元担保额度的担保余额为</w:t>
      </w:r>
      <w:r>
        <w:rPr>
          <w:spacing w:val="-50"/>
        </w:rPr>
        <w:t> </w:t>
      </w:r>
      <w:r>
        <w:rPr>
          <w:rFonts w:ascii="Times New Roman" w:hAnsi="Times New Roman" w:cs="Times New Roman" w:eastAsia="Times New Roman" w:hint="default"/>
        </w:rPr>
        <w:t>3,218.85</w:t>
      </w:r>
      <w:r>
        <w:rPr>
          <w:rFonts w:ascii="Times New Roman" w:hAnsi="Times New Roman" w:cs="Times New Roman" w:eastAsia="Times New Roman" w:hint="default"/>
          <w:spacing w:val="6"/>
        </w:rPr>
        <w:t> </w:t>
      </w:r>
      <w:r>
        <w:rPr>
          <w:spacing w:val="-7"/>
        </w:rPr>
        <w:t>万元，担保责任未履行</w:t>
      </w:r>
      <w:r>
        <w:rPr>
          <w:w w:val="100"/>
        </w:rPr>
        <w:t> </w:t>
      </w:r>
      <w:r>
        <w:rPr/>
        <w:t>完毕。</w:t>
      </w:r>
    </w:p>
    <w:p>
      <w:pPr>
        <w:spacing w:after="0" w:line="247" w:lineRule="auto"/>
        <w:jc w:val="both"/>
        <w:sectPr>
          <w:pgSz w:w="11910" w:h="16840"/>
          <w:pgMar w:header="753" w:footer="997" w:top="1500" w:bottom="1180" w:left="1660" w:right="0"/>
        </w:sectPr>
      </w:pPr>
    </w:p>
    <w:p>
      <w:pPr>
        <w:spacing w:line="240" w:lineRule="auto" w:before="5"/>
        <w:rPr>
          <w:rFonts w:ascii="宋体" w:hAnsi="宋体" w:cs="宋体" w:eastAsia="宋体" w:hint="default"/>
          <w:sz w:val="15"/>
          <w:szCs w:val="15"/>
        </w:rPr>
      </w:pPr>
    </w:p>
    <w:p>
      <w:pPr>
        <w:pStyle w:val="BodyText"/>
        <w:spacing w:line="240" w:lineRule="auto"/>
        <w:ind w:right="0"/>
        <w:jc w:val="both"/>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spacing w:val="-3"/>
        </w:rPr>
        <w:t>日，湖南长城计算机系统有限公司与中国电子财务有限责</w:t>
      </w:r>
    </w:p>
    <w:p>
      <w:pPr>
        <w:pStyle w:val="BodyText"/>
        <w:spacing w:line="240" w:lineRule="auto" w:before="9"/>
        <w:ind w:right="0"/>
        <w:jc w:val="both"/>
        <w:rPr>
          <w:rFonts w:ascii="Times New Roman" w:hAnsi="Times New Roman" w:cs="Times New Roman" w:eastAsia="Times New Roman" w:hint="default"/>
        </w:rPr>
      </w:pPr>
      <w:r>
        <w:rPr>
          <w:w w:val="100"/>
        </w:rPr>
        <w:t>任公</w:t>
      </w:r>
      <w:r>
        <w:rPr>
          <w:spacing w:val="-3"/>
          <w:w w:val="100"/>
        </w:rPr>
        <w:t>司</w:t>
      </w:r>
      <w:r>
        <w:rPr>
          <w:w w:val="100"/>
        </w:rPr>
        <w:t>签</w:t>
      </w:r>
      <w:r>
        <w:rPr>
          <w:spacing w:val="-3"/>
          <w:w w:val="100"/>
        </w:rPr>
        <w:t>订</w:t>
      </w:r>
      <w:r>
        <w:rPr>
          <w:w w:val="100"/>
        </w:rPr>
        <w:t>《</w:t>
      </w:r>
      <w:r>
        <w:rPr>
          <w:spacing w:val="-3"/>
          <w:w w:val="100"/>
        </w:rPr>
        <w:t>综</w:t>
      </w:r>
      <w:r>
        <w:rPr>
          <w:w w:val="100"/>
        </w:rPr>
        <w:t>合</w:t>
      </w:r>
      <w:r>
        <w:rPr>
          <w:spacing w:val="-3"/>
          <w:w w:val="100"/>
        </w:rPr>
        <w:t>授</w:t>
      </w:r>
      <w:r>
        <w:rPr>
          <w:w w:val="100"/>
        </w:rPr>
        <w:t>信</w:t>
      </w:r>
      <w:r>
        <w:rPr>
          <w:spacing w:val="-3"/>
          <w:w w:val="100"/>
        </w:rPr>
        <w:t>合</w:t>
      </w:r>
      <w:r>
        <w:rPr>
          <w:w w:val="100"/>
        </w:rPr>
        <w:t>同</w:t>
      </w:r>
      <w:r>
        <w:rPr>
          <w:spacing w:val="-106"/>
          <w:w w:val="100"/>
        </w:rPr>
        <w:t>》</w:t>
      </w:r>
      <w:r>
        <w:rPr>
          <w:spacing w:val="-3"/>
          <w:w w:val="100"/>
        </w:rPr>
        <w:t>，</w:t>
      </w:r>
      <w:r>
        <w:rPr>
          <w:w w:val="100"/>
        </w:rPr>
        <w:t>以</w:t>
      </w:r>
      <w:r>
        <w:rPr>
          <w:spacing w:val="-3"/>
          <w:w w:val="100"/>
        </w:rPr>
        <w:t>本</w:t>
      </w:r>
      <w:r>
        <w:rPr>
          <w:w w:val="100"/>
        </w:rPr>
        <w:t>公</w:t>
      </w:r>
      <w:r>
        <w:rPr>
          <w:spacing w:val="-3"/>
          <w:w w:val="100"/>
        </w:rPr>
        <w:t>司</w:t>
      </w:r>
      <w:r>
        <w:rPr>
          <w:w w:val="100"/>
        </w:rPr>
        <w:t>信</w:t>
      </w:r>
      <w:r>
        <w:rPr>
          <w:spacing w:val="-3"/>
          <w:w w:val="100"/>
        </w:rPr>
        <w:t>用</w:t>
      </w:r>
      <w:r>
        <w:rPr>
          <w:w w:val="100"/>
        </w:rPr>
        <w:t>担</w:t>
      </w:r>
      <w:r>
        <w:rPr>
          <w:spacing w:val="-3"/>
          <w:w w:val="100"/>
        </w:rPr>
        <w:t>保方</w:t>
      </w:r>
      <w:r>
        <w:rPr>
          <w:w w:val="100"/>
        </w:rPr>
        <w:t>式取</w:t>
      </w:r>
      <w:r>
        <w:rPr>
          <w:spacing w:val="-3"/>
          <w:w w:val="100"/>
        </w:rPr>
        <w:t>得</w:t>
      </w:r>
      <w:r>
        <w:rPr>
          <w:w w:val="100"/>
        </w:rPr>
        <w:t>人</w:t>
      </w:r>
      <w:r>
        <w:rPr>
          <w:spacing w:val="-3"/>
          <w:w w:val="100"/>
        </w:rPr>
        <w:t>民</w:t>
      </w:r>
      <w:r>
        <w:rPr>
          <w:w w:val="100"/>
        </w:rPr>
        <w:t>币</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p>
    <w:p>
      <w:pPr>
        <w:pStyle w:val="BodyText"/>
        <w:spacing w:line="240" w:lineRule="auto" w:before="9"/>
        <w:ind w:right="0"/>
        <w:jc w:val="both"/>
        <w:rPr>
          <w:rFonts w:ascii="Times New Roman" w:hAnsi="Times New Roman" w:cs="Times New Roman" w:eastAsia="Times New Roman" w:hint="default"/>
        </w:rPr>
      </w:pPr>
      <w:r>
        <w:rPr>
          <w:spacing w:val="-4"/>
        </w:rPr>
        <w:t>万元的授信额度，保证期间为债务履行期限届满之日起两年。截至 </w:t>
      </w:r>
      <w:r>
        <w:rPr>
          <w:rFonts w:ascii="Times New Roman" w:hAnsi="Times New Roman" w:cs="Times New Roman" w:eastAsia="Times New Roman" w:hint="default"/>
        </w:rPr>
        <w:t>2019 </w:t>
      </w:r>
      <w:r>
        <w:rPr/>
        <w:t>年</w:t>
      </w:r>
      <w:r>
        <w:rPr>
          <w:spacing w:val="-41"/>
        </w:rPr>
        <w:t> </w:t>
      </w:r>
      <w:r>
        <w:rPr>
          <w:rFonts w:ascii="Times New Roman" w:hAnsi="Times New Roman" w:cs="Times New Roman" w:eastAsia="Times New Roman" w:hint="default"/>
        </w:rPr>
        <w:t>12</w:t>
      </w:r>
    </w:p>
    <w:p>
      <w:pPr>
        <w:pStyle w:val="BodyText"/>
        <w:spacing w:line="247" w:lineRule="auto" w:before="9"/>
        <w:ind w:right="1785"/>
        <w:jc w:val="left"/>
      </w:pP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日，湖南长城计算机系统有限公司银行承兑汇票余额为</w:t>
      </w:r>
      <w:r>
        <w:rPr>
          <w:spacing w:val="-54"/>
        </w:rPr>
        <w:t> </w:t>
      </w:r>
      <w:r>
        <w:rPr>
          <w:rFonts w:ascii="Times New Roman" w:hAnsi="Times New Roman" w:cs="Times New Roman" w:eastAsia="Times New Roman" w:hint="default"/>
        </w:rPr>
        <w:t>2,162.69</w:t>
      </w:r>
      <w:r>
        <w:rPr>
          <w:rFonts w:ascii="Times New Roman" w:hAnsi="Times New Roman" w:cs="Times New Roman" w:eastAsia="Times New Roman" w:hint="default"/>
          <w:spacing w:val="-1"/>
        </w:rPr>
        <w:t> </w:t>
      </w:r>
      <w:r>
        <w:rPr/>
        <w:t>万元，</w:t>
      </w:r>
      <w:r>
        <w:rPr>
          <w:w w:val="100"/>
        </w:rPr>
        <w:t> </w:t>
      </w:r>
      <w:r>
        <w:rPr/>
        <w:t>担保责任未履行完毕。</w:t>
      </w:r>
    </w:p>
    <w:p>
      <w:pPr>
        <w:pStyle w:val="BodyText"/>
        <w:spacing w:line="240" w:lineRule="auto" w:before="19"/>
        <w:ind w:right="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6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日，湖南长城计算机系统有限公司与华融湘江银行株洲泰</w:t>
      </w:r>
    </w:p>
    <w:p>
      <w:pPr>
        <w:pStyle w:val="BodyText"/>
        <w:spacing w:line="240" w:lineRule="auto" w:before="9"/>
        <w:ind w:right="0"/>
        <w:jc w:val="both"/>
      </w:pPr>
      <w:r>
        <w:rPr>
          <w:spacing w:val="-3"/>
        </w:rPr>
        <w:t>山支行签订流动资金贷款合同，取得短期借款</w:t>
      </w:r>
      <w:r>
        <w:rPr>
          <w:spacing w:val="-42"/>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spacing w:val="-5"/>
        </w:rPr>
        <w:t>万元，借款期限</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p>
    <w:p>
      <w:pPr>
        <w:pStyle w:val="BodyText"/>
        <w:spacing w:line="254" w:lineRule="auto" w:before="9"/>
        <w:ind w:right="1680"/>
        <w:jc w:val="left"/>
      </w:pPr>
      <w:r>
        <w:rPr>
          <w:rFonts w:ascii="Times New Roman" w:hAnsi="Times New Roman" w:cs="Times New Roman" w:eastAsia="Times New Roman" w:hint="default"/>
          <w:w w:val="100"/>
        </w:rPr>
        <w:t>6</w:t>
      </w:r>
      <w:r>
        <w:rPr>
          <w:rFonts w:ascii="Times New Roman" w:hAnsi="Times New Roman" w:cs="Times New Roman" w:eastAsia="Times New Roman" w:hint="default"/>
          <w:spacing w:val="-5"/>
          <w:w w:val="100"/>
        </w:rPr>
        <w:t> </w:t>
      </w:r>
      <w:r>
        <w:rPr>
          <w:w w:val="100"/>
        </w:rPr>
        <w:t>月</w:t>
      </w:r>
      <w:r>
        <w:rPr>
          <w:spacing w:val="-57"/>
          <w:w w:val="100"/>
        </w:rPr>
        <w:t> </w:t>
      </w:r>
      <w:r>
        <w:rPr>
          <w:rFonts w:ascii="Times New Roman" w:hAnsi="Times New Roman" w:cs="Times New Roman" w:eastAsia="Times New Roman" w:hint="default"/>
          <w:w w:val="100"/>
        </w:rPr>
        <w:t>14</w:t>
      </w:r>
      <w:r>
        <w:rPr>
          <w:rFonts w:ascii="Times New Roman" w:hAnsi="Times New Roman" w:cs="Times New Roman" w:eastAsia="Times New Roman" w:hint="default"/>
          <w:spacing w:val="-5"/>
          <w:w w:val="100"/>
        </w:rPr>
        <w:t> </w:t>
      </w:r>
      <w:r>
        <w:rPr>
          <w:w w:val="100"/>
        </w:rPr>
        <w:t>日至</w:t>
      </w:r>
      <w:r>
        <w:rPr>
          <w:spacing w:val="-57"/>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5"/>
          <w:w w:val="100"/>
        </w:rPr>
        <w:t> </w:t>
      </w:r>
      <w:r>
        <w:rPr>
          <w:w w:val="100"/>
        </w:rPr>
        <w:t>年</w:t>
      </w:r>
      <w:r>
        <w:rPr>
          <w:spacing w:val="-57"/>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5"/>
          <w:w w:val="100"/>
        </w:rPr>
        <w:t> </w:t>
      </w:r>
      <w:r>
        <w:rPr>
          <w:w w:val="100"/>
        </w:rPr>
        <w:t>月</w:t>
      </w:r>
      <w:r>
        <w:rPr>
          <w:spacing w:val="-60"/>
          <w:w w:val="100"/>
        </w:rPr>
        <w:t> </w:t>
      </w:r>
      <w:r>
        <w:rPr>
          <w:rFonts w:ascii="Times New Roman" w:hAnsi="Times New Roman" w:cs="Times New Roman" w:eastAsia="Times New Roman" w:hint="default"/>
          <w:spacing w:val="-2"/>
          <w:w w:val="100"/>
        </w:rPr>
        <w:t>14</w:t>
      </w:r>
      <w:r>
        <w:rPr>
          <w:rFonts w:ascii="Times New Roman" w:hAnsi="Times New Roman" w:cs="Times New Roman" w:eastAsia="Times New Roman" w:hint="default"/>
          <w:spacing w:val="-5"/>
          <w:w w:val="100"/>
        </w:rPr>
        <w:t> </w:t>
      </w:r>
      <w:r>
        <w:rPr>
          <w:spacing w:val="-9"/>
          <w:w w:val="100"/>
        </w:rPr>
        <w:t>日，根据华银株泰山支流资贷字</w:t>
      </w:r>
      <w:r>
        <w:rPr>
          <w:spacing w:val="-57"/>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5"/>
          <w:w w:val="100"/>
        </w:rPr>
        <w:t> </w:t>
      </w:r>
      <w:r>
        <w:rPr>
          <w:spacing w:val="-2"/>
          <w:w w:val="100"/>
        </w:rPr>
        <w:t>年第</w:t>
      </w:r>
      <w:r>
        <w:rPr>
          <w:spacing w:val="-57"/>
          <w:w w:val="100"/>
        </w:rPr>
        <w:t> </w:t>
      </w:r>
      <w:r>
        <w:rPr>
          <w:rFonts w:ascii="Times New Roman" w:hAnsi="Times New Roman" w:cs="Times New Roman" w:eastAsia="Times New Roman" w:hint="default"/>
          <w:w w:val="100"/>
        </w:rPr>
        <w:t>002</w:t>
      </w:r>
      <w:r>
        <w:rPr>
          <w:rFonts w:ascii="Times New Roman" w:hAnsi="Times New Roman" w:cs="Times New Roman" w:eastAsia="Times New Roman" w:hint="default"/>
          <w:spacing w:val="-7"/>
          <w:w w:val="100"/>
        </w:rPr>
        <w:t> </w:t>
      </w:r>
      <w:r>
        <w:rPr>
          <w:w w:val="100"/>
        </w:rPr>
        <w:t>号， </w:t>
      </w:r>
      <w:r>
        <w:rPr>
          <w:spacing w:val="-5"/>
          <w:w w:val="100"/>
        </w:rPr>
        <w:t>本公司为上述借款提供连带责任保证，保证期间为债务履行期限届满之日起两</w:t>
      </w:r>
      <w:r>
        <w:rPr>
          <w:spacing w:val="-85"/>
          <w:w w:val="100"/>
        </w:rPr>
        <w:t> </w:t>
      </w:r>
      <w:r>
        <w:rPr>
          <w:spacing w:val="-85"/>
          <w:w w:val="100"/>
        </w:rPr>
      </w:r>
      <w:r>
        <w:rPr/>
        <w:t>年。截至</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日，湖南长城计算机系统有限公司该项贷款余额为</w:t>
      </w:r>
    </w:p>
    <w:p>
      <w:pPr>
        <w:pStyle w:val="BodyText"/>
        <w:spacing w:line="286" w:lineRule="exact" w:before="0"/>
        <w:ind w:right="0"/>
        <w:jc w:val="both"/>
      </w:pPr>
      <w:r>
        <w:rPr>
          <w:rFonts w:ascii="Times New Roman" w:hAnsi="Times New Roman" w:cs="Times New Roman" w:eastAsia="Times New Roman" w:hint="default"/>
        </w:rPr>
        <w:t>100.00 </w:t>
      </w:r>
      <w:r>
        <w:rPr/>
        <w:t>万元，担保责任未履行完毕。</w:t>
      </w:r>
    </w:p>
    <w:p>
      <w:pPr>
        <w:pStyle w:val="BodyText"/>
        <w:spacing w:line="240" w:lineRule="auto" w:before="9"/>
        <w:ind w:right="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8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日，湖南长城计算机系统有限公司与农业银行株洲分行签</w:t>
      </w:r>
    </w:p>
    <w:p>
      <w:pPr>
        <w:pStyle w:val="BodyText"/>
        <w:spacing w:line="240" w:lineRule="auto" w:before="9"/>
        <w:ind w:right="0"/>
        <w:jc w:val="both"/>
        <w:rPr>
          <w:rFonts w:ascii="Times New Roman" w:hAnsi="Times New Roman" w:cs="Times New Roman" w:eastAsia="Times New Roman" w:hint="default"/>
        </w:rPr>
      </w:pPr>
      <w:r>
        <w:rPr/>
        <w:t>订流动资金贷款合同，取得短期借款</w:t>
      </w:r>
      <w:r>
        <w:rPr>
          <w:spacing w:val="-52"/>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3"/>
        </w:rPr>
        <w:t> </w:t>
      </w:r>
      <w:r>
        <w:rPr/>
        <w:t>万元，借款期限</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8 </w:t>
      </w:r>
      <w:r>
        <w:rPr/>
        <w:t>月</w:t>
      </w:r>
      <w:r>
        <w:rPr>
          <w:spacing w:val="-55"/>
        </w:rPr>
        <w:t> </w:t>
      </w:r>
      <w:r>
        <w:rPr>
          <w:rFonts w:ascii="Times New Roman" w:hAnsi="Times New Roman" w:cs="Times New Roman" w:eastAsia="Times New Roman" w:hint="default"/>
        </w:rPr>
        <w:t>9</w:t>
      </w:r>
    </w:p>
    <w:p>
      <w:pPr>
        <w:pStyle w:val="BodyText"/>
        <w:spacing w:line="240" w:lineRule="auto" w:before="10"/>
        <w:ind w:right="0"/>
        <w:jc w:val="both"/>
      </w:pPr>
      <w:r>
        <w:rPr/>
        <w:t>日至</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日，本公司为上述借款提供连带责任保证，保证期间为债</w:t>
      </w:r>
    </w:p>
    <w:p>
      <w:pPr>
        <w:pStyle w:val="BodyText"/>
        <w:spacing w:line="240" w:lineRule="auto" w:before="9"/>
        <w:ind w:right="0"/>
        <w:jc w:val="both"/>
      </w:pPr>
      <w:r>
        <w:rPr/>
        <w:t>务履行期限届满之日起两年。截至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日，湖南长城计算机系统</w:t>
      </w:r>
    </w:p>
    <w:p>
      <w:pPr>
        <w:pStyle w:val="BodyText"/>
        <w:spacing w:line="240" w:lineRule="auto" w:before="9"/>
        <w:ind w:right="0"/>
        <w:jc w:val="both"/>
      </w:pPr>
      <w:r>
        <w:rPr/>
        <w:t>有限公司该项贷款余额为</w:t>
      </w:r>
      <w:r>
        <w:rPr>
          <w:spacing w:val="-57"/>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2"/>
        </w:rPr>
        <w:t> </w:t>
      </w:r>
      <w:r>
        <w:rPr/>
        <w:t>万元，担保责任未履行完毕。</w:t>
      </w:r>
    </w:p>
    <w:p>
      <w:pPr>
        <w:pStyle w:val="BodyText"/>
        <w:spacing w:line="240" w:lineRule="auto" w:before="9"/>
        <w:ind w:right="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8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日，湖南长城计算机系统有限公司与华融湘江银行株洲泰</w:t>
      </w:r>
    </w:p>
    <w:p>
      <w:pPr>
        <w:pStyle w:val="BodyText"/>
        <w:spacing w:line="240" w:lineRule="auto" w:before="9"/>
        <w:ind w:right="0"/>
        <w:jc w:val="both"/>
        <w:rPr>
          <w:rFonts w:ascii="Times New Roman" w:hAnsi="Times New Roman" w:cs="Times New Roman" w:eastAsia="Times New Roman" w:hint="default"/>
        </w:rPr>
      </w:pPr>
      <w:r>
        <w:rPr/>
        <w:t>山支行签订流动资金贷款合同，取得短期借款</w:t>
      </w:r>
      <w:r>
        <w:rPr>
          <w:spacing w:val="-53"/>
        </w:rPr>
        <w:t> </w:t>
      </w:r>
      <w:r>
        <w:rPr>
          <w:rFonts w:ascii="Times New Roman" w:hAnsi="Times New Roman" w:cs="Times New Roman" w:eastAsia="Times New Roman" w:hint="default"/>
        </w:rPr>
        <w:t>8,000.00</w:t>
      </w:r>
      <w:r>
        <w:rPr>
          <w:rFonts w:ascii="Times New Roman" w:hAnsi="Times New Roman" w:cs="Times New Roman" w:eastAsia="Times New Roman" w:hint="default"/>
          <w:spacing w:val="-1"/>
        </w:rPr>
        <w:t> </w:t>
      </w:r>
      <w:r>
        <w:rPr/>
        <w:t>万元，借款期限</w:t>
      </w:r>
      <w:r>
        <w:rPr>
          <w:spacing w:val="-56"/>
        </w:rPr>
        <w:t> </w:t>
      </w:r>
      <w:r>
        <w:rPr>
          <w:rFonts w:ascii="Times New Roman" w:hAnsi="Times New Roman" w:cs="Times New Roman" w:eastAsia="Times New Roman" w:hint="default"/>
        </w:rPr>
        <w:t>2019</w:t>
      </w:r>
    </w:p>
    <w:p>
      <w:pPr>
        <w:pStyle w:val="BodyText"/>
        <w:spacing w:line="240" w:lineRule="auto" w:before="9"/>
        <w:ind w:right="0"/>
        <w:jc w:val="both"/>
      </w:pP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日起至</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 </w:t>
      </w:r>
      <w:r>
        <w:rPr/>
        <w:t>月</w:t>
      </w:r>
      <w:r>
        <w:rPr>
          <w:spacing w:val="-53"/>
        </w:rPr>
        <w:t> </w:t>
      </w:r>
      <w:r>
        <w:rPr>
          <w:rFonts w:ascii="Times New Roman" w:hAnsi="Times New Roman" w:cs="Times New Roman" w:eastAsia="Times New Roman" w:hint="default"/>
        </w:rPr>
        <w:t>26 </w:t>
      </w:r>
      <w:r>
        <w:rPr/>
        <w:t>日，本公司为上述借款提供连带责任保证，</w:t>
      </w:r>
    </w:p>
    <w:p>
      <w:pPr>
        <w:pStyle w:val="BodyText"/>
        <w:spacing w:line="240" w:lineRule="auto" w:before="9"/>
        <w:ind w:right="0"/>
        <w:jc w:val="both"/>
      </w:pPr>
      <w:r>
        <w:rPr/>
        <w:t>保证期间为债务履行期限届满之日起两年。截至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日，湖南长</w:t>
      </w:r>
    </w:p>
    <w:p>
      <w:pPr>
        <w:pStyle w:val="BodyText"/>
        <w:spacing w:line="240" w:lineRule="auto" w:before="9"/>
        <w:ind w:right="0"/>
        <w:jc w:val="both"/>
      </w:pPr>
      <w:r>
        <w:rPr/>
        <w:t>城计算机系统有限公司该项贷款余额为</w:t>
      </w:r>
      <w:r>
        <w:rPr>
          <w:spacing w:val="-55"/>
        </w:rPr>
        <w:t> </w:t>
      </w:r>
      <w:r>
        <w:rPr>
          <w:rFonts w:ascii="Times New Roman" w:hAnsi="Times New Roman" w:cs="Times New Roman" w:eastAsia="Times New Roman" w:hint="default"/>
        </w:rPr>
        <w:t>8,000.00</w:t>
      </w:r>
      <w:r>
        <w:rPr>
          <w:rFonts w:ascii="Times New Roman" w:hAnsi="Times New Roman" w:cs="Times New Roman" w:eastAsia="Times New Roman" w:hint="default"/>
          <w:spacing w:val="-3"/>
        </w:rPr>
        <w:t> </w:t>
      </w:r>
      <w:r>
        <w:rPr/>
        <w:t>万元，担保责任未履行完毕。</w:t>
      </w:r>
    </w:p>
    <w:p>
      <w:pPr>
        <w:pStyle w:val="BodyText"/>
        <w:spacing w:line="240" w:lineRule="auto" w:before="9"/>
        <w:ind w:right="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9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日，湖南长城计算机系统有限公司与华融湘江银行株洲泰</w:t>
      </w:r>
    </w:p>
    <w:p>
      <w:pPr>
        <w:pStyle w:val="BodyText"/>
        <w:spacing w:line="240" w:lineRule="auto" w:before="9"/>
        <w:ind w:right="0"/>
        <w:jc w:val="both"/>
        <w:rPr>
          <w:rFonts w:ascii="Times New Roman" w:hAnsi="Times New Roman" w:cs="Times New Roman" w:eastAsia="Times New Roman" w:hint="default"/>
        </w:rPr>
      </w:pPr>
      <w:r>
        <w:rPr/>
        <w:t>山支行签订流动资金贷款合同，取得短期借款</w:t>
      </w:r>
      <w:r>
        <w:rPr>
          <w:spacing w:val="-53"/>
        </w:rPr>
        <w:t> </w:t>
      </w:r>
      <w:r>
        <w:rPr>
          <w:rFonts w:ascii="Times New Roman" w:hAnsi="Times New Roman" w:cs="Times New Roman" w:eastAsia="Times New Roman" w:hint="default"/>
        </w:rPr>
        <w:t>1,900.00</w:t>
      </w:r>
      <w:r>
        <w:rPr>
          <w:rFonts w:ascii="Times New Roman" w:hAnsi="Times New Roman" w:cs="Times New Roman" w:eastAsia="Times New Roman" w:hint="default"/>
          <w:spacing w:val="-1"/>
        </w:rPr>
        <w:t> </w:t>
      </w:r>
      <w:r>
        <w:rPr/>
        <w:t>万元，借款期限</w:t>
      </w:r>
      <w:r>
        <w:rPr>
          <w:spacing w:val="-56"/>
        </w:rPr>
        <w:t> </w:t>
      </w:r>
      <w:r>
        <w:rPr>
          <w:rFonts w:ascii="Times New Roman" w:hAnsi="Times New Roman" w:cs="Times New Roman" w:eastAsia="Times New Roman" w:hint="default"/>
        </w:rPr>
        <w:t>2019</w:t>
      </w:r>
    </w:p>
    <w:p>
      <w:pPr>
        <w:pStyle w:val="BodyText"/>
        <w:spacing w:line="240" w:lineRule="auto" w:before="9"/>
        <w:ind w:right="0"/>
        <w:jc w:val="both"/>
      </w:pP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日，本公司为上述借款提供连带责任保证，保</w:t>
      </w:r>
    </w:p>
    <w:p>
      <w:pPr>
        <w:pStyle w:val="BodyText"/>
        <w:spacing w:line="240" w:lineRule="auto" w:before="9"/>
        <w:ind w:right="0"/>
        <w:jc w:val="both"/>
      </w:pPr>
      <w:r>
        <w:rPr/>
        <w:t>证期间为债务履行期限届满之日起两年。截至</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日，湖南长城</w:t>
      </w:r>
    </w:p>
    <w:p>
      <w:pPr>
        <w:pStyle w:val="BodyText"/>
        <w:spacing w:line="240" w:lineRule="auto" w:before="9"/>
        <w:ind w:right="0"/>
        <w:jc w:val="both"/>
      </w:pPr>
      <w:r>
        <w:rPr/>
        <w:t>计算机系统有限公司该项贷款余额为</w:t>
      </w:r>
      <w:r>
        <w:rPr>
          <w:spacing w:val="-52"/>
        </w:rPr>
        <w:t> </w:t>
      </w:r>
      <w:r>
        <w:rPr>
          <w:rFonts w:ascii="Times New Roman" w:hAnsi="Times New Roman" w:cs="Times New Roman" w:eastAsia="Times New Roman" w:hint="default"/>
        </w:rPr>
        <w:t>1,900.00</w:t>
      </w:r>
      <w:r>
        <w:rPr>
          <w:rFonts w:ascii="Times New Roman" w:hAnsi="Times New Roman" w:cs="Times New Roman" w:eastAsia="Times New Roman" w:hint="default"/>
          <w:spacing w:val="-3"/>
        </w:rPr>
        <w:t> </w:t>
      </w:r>
      <w:r>
        <w:rPr/>
        <w:t>万元，担保责任未履行完毕。</w:t>
      </w:r>
    </w:p>
    <w:p>
      <w:pPr>
        <w:pStyle w:val="BodyText"/>
        <w:spacing w:line="240" w:lineRule="auto" w:before="9"/>
        <w:ind w:right="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日，长沙中电软件园有限公司与中国电子财务有限责任公</w:t>
      </w:r>
    </w:p>
    <w:p>
      <w:pPr>
        <w:pStyle w:val="BodyText"/>
        <w:spacing w:line="240" w:lineRule="auto" w:before="9"/>
        <w:ind w:right="0"/>
        <w:jc w:val="both"/>
      </w:pPr>
      <w:r>
        <w:rPr/>
        <w:t>司签订借款合同，取得短期借款</w:t>
      </w:r>
      <w:r>
        <w:rPr>
          <w:spacing w:val="-54"/>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1"/>
        </w:rPr>
        <w:t> </w:t>
      </w:r>
      <w:r>
        <w:rPr/>
        <w:t>万元，借款期限</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w:t>
      </w:r>
    </w:p>
    <w:p>
      <w:pPr>
        <w:pStyle w:val="BodyText"/>
        <w:spacing w:line="254" w:lineRule="auto" w:before="9"/>
        <w:ind w:right="1786"/>
        <w:jc w:val="both"/>
        <w:rPr>
          <w:rFonts w:ascii="Times New Roman" w:hAnsi="Times New Roman" w:cs="Times New Roman" w:eastAsia="Times New Roman" w:hint="default"/>
        </w:rPr>
      </w:pPr>
      <w:r>
        <w:rPr/>
        <w:t>至</w:t>
      </w:r>
      <w:r>
        <w:rPr>
          <w:spacing w:val="-53"/>
        </w:rPr>
        <w:t> </w:t>
      </w:r>
      <w:r>
        <w:rPr>
          <w:rFonts w:ascii="Times New Roman" w:hAnsi="Times New Roman" w:cs="Times New Roman" w:eastAsia="Times New Roman" w:hint="default"/>
        </w:rPr>
        <w:t>2020 </w:t>
      </w:r>
      <w:r>
        <w:rPr/>
        <w:t>年</w:t>
      </w:r>
      <w:r>
        <w:rPr>
          <w:spacing w:val="-54"/>
        </w:rPr>
        <w:t> </w:t>
      </w: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rPr>
        <w:t>22 </w:t>
      </w:r>
      <w:r>
        <w:rPr/>
        <w:t>日，根据编号</w:t>
      </w:r>
      <w:r>
        <w:rPr>
          <w:spacing w:val="-53"/>
        </w:rPr>
        <w:t> </w:t>
      </w:r>
      <w:r>
        <w:rPr>
          <w:rFonts w:ascii="Times New Roman" w:hAnsi="Times New Roman" w:cs="Times New Roman" w:eastAsia="Times New Roman" w:hint="default"/>
        </w:rPr>
        <w:t>CECF </w:t>
      </w:r>
      <w:r>
        <w:rPr/>
        <w:t>综信（</w:t>
      </w:r>
      <w:r>
        <w:rPr>
          <w:rFonts w:ascii="Times New Roman" w:hAnsi="Times New Roman" w:cs="Times New Roman" w:eastAsia="Times New Roman" w:hint="default"/>
        </w:rPr>
        <w:t>2019</w:t>
      </w:r>
      <w:r>
        <w:rPr/>
        <w:t>）第</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保证</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号最高额</w:t>
      </w:r>
      <w:r>
        <w:rPr>
          <w:w w:val="100"/>
        </w:rPr>
        <w:t> </w:t>
      </w:r>
      <w:r>
        <w:rPr>
          <w:spacing w:val="-5"/>
          <w:w w:val="100"/>
        </w:rPr>
        <w:t>保证合同，该笔借款由本公司及长沙软件园有限公司按股东出资比例提供连带</w:t>
      </w:r>
      <w:r>
        <w:rPr>
          <w:spacing w:val="-84"/>
          <w:w w:val="100"/>
        </w:rPr>
        <w:t> </w:t>
      </w:r>
      <w:r>
        <w:rPr>
          <w:spacing w:val="-84"/>
          <w:w w:val="100"/>
        </w:rPr>
      </w:r>
      <w:r>
        <w:rPr/>
        <w:t>责任保证，保证期间为债务履行期限届满之日起两年。截至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247" w:lineRule="auto" w:before="0"/>
        <w:ind w:right="1782"/>
        <w:jc w:val="left"/>
      </w:pPr>
      <w:r>
        <w:rPr/>
        <w:t>日，长沙中电软件园有限公司该项贷款余额为</w:t>
      </w:r>
      <w:r>
        <w:rPr>
          <w:spacing w:val="-55"/>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3"/>
        </w:rPr>
        <w:t> </w:t>
      </w:r>
      <w:r>
        <w:rPr/>
        <w:t>万元，担保责任未履</w:t>
      </w:r>
      <w:r>
        <w:rPr>
          <w:w w:val="100"/>
        </w:rPr>
        <w:t> </w:t>
      </w:r>
      <w:r>
        <w:rPr/>
        <w:t>行完毕。</w:t>
      </w:r>
    </w:p>
    <w:p>
      <w:pPr>
        <w:pStyle w:val="BodyText"/>
        <w:spacing w:line="252" w:lineRule="auto" w:before="19"/>
        <w:ind w:right="1786"/>
        <w:jc w:val="both"/>
      </w:pPr>
      <w:r>
        <w:rPr>
          <w:rFonts w:ascii="Times New Roman" w:hAnsi="Times New Roman" w:cs="Times New Roman" w:eastAsia="Times New Roman" w:hint="default"/>
          <w:spacing w:val="-5"/>
        </w:rPr>
        <w:t>8</w:t>
      </w:r>
      <w:r>
        <w:rPr>
          <w:spacing w:val="-5"/>
        </w:rPr>
        <w:t>、</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spacing w:val="-3"/>
        </w:rPr>
        <w:t>日，湖南长城信息金融设备有限责任公司与中国电子财务</w:t>
      </w:r>
      <w:r>
        <w:rPr>
          <w:spacing w:val="-102"/>
        </w:rPr>
        <w:t> </w:t>
      </w:r>
      <w:r>
        <w:rPr>
          <w:spacing w:val="-102"/>
        </w:rPr>
      </w:r>
      <w:r>
        <w:rPr>
          <w:spacing w:val="-7"/>
          <w:w w:val="100"/>
        </w:rPr>
        <w:t>有限责任公司签订《综合授信合同》，根据编号</w:t>
      </w:r>
      <w:r>
        <w:rPr>
          <w:spacing w:val="-47"/>
          <w:w w:val="100"/>
        </w:rPr>
        <w:t> </w:t>
      </w:r>
      <w:r>
        <w:rPr>
          <w:rFonts w:ascii="Times New Roman" w:hAnsi="Times New Roman" w:cs="Times New Roman" w:eastAsia="Times New Roman" w:hint="default"/>
          <w:spacing w:val="-2"/>
          <w:w w:val="100"/>
        </w:rPr>
        <w:t>CECF</w:t>
      </w:r>
      <w:r>
        <w:rPr>
          <w:rFonts w:ascii="Times New Roman" w:hAnsi="Times New Roman" w:cs="Times New Roman" w:eastAsia="Times New Roman" w:hint="default"/>
          <w:spacing w:val="5"/>
          <w:w w:val="100"/>
        </w:rPr>
        <w:t> </w:t>
      </w:r>
      <w:r>
        <w:rPr>
          <w:spacing w:val="-2"/>
          <w:w w:val="100"/>
        </w:rPr>
        <w:t>综信（</w:t>
      </w:r>
      <w:r>
        <w:rPr>
          <w:rFonts w:ascii="Times New Roman" w:hAnsi="Times New Roman" w:cs="Times New Roman" w:eastAsia="Times New Roman" w:hint="default"/>
          <w:spacing w:val="-2"/>
          <w:w w:val="100"/>
        </w:rPr>
        <w:t>2019</w:t>
      </w:r>
      <w:r>
        <w:rPr>
          <w:spacing w:val="-2"/>
          <w:w w:val="100"/>
        </w:rPr>
        <w:t>）第</w:t>
      </w:r>
      <w:r>
        <w:rPr>
          <w:spacing w:val="-48"/>
          <w:w w:val="100"/>
        </w:rPr>
        <w:t> </w:t>
      </w:r>
      <w:r>
        <w:rPr>
          <w:rFonts w:ascii="Times New Roman" w:hAnsi="Times New Roman" w:cs="Times New Roman" w:eastAsia="Times New Roman" w:hint="default"/>
          <w:spacing w:val="-1"/>
          <w:w w:val="100"/>
        </w:rPr>
        <w:t>057</w:t>
      </w:r>
      <w:r>
        <w:rPr>
          <w:rFonts w:ascii="Times New Roman" w:hAnsi="Times New Roman" w:cs="Times New Roman" w:eastAsia="Times New Roman" w:hint="default"/>
          <w:spacing w:val="5"/>
          <w:w w:val="100"/>
        </w:rPr>
        <w:t> </w:t>
      </w:r>
      <w:r>
        <w:rPr>
          <w:w w:val="100"/>
        </w:rPr>
        <w:t>号</w:t>
      </w:r>
      <w:r>
        <w:rPr>
          <w:spacing w:val="-104"/>
          <w:w w:val="100"/>
        </w:rPr>
        <w:t> </w:t>
      </w:r>
      <w:r>
        <w:rPr>
          <w:spacing w:val="-5"/>
          <w:w w:val="100"/>
        </w:rPr>
        <w:t>的综合授信合同，本公司为中国电子财务有限责任公司与湖南长城信息金融设</w:t>
      </w:r>
      <w:r>
        <w:rPr>
          <w:spacing w:val="-84"/>
          <w:w w:val="100"/>
        </w:rPr>
        <w:t> </w:t>
      </w:r>
      <w:r>
        <w:rPr>
          <w:spacing w:val="-84"/>
          <w:w w:val="100"/>
        </w:rPr>
      </w:r>
      <w:r>
        <w:rPr/>
        <w:t>备有限责任公司形成的银行承兑汇票提供最高余额折合人民币</w:t>
      </w:r>
      <w:r>
        <w:rPr>
          <w:spacing w:val="-55"/>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2"/>
        </w:rPr>
        <w:t> </w:t>
      </w:r>
      <w:r>
        <w:rPr>
          <w:spacing w:val="-3"/>
        </w:rPr>
        <w:t>万元</w:t>
      </w:r>
      <w:r>
        <w:rPr/>
      </w:r>
    </w:p>
    <w:p>
      <w:pPr>
        <w:pStyle w:val="BodyText"/>
        <w:spacing w:line="288" w:lineRule="exact" w:before="0"/>
        <w:ind w:right="0"/>
        <w:jc w:val="both"/>
      </w:pPr>
      <w:r>
        <w:rPr/>
        <w:t>的连带责任保证，保证期间为票据到期届满之日起两年。截至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47" w:lineRule="auto" w:before="10"/>
        <w:ind w:right="1835"/>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日，湖南长城信息金融设备有限责任公司银行承兑汇票余额为</w:t>
      </w:r>
      <w:r>
        <w:rPr>
          <w:spacing w:val="-54"/>
        </w:rPr>
        <w:t> </w:t>
      </w:r>
      <w:r>
        <w:rPr>
          <w:rFonts w:ascii="Times New Roman" w:hAnsi="Times New Roman" w:cs="Times New Roman" w:eastAsia="Times New Roman" w:hint="default"/>
        </w:rPr>
        <w:t>5,832.44</w:t>
      </w:r>
      <w:r>
        <w:rPr>
          <w:rFonts w:ascii="Times New Roman" w:hAnsi="Times New Roman" w:cs="Times New Roman" w:eastAsia="Times New Roman" w:hint="default"/>
          <w:spacing w:val="-2"/>
        </w:rPr>
        <w:t> </w:t>
      </w:r>
      <w:r>
        <w:rPr/>
        <w:t>万</w:t>
      </w:r>
      <w:r>
        <w:rPr>
          <w:w w:val="100"/>
        </w:rPr>
        <w:t> </w:t>
      </w:r>
      <w:r>
        <w:rPr/>
        <w:t>元，票据未到期，担保责任未履行完毕。</w:t>
      </w:r>
    </w:p>
    <w:p>
      <w:pPr>
        <w:pStyle w:val="BodyText"/>
        <w:spacing w:line="240" w:lineRule="auto" w:before="19"/>
        <w:ind w:right="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9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日，湖南长城信息金融设备有限责任公司与中国银行天心</w:t>
      </w:r>
    </w:p>
    <w:p>
      <w:pPr>
        <w:pStyle w:val="BodyText"/>
        <w:spacing w:line="240" w:lineRule="auto" w:before="9"/>
        <w:ind w:right="0"/>
        <w:jc w:val="both"/>
      </w:pPr>
      <w:r>
        <w:rPr/>
        <w:t>支行签订</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天心保字</w:t>
      </w:r>
      <w:r>
        <w:rPr>
          <w:spacing w:val="-56"/>
        </w:rPr>
        <w:t> </w:t>
      </w:r>
      <w:r>
        <w:rPr>
          <w:rFonts w:ascii="Times New Roman" w:hAnsi="Times New Roman" w:cs="Times New Roman" w:eastAsia="Times New Roman" w:hint="default"/>
        </w:rPr>
        <w:t>002</w:t>
      </w:r>
      <w:r>
        <w:rPr>
          <w:rFonts w:ascii="Times New Roman" w:hAnsi="Times New Roman" w:cs="Times New Roman" w:eastAsia="Times New Roman" w:hint="default"/>
          <w:spacing w:val="-1"/>
        </w:rPr>
        <w:t> </w:t>
      </w:r>
      <w:r>
        <w:rPr/>
        <w:t>号的最高额保证合同，本公司提供不超过</w:t>
      </w:r>
    </w:p>
    <w:p>
      <w:pPr>
        <w:pStyle w:val="BodyText"/>
        <w:spacing w:line="240" w:lineRule="auto" w:before="9"/>
        <w:ind w:right="0"/>
        <w:jc w:val="both"/>
      </w:pPr>
      <w:r>
        <w:rPr>
          <w:rFonts w:ascii="Times New Roman" w:hAnsi="Times New Roman" w:cs="Times New Roman" w:eastAsia="Times New Roman" w:hint="default"/>
          <w:spacing w:val="-1"/>
        </w:rPr>
        <w:t>23,000.00</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spacing w:val="-2"/>
        </w:rPr>
        <w:t>万元连带责任保证，保证期间为债务履行期限届满之日起两年。截</w:t>
      </w:r>
    </w:p>
    <w:p>
      <w:pPr>
        <w:pStyle w:val="BodyText"/>
        <w:spacing w:line="240" w:lineRule="auto" w:before="9"/>
        <w:ind w:right="0"/>
        <w:jc w:val="both"/>
      </w:pPr>
      <w:r>
        <w:rPr/>
        <w:t>至</w:t>
      </w:r>
      <w:r>
        <w:rPr>
          <w:spacing w:val="-53"/>
        </w:rPr>
        <w:t> </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日，湖南长城信息金融设备有限责任公司暂未使用此担保</w:t>
      </w:r>
    </w:p>
    <w:p>
      <w:pPr>
        <w:pStyle w:val="BodyText"/>
        <w:spacing w:line="240" w:lineRule="auto" w:before="9"/>
        <w:ind w:right="0"/>
        <w:jc w:val="both"/>
        <w:rPr>
          <w:rFonts w:ascii="Times New Roman" w:hAnsi="Times New Roman" w:cs="Times New Roman" w:eastAsia="Times New Roman" w:hint="default"/>
        </w:rPr>
      </w:pPr>
      <w:r>
        <w:rPr/>
        <w:t>额度。</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日，与交通银行车站南路支行签订湘交保字</w:t>
      </w:r>
      <w:r>
        <w:rPr>
          <w:spacing w:val="-53"/>
        </w:rPr>
        <w:t> </w:t>
      </w:r>
      <w:r>
        <w:rPr>
          <w:rFonts w:ascii="Times New Roman" w:hAnsi="Times New Roman" w:cs="Times New Roman" w:eastAsia="Times New Roman" w:hint="default"/>
        </w:rPr>
        <w:t>20191016</w:t>
      </w:r>
    </w:p>
    <w:p>
      <w:pPr>
        <w:spacing w:after="0" w:line="240" w:lineRule="auto"/>
        <w:jc w:val="both"/>
        <w:rPr>
          <w:rFonts w:ascii="Times New Roman" w:hAnsi="Times New Roman" w:cs="Times New Roman" w:eastAsia="Times New Roman" w:hint="default"/>
        </w:rPr>
        <w:sectPr>
          <w:pgSz w:w="11910" w:h="16840"/>
          <w:pgMar w:header="753" w:footer="997" w:top="1500" w:bottom="1180" w:left="1660" w:right="0"/>
        </w:sectPr>
      </w:pPr>
    </w:p>
    <w:p>
      <w:pPr>
        <w:spacing w:line="240" w:lineRule="auto" w:before="6"/>
        <w:rPr>
          <w:rFonts w:ascii="Times New Roman" w:hAnsi="Times New Roman" w:cs="Times New Roman" w:eastAsia="Times New Roman" w:hint="default"/>
          <w:sz w:val="17"/>
          <w:szCs w:val="17"/>
        </w:rPr>
      </w:pPr>
    </w:p>
    <w:p>
      <w:pPr>
        <w:pStyle w:val="BodyText"/>
        <w:spacing w:line="240" w:lineRule="auto"/>
        <w:ind w:right="1468"/>
        <w:jc w:val="left"/>
      </w:pPr>
      <w:r>
        <w:rPr/>
        <w:t>号的最高额保证合同，本公司提供不超过</w:t>
      </w:r>
      <w:r>
        <w:rPr>
          <w:spacing w:val="-54"/>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5"/>
        </w:rPr>
        <w:t> </w:t>
      </w:r>
      <w:r>
        <w:rPr/>
        <w:t>万元连带责任保证，保证</w:t>
      </w:r>
    </w:p>
    <w:p>
      <w:pPr>
        <w:pStyle w:val="BodyText"/>
        <w:spacing w:line="256" w:lineRule="auto" w:before="9"/>
        <w:ind w:right="1468"/>
        <w:jc w:val="left"/>
      </w:pPr>
      <w:r>
        <w:rPr/>
        <w:t>期间为债务履行到期日另加一年。截至</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日，湖南长城信息金</w:t>
      </w:r>
      <w:r>
        <w:rPr>
          <w:w w:val="100"/>
        </w:rPr>
        <w:t> </w:t>
      </w:r>
      <w:r>
        <w:rPr/>
        <w:t>融设备有限责任公司暂未使用此担保额度。</w:t>
      </w:r>
      <w:r>
        <w:rPr>
          <w:w w:val="100"/>
        </w:rPr>
        <w:t> </w:t>
      </w:r>
      <w:r>
        <w:rPr>
          <w:rFonts w:ascii="Times New Roman" w:hAnsi="Times New Roman" w:cs="Times New Roman" w:eastAsia="Times New Roman" w:hint="default"/>
        </w:rPr>
        <w:t>10</w:t>
      </w:r>
      <w:r>
        <w:rPr/>
        <w:t>、中国电子财务有限责任公司为公司在国开行（国开基金）的</w:t>
      </w:r>
      <w:r>
        <w:rPr>
          <w:spacing w:val="-57"/>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4"/>
        </w:rPr>
        <w:t> </w:t>
      </w:r>
      <w:r>
        <w:rPr/>
        <w:t>万</w:t>
      </w:r>
      <w:r>
        <w:rPr>
          <w:w w:val="100"/>
        </w:rPr>
        <w:t> </w:t>
      </w:r>
      <w:r>
        <w:rPr>
          <w:spacing w:val="-5"/>
        </w:rPr>
        <w:t>元贷款提供全额信用担保，同时公司与中国电子财务有限责任公司签署《反担</w:t>
      </w:r>
      <w:r>
        <w:rPr>
          <w:spacing w:val="-46"/>
        </w:rPr>
        <w:t> </w:t>
      </w:r>
      <w:r>
        <w:rPr>
          <w:spacing w:val="-46"/>
        </w:rPr>
      </w:r>
      <w:r>
        <w:rPr>
          <w:spacing w:val="-11"/>
          <w:w w:val="100"/>
        </w:rPr>
        <w:t>保（存单质押）协议书》。根据《全面金融合作协议》、《反担保（存单质押）</w:t>
      </w:r>
      <w:r>
        <w:rPr>
          <w:spacing w:val="-85"/>
          <w:w w:val="100"/>
        </w:rPr>
        <w:t> </w:t>
      </w:r>
      <w:r>
        <w:rPr>
          <w:spacing w:val="-85"/>
          <w:w w:val="100"/>
        </w:rPr>
      </w:r>
      <w:r>
        <w:rPr>
          <w:spacing w:val="-8"/>
          <w:w w:val="100"/>
        </w:rPr>
        <w:t>协议书》的约定，公司在中国电子财务有限责任公司开立的等额定期存单质押，</w:t>
      </w:r>
      <w:r>
        <w:rPr>
          <w:spacing w:val="-84"/>
          <w:w w:val="100"/>
        </w:rPr>
        <w:t> </w:t>
      </w:r>
      <w:r>
        <w:rPr>
          <w:spacing w:val="-84"/>
          <w:w w:val="100"/>
        </w:rPr>
      </w:r>
      <w:r>
        <w:rPr/>
        <w:t>作为中国电子财务有限责任公司提供上述连带责任保证的反担保。</w:t>
      </w:r>
    </w:p>
    <w:p>
      <w:pPr>
        <w:pStyle w:val="BodyText"/>
        <w:spacing w:line="252" w:lineRule="auto" w:before="10"/>
        <w:ind w:right="1786"/>
        <w:jc w:val="both"/>
      </w:pPr>
      <w:r>
        <w:rPr>
          <w:rFonts w:ascii="Times New Roman" w:hAnsi="Times New Roman" w:cs="Times New Roman" w:eastAsia="Times New Roman" w:hint="default"/>
          <w:spacing w:val="-5"/>
        </w:rPr>
        <w:t>11</w:t>
      </w:r>
      <w:r>
        <w:rPr>
          <w:spacing w:val="-5"/>
        </w:rPr>
        <w:t>、</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9"/>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spacing w:val="-3"/>
        </w:rPr>
        <w:t>日，武汉中原电子信息有限公司与中国民生银行签订开立</w:t>
      </w:r>
      <w:r>
        <w:rPr>
          <w:spacing w:val="-101"/>
        </w:rPr>
        <w:t> </w:t>
      </w:r>
      <w:r>
        <w:rPr>
          <w:spacing w:val="-101"/>
        </w:rPr>
      </w:r>
      <w:r>
        <w:rPr/>
        <w:t>银行保函协议，开出银行保函</w:t>
      </w:r>
      <w:r>
        <w:rPr>
          <w:spacing w:val="-54"/>
        </w:rPr>
        <w:t> </w:t>
      </w:r>
      <w:r>
        <w:rPr>
          <w:rFonts w:ascii="Times New Roman" w:hAnsi="Times New Roman" w:cs="Times New Roman" w:eastAsia="Times New Roman" w:hint="default"/>
        </w:rPr>
        <w:t>514.00</w:t>
      </w:r>
      <w:r>
        <w:rPr>
          <w:rFonts w:ascii="Times New Roman" w:hAnsi="Times New Roman" w:cs="Times New Roman" w:eastAsia="Times New Roman" w:hint="default"/>
          <w:spacing w:val="-1"/>
        </w:rPr>
        <w:t> </w:t>
      </w:r>
      <w:r>
        <w:rPr>
          <w:spacing w:val="-3"/>
        </w:rPr>
        <w:t>万元，根据编号</w:t>
      </w:r>
      <w:r>
        <w:rPr>
          <w:spacing w:val="-54"/>
        </w:rPr>
        <w:t> </w:t>
      </w:r>
      <w:r>
        <w:rPr>
          <w:rFonts w:ascii="Times New Roman" w:hAnsi="Times New Roman" w:cs="Times New Roman" w:eastAsia="Times New Roman" w:hint="default"/>
        </w:rPr>
        <w:t>ZH1900000149779</w:t>
      </w:r>
      <w:r>
        <w:rPr>
          <w:rFonts w:ascii="Times New Roman" w:hAnsi="Times New Roman" w:cs="Times New Roman" w:eastAsia="Times New Roman" w:hint="default"/>
          <w:spacing w:val="-3"/>
        </w:rPr>
        <w:t> </w:t>
      </w:r>
      <w:r>
        <w:rPr/>
        <w:t>号最</w:t>
      </w:r>
      <w:r>
        <w:rPr>
          <w:w w:val="100"/>
        </w:rPr>
        <w:t> </w:t>
      </w:r>
      <w:r>
        <w:rPr>
          <w:spacing w:val="-5"/>
          <w:w w:val="100"/>
        </w:rPr>
        <w:t>高额保证合同，武汉中元通信股份有限公司为中国民生银行银行与武汉中原电</w:t>
      </w:r>
      <w:r>
        <w:rPr>
          <w:spacing w:val="-84"/>
          <w:w w:val="100"/>
        </w:rPr>
        <w:t> </w:t>
      </w:r>
      <w:r>
        <w:rPr>
          <w:spacing w:val="-84"/>
          <w:w w:val="100"/>
        </w:rPr>
      </w:r>
      <w:r>
        <w:rPr/>
        <w:t>子信息有限公司公司形成的银行保函提供最高余额折合人民币</w:t>
      </w:r>
      <w:r>
        <w:rPr>
          <w:spacing w:val="-53"/>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2"/>
        </w:rPr>
        <w:t> </w:t>
      </w:r>
      <w:r>
        <w:rPr/>
        <w:t>万元</w:t>
      </w:r>
    </w:p>
    <w:p>
      <w:pPr>
        <w:pStyle w:val="BodyText"/>
        <w:spacing w:line="288" w:lineRule="exact" w:before="0"/>
        <w:ind w:right="1468"/>
        <w:jc w:val="left"/>
      </w:pPr>
      <w:r>
        <w:rPr/>
        <w:t>的连带责任保证，保证期间为保函到期注销日另加两年。截至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47" w:lineRule="auto" w:before="10"/>
        <w:ind w:right="1785"/>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日，武汉中原电子信息有限公司银行保函余额为</w:t>
      </w:r>
      <w:r>
        <w:rPr>
          <w:spacing w:val="-56"/>
        </w:rPr>
        <w:t> </w:t>
      </w:r>
      <w:r>
        <w:rPr>
          <w:rFonts w:ascii="Times New Roman" w:hAnsi="Times New Roman" w:cs="Times New Roman" w:eastAsia="Times New Roman" w:hint="default"/>
        </w:rPr>
        <w:t>514.00</w:t>
      </w:r>
      <w:r>
        <w:rPr>
          <w:rFonts w:ascii="Times New Roman" w:hAnsi="Times New Roman" w:cs="Times New Roman" w:eastAsia="Times New Roman" w:hint="default"/>
          <w:spacing w:val="-4"/>
        </w:rPr>
        <w:t> </w:t>
      </w:r>
      <w:r>
        <w:rPr/>
        <w:t>万元，尚未到期，</w:t>
      </w:r>
      <w:r>
        <w:rPr>
          <w:w w:val="100"/>
        </w:rPr>
        <w:t> </w:t>
      </w:r>
      <w:r>
        <w:rPr/>
        <w:t>担保责任未履行完毕。</w:t>
      </w:r>
    </w:p>
    <w:p>
      <w:pPr>
        <w:pStyle w:val="BodyText"/>
        <w:spacing w:line="240" w:lineRule="auto" w:before="19"/>
        <w:ind w:right="1468"/>
        <w:jc w:val="left"/>
      </w:pPr>
      <w:r>
        <w:rPr>
          <w:rFonts w:ascii="Times New Roman" w:hAnsi="Times New Roman" w:cs="Times New Roman" w:eastAsia="Times New Roman" w:hint="default"/>
          <w:spacing w:val="-5"/>
        </w:rPr>
        <w:t>12</w:t>
      </w:r>
      <w:r>
        <w:rPr>
          <w:spacing w:val="-5"/>
        </w:rPr>
        <w:t>、</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spacing w:val="-3"/>
        </w:rPr>
        <w:t>日，武汉长光电源有限公司与中国电子财务有限责任公司</w:t>
      </w:r>
    </w:p>
    <w:p>
      <w:pPr>
        <w:pStyle w:val="BodyText"/>
        <w:spacing w:line="247" w:lineRule="auto" w:before="9"/>
        <w:ind w:right="1468"/>
        <w:jc w:val="left"/>
      </w:pPr>
      <w:r>
        <w:rPr>
          <w:spacing w:val="-6"/>
          <w:w w:val="100"/>
        </w:rPr>
        <w:t>签订《借款合同》，以信用担保方式为获得流动资金借款人民币</w:t>
      </w:r>
      <w:r>
        <w:rPr>
          <w:spacing w:val="-43"/>
          <w:w w:val="100"/>
        </w:rPr>
        <w:t> </w:t>
      </w:r>
      <w:r>
        <w:rPr>
          <w:rFonts w:ascii="Times New Roman" w:hAnsi="Times New Roman" w:cs="Times New Roman" w:eastAsia="Times New Roman" w:hint="default"/>
          <w:spacing w:val="-1"/>
          <w:w w:val="100"/>
        </w:rPr>
        <w:t>500.00</w:t>
      </w:r>
      <w:r>
        <w:rPr>
          <w:rFonts w:ascii="Times New Roman" w:hAnsi="Times New Roman" w:cs="Times New Roman" w:eastAsia="Times New Roman" w:hint="default"/>
          <w:spacing w:val="8"/>
          <w:w w:val="100"/>
        </w:rPr>
        <w:t> </w:t>
      </w:r>
      <w:r>
        <w:rPr>
          <w:spacing w:val="-1"/>
          <w:w w:val="100"/>
        </w:rPr>
        <w:t>万元，</w:t>
      </w:r>
      <w:r>
        <w:rPr>
          <w:spacing w:val="-102"/>
          <w:w w:val="100"/>
        </w:rPr>
        <w:t> </w:t>
      </w:r>
      <w:r>
        <w:rPr>
          <w:spacing w:val="-102"/>
          <w:w w:val="100"/>
        </w:rPr>
      </w:r>
      <w:r>
        <w:rPr/>
        <w:t>期限一年；</w:t>
      </w:r>
    </w:p>
    <w:p>
      <w:pPr>
        <w:pStyle w:val="BodyText"/>
        <w:spacing w:line="240" w:lineRule="auto" w:before="19"/>
        <w:ind w:right="146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spacing w:val="-4"/>
        </w:rPr>
        <w:t>日，武汉长光电源有限公司与中国电子财务有限责任公司签订</w:t>
      </w:r>
    </w:p>
    <w:p>
      <w:pPr>
        <w:pStyle w:val="BodyText"/>
        <w:spacing w:line="247" w:lineRule="auto" w:before="9"/>
        <w:ind w:right="1783"/>
        <w:jc w:val="left"/>
      </w:pPr>
      <w:r>
        <w:rPr>
          <w:spacing w:val="-7"/>
          <w:w w:val="100"/>
        </w:rPr>
        <w:t>《借款合同》，以信用担保方式为获得流动资金借款人民币</w:t>
      </w:r>
      <w:r>
        <w:rPr>
          <w:spacing w:val="-45"/>
          <w:w w:val="100"/>
        </w:rPr>
        <w:t> </w:t>
      </w:r>
      <w:r>
        <w:rPr>
          <w:rFonts w:ascii="Times New Roman" w:hAnsi="Times New Roman" w:cs="Times New Roman" w:eastAsia="Times New Roman" w:hint="default"/>
          <w:spacing w:val="-1"/>
          <w:w w:val="100"/>
        </w:rPr>
        <w:t>500.00</w:t>
      </w:r>
      <w:r>
        <w:rPr>
          <w:rFonts w:ascii="Times New Roman" w:hAnsi="Times New Roman" w:cs="Times New Roman" w:eastAsia="Times New Roman" w:hint="default"/>
          <w:spacing w:val="6"/>
          <w:w w:val="100"/>
        </w:rPr>
        <w:t> </w:t>
      </w:r>
      <w:r>
        <w:rPr>
          <w:spacing w:val="-6"/>
          <w:w w:val="100"/>
        </w:rPr>
        <w:t>万元，期限</w:t>
      </w:r>
      <w:r>
        <w:rPr>
          <w:spacing w:val="-103"/>
          <w:w w:val="100"/>
        </w:rPr>
        <w:t> </w:t>
      </w:r>
      <w:r>
        <w:rPr>
          <w:spacing w:val="-103"/>
          <w:w w:val="100"/>
        </w:rPr>
      </w:r>
      <w:r>
        <w:rPr/>
        <w:t>一年；</w:t>
      </w:r>
    </w:p>
    <w:p>
      <w:pPr>
        <w:pStyle w:val="BodyText"/>
        <w:spacing w:line="240" w:lineRule="auto" w:before="19"/>
        <w:ind w:right="146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spacing w:val="-4"/>
        </w:rPr>
        <w:t>日，武汉长光电源有限公司与中国电子财务有限责任公司签订</w:t>
      </w:r>
    </w:p>
    <w:p>
      <w:pPr>
        <w:pStyle w:val="BodyText"/>
        <w:spacing w:line="247" w:lineRule="auto" w:before="9"/>
        <w:ind w:right="1783"/>
        <w:jc w:val="left"/>
      </w:pPr>
      <w:r>
        <w:rPr>
          <w:spacing w:val="-7"/>
          <w:w w:val="100"/>
        </w:rPr>
        <w:t>《借款合同》，以信用担保方式为获得流动资金借款人民币</w:t>
      </w:r>
      <w:r>
        <w:rPr>
          <w:spacing w:val="-45"/>
          <w:w w:val="100"/>
        </w:rPr>
        <w:t> </w:t>
      </w:r>
      <w:r>
        <w:rPr>
          <w:rFonts w:ascii="Times New Roman" w:hAnsi="Times New Roman" w:cs="Times New Roman" w:eastAsia="Times New Roman" w:hint="default"/>
          <w:spacing w:val="-1"/>
          <w:w w:val="100"/>
        </w:rPr>
        <w:t>500.00</w:t>
      </w:r>
      <w:r>
        <w:rPr>
          <w:rFonts w:ascii="Times New Roman" w:hAnsi="Times New Roman" w:cs="Times New Roman" w:eastAsia="Times New Roman" w:hint="default"/>
          <w:spacing w:val="6"/>
          <w:w w:val="100"/>
        </w:rPr>
        <w:t> </w:t>
      </w:r>
      <w:r>
        <w:rPr>
          <w:spacing w:val="-6"/>
          <w:w w:val="100"/>
        </w:rPr>
        <w:t>万元，期限</w:t>
      </w:r>
      <w:r>
        <w:rPr>
          <w:spacing w:val="-103"/>
          <w:w w:val="100"/>
        </w:rPr>
        <w:t> </w:t>
      </w:r>
      <w:r>
        <w:rPr>
          <w:spacing w:val="-103"/>
          <w:w w:val="100"/>
        </w:rPr>
      </w:r>
      <w:r>
        <w:rPr/>
        <w:t>一年；</w:t>
      </w:r>
    </w:p>
    <w:p>
      <w:pPr>
        <w:pStyle w:val="BodyText"/>
        <w:spacing w:line="240" w:lineRule="auto" w:before="19"/>
        <w:ind w:right="146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日，武汉长光电源有限公司与中国电子财务有限责任公司签订</w:t>
      </w:r>
    </w:p>
    <w:p>
      <w:pPr>
        <w:pStyle w:val="BodyText"/>
        <w:spacing w:line="247" w:lineRule="auto" w:before="9"/>
        <w:ind w:right="1783"/>
        <w:jc w:val="left"/>
      </w:pPr>
      <w:r>
        <w:rPr>
          <w:spacing w:val="-7"/>
          <w:w w:val="100"/>
        </w:rPr>
        <w:t>《借款合同》，以信用担保方式为获得流动资金借款人民币</w:t>
      </w:r>
      <w:r>
        <w:rPr>
          <w:spacing w:val="-45"/>
          <w:w w:val="100"/>
        </w:rPr>
        <w:t> </w:t>
      </w:r>
      <w:r>
        <w:rPr>
          <w:rFonts w:ascii="Times New Roman" w:hAnsi="Times New Roman" w:cs="Times New Roman" w:eastAsia="Times New Roman" w:hint="default"/>
          <w:spacing w:val="-1"/>
          <w:w w:val="100"/>
        </w:rPr>
        <w:t>300.00</w:t>
      </w:r>
      <w:r>
        <w:rPr>
          <w:rFonts w:ascii="Times New Roman" w:hAnsi="Times New Roman" w:cs="Times New Roman" w:eastAsia="Times New Roman" w:hint="default"/>
          <w:spacing w:val="6"/>
          <w:w w:val="100"/>
        </w:rPr>
        <w:t> </w:t>
      </w:r>
      <w:r>
        <w:rPr>
          <w:spacing w:val="-6"/>
          <w:w w:val="100"/>
        </w:rPr>
        <w:t>万元，期限</w:t>
      </w:r>
      <w:r>
        <w:rPr>
          <w:spacing w:val="-103"/>
          <w:w w:val="100"/>
        </w:rPr>
        <w:t> </w:t>
      </w:r>
      <w:r>
        <w:rPr>
          <w:spacing w:val="-103"/>
          <w:w w:val="100"/>
        </w:rPr>
      </w:r>
      <w:r>
        <w:rPr/>
        <w:t>一年；</w:t>
      </w:r>
    </w:p>
    <w:p>
      <w:pPr>
        <w:pStyle w:val="BodyText"/>
        <w:spacing w:line="240" w:lineRule="auto" w:before="19"/>
        <w:ind w:right="146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日，武汉长光电源有限公司与中国电子财务有限责任公司签订</w:t>
      </w:r>
    </w:p>
    <w:p>
      <w:pPr>
        <w:pStyle w:val="BodyText"/>
        <w:spacing w:line="247" w:lineRule="auto" w:before="9"/>
        <w:ind w:right="1783"/>
        <w:jc w:val="left"/>
      </w:pPr>
      <w:r>
        <w:rPr>
          <w:spacing w:val="-7"/>
          <w:w w:val="100"/>
        </w:rPr>
        <w:t>《借款合同》，以信用担保方式为获得流动资金借款人民币</w:t>
      </w:r>
      <w:r>
        <w:rPr>
          <w:spacing w:val="-45"/>
          <w:w w:val="100"/>
        </w:rPr>
        <w:t> </w:t>
      </w:r>
      <w:r>
        <w:rPr>
          <w:rFonts w:ascii="Times New Roman" w:hAnsi="Times New Roman" w:cs="Times New Roman" w:eastAsia="Times New Roman" w:hint="default"/>
          <w:spacing w:val="-1"/>
          <w:w w:val="100"/>
        </w:rPr>
        <w:t>500.00</w:t>
      </w:r>
      <w:r>
        <w:rPr>
          <w:rFonts w:ascii="Times New Roman" w:hAnsi="Times New Roman" w:cs="Times New Roman" w:eastAsia="Times New Roman" w:hint="default"/>
          <w:spacing w:val="6"/>
          <w:w w:val="100"/>
        </w:rPr>
        <w:t> </w:t>
      </w:r>
      <w:r>
        <w:rPr>
          <w:spacing w:val="-6"/>
          <w:w w:val="100"/>
        </w:rPr>
        <w:t>万元，期限</w:t>
      </w:r>
      <w:r>
        <w:rPr>
          <w:spacing w:val="-103"/>
          <w:w w:val="100"/>
        </w:rPr>
        <w:t> </w:t>
      </w:r>
      <w:r>
        <w:rPr>
          <w:spacing w:val="-103"/>
          <w:w w:val="100"/>
        </w:rPr>
      </w:r>
      <w:r>
        <w:rPr/>
        <w:t>一年；</w:t>
      </w:r>
    </w:p>
    <w:p>
      <w:pPr>
        <w:pStyle w:val="BodyText"/>
        <w:spacing w:line="240" w:lineRule="auto" w:before="19"/>
        <w:ind w:right="146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spacing w:val="-4"/>
        </w:rPr>
        <w:t>日，武汉长光电源有限公司与中国电子财务有限责任公司签订</w:t>
      </w:r>
    </w:p>
    <w:p>
      <w:pPr>
        <w:pStyle w:val="BodyText"/>
        <w:spacing w:line="247" w:lineRule="auto" w:before="9"/>
        <w:ind w:right="1783"/>
        <w:jc w:val="left"/>
      </w:pPr>
      <w:r>
        <w:rPr>
          <w:spacing w:val="-7"/>
          <w:w w:val="100"/>
        </w:rPr>
        <w:t>《借款合同》，以信用担保方式为获得流动资金借款人民币</w:t>
      </w:r>
      <w:r>
        <w:rPr>
          <w:spacing w:val="-45"/>
          <w:w w:val="100"/>
        </w:rPr>
        <w:t> </w:t>
      </w:r>
      <w:r>
        <w:rPr>
          <w:rFonts w:ascii="Times New Roman" w:hAnsi="Times New Roman" w:cs="Times New Roman" w:eastAsia="Times New Roman" w:hint="default"/>
          <w:spacing w:val="-1"/>
          <w:w w:val="100"/>
        </w:rPr>
        <w:t>500.00</w:t>
      </w:r>
      <w:r>
        <w:rPr>
          <w:rFonts w:ascii="Times New Roman" w:hAnsi="Times New Roman" w:cs="Times New Roman" w:eastAsia="Times New Roman" w:hint="default"/>
          <w:spacing w:val="6"/>
          <w:w w:val="100"/>
        </w:rPr>
        <w:t> </w:t>
      </w:r>
      <w:r>
        <w:rPr>
          <w:spacing w:val="-6"/>
          <w:w w:val="100"/>
        </w:rPr>
        <w:t>万元，期限</w:t>
      </w:r>
      <w:r>
        <w:rPr>
          <w:spacing w:val="-103"/>
          <w:w w:val="100"/>
        </w:rPr>
        <w:t> </w:t>
      </w:r>
      <w:r>
        <w:rPr>
          <w:spacing w:val="-103"/>
          <w:w w:val="100"/>
        </w:rPr>
      </w:r>
      <w:r>
        <w:rPr/>
        <w:t>一年；</w:t>
      </w:r>
    </w:p>
    <w:p>
      <w:pPr>
        <w:pStyle w:val="BodyText"/>
        <w:spacing w:line="240" w:lineRule="auto" w:before="19"/>
        <w:ind w:right="146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spacing w:val="-4"/>
        </w:rPr>
        <w:t>日，武汉长光电源有限公司与中国电子财务有限责任公司签订</w:t>
      </w:r>
    </w:p>
    <w:p>
      <w:pPr>
        <w:pStyle w:val="BodyText"/>
        <w:spacing w:line="247" w:lineRule="auto" w:before="9"/>
        <w:ind w:right="1783"/>
        <w:jc w:val="left"/>
      </w:pPr>
      <w:r>
        <w:rPr>
          <w:spacing w:val="-7"/>
          <w:w w:val="100"/>
        </w:rPr>
        <w:t>《借款合同》，以信用担保方式为获得流动资金借款人民币</w:t>
      </w:r>
      <w:r>
        <w:rPr>
          <w:spacing w:val="-45"/>
          <w:w w:val="100"/>
        </w:rPr>
        <w:t> </w:t>
      </w:r>
      <w:r>
        <w:rPr>
          <w:rFonts w:ascii="Times New Roman" w:hAnsi="Times New Roman" w:cs="Times New Roman" w:eastAsia="Times New Roman" w:hint="default"/>
          <w:spacing w:val="-1"/>
          <w:w w:val="100"/>
        </w:rPr>
        <w:t>500.00</w:t>
      </w:r>
      <w:r>
        <w:rPr>
          <w:rFonts w:ascii="Times New Roman" w:hAnsi="Times New Roman" w:cs="Times New Roman" w:eastAsia="Times New Roman" w:hint="default"/>
          <w:spacing w:val="6"/>
          <w:w w:val="100"/>
        </w:rPr>
        <w:t> </w:t>
      </w:r>
      <w:r>
        <w:rPr>
          <w:spacing w:val="-6"/>
          <w:w w:val="100"/>
        </w:rPr>
        <w:t>万元，期限</w:t>
      </w:r>
      <w:r>
        <w:rPr>
          <w:spacing w:val="-103"/>
          <w:w w:val="100"/>
        </w:rPr>
        <w:t> </w:t>
      </w:r>
      <w:r>
        <w:rPr>
          <w:spacing w:val="-103"/>
          <w:w w:val="100"/>
        </w:rPr>
      </w:r>
      <w:r>
        <w:rPr/>
        <w:t>九个月；</w:t>
      </w:r>
    </w:p>
    <w:p>
      <w:pPr>
        <w:pStyle w:val="BodyText"/>
        <w:spacing w:line="240" w:lineRule="auto" w:before="19"/>
        <w:ind w:right="146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spacing w:val="-4"/>
        </w:rPr>
        <w:t>日，武汉长光电源有限公司与中国电子财务有限责任公司签订</w:t>
      </w:r>
    </w:p>
    <w:p>
      <w:pPr>
        <w:pStyle w:val="BodyText"/>
        <w:spacing w:line="247" w:lineRule="auto" w:before="9"/>
        <w:ind w:right="1783"/>
        <w:jc w:val="left"/>
      </w:pPr>
      <w:r>
        <w:rPr>
          <w:spacing w:val="-7"/>
          <w:w w:val="100"/>
        </w:rPr>
        <w:t>《借款合同》，以信用担保方式为获得流动资金借款人民币</w:t>
      </w:r>
      <w:r>
        <w:rPr>
          <w:spacing w:val="-45"/>
          <w:w w:val="100"/>
        </w:rPr>
        <w:t> </w:t>
      </w:r>
      <w:r>
        <w:rPr>
          <w:rFonts w:ascii="Times New Roman" w:hAnsi="Times New Roman" w:cs="Times New Roman" w:eastAsia="Times New Roman" w:hint="default"/>
          <w:spacing w:val="-1"/>
          <w:w w:val="100"/>
        </w:rPr>
        <w:t>500.00</w:t>
      </w:r>
      <w:r>
        <w:rPr>
          <w:rFonts w:ascii="Times New Roman" w:hAnsi="Times New Roman" w:cs="Times New Roman" w:eastAsia="Times New Roman" w:hint="default"/>
          <w:spacing w:val="6"/>
          <w:w w:val="100"/>
        </w:rPr>
        <w:t> </w:t>
      </w:r>
      <w:r>
        <w:rPr>
          <w:spacing w:val="-6"/>
          <w:w w:val="100"/>
        </w:rPr>
        <w:t>万元，期限</w:t>
      </w:r>
      <w:r>
        <w:rPr>
          <w:spacing w:val="-103"/>
          <w:w w:val="100"/>
        </w:rPr>
        <w:t> </w:t>
      </w:r>
      <w:r>
        <w:rPr>
          <w:spacing w:val="-103"/>
          <w:w w:val="100"/>
        </w:rPr>
      </w:r>
      <w:r>
        <w:rPr/>
        <w:t>九个月；</w:t>
      </w:r>
    </w:p>
    <w:p>
      <w:pPr>
        <w:pStyle w:val="BodyText"/>
        <w:spacing w:line="240" w:lineRule="auto" w:before="19"/>
        <w:ind w:right="146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spacing w:val="-4"/>
        </w:rPr>
        <w:t>日，武汉长光电源有限公司与中国电子财务有限责任公司签订</w:t>
      </w:r>
    </w:p>
    <w:p>
      <w:pPr>
        <w:pStyle w:val="BodyText"/>
        <w:spacing w:line="247" w:lineRule="auto" w:before="9"/>
        <w:ind w:right="1783"/>
        <w:jc w:val="left"/>
      </w:pPr>
      <w:r>
        <w:rPr>
          <w:spacing w:val="-7"/>
          <w:w w:val="100"/>
        </w:rPr>
        <w:t>《借款合同》，以信用担保方式为获得流动资金借款人民币</w:t>
      </w:r>
      <w:r>
        <w:rPr>
          <w:spacing w:val="-45"/>
          <w:w w:val="100"/>
        </w:rPr>
        <w:t> </w:t>
      </w:r>
      <w:r>
        <w:rPr>
          <w:rFonts w:ascii="Times New Roman" w:hAnsi="Times New Roman" w:cs="Times New Roman" w:eastAsia="Times New Roman" w:hint="default"/>
          <w:spacing w:val="-1"/>
          <w:w w:val="100"/>
        </w:rPr>
        <w:t>500.00</w:t>
      </w:r>
      <w:r>
        <w:rPr>
          <w:rFonts w:ascii="Times New Roman" w:hAnsi="Times New Roman" w:cs="Times New Roman" w:eastAsia="Times New Roman" w:hint="default"/>
          <w:spacing w:val="6"/>
          <w:w w:val="100"/>
        </w:rPr>
        <w:t> </w:t>
      </w:r>
      <w:r>
        <w:rPr>
          <w:spacing w:val="-6"/>
          <w:w w:val="100"/>
        </w:rPr>
        <w:t>万元，期限</w:t>
      </w:r>
      <w:r>
        <w:rPr>
          <w:spacing w:val="-103"/>
          <w:w w:val="100"/>
        </w:rPr>
        <w:t> </w:t>
      </w:r>
      <w:r>
        <w:rPr>
          <w:spacing w:val="-103"/>
          <w:w w:val="100"/>
        </w:rPr>
      </w:r>
      <w:r>
        <w:rPr/>
        <w:t>九个月；</w:t>
      </w:r>
    </w:p>
    <w:p>
      <w:pPr>
        <w:pStyle w:val="BodyText"/>
        <w:spacing w:line="240" w:lineRule="auto" w:before="19"/>
        <w:ind w:right="146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日，武汉长光电源有限公司与中国电子财务有限责任公司签</w:t>
      </w:r>
    </w:p>
    <w:p>
      <w:pPr>
        <w:pStyle w:val="BodyText"/>
        <w:spacing w:line="247" w:lineRule="auto" w:before="9"/>
        <w:ind w:right="1786"/>
        <w:jc w:val="left"/>
      </w:pPr>
      <w:r>
        <w:rPr>
          <w:spacing w:val="-7"/>
          <w:w w:val="100"/>
        </w:rPr>
        <w:t>订《借款合同》，以信用担保方式为获得流动资金借款人民币</w:t>
      </w:r>
      <w:r>
        <w:rPr>
          <w:spacing w:val="-47"/>
          <w:w w:val="100"/>
        </w:rPr>
        <w:t> </w:t>
      </w:r>
      <w:r>
        <w:rPr>
          <w:rFonts w:ascii="Times New Roman" w:hAnsi="Times New Roman" w:cs="Times New Roman" w:eastAsia="Times New Roman" w:hint="default"/>
          <w:spacing w:val="-1"/>
          <w:w w:val="100"/>
        </w:rPr>
        <w:t>600.00</w:t>
      </w:r>
      <w:r>
        <w:rPr>
          <w:rFonts w:ascii="Times New Roman" w:hAnsi="Times New Roman" w:cs="Times New Roman" w:eastAsia="Times New Roman" w:hint="default"/>
          <w:spacing w:val="6"/>
          <w:w w:val="100"/>
        </w:rPr>
        <w:t> </w:t>
      </w:r>
      <w:r>
        <w:rPr>
          <w:spacing w:val="-6"/>
          <w:w w:val="100"/>
        </w:rPr>
        <w:t>万元，期</w:t>
      </w:r>
      <w:r>
        <w:rPr>
          <w:spacing w:val="-104"/>
          <w:w w:val="100"/>
        </w:rPr>
        <w:t> </w:t>
      </w:r>
      <w:r>
        <w:rPr>
          <w:spacing w:val="-104"/>
          <w:w w:val="100"/>
        </w:rPr>
      </w:r>
      <w:r>
        <w:rPr/>
        <w:t>限一年；</w:t>
      </w:r>
    </w:p>
    <w:p>
      <w:pPr>
        <w:spacing w:after="0" w:line="247" w:lineRule="auto"/>
        <w:jc w:val="left"/>
        <w:sectPr>
          <w:footerReference w:type="default" r:id="rId73"/>
          <w:pgSz w:w="11910" w:h="16840"/>
          <w:pgMar w:footer="997" w:header="753" w:top="1500" w:bottom="1180" w:left="1660" w:right="0"/>
          <w:pgNumType w:start="110"/>
        </w:sectPr>
      </w:pPr>
    </w:p>
    <w:p>
      <w:pPr>
        <w:spacing w:line="240" w:lineRule="auto" w:before="5"/>
        <w:rPr>
          <w:rFonts w:ascii="宋体" w:hAnsi="宋体" w:cs="宋体" w:eastAsia="宋体" w:hint="default"/>
          <w:sz w:val="15"/>
          <w:szCs w:val="15"/>
        </w:rPr>
      </w:pPr>
    </w:p>
    <w:p>
      <w:pPr>
        <w:pStyle w:val="BodyText"/>
        <w:spacing w:line="240" w:lineRule="auto"/>
        <w:ind w:right="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日，武汉长光电源有限公司与中国电子财务有限责任公司签</w:t>
      </w:r>
    </w:p>
    <w:p>
      <w:pPr>
        <w:pStyle w:val="BodyText"/>
        <w:spacing w:line="247" w:lineRule="auto" w:before="9"/>
        <w:ind w:right="1788"/>
        <w:jc w:val="both"/>
      </w:pPr>
      <w:r>
        <w:rPr>
          <w:spacing w:val="-7"/>
          <w:w w:val="100"/>
        </w:rPr>
        <w:t>订《借款合同》，以信用担保方式为获得流动资金借款人民币</w:t>
      </w:r>
      <w:r>
        <w:rPr>
          <w:spacing w:val="-47"/>
          <w:w w:val="100"/>
        </w:rPr>
        <w:t> </w:t>
      </w:r>
      <w:r>
        <w:rPr>
          <w:rFonts w:ascii="Times New Roman" w:hAnsi="Times New Roman" w:cs="Times New Roman" w:eastAsia="Times New Roman" w:hint="default"/>
          <w:spacing w:val="-1"/>
          <w:w w:val="100"/>
        </w:rPr>
        <w:t>500.00</w:t>
      </w:r>
      <w:r>
        <w:rPr>
          <w:rFonts w:ascii="Times New Roman" w:hAnsi="Times New Roman" w:cs="Times New Roman" w:eastAsia="Times New Roman" w:hint="default"/>
          <w:spacing w:val="6"/>
          <w:w w:val="100"/>
        </w:rPr>
        <w:t> </w:t>
      </w:r>
      <w:r>
        <w:rPr>
          <w:spacing w:val="-6"/>
          <w:w w:val="100"/>
        </w:rPr>
        <w:t>万元，期</w:t>
      </w:r>
      <w:r>
        <w:rPr>
          <w:spacing w:val="-104"/>
          <w:w w:val="100"/>
        </w:rPr>
        <w:t> </w:t>
      </w:r>
      <w:r>
        <w:rPr>
          <w:spacing w:val="-104"/>
          <w:w w:val="100"/>
        </w:rPr>
      </w:r>
      <w:r>
        <w:rPr/>
        <w:t>限一年；</w:t>
      </w:r>
    </w:p>
    <w:p>
      <w:pPr>
        <w:pStyle w:val="BodyText"/>
        <w:spacing w:line="254" w:lineRule="auto" w:before="19"/>
        <w:ind w:right="1786"/>
        <w:jc w:val="both"/>
      </w:pPr>
      <w:r>
        <w:rPr/>
        <w:t>根据编号</w:t>
      </w:r>
      <w:r>
        <w:rPr>
          <w:spacing w:val="-51"/>
        </w:rPr>
        <w:t> </w:t>
      </w:r>
      <w:r>
        <w:rPr>
          <w:rFonts w:ascii="Times New Roman" w:hAnsi="Times New Roman" w:cs="Times New Roman" w:eastAsia="Times New Roman" w:hint="default"/>
        </w:rPr>
        <w:t>CECF</w:t>
      </w:r>
      <w:r>
        <w:rPr>
          <w:rFonts w:ascii="Times New Roman" w:hAnsi="Times New Roman" w:cs="Times New Roman" w:eastAsia="Times New Roman" w:hint="default"/>
          <w:spacing w:val="2"/>
        </w:rPr>
        <w:t> </w:t>
      </w:r>
      <w:r>
        <w:rPr>
          <w:spacing w:val="-3"/>
        </w:rPr>
        <w:t>综信（</w:t>
      </w:r>
      <w:r>
        <w:rPr>
          <w:rFonts w:ascii="Times New Roman" w:hAnsi="Times New Roman" w:cs="Times New Roman" w:eastAsia="Times New Roman" w:hint="default"/>
          <w:spacing w:val="-3"/>
        </w:rPr>
        <w:t>2019</w:t>
      </w:r>
      <w:r>
        <w:rPr>
          <w:spacing w:val="-3"/>
        </w:rPr>
        <w:t>）年第</w:t>
      </w:r>
      <w:r>
        <w:rPr>
          <w:spacing w:val="-49"/>
        </w:rPr>
        <w:t> </w:t>
      </w:r>
      <w:r>
        <w:rPr>
          <w:rFonts w:ascii="Times New Roman" w:hAnsi="Times New Roman" w:cs="Times New Roman" w:eastAsia="Times New Roman" w:hint="default"/>
        </w:rPr>
        <w:t>66</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担保第</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号，上述借款共计</w:t>
      </w:r>
      <w:r>
        <w:rPr>
          <w:spacing w:val="-48"/>
        </w:rPr>
        <w:t> </w:t>
      </w:r>
      <w:r>
        <w:rPr>
          <w:rFonts w:ascii="Times New Roman" w:hAnsi="Times New Roman" w:cs="Times New Roman" w:eastAsia="Times New Roman" w:hint="default"/>
        </w:rPr>
        <w:t>5,400.00</w:t>
      </w:r>
      <w:r>
        <w:rPr>
          <w:rFonts w:ascii="Times New Roman" w:hAnsi="Times New Roman" w:cs="Times New Roman" w:eastAsia="Times New Roman" w:hint="default"/>
          <w:w w:val="100"/>
        </w:rPr>
        <w:t> </w:t>
      </w:r>
      <w:r>
        <w:rPr>
          <w:spacing w:val="-5"/>
          <w:w w:val="100"/>
        </w:rPr>
        <w:t>万元由武汉中原电子集团有限公司提供连带责任保证，保证期间为债务履行期</w:t>
      </w:r>
      <w:r>
        <w:rPr>
          <w:spacing w:val="-85"/>
          <w:w w:val="100"/>
        </w:rPr>
        <w:t> </w:t>
      </w:r>
      <w:r>
        <w:rPr>
          <w:spacing w:val="-85"/>
          <w:w w:val="100"/>
        </w:rPr>
      </w:r>
      <w:r>
        <w:rPr/>
        <w:t>限届满之日起两年。截至</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日，武汉长光电源有限公司该项贷</w:t>
      </w:r>
    </w:p>
    <w:p>
      <w:pPr>
        <w:pStyle w:val="BodyText"/>
        <w:spacing w:line="286" w:lineRule="exact" w:before="0"/>
        <w:ind w:right="0"/>
        <w:jc w:val="both"/>
      </w:pPr>
      <w:r>
        <w:rPr/>
        <w:t>款余额为</w:t>
      </w:r>
      <w:r>
        <w:rPr>
          <w:spacing w:val="-54"/>
        </w:rPr>
        <w:t> </w:t>
      </w:r>
      <w:r>
        <w:rPr>
          <w:rFonts w:ascii="Times New Roman" w:hAnsi="Times New Roman" w:cs="Times New Roman" w:eastAsia="Times New Roman" w:hint="default"/>
        </w:rPr>
        <w:t>5,400.00</w:t>
      </w:r>
      <w:r>
        <w:rPr>
          <w:rFonts w:ascii="Times New Roman" w:hAnsi="Times New Roman" w:cs="Times New Roman" w:eastAsia="Times New Roman" w:hint="default"/>
          <w:spacing w:val="-2"/>
        </w:rPr>
        <w:t> </w:t>
      </w:r>
      <w:r>
        <w:rPr/>
        <w:t>万元，担保责任未履行完毕。</w:t>
      </w:r>
    </w:p>
    <w:p>
      <w:pPr>
        <w:pStyle w:val="BodyText"/>
        <w:spacing w:line="240" w:lineRule="auto" w:before="9"/>
        <w:ind w:right="0"/>
        <w:jc w:val="both"/>
      </w:pPr>
      <w:r>
        <w:rPr>
          <w:rFonts w:ascii="Times New Roman" w:hAnsi="Times New Roman" w:cs="Times New Roman" w:eastAsia="Times New Roman" w:hint="default"/>
          <w:spacing w:val="-4"/>
        </w:rPr>
        <w:t>13</w:t>
      </w:r>
      <w:r>
        <w:rPr>
          <w:spacing w:val="-4"/>
        </w:rPr>
        <w:t>、</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0"/>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spacing w:val="-3"/>
        </w:rPr>
        <w:t>日，武汉中原电子信息有限公司与中国电子财务有限责任</w:t>
      </w:r>
    </w:p>
    <w:p>
      <w:pPr>
        <w:pStyle w:val="BodyText"/>
        <w:spacing w:line="240" w:lineRule="auto" w:before="9"/>
        <w:ind w:right="0"/>
        <w:jc w:val="both"/>
      </w:pPr>
      <w:r>
        <w:rPr>
          <w:spacing w:val="-4"/>
        </w:rPr>
        <w:t>公司签订开立银行承兑汇票业务协定书，开出银行承兑汇票 </w:t>
      </w:r>
      <w:r>
        <w:rPr>
          <w:rFonts w:ascii="Times New Roman" w:hAnsi="Times New Roman" w:cs="Times New Roman" w:eastAsia="Times New Roman" w:hint="default"/>
        </w:rPr>
        <w:t>3,837.00</w:t>
      </w:r>
      <w:r>
        <w:rPr>
          <w:rFonts w:ascii="Times New Roman" w:hAnsi="Times New Roman" w:cs="Times New Roman" w:eastAsia="Times New Roman" w:hint="default"/>
          <w:spacing w:val="3"/>
        </w:rPr>
        <w:t> </w:t>
      </w:r>
      <w:r>
        <w:rPr>
          <w:spacing w:val="-15"/>
        </w:rPr>
        <w:t>万元、银</w:t>
      </w:r>
    </w:p>
    <w:p>
      <w:pPr>
        <w:pStyle w:val="BodyText"/>
        <w:spacing w:line="254" w:lineRule="auto" w:before="9"/>
        <w:ind w:right="1877"/>
        <w:jc w:val="both"/>
      </w:pPr>
      <w:r>
        <w:rPr/>
        <w:t>行保函</w:t>
      </w:r>
      <w:r>
        <w:rPr>
          <w:spacing w:val="-54"/>
        </w:rPr>
        <w:t> </w:t>
      </w:r>
      <w:r>
        <w:rPr>
          <w:rFonts w:ascii="Times New Roman" w:hAnsi="Times New Roman" w:cs="Times New Roman" w:eastAsia="Times New Roman" w:hint="default"/>
        </w:rPr>
        <w:t>216.00</w:t>
      </w:r>
      <w:r>
        <w:rPr>
          <w:rFonts w:ascii="Times New Roman" w:hAnsi="Times New Roman" w:cs="Times New Roman" w:eastAsia="Times New Roman" w:hint="default"/>
          <w:spacing w:val="-3"/>
        </w:rPr>
        <w:t> </w:t>
      </w:r>
      <w:r>
        <w:rPr/>
        <w:t>万元。根据编号</w:t>
      </w:r>
      <w:r>
        <w:rPr>
          <w:spacing w:val="-56"/>
        </w:rPr>
        <w:t> </w:t>
      </w:r>
      <w:r>
        <w:rPr>
          <w:rFonts w:ascii="Times New Roman" w:hAnsi="Times New Roman" w:cs="Times New Roman" w:eastAsia="Times New Roman" w:hint="default"/>
        </w:rPr>
        <w:t>CECF</w:t>
      </w:r>
      <w:r>
        <w:rPr>
          <w:rFonts w:ascii="Times New Roman" w:hAnsi="Times New Roman" w:cs="Times New Roman" w:eastAsia="Times New Roman" w:hint="default"/>
          <w:spacing w:val="-2"/>
        </w:rPr>
        <w:t> </w:t>
      </w:r>
      <w:r>
        <w:rPr/>
        <w:t>综信（</w:t>
      </w:r>
      <w:r>
        <w:rPr>
          <w:rFonts w:ascii="Times New Roman" w:hAnsi="Times New Roman" w:cs="Times New Roman" w:eastAsia="Times New Roman" w:hint="default"/>
        </w:rPr>
        <w:t>2019</w:t>
      </w:r>
      <w:r>
        <w:rPr/>
        <w:t>）年第</w:t>
      </w:r>
      <w:r>
        <w:rPr>
          <w:spacing w:val="-54"/>
        </w:rPr>
        <w:t> </w:t>
      </w:r>
      <w:r>
        <w:rPr>
          <w:rFonts w:ascii="Times New Roman" w:hAnsi="Times New Roman" w:cs="Times New Roman" w:eastAsia="Times New Roman" w:hint="default"/>
        </w:rPr>
        <w:t>63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担保第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w w:val="100"/>
        </w:rPr>
        <w:t> </w:t>
      </w:r>
      <w:r>
        <w:rPr>
          <w:spacing w:val="-2"/>
        </w:rPr>
        <w:t>武汉中原电子集团有限公司为中国电子财务有限责任公司与武汉中原电子信</w:t>
      </w:r>
      <w:r>
        <w:rPr>
          <w:spacing w:val="-42"/>
        </w:rPr>
        <w:t> </w:t>
      </w:r>
      <w:r>
        <w:rPr>
          <w:spacing w:val="-42"/>
        </w:rPr>
      </w:r>
      <w:r>
        <w:rPr/>
        <w:t>息有限公司公司形成的商业承兑汇票提供最高余额折合人民币</w:t>
      </w:r>
      <w:r>
        <w:rPr>
          <w:spacing w:val="-53"/>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2"/>
        </w:rPr>
        <w:t> </w:t>
      </w:r>
      <w:r>
        <w:rPr/>
        <w:t>万元</w:t>
      </w:r>
    </w:p>
    <w:p>
      <w:pPr>
        <w:pStyle w:val="BodyText"/>
        <w:spacing w:line="286" w:lineRule="exact" w:before="0"/>
        <w:ind w:right="0"/>
        <w:jc w:val="both"/>
        <w:rPr>
          <w:rFonts w:ascii="Times New Roman" w:hAnsi="Times New Roman" w:cs="Times New Roman" w:eastAsia="Times New Roman" w:hint="default"/>
        </w:rPr>
      </w:pPr>
      <w:r>
        <w:rPr/>
        <w:t>的连带责任保证，保证期间为票据到期届满之后两年。截至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240" w:lineRule="auto" w:before="10"/>
        <w:ind w:right="0"/>
        <w:jc w:val="both"/>
      </w:pPr>
      <w:r>
        <w:rPr>
          <w:spacing w:val="-4"/>
        </w:rPr>
        <w:t>日，武汉中原电子信息有限公司公司商业承兑汇票余额为 </w:t>
      </w:r>
      <w:r>
        <w:rPr>
          <w:rFonts w:ascii="Times New Roman" w:hAnsi="Times New Roman" w:cs="Times New Roman" w:eastAsia="Times New Roman" w:hint="default"/>
        </w:rPr>
        <w:t>3,837.00</w:t>
      </w:r>
      <w:r>
        <w:rPr>
          <w:rFonts w:ascii="Times New Roman" w:hAnsi="Times New Roman" w:cs="Times New Roman" w:eastAsia="Times New Roman" w:hint="default"/>
          <w:spacing w:val="1"/>
        </w:rPr>
        <w:t> </w:t>
      </w:r>
      <w:r>
        <w:rPr>
          <w:spacing w:val="-12"/>
        </w:rPr>
        <w:t>万元，票据</w:t>
      </w:r>
    </w:p>
    <w:p>
      <w:pPr>
        <w:pStyle w:val="BodyText"/>
        <w:spacing w:line="240" w:lineRule="auto" w:before="9"/>
        <w:ind w:right="0"/>
        <w:jc w:val="both"/>
      </w:pPr>
      <w:r>
        <w:rPr/>
        <w:t>未到期，担保责任未履行完毕；截至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日，武汉中原电子信息</w:t>
      </w:r>
    </w:p>
    <w:p>
      <w:pPr>
        <w:pStyle w:val="BodyText"/>
        <w:spacing w:line="240" w:lineRule="auto" w:before="9"/>
        <w:ind w:right="0"/>
        <w:jc w:val="both"/>
      </w:pPr>
      <w:r>
        <w:rPr/>
        <w:t>有限公司公司银行保函余额为 </w:t>
      </w:r>
      <w:r>
        <w:rPr>
          <w:rFonts w:ascii="Times New Roman" w:hAnsi="Times New Roman" w:cs="Times New Roman" w:eastAsia="Times New Roman" w:hint="default"/>
        </w:rPr>
        <w:t>216.00</w:t>
      </w:r>
      <w:r>
        <w:rPr>
          <w:rFonts w:ascii="Times New Roman" w:hAnsi="Times New Roman" w:cs="Times New Roman" w:eastAsia="Times New Roman" w:hint="default"/>
          <w:spacing w:val="-18"/>
        </w:rPr>
        <w:t> </w:t>
      </w:r>
      <w:r>
        <w:rPr>
          <w:spacing w:val="-5"/>
        </w:rPr>
        <w:t>万元，尚未到期，担保责任未履行完毕。</w:t>
      </w:r>
    </w:p>
    <w:p>
      <w:pPr>
        <w:pStyle w:val="BodyText"/>
        <w:spacing w:line="240" w:lineRule="auto" w:before="9"/>
        <w:ind w:right="0"/>
        <w:jc w:val="both"/>
      </w:pPr>
      <w:r>
        <w:rPr>
          <w:rFonts w:ascii="Times New Roman" w:hAnsi="Times New Roman" w:cs="Times New Roman" w:eastAsia="Times New Roman" w:hint="default"/>
          <w:spacing w:val="-4"/>
        </w:rPr>
        <w:t>14</w:t>
      </w:r>
      <w:r>
        <w:rPr>
          <w:spacing w:val="-4"/>
        </w:rPr>
        <w:t>、</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0"/>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spacing w:val="-3"/>
        </w:rPr>
        <w:t>日，武汉中元通信股份有限公司与中国电子财务有限责任</w:t>
      </w:r>
    </w:p>
    <w:p>
      <w:pPr>
        <w:pStyle w:val="BodyText"/>
        <w:spacing w:line="252" w:lineRule="auto" w:before="9"/>
        <w:ind w:right="1781"/>
        <w:jc w:val="left"/>
      </w:pPr>
      <w:r>
        <w:rPr/>
        <w:t>公司银行签订开立银行承兑汇票业务协定书，开出银行承兑汇票</w:t>
      </w:r>
      <w:r>
        <w:rPr>
          <w:spacing w:val="-54"/>
        </w:rPr>
        <w:t> </w:t>
      </w:r>
      <w:r>
        <w:rPr>
          <w:rFonts w:ascii="Times New Roman" w:hAnsi="Times New Roman" w:cs="Times New Roman" w:eastAsia="Times New Roman" w:hint="default"/>
        </w:rPr>
        <w:t>20,317.00</w:t>
      </w:r>
      <w:r>
        <w:rPr>
          <w:rFonts w:ascii="Times New Roman" w:hAnsi="Times New Roman" w:cs="Times New Roman" w:eastAsia="Times New Roman" w:hint="default"/>
          <w:spacing w:val="-3"/>
        </w:rPr>
        <w:t> </w:t>
      </w:r>
      <w:r>
        <w:rPr/>
        <w:t>万</w:t>
      </w:r>
      <w:r>
        <w:rPr>
          <w:w w:val="100"/>
        </w:rPr>
        <w:t> </w:t>
      </w:r>
      <w:r>
        <w:rPr>
          <w:spacing w:val="-4"/>
        </w:rPr>
        <w:t>元，根据编号</w:t>
      </w:r>
      <w:r>
        <w:rPr>
          <w:spacing w:val="-49"/>
        </w:rPr>
        <w:t> </w:t>
      </w:r>
      <w:r>
        <w:rPr>
          <w:rFonts w:ascii="Times New Roman" w:hAnsi="Times New Roman" w:cs="Times New Roman" w:eastAsia="Times New Roman" w:hint="default"/>
        </w:rPr>
        <w:t>CECF</w:t>
      </w:r>
      <w:r>
        <w:rPr>
          <w:rFonts w:ascii="Times New Roman" w:hAnsi="Times New Roman" w:cs="Times New Roman" w:eastAsia="Times New Roman" w:hint="default"/>
          <w:spacing w:val="4"/>
        </w:rPr>
        <w:t> </w:t>
      </w:r>
      <w:r>
        <w:rPr>
          <w:spacing w:val="-5"/>
        </w:rPr>
        <w:t>综信（</w:t>
      </w:r>
      <w:r>
        <w:rPr>
          <w:rFonts w:ascii="Times New Roman" w:hAnsi="Times New Roman" w:cs="Times New Roman" w:eastAsia="Times New Roman" w:hint="default"/>
          <w:spacing w:val="-5"/>
        </w:rPr>
        <w:t>2019</w:t>
      </w:r>
      <w:r>
        <w:rPr>
          <w:spacing w:val="-5"/>
        </w:rPr>
        <w:t>）年第</w:t>
      </w:r>
      <w:r>
        <w:rPr>
          <w:spacing w:val="-49"/>
        </w:rPr>
        <w:t> </w:t>
      </w:r>
      <w:r>
        <w:rPr>
          <w:rFonts w:ascii="Times New Roman" w:hAnsi="Times New Roman" w:cs="Times New Roman" w:eastAsia="Times New Roman" w:hint="default"/>
        </w:rPr>
        <w:t>59</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担保第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4"/>
        </w:rPr>
        <w:t>号合同，武汉中原电子</w:t>
      </w:r>
      <w:r>
        <w:rPr>
          <w:spacing w:val="-103"/>
        </w:rPr>
        <w:t> </w:t>
      </w:r>
      <w:r>
        <w:rPr>
          <w:spacing w:val="-103"/>
        </w:rPr>
      </w:r>
      <w:r>
        <w:rPr/>
        <w:t>集团有限公司为中国电子财务有限公司与武汉中元通信股份公司形成的银行</w:t>
      </w:r>
      <w:r>
        <w:rPr>
          <w:w w:val="100"/>
        </w:rPr>
        <w:t> </w:t>
      </w:r>
      <w:r>
        <w:rPr/>
        <w:t>承兑汇票提供最高余额折合人民币</w:t>
      </w:r>
      <w:r>
        <w:rPr>
          <w:spacing w:val="-55"/>
        </w:rPr>
        <w:t> </w:t>
      </w:r>
      <w:r>
        <w:rPr>
          <w:rFonts w:ascii="Times New Roman" w:hAnsi="Times New Roman" w:cs="Times New Roman" w:eastAsia="Times New Roman" w:hint="default"/>
        </w:rPr>
        <w:t>31,000.00</w:t>
      </w:r>
      <w:r>
        <w:rPr>
          <w:rFonts w:ascii="Times New Roman" w:hAnsi="Times New Roman" w:cs="Times New Roman" w:eastAsia="Times New Roman" w:hint="default"/>
          <w:spacing w:val="-4"/>
        </w:rPr>
        <w:t> </w:t>
      </w:r>
      <w:r>
        <w:rPr/>
        <w:t>万元的连带责任保证，保证期间</w:t>
      </w:r>
    </w:p>
    <w:p>
      <w:pPr>
        <w:pStyle w:val="BodyText"/>
        <w:spacing w:line="288" w:lineRule="exact" w:before="0"/>
        <w:ind w:right="0"/>
        <w:jc w:val="both"/>
      </w:pPr>
      <w:r>
        <w:rPr/>
        <w:t>为票据到期届满之后两年。截至</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日，武汉中元通信股份有限</w:t>
      </w:r>
    </w:p>
    <w:p>
      <w:pPr>
        <w:pStyle w:val="BodyText"/>
        <w:spacing w:line="240" w:lineRule="auto" w:before="9"/>
        <w:ind w:right="0"/>
        <w:jc w:val="both"/>
      </w:pPr>
      <w:r>
        <w:rPr/>
        <w:t>公司银行承兑汇票余额为 </w:t>
      </w:r>
      <w:r>
        <w:rPr>
          <w:rFonts w:ascii="Times New Roman" w:hAnsi="Times New Roman" w:cs="Times New Roman" w:eastAsia="Times New Roman" w:hint="default"/>
        </w:rPr>
        <w:t>20,317.00</w:t>
      </w:r>
      <w:r>
        <w:rPr>
          <w:rFonts w:ascii="Times New Roman" w:hAnsi="Times New Roman" w:cs="Times New Roman" w:eastAsia="Times New Roman" w:hint="default"/>
          <w:spacing w:val="-30"/>
        </w:rPr>
        <w:t> </w:t>
      </w:r>
      <w:r>
        <w:rPr>
          <w:spacing w:val="-7"/>
        </w:rPr>
        <w:t>万元，票据未到期，担保责任未履行完毕。</w:t>
      </w:r>
    </w:p>
    <w:p>
      <w:pPr>
        <w:pStyle w:val="BodyText"/>
        <w:spacing w:line="254" w:lineRule="auto" w:before="9"/>
        <w:ind w:right="1786"/>
        <w:jc w:val="both"/>
      </w:pPr>
      <w:r>
        <w:rPr>
          <w:rFonts w:ascii="Times New Roman" w:hAnsi="Times New Roman" w:cs="Times New Roman" w:eastAsia="Times New Roman" w:hint="default"/>
        </w:rPr>
        <w:t>15</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spacing w:val="-4"/>
        </w:rPr>
        <w:t>11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日，根据编号</w:t>
      </w:r>
      <w:r>
        <w:rPr>
          <w:spacing w:val="-54"/>
        </w:rPr>
        <w:t> </w:t>
      </w:r>
      <w:r>
        <w:rPr>
          <w:rFonts w:ascii="Times New Roman" w:hAnsi="Times New Roman" w:cs="Times New Roman" w:eastAsia="Times New Roman" w:hint="default"/>
        </w:rPr>
        <w:t>CECF</w:t>
      </w:r>
      <w:r>
        <w:rPr>
          <w:rFonts w:ascii="Times New Roman" w:hAnsi="Times New Roman" w:cs="Times New Roman" w:eastAsia="Times New Roman" w:hint="default"/>
          <w:spacing w:val="-1"/>
        </w:rPr>
        <w:t> </w:t>
      </w:r>
      <w:r>
        <w:rPr/>
        <w:t>综信（</w:t>
      </w:r>
      <w:r>
        <w:rPr>
          <w:rFonts w:ascii="Times New Roman" w:hAnsi="Times New Roman" w:cs="Times New Roman" w:eastAsia="Times New Roman" w:hint="default"/>
        </w:rPr>
        <w:t>2019</w:t>
      </w:r>
      <w:r>
        <w:rPr/>
        <w:t>）年第</w:t>
      </w:r>
      <w:r>
        <w:rPr>
          <w:spacing w:val="-56"/>
        </w:rPr>
        <w:t> </w:t>
      </w:r>
      <w:r>
        <w:rPr>
          <w:rFonts w:ascii="Times New Roman" w:hAnsi="Times New Roman" w:cs="Times New Roman" w:eastAsia="Times New Roman" w:hint="default"/>
        </w:rPr>
        <w:t>65</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担保第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w w:val="100"/>
        </w:rPr>
        <w:t> </w:t>
      </w:r>
      <w:r>
        <w:rPr>
          <w:spacing w:val="-5"/>
          <w:w w:val="100"/>
        </w:rPr>
        <w:t>合同，武汉中原电子集团有限公司为中国电子财务有限公司与武汉中原长江科</w:t>
      </w:r>
      <w:r>
        <w:rPr>
          <w:spacing w:val="-84"/>
          <w:w w:val="100"/>
        </w:rPr>
        <w:t> </w:t>
      </w:r>
      <w:r>
        <w:rPr>
          <w:spacing w:val="-84"/>
          <w:w w:val="100"/>
        </w:rPr>
      </w:r>
      <w:r>
        <w:rPr/>
        <w:t>技发展有限公司形成的银行承兑汇票提供最高余额折合人民币</w:t>
      </w:r>
      <w:r>
        <w:rPr>
          <w:spacing w:val="-53"/>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2"/>
        </w:rPr>
        <w:t> </w:t>
      </w:r>
      <w:r>
        <w:rPr/>
        <w:t>万元</w:t>
      </w:r>
    </w:p>
    <w:p>
      <w:pPr>
        <w:pStyle w:val="BodyText"/>
        <w:spacing w:line="286" w:lineRule="exact" w:before="0"/>
        <w:ind w:right="0"/>
        <w:jc w:val="both"/>
        <w:rPr>
          <w:rFonts w:ascii="Times New Roman" w:hAnsi="Times New Roman" w:cs="Times New Roman" w:eastAsia="Times New Roman" w:hint="default"/>
        </w:rPr>
      </w:pPr>
      <w:r>
        <w:rPr/>
        <w:t>的连带责任保证，保证期间为票据到期届满之后两年。截至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240" w:lineRule="auto" w:before="9"/>
        <w:ind w:right="0"/>
        <w:jc w:val="both"/>
      </w:pPr>
      <w:r>
        <w:rPr/>
        <w:t>日，暂未使用该额度。</w:t>
      </w:r>
    </w:p>
    <w:p>
      <w:pPr>
        <w:spacing w:line="240" w:lineRule="auto" w:before="0"/>
        <w:rPr>
          <w:rFonts w:ascii="宋体" w:hAnsi="宋体" w:cs="宋体" w:eastAsia="宋体" w:hint="default"/>
          <w:sz w:val="20"/>
          <w:szCs w:val="20"/>
        </w:rPr>
      </w:pPr>
    </w:p>
    <w:p>
      <w:pPr>
        <w:pStyle w:val="Heading5"/>
        <w:tabs>
          <w:tab w:pos="1397" w:val="left" w:leader="none"/>
        </w:tabs>
        <w:spacing w:line="240" w:lineRule="auto" w:before="150"/>
        <w:ind w:left="846" w:right="3683"/>
        <w:jc w:val="left"/>
        <w:rPr>
          <w:b w:val="0"/>
          <w:bCs w:val="0"/>
        </w:rPr>
      </w:pPr>
      <w:r>
        <w:rPr>
          <w:rFonts w:ascii="Times New Roman" w:hAnsi="Times New Roman" w:cs="Times New Roman" w:eastAsia="Times New Roman" w:hint="default"/>
        </w:rPr>
        <w:t>5</w:t>
      </w:r>
      <w:r>
        <w:rPr/>
        <w:t>、</w:t>
        <w:tab/>
        <w:t>关联方资金拆借</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496"/>
        <w:gridCol w:w="1135"/>
        <w:gridCol w:w="1265"/>
        <w:gridCol w:w="963"/>
        <w:gridCol w:w="3346"/>
      </w:tblGrid>
      <w:tr>
        <w:trPr>
          <w:trHeight w:val="283" w:hRule="exact"/>
        </w:trPr>
        <w:tc>
          <w:tcPr>
            <w:tcW w:w="149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513" w:right="0"/>
              <w:jc w:val="left"/>
              <w:rPr>
                <w:rFonts w:ascii="宋体" w:hAnsi="宋体" w:cs="宋体" w:eastAsia="宋体" w:hint="default"/>
                <w:sz w:val="16"/>
                <w:szCs w:val="16"/>
              </w:rPr>
            </w:pPr>
            <w:r>
              <w:rPr>
                <w:rFonts w:ascii="宋体" w:hAnsi="宋体" w:cs="宋体" w:eastAsia="宋体" w:hint="default"/>
                <w:sz w:val="16"/>
                <w:szCs w:val="16"/>
              </w:rPr>
              <w:t>关联方</w:t>
            </w:r>
          </w:p>
        </w:tc>
        <w:tc>
          <w:tcPr>
            <w:tcW w:w="11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拆借金额</w:t>
            </w:r>
          </w:p>
        </w:tc>
        <w:tc>
          <w:tcPr>
            <w:tcW w:w="12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起始日</w:t>
            </w:r>
          </w:p>
        </w:tc>
        <w:tc>
          <w:tcPr>
            <w:tcW w:w="9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到期日</w:t>
            </w:r>
          </w:p>
        </w:tc>
        <w:tc>
          <w:tcPr>
            <w:tcW w:w="33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说明</w:t>
            </w:r>
          </w:p>
        </w:tc>
      </w:tr>
      <w:tr>
        <w:trPr>
          <w:trHeight w:val="274" w:hRule="exact"/>
        </w:trPr>
        <w:tc>
          <w:tcPr>
            <w:tcW w:w="14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拆入</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963" w:type="dxa"/>
            <w:tcBorders>
              <w:top w:val="dotted" w:sz="4" w:space="0" w:color="000000"/>
              <w:left w:val="dotted" w:sz="4" w:space="0" w:color="000000"/>
              <w:bottom w:val="dotted" w:sz="4" w:space="0" w:color="000000"/>
              <w:right w:val="dotted" w:sz="4" w:space="0" w:color="000000"/>
            </w:tcBorders>
          </w:tcPr>
          <w:p>
            <w:pPr/>
          </w:p>
        </w:tc>
        <w:tc>
          <w:tcPr>
            <w:tcW w:w="3346" w:type="dxa"/>
            <w:tcBorders>
              <w:top w:val="dotted" w:sz="4" w:space="0" w:color="000000"/>
              <w:left w:val="dotted" w:sz="4" w:space="0" w:color="000000"/>
              <w:bottom w:val="dotted" w:sz="4" w:space="0" w:color="000000"/>
              <w:right w:val="nil" w:sz="6" w:space="0" w:color="auto"/>
            </w:tcBorders>
          </w:tcPr>
          <w:p>
            <w:pPr/>
          </w:p>
        </w:tc>
      </w:tr>
      <w:tr>
        <w:trPr>
          <w:trHeight w:val="1104" w:hRule="exact"/>
        </w:trPr>
        <w:tc>
          <w:tcPr>
            <w:tcW w:w="149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06" w:lineRule="exact" w:before="127"/>
              <w:ind w:left="122" w:right="100"/>
              <w:jc w:val="left"/>
              <w:rPr>
                <w:rFonts w:ascii="宋体" w:hAnsi="宋体" w:cs="宋体" w:eastAsia="宋体" w:hint="default"/>
                <w:sz w:val="16"/>
                <w:szCs w:val="16"/>
              </w:rPr>
            </w:pPr>
            <w:r>
              <w:rPr>
                <w:rFonts w:ascii="宋体" w:hAnsi="宋体" w:cs="宋体" w:eastAsia="宋体" w:hint="default"/>
                <w:sz w:val="16"/>
                <w:szCs w:val="16"/>
              </w:rPr>
              <w:t>中</w:t>
            </w:r>
            <w:r>
              <w:rPr>
                <w:rFonts w:ascii="宋体" w:hAnsi="宋体" w:cs="宋体" w:eastAsia="宋体" w:hint="default"/>
                <w:spacing w:val="-57"/>
                <w:sz w:val="16"/>
                <w:szCs w:val="16"/>
              </w:rPr>
              <w:t> </w:t>
            </w:r>
            <w:r>
              <w:rPr>
                <w:rFonts w:ascii="宋体" w:hAnsi="宋体" w:cs="宋体" w:eastAsia="宋体" w:hint="default"/>
                <w:sz w:val="16"/>
                <w:szCs w:val="16"/>
              </w:rPr>
              <w:t>国</w:t>
            </w:r>
            <w:r>
              <w:rPr>
                <w:rFonts w:ascii="宋体" w:hAnsi="宋体" w:cs="宋体" w:eastAsia="宋体" w:hint="default"/>
                <w:spacing w:val="-57"/>
                <w:sz w:val="16"/>
                <w:szCs w:val="16"/>
              </w:rPr>
              <w:t> </w:t>
            </w:r>
            <w:r>
              <w:rPr>
                <w:rFonts w:ascii="宋体" w:hAnsi="宋体" w:cs="宋体" w:eastAsia="宋体" w:hint="default"/>
                <w:sz w:val="16"/>
                <w:szCs w:val="16"/>
              </w:rPr>
              <w:t>电</w:t>
            </w:r>
            <w:r>
              <w:rPr>
                <w:rFonts w:ascii="宋体" w:hAnsi="宋体" w:cs="宋体" w:eastAsia="宋体" w:hint="default"/>
                <w:spacing w:val="-57"/>
                <w:sz w:val="16"/>
                <w:szCs w:val="16"/>
              </w:rPr>
              <w:t> </w:t>
            </w:r>
            <w:r>
              <w:rPr>
                <w:rFonts w:ascii="宋体" w:hAnsi="宋体" w:cs="宋体" w:eastAsia="宋体" w:hint="default"/>
                <w:sz w:val="16"/>
                <w:szCs w:val="16"/>
              </w:rPr>
              <w:t>子</w:t>
            </w:r>
            <w:r>
              <w:rPr>
                <w:rFonts w:ascii="宋体" w:hAnsi="宋体" w:cs="宋体" w:eastAsia="宋体" w:hint="default"/>
                <w:spacing w:val="-59"/>
                <w:sz w:val="16"/>
                <w:szCs w:val="16"/>
              </w:rPr>
              <w:t> </w:t>
            </w:r>
            <w:r>
              <w:rPr>
                <w:rFonts w:ascii="宋体" w:hAnsi="宋体" w:cs="宋体" w:eastAsia="宋体" w:hint="default"/>
                <w:sz w:val="16"/>
                <w:szCs w:val="16"/>
              </w:rPr>
              <w:t>信</w:t>
            </w:r>
            <w:r>
              <w:rPr>
                <w:rFonts w:ascii="宋体" w:hAnsi="宋体" w:cs="宋体" w:eastAsia="宋体" w:hint="default"/>
                <w:spacing w:val="-57"/>
                <w:sz w:val="16"/>
                <w:szCs w:val="16"/>
              </w:rPr>
              <w:t> </w:t>
            </w:r>
            <w:r>
              <w:rPr>
                <w:rFonts w:ascii="宋体" w:hAnsi="宋体" w:cs="宋体" w:eastAsia="宋体" w:hint="default"/>
                <w:sz w:val="16"/>
                <w:szCs w:val="16"/>
              </w:rPr>
              <w:t>息</w:t>
            </w:r>
            <w:r>
              <w:rPr>
                <w:rFonts w:ascii="宋体" w:hAnsi="宋体" w:cs="宋体" w:eastAsia="宋体" w:hint="default"/>
                <w:spacing w:val="-57"/>
                <w:sz w:val="16"/>
                <w:szCs w:val="16"/>
              </w:rPr>
              <w:t> </w:t>
            </w:r>
            <w:r>
              <w:rPr>
                <w:rFonts w:ascii="宋体" w:hAnsi="宋体" w:cs="宋体" w:eastAsia="宋体" w:hint="default"/>
                <w:sz w:val="16"/>
                <w:szCs w:val="16"/>
              </w:rPr>
              <w:t>产</w:t>
            </w:r>
            <w:r>
              <w:rPr>
                <w:rFonts w:ascii="宋体" w:hAnsi="宋体" w:cs="宋体" w:eastAsia="宋体" w:hint="default"/>
                <w:w w:val="100"/>
                <w:sz w:val="16"/>
                <w:szCs w:val="16"/>
              </w:rPr>
              <w:t> </w:t>
            </w:r>
            <w:r>
              <w:rPr>
                <w:rFonts w:ascii="宋体" w:hAnsi="宋体" w:cs="宋体" w:eastAsia="宋体" w:hint="default"/>
                <w:sz w:val="16"/>
                <w:szCs w:val="16"/>
              </w:rPr>
              <w:t>业集团有限公司</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sz w:val="16"/>
              </w:rPr>
              <w:t>94,000,000.00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2017-3-31</w:t>
            </w:r>
          </w:p>
        </w:tc>
        <w:tc>
          <w:tcPr>
            <w:tcW w:w="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2028-8-3</w:t>
            </w:r>
          </w:p>
        </w:tc>
        <w:tc>
          <w:tcPr>
            <w:tcW w:w="3346" w:type="dxa"/>
            <w:tcBorders>
              <w:top w:val="dotted" w:sz="4" w:space="0" w:color="000000"/>
              <w:left w:val="dotted" w:sz="4" w:space="0" w:color="000000"/>
              <w:bottom w:val="dotted" w:sz="4" w:space="0" w:color="000000"/>
              <w:right w:val="nil" w:sz="6" w:space="0" w:color="auto"/>
            </w:tcBorders>
          </w:tcPr>
          <w:p>
            <w:pPr>
              <w:pStyle w:val="TableParagraph"/>
              <w:spacing w:line="230" w:lineRule="auto" w:before="10"/>
              <w:ind w:left="103" w:right="10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27</w:t>
            </w:r>
            <w:r>
              <w:rPr>
                <w:rFonts w:ascii="Times New Roman" w:hAnsi="Times New Roman" w:cs="Times New Roman" w:eastAsia="Times New Roman" w:hint="default"/>
                <w:spacing w:val="4"/>
                <w:sz w:val="16"/>
                <w:szCs w:val="16"/>
              </w:rPr>
              <w:t> </w:t>
            </w:r>
            <w:r>
              <w:rPr>
                <w:rFonts w:ascii="宋体" w:hAnsi="宋体" w:cs="宋体" w:eastAsia="宋体" w:hint="default"/>
                <w:spacing w:val="-4"/>
                <w:sz w:val="16"/>
                <w:szCs w:val="16"/>
              </w:rPr>
              <w:t>日，本公司与中国电子信息产</w:t>
            </w:r>
            <w:r>
              <w:rPr>
                <w:rFonts w:ascii="宋体" w:hAnsi="宋体" w:cs="宋体" w:eastAsia="宋体" w:hint="default"/>
                <w:w w:val="100"/>
                <w:sz w:val="16"/>
                <w:szCs w:val="16"/>
              </w:rPr>
              <w:t> </w:t>
            </w:r>
            <w:r>
              <w:rPr>
                <w:rFonts w:ascii="宋体" w:hAnsi="宋体" w:cs="宋体" w:eastAsia="宋体" w:hint="default"/>
                <w:spacing w:val="-5"/>
                <w:w w:val="100"/>
                <w:sz w:val="16"/>
                <w:szCs w:val="16"/>
              </w:rPr>
              <w:t>业集团有限公司签订专项资金借款协议，借款</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金额</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 </w:t>
            </w:r>
            <w:r>
              <w:rPr>
                <w:rFonts w:ascii="宋体" w:hAnsi="宋体" w:cs="宋体" w:eastAsia="宋体" w:hint="default"/>
                <w:spacing w:val="-6"/>
                <w:sz w:val="16"/>
                <w:szCs w:val="16"/>
              </w:rPr>
              <w:t>亿元。</w:t>
            </w:r>
            <w:r>
              <w:rPr>
                <w:rFonts w:ascii="Times New Roman" w:hAnsi="Times New Roman" w:cs="Times New Roman" w:eastAsia="Times New Roman" w:hint="default"/>
                <w:spacing w:val="-6"/>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年本公司偿还</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6,000,000.00</w:t>
            </w:r>
          </w:p>
          <w:p>
            <w:pPr>
              <w:pStyle w:val="TableParagraph"/>
              <w:spacing w:line="201" w:lineRule="exact"/>
              <w:ind w:left="103" w:right="0"/>
              <w:jc w:val="both"/>
              <w:rPr>
                <w:rFonts w:ascii="宋体" w:hAnsi="宋体" w:cs="宋体" w:eastAsia="宋体" w:hint="default"/>
                <w:sz w:val="16"/>
                <w:szCs w:val="16"/>
              </w:rPr>
            </w:pPr>
            <w:r>
              <w:rPr>
                <w:rFonts w:ascii="宋体" w:hAnsi="宋体" w:cs="宋体" w:eastAsia="宋体" w:hint="default"/>
                <w:w w:val="100"/>
                <w:sz w:val="16"/>
                <w:szCs w:val="16"/>
              </w:rPr>
              <w:t>元</w:t>
            </w:r>
            <w:r>
              <w:rPr>
                <w:rFonts w:ascii="宋体" w:hAnsi="宋体" w:cs="宋体" w:eastAsia="宋体" w:hint="default"/>
                <w:spacing w:val="-80"/>
                <w:w w:val="100"/>
                <w:sz w:val="16"/>
                <w:szCs w:val="16"/>
              </w:rPr>
              <w:t>，</w:t>
            </w:r>
            <w:r>
              <w:rPr>
                <w:rFonts w:ascii="宋体" w:hAnsi="宋体" w:cs="宋体" w:eastAsia="宋体" w:hint="default"/>
                <w:spacing w:val="-3"/>
                <w:w w:val="100"/>
                <w:sz w:val="16"/>
                <w:szCs w:val="16"/>
              </w:rPr>
              <w:t>划</w:t>
            </w:r>
            <w:r>
              <w:rPr>
                <w:rFonts w:ascii="宋体" w:hAnsi="宋体" w:cs="宋体" w:eastAsia="宋体" w:hint="default"/>
                <w:w w:val="100"/>
                <w:sz w:val="16"/>
                <w:szCs w:val="16"/>
              </w:rPr>
              <w:t>分至</w:t>
            </w:r>
            <w:r>
              <w:rPr>
                <w:rFonts w:ascii="宋体" w:hAnsi="宋体" w:cs="宋体" w:eastAsia="宋体" w:hint="default"/>
                <w:spacing w:val="-3"/>
                <w:w w:val="100"/>
                <w:sz w:val="16"/>
                <w:szCs w:val="16"/>
              </w:rPr>
              <w:t>一</w:t>
            </w:r>
            <w:r>
              <w:rPr>
                <w:rFonts w:ascii="宋体" w:hAnsi="宋体" w:cs="宋体" w:eastAsia="宋体" w:hint="default"/>
                <w:w w:val="100"/>
                <w:sz w:val="16"/>
                <w:szCs w:val="16"/>
              </w:rPr>
              <w:t>年内</w:t>
            </w:r>
            <w:r>
              <w:rPr>
                <w:rFonts w:ascii="宋体" w:hAnsi="宋体" w:cs="宋体" w:eastAsia="宋体" w:hint="default"/>
                <w:spacing w:val="-3"/>
                <w:w w:val="100"/>
                <w:sz w:val="16"/>
                <w:szCs w:val="16"/>
              </w:rPr>
              <w:t>到</w:t>
            </w:r>
            <w:r>
              <w:rPr>
                <w:rFonts w:ascii="宋体" w:hAnsi="宋体" w:cs="宋体" w:eastAsia="宋体" w:hint="default"/>
                <w:w w:val="100"/>
                <w:sz w:val="16"/>
                <w:szCs w:val="16"/>
              </w:rPr>
              <w:t>期的</w:t>
            </w:r>
            <w:r>
              <w:rPr>
                <w:rFonts w:ascii="宋体" w:hAnsi="宋体" w:cs="宋体" w:eastAsia="宋体" w:hint="default"/>
                <w:spacing w:val="-3"/>
                <w:w w:val="100"/>
                <w:sz w:val="16"/>
                <w:szCs w:val="16"/>
              </w:rPr>
              <w:t>金</w:t>
            </w:r>
            <w:r>
              <w:rPr>
                <w:rFonts w:ascii="宋体" w:hAnsi="宋体" w:cs="宋体" w:eastAsia="宋体" w:hint="default"/>
                <w:w w:val="100"/>
                <w:sz w:val="16"/>
                <w:szCs w:val="16"/>
              </w:rPr>
              <w:t>额</w:t>
            </w:r>
            <w:r>
              <w:rPr>
                <w:rFonts w:ascii="宋体" w:hAnsi="宋体" w:cs="宋体" w:eastAsia="宋体" w:hint="default"/>
                <w:spacing w:val="-56"/>
                <w:sz w:val="16"/>
                <w:szCs w:val="16"/>
              </w:rPr>
              <w:t> </w:t>
            </w:r>
            <w:r>
              <w:rPr>
                <w:rFonts w:ascii="Times New Roman" w:hAnsi="Times New Roman" w:cs="Times New Roman" w:eastAsia="Times New Roman" w:hint="default"/>
                <w:spacing w:val="-2"/>
                <w:w w:val="100"/>
                <w:sz w:val="16"/>
                <w:szCs w:val="16"/>
              </w:rPr>
              <w:t>6</w:t>
            </w:r>
            <w:r>
              <w:rPr>
                <w:rFonts w:ascii="Times New Roman" w:hAnsi="Times New Roman" w:cs="Times New Roman" w:eastAsia="Times New Roman" w:hint="default"/>
                <w:w w:val="100"/>
                <w:sz w:val="16"/>
                <w:szCs w:val="16"/>
              </w:rPr>
              <w:t>,</w:t>
            </w:r>
            <w:r>
              <w:rPr>
                <w:rFonts w:ascii="Times New Roman" w:hAnsi="Times New Roman" w:cs="Times New Roman" w:eastAsia="Times New Roman" w:hint="default"/>
                <w:spacing w:val="-2"/>
                <w:w w:val="100"/>
                <w:sz w:val="16"/>
                <w:szCs w:val="16"/>
              </w:rPr>
              <w:t>00</w:t>
            </w:r>
            <w:r>
              <w:rPr>
                <w:rFonts w:ascii="Times New Roman" w:hAnsi="Times New Roman" w:cs="Times New Roman" w:eastAsia="Times New Roman" w:hint="default"/>
                <w:w w:val="100"/>
                <w:sz w:val="16"/>
                <w:szCs w:val="16"/>
              </w:rPr>
              <w:t>0</w:t>
            </w:r>
            <w:r>
              <w:rPr>
                <w:rFonts w:ascii="Times New Roman" w:hAnsi="Times New Roman" w:cs="Times New Roman" w:eastAsia="Times New Roman" w:hint="default"/>
                <w:spacing w:val="-2"/>
                <w:w w:val="100"/>
                <w:sz w:val="16"/>
                <w:szCs w:val="16"/>
              </w:rPr>
              <w:t>,</w:t>
            </w:r>
            <w:r>
              <w:rPr>
                <w:rFonts w:ascii="Times New Roman" w:hAnsi="Times New Roman" w:cs="Times New Roman" w:eastAsia="Times New Roman" w:hint="default"/>
                <w:w w:val="100"/>
                <w:sz w:val="16"/>
                <w:szCs w:val="16"/>
              </w:rPr>
              <w:t>0</w:t>
            </w:r>
            <w:r>
              <w:rPr>
                <w:rFonts w:ascii="Times New Roman" w:hAnsi="Times New Roman" w:cs="Times New Roman" w:eastAsia="Times New Roman" w:hint="default"/>
                <w:spacing w:val="-2"/>
                <w:w w:val="100"/>
                <w:sz w:val="16"/>
                <w:szCs w:val="16"/>
              </w:rPr>
              <w:t>0</w:t>
            </w:r>
            <w:r>
              <w:rPr>
                <w:rFonts w:ascii="Times New Roman" w:hAnsi="Times New Roman" w:cs="Times New Roman" w:eastAsia="Times New Roman" w:hint="default"/>
                <w:w w:val="100"/>
                <w:sz w:val="16"/>
                <w:szCs w:val="16"/>
              </w:rPr>
              <w:t>0</w:t>
            </w:r>
            <w:r>
              <w:rPr>
                <w:rFonts w:ascii="Times New Roman" w:hAnsi="Times New Roman" w:cs="Times New Roman" w:eastAsia="Times New Roman" w:hint="default"/>
                <w:spacing w:val="-2"/>
                <w:w w:val="100"/>
                <w:sz w:val="16"/>
                <w:szCs w:val="16"/>
              </w:rPr>
              <w:t>.0</w:t>
            </w:r>
            <w:r>
              <w:rPr>
                <w:rFonts w:ascii="Times New Roman" w:hAnsi="Times New Roman" w:cs="Times New Roman" w:eastAsia="Times New Roman" w:hint="default"/>
                <w:w w:val="100"/>
                <w:sz w:val="16"/>
                <w:szCs w:val="16"/>
              </w:rPr>
              <w:t>0</w:t>
            </w:r>
            <w:r>
              <w:rPr>
                <w:rFonts w:ascii="Times New Roman" w:hAnsi="Times New Roman" w:cs="Times New Roman" w:eastAsia="Times New Roman" w:hint="default"/>
                <w:spacing w:val="-15"/>
                <w:sz w:val="16"/>
                <w:szCs w:val="16"/>
              </w:rPr>
              <w:t> </w:t>
            </w:r>
            <w:r>
              <w:rPr>
                <w:rFonts w:ascii="宋体" w:hAnsi="宋体" w:cs="宋体" w:eastAsia="宋体" w:hint="default"/>
                <w:spacing w:val="-3"/>
                <w:w w:val="100"/>
                <w:sz w:val="16"/>
                <w:szCs w:val="16"/>
              </w:rPr>
              <w:t>元；</w:t>
            </w:r>
            <w:r>
              <w:rPr>
                <w:rFonts w:ascii="宋体" w:hAnsi="宋体" w:cs="宋体" w:eastAsia="宋体" w:hint="default"/>
                <w:w w:val="100"/>
                <w:sz w:val="16"/>
                <w:szCs w:val="16"/>
              </w:rPr>
            </w:r>
          </w:p>
          <w:p>
            <w:pPr>
              <w:pStyle w:val="TableParagraph"/>
              <w:spacing w:line="215" w:lineRule="exact"/>
              <w:ind w:left="103" w:right="0"/>
              <w:jc w:val="both"/>
              <w:rPr>
                <w:rFonts w:ascii="宋体" w:hAnsi="宋体" w:cs="宋体" w:eastAsia="宋体" w:hint="default"/>
                <w:sz w:val="16"/>
                <w:szCs w:val="16"/>
              </w:rPr>
            </w:pPr>
            <w:r>
              <w:rPr>
                <w:rFonts w:ascii="宋体" w:hAnsi="宋体" w:cs="宋体" w:eastAsia="宋体" w:hint="default"/>
                <w:sz w:val="16"/>
                <w:szCs w:val="16"/>
              </w:rPr>
              <w:t>本期支付利息</w:t>
            </w:r>
            <w:r>
              <w:rPr>
                <w:rFonts w:ascii="宋体" w:hAnsi="宋体" w:cs="宋体" w:eastAsia="宋体" w:hint="default"/>
                <w:spacing w:val="-46"/>
                <w:sz w:val="16"/>
                <w:szCs w:val="16"/>
              </w:rPr>
              <w:t> </w:t>
            </w:r>
            <w:r>
              <w:rPr>
                <w:rFonts w:ascii="Times New Roman" w:hAnsi="Times New Roman" w:cs="Times New Roman" w:eastAsia="Times New Roman" w:hint="default"/>
                <w:sz w:val="16"/>
                <w:szCs w:val="16"/>
              </w:rPr>
              <w:t>1,079,700.00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元</w:t>
            </w:r>
          </w:p>
        </w:tc>
      </w:tr>
      <w:tr>
        <w:trPr>
          <w:trHeight w:val="492" w:hRule="exact"/>
        </w:trPr>
        <w:tc>
          <w:tcPr>
            <w:tcW w:w="1496" w:type="dxa"/>
            <w:tcBorders>
              <w:top w:val="dotted" w:sz="4" w:space="0" w:color="000000"/>
              <w:left w:val="nil" w:sz="6" w:space="0" w:color="auto"/>
              <w:bottom w:val="single" w:sz="12" w:space="0" w:color="000000"/>
              <w:right w:val="dotted" w:sz="4" w:space="0" w:color="000000"/>
            </w:tcBorders>
          </w:tcPr>
          <w:p>
            <w:pPr>
              <w:pStyle w:val="TableParagraph"/>
              <w:spacing w:line="206" w:lineRule="exact" w:before="25"/>
              <w:ind w:left="122" w:right="100"/>
              <w:jc w:val="left"/>
              <w:rPr>
                <w:rFonts w:ascii="宋体" w:hAnsi="宋体" w:cs="宋体" w:eastAsia="宋体" w:hint="default"/>
                <w:sz w:val="16"/>
                <w:szCs w:val="16"/>
              </w:rPr>
            </w:pPr>
            <w:r>
              <w:rPr>
                <w:rFonts w:ascii="宋体" w:hAnsi="宋体" w:cs="宋体" w:eastAsia="宋体" w:hint="default"/>
                <w:sz w:val="16"/>
                <w:szCs w:val="16"/>
              </w:rPr>
              <w:t>中</w:t>
            </w:r>
            <w:r>
              <w:rPr>
                <w:rFonts w:ascii="宋体" w:hAnsi="宋体" w:cs="宋体" w:eastAsia="宋体" w:hint="default"/>
                <w:spacing w:val="-57"/>
                <w:sz w:val="16"/>
                <w:szCs w:val="16"/>
              </w:rPr>
              <w:t> </w:t>
            </w:r>
            <w:r>
              <w:rPr>
                <w:rFonts w:ascii="宋体" w:hAnsi="宋体" w:cs="宋体" w:eastAsia="宋体" w:hint="default"/>
                <w:sz w:val="16"/>
                <w:szCs w:val="16"/>
              </w:rPr>
              <w:t>电</w:t>
            </w:r>
            <w:r>
              <w:rPr>
                <w:rFonts w:ascii="宋体" w:hAnsi="宋体" w:cs="宋体" w:eastAsia="宋体" w:hint="default"/>
                <w:spacing w:val="-57"/>
                <w:sz w:val="16"/>
                <w:szCs w:val="16"/>
              </w:rPr>
              <w:t> </w:t>
            </w:r>
            <w:r>
              <w:rPr>
                <w:rFonts w:ascii="宋体" w:hAnsi="宋体" w:cs="宋体" w:eastAsia="宋体" w:hint="default"/>
                <w:sz w:val="16"/>
                <w:szCs w:val="16"/>
              </w:rPr>
              <w:t>金</w:t>
            </w:r>
            <w:r>
              <w:rPr>
                <w:rFonts w:ascii="宋体" w:hAnsi="宋体" w:cs="宋体" w:eastAsia="宋体" w:hint="default"/>
                <w:spacing w:val="-57"/>
                <w:sz w:val="16"/>
                <w:szCs w:val="16"/>
              </w:rPr>
              <w:t> </w:t>
            </w:r>
            <w:r>
              <w:rPr>
                <w:rFonts w:ascii="宋体" w:hAnsi="宋体" w:cs="宋体" w:eastAsia="宋体" w:hint="default"/>
                <w:sz w:val="16"/>
                <w:szCs w:val="16"/>
              </w:rPr>
              <w:t>投</w:t>
            </w:r>
            <w:r>
              <w:rPr>
                <w:rFonts w:ascii="宋体" w:hAnsi="宋体" w:cs="宋体" w:eastAsia="宋体" w:hint="default"/>
                <w:spacing w:val="-59"/>
                <w:sz w:val="16"/>
                <w:szCs w:val="16"/>
              </w:rPr>
              <w:t> </w:t>
            </w:r>
            <w:r>
              <w:rPr>
                <w:rFonts w:ascii="宋体" w:hAnsi="宋体" w:cs="宋体" w:eastAsia="宋体" w:hint="default"/>
                <w:sz w:val="16"/>
                <w:szCs w:val="16"/>
              </w:rPr>
              <w:t>控</w:t>
            </w:r>
            <w:r>
              <w:rPr>
                <w:rFonts w:ascii="宋体" w:hAnsi="宋体" w:cs="宋体" w:eastAsia="宋体" w:hint="default"/>
                <w:spacing w:val="-57"/>
                <w:sz w:val="16"/>
                <w:szCs w:val="16"/>
              </w:rPr>
              <w:t> </w:t>
            </w:r>
            <w:r>
              <w:rPr>
                <w:rFonts w:ascii="宋体" w:hAnsi="宋体" w:cs="宋体" w:eastAsia="宋体" w:hint="default"/>
                <w:sz w:val="16"/>
                <w:szCs w:val="16"/>
              </w:rPr>
              <w:t>股</w:t>
            </w:r>
            <w:r>
              <w:rPr>
                <w:rFonts w:ascii="宋体" w:hAnsi="宋体" w:cs="宋体" w:eastAsia="宋体" w:hint="default"/>
                <w:spacing w:val="-57"/>
                <w:sz w:val="16"/>
                <w:szCs w:val="16"/>
              </w:rPr>
              <w:t> </w:t>
            </w:r>
            <w:r>
              <w:rPr>
                <w:rFonts w:ascii="宋体" w:hAnsi="宋体" w:cs="宋体" w:eastAsia="宋体" w:hint="default"/>
                <w:sz w:val="16"/>
                <w:szCs w:val="16"/>
              </w:rPr>
              <w:t>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1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sz w:val="16"/>
              </w:rPr>
              <w:t>50,000,000.00</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2019-12-23</w:t>
            </w:r>
          </w:p>
        </w:tc>
        <w:tc>
          <w:tcPr>
            <w:tcW w:w="9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2020-12-22</w:t>
            </w:r>
          </w:p>
        </w:tc>
        <w:tc>
          <w:tcPr>
            <w:tcW w:w="33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本期尚未支付利息</w:t>
            </w:r>
          </w:p>
        </w:tc>
      </w:tr>
    </w:tbl>
    <w:p>
      <w:pPr>
        <w:spacing w:line="240" w:lineRule="auto" w:before="7"/>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6</w:t>
      </w:r>
      <w:r>
        <w:rPr/>
        <w:t>、</w:t>
        <w:tab/>
        <w:t>关键管理人员薪酬</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89"/>
        <w:gridCol w:w="2408"/>
        <w:gridCol w:w="2408"/>
      </w:tblGrid>
      <w:tr>
        <w:trPr>
          <w:trHeight w:val="286" w:hRule="exact"/>
        </w:trPr>
        <w:tc>
          <w:tcPr>
            <w:tcW w:w="33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4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4"/>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83" w:hRule="exact"/>
        </w:trPr>
        <w:tc>
          <w:tcPr>
            <w:tcW w:w="338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关键管理人员薪酬</w:t>
            </w:r>
          </w:p>
        </w:tc>
        <w:tc>
          <w:tcPr>
            <w:tcW w:w="24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1375" w:right="0"/>
              <w:jc w:val="left"/>
              <w:rPr>
                <w:rFonts w:ascii="Times New Roman" w:hAnsi="Times New Roman" w:cs="Times New Roman" w:eastAsia="Times New Roman" w:hint="default"/>
                <w:sz w:val="16"/>
                <w:szCs w:val="16"/>
              </w:rPr>
            </w:pPr>
            <w:r>
              <w:rPr>
                <w:rFonts w:ascii="Times New Roman"/>
                <w:sz w:val="16"/>
              </w:rPr>
              <w:t>18,465,800.00</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left="1378" w:right="0"/>
              <w:jc w:val="left"/>
              <w:rPr>
                <w:rFonts w:ascii="Times New Roman" w:hAnsi="Times New Roman" w:cs="Times New Roman" w:eastAsia="Times New Roman" w:hint="default"/>
                <w:sz w:val="16"/>
                <w:szCs w:val="16"/>
              </w:rPr>
            </w:pPr>
            <w:r>
              <w:rPr>
                <w:rFonts w:ascii="Times New Roman"/>
                <w:sz w:val="16"/>
              </w:rPr>
              <w:t>11,971,900.00</w:t>
            </w:r>
          </w:p>
        </w:tc>
      </w:tr>
    </w:tbl>
    <w:p>
      <w:pPr>
        <w:spacing w:line="240" w:lineRule="auto" w:before="8"/>
        <w:rPr>
          <w:rFonts w:ascii="宋体" w:hAnsi="宋体" w:cs="宋体" w:eastAsia="宋体" w:hint="default"/>
          <w:b/>
          <w:bCs/>
          <w:sz w:val="5"/>
          <w:szCs w:val="5"/>
        </w:rPr>
      </w:pPr>
    </w:p>
    <w:p>
      <w:pPr>
        <w:pStyle w:val="BodyText"/>
        <w:spacing w:line="348" w:lineRule="auto"/>
        <w:ind w:right="1468"/>
        <w:jc w:val="left"/>
      </w:pPr>
      <w:r>
        <w:rPr>
          <w:spacing w:val="-5"/>
        </w:rPr>
        <w:t>说明：本年关键管理人员薪酬较上期显著增长，主要原因系兑现管理层任期绩</w:t>
      </w:r>
      <w:r>
        <w:rPr>
          <w:spacing w:val="-46"/>
        </w:rPr>
        <w:t> </w:t>
      </w:r>
      <w:r>
        <w:rPr>
          <w:spacing w:val="-46"/>
        </w:rPr>
      </w:r>
      <w:r>
        <w:rPr/>
        <w:t>效奖励及管理人员变动影响。</w:t>
      </w:r>
    </w:p>
    <w:p>
      <w:pPr>
        <w:spacing w:after="0" w:line="348" w:lineRule="auto"/>
        <w:jc w:val="left"/>
        <w:sectPr>
          <w:pgSz w:w="11910" w:h="16840"/>
          <w:pgMar w:header="753" w:footer="997" w:top="1500" w:bottom="1180" w:left="1660" w:right="0"/>
        </w:sectPr>
      </w:pPr>
    </w:p>
    <w:p>
      <w:pPr>
        <w:spacing w:line="240" w:lineRule="auto" w:before="12"/>
        <w:rPr>
          <w:rFonts w:ascii="宋体" w:hAnsi="宋体" w:cs="宋体" w:eastAsia="宋体" w:hint="default"/>
          <w:sz w:val="22"/>
          <w:szCs w:val="22"/>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7</w:t>
      </w:r>
      <w:r>
        <w:rPr/>
        <w:t>、</w:t>
        <w:tab/>
        <w:t>关联方存贷款情况</w:t>
      </w:r>
      <w:r>
        <w:rPr>
          <w:b w:val="0"/>
          <w:bCs w:val="0"/>
        </w:rPr>
      </w:r>
    </w:p>
    <w:p>
      <w:pPr>
        <w:pStyle w:val="BodyText"/>
        <w:spacing w:line="240" w:lineRule="auto" w:before="110"/>
        <w:ind w:right="3683"/>
        <w:jc w:val="left"/>
      </w:pPr>
      <w:r>
        <w:rPr/>
        <w:t>（</w:t>
      </w:r>
      <w:r>
        <w:rPr>
          <w:rFonts w:ascii="Times New Roman" w:hAnsi="Times New Roman" w:cs="Times New Roman" w:eastAsia="Times New Roman" w:hint="default"/>
        </w:rPr>
        <w:t>1</w:t>
      </w:r>
      <w:r>
        <w:rPr/>
        <w:t>）</w:t>
      </w:r>
      <w:r>
        <w:rPr>
          <w:spacing w:val="93"/>
        </w:rPr>
        <w:t> </w:t>
      </w:r>
      <w:r>
        <w:rPr/>
        <w:t>关联方存款</w:t>
      </w:r>
    </w:p>
    <w:tbl>
      <w:tblPr>
        <w:tblW w:w="0" w:type="auto"/>
        <w:jc w:val="left"/>
        <w:tblInd w:w="721" w:type="dxa"/>
        <w:tblLayout w:type="fixed"/>
        <w:tblCellMar>
          <w:top w:w="0" w:type="dxa"/>
          <w:left w:w="0" w:type="dxa"/>
          <w:bottom w:w="0" w:type="dxa"/>
          <w:right w:w="0" w:type="dxa"/>
        </w:tblCellMar>
        <w:tblLook w:val="01E0"/>
      </w:tblPr>
      <w:tblGrid>
        <w:gridCol w:w="2163"/>
        <w:gridCol w:w="1459"/>
        <w:gridCol w:w="1493"/>
        <w:gridCol w:w="1517"/>
        <w:gridCol w:w="1573"/>
      </w:tblGrid>
      <w:tr>
        <w:trPr>
          <w:trHeight w:val="492" w:hRule="exact"/>
        </w:trPr>
        <w:tc>
          <w:tcPr>
            <w:tcW w:w="216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8"/>
              <w:ind w:left="20" w:right="0"/>
              <w:jc w:val="center"/>
              <w:rPr>
                <w:rFonts w:ascii="宋体" w:hAnsi="宋体" w:cs="宋体" w:eastAsia="宋体" w:hint="default"/>
                <w:sz w:val="16"/>
                <w:szCs w:val="16"/>
              </w:rPr>
            </w:pPr>
            <w:r>
              <w:rPr>
                <w:rFonts w:ascii="宋体" w:hAnsi="宋体" w:cs="宋体" w:eastAsia="宋体" w:hint="default"/>
                <w:sz w:val="16"/>
                <w:szCs w:val="16"/>
              </w:rPr>
              <w:t>关联方名称</w:t>
            </w:r>
          </w:p>
        </w:tc>
        <w:tc>
          <w:tcPr>
            <w:tcW w:w="14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right="2"/>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14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left="420"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5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352" w:right="110" w:hanging="240"/>
              <w:jc w:val="left"/>
              <w:rPr>
                <w:rFonts w:ascii="宋体" w:hAnsi="宋体" w:cs="宋体" w:eastAsia="宋体" w:hint="default"/>
                <w:sz w:val="16"/>
                <w:szCs w:val="16"/>
              </w:rPr>
            </w:pPr>
            <w:r>
              <w:rPr>
                <w:rFonts w:ascii="宋体" w:hAnsi="宋体" w:cs="宋体" w:eastAsia="宋体" w:hint="default"/>
                <w:sz w:val="16"/>
                <w:szCs w:val="16"/>
              </w:rPr>
              <w:t>本年收取或支付利</w:t>
            </w:r>
            <w:r>
              <w:rPr>
                <w:rFonts w:ascii="宋体" w:hAnsi="宋体" w:cs="宋体" w:eastAsia="宋体" w:hint="default"/>
                <w:w w:val="100"/>
                <w:sz w:val="16"/>
                <w:szCs w:val="16"/>
              </w:rPr>
              <w:t> </w:t>
            </w:r>
            <w:r>
              <w:rPr>
                <w:rFonts w:ascii="宋体" w:hAnsi="宋体" w:cs="宋体" w:eastAsia="宋体" w:hint="default"/>
                <w:sz w:val="16"/>
                <w:szCs w:val="16"/>
              </w:rPr>
              <w:t>息、手续费</w:t>
            </w:r>
          </w:p>
        </w:tc>
        <w:tc>
          <w:tcPr>
            <w:tcW w:w="157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382" w:right="142" w:hanging="240"/>
              <w:jc w:val="left"/>
              <w:rPr>
                <w:rFonts w:ascii="宋体" w:hAnsi="宋体" w:cs="宋体" w:eastAsia="宋体" w:hint="default"/>
                <w:sz w:val="16"/>
                <w:szCs w:val="16"/>
              </w:rPr>
            </w:pPr>
            <w:r>
              <w:rPr>
                <w:rFonts w:ascii="宋体" w:hAnsi="宋体" w:cs="宋体" w:eastAsia="宋体" w:hint="default"/>
                <w:spacing w:val="-1"/>
                <w:sz w:val="16"/>
                <w:szCs w:val="16"/>
              </w:rPr>
              <w:t>上年收取或支付利</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息、手续费</w:t>
            </w:r>
          </w:p>
        </w:tc>
      </w:tr>
      <w:tr>
        <w:trPr>
          <w:trHeight w:val="283" w:hRule="exact"/>
        </w:trPr>
        <w:tc>
          <w:tcPr>
            <w:tcW w:w="216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8" w:right="0"/>
              <w:jc w:val="center"/>
              <w:rPr>
                <w:rFonts w:ascii="宋体" w:hAnsi="宋体" w:cs="宋体" w:eastAsia="宋体" w:hint="default"/>
                <w:sz w:val="16"/>
                <w:szCs w:val="16"/>
              </w:rPr>
            </w:pPr>
            <w:r>
              <w:rPr>
                <w:rFonts w:ascii="宋体" w:hAnsi="宋体" w:cs="宋体" w:eastAsia="宋体" w:hint="default"/>
                <w:sz w:val="16"/>
                <w:szCs w:val="16"/>
              </w:rPr>
              <w:t>中国电子财务有限责任公司</w:t>
            </w:r>
          </w:p>
        </w:tc>
        <w:tc>
          <w:tcPr>
            <w:tcW w:w="14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117" w:right="0"/>
              <w:jc w:val="center"/>
              <w:rPr>
                <w:rFonts w:ascii="Times New Roman" w:hAnsi="Times New Roman" w:cs="Times New Roman" w:eastAsia="Times New Roman" w:hint="default"/>
                <w:sz w:val="16"/>
                <w:szCs w:val="16"/>
              </w:rPr>
            </w:pPr>
            <w:r>
              <w:rPr>
                <w:rFonts w:ascii="Times New Roman"/>
                <w:sz w:val="16"/>
              </w:rPr>
              <w:t>2,579,012,638.74</w:t>
            </w:r>
          </w:p>
        </w:tc>
        <w:tc>
          <w:tcPr>
            <w:tcW w:w="14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259" w:right="0"/>
              <w:jc w:val="left"/>
              <w:rPr>
                <w:rFonts w:ascii="Times New Roman" w:hAnsi="Times New Roman" w:cs="Times New Roman" w:eastAsia="Times New Roman" w:hint="default"/>
                <w:sz w:val="16"/>
                <w:szCs w:val="16"/>
              </w:rPr>
            </w:pPr>
            <w:r>
              <w:rPr>
                <w:rFonts w:ascii="Times New Roman"/>
                <w:sz w:val="16"/>
              </w:rPr>
              <w:t>2,202,957,740.59</w:t>
            </w:r>
          </w:p>
        </w:tc>
        <w:tc>
          <w:tcPr>
            <w:tcW w:w="15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484" w:right="0"/>
              <w:jc w:val="left"/>
              <w:rPr>
                <w:rFonts w:ascii="Times New Roman" w:hAnsi="Times New Roman" w:cs="Times New Roman" w:eastAsia="Times New Roman" w:hint="default"/>
                <w:sz w:val="16"/>
                <w:szCs w:val="16"/>
              </w:rPr>
            </w:pPr>
            <w:r>
              <w:rPr>
                <w:rFonts w:ascii="Times New Roman"/>
                <w:sz w:val="16"/>
              </w:rPr>
              <w:t>15,549,561.44</w:t>
            </w:r>
          </w:p>
        </w:tc>
        <w:tc>
          <w:tcPr>
            <w:tcW w:w="15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left="540" w:right="0"/>
              <w:jc w:val="left"/>
              <w:rPr>
                <w:rFonts w:ascii="Times New Roman" w:hAnsi="Times New Roman" w:cs="Times New Roman" w:eastAsia="Times New Roman" w:hint="default"/>
                <w:sz w:val="16"/>
                <w:szCs w:val="16"/>
              </w:rPr>
            </w:pPr>
            <w:r>
              <w:rPr>
                <w:rFonts w:ascii="Times New Roman"/>
                <w:sz w:val="16"/>
              </w:rPr>
              <w:t>20,041,498.59</w:t>
            </w:r>
          </w:p>
        </w:tc>
      </w:tr>
    </w:tbl>
    <w:p>
      <w:pPr>
        <w:spacing w:line="240" w:lineRule="auto" w:before="9"/>
        <w:rPr>
          <w:rFonts w:ascii="宋体" w:hAnsi="宋体" w:cs="宋体" w:eastAsia="宋体" w:hint="default"/>
          <w:sz w:val="27"/>
          <w:szCs w:val="27"/>
        </w:rPr>
      </w:pPr>
    </w:p>
    <w:p>
      <w:pPr>
        <w:pStyle w:val="BodyText"/>
        <w:spacing w:line="240" w:lineRule="auto"/>
        <w:ind w:right="3683"/>
        <w:jc w:val="left"/>
      </w:pPr>
      <w:r>
        <w:rPr/>
        <w:t>（</w:t>
      </w:r>
      <w:r>
        <w:rPr>
          <w:rFonts w:ascii="Times New Roman" w:hAnsi="Times New Roman" w:cs="Times New Roman" w:eastAsia="Times New Roman" w:hint="default"/>
        </w:rPr>
        <w:t>2</w:t>
      </w:r>
      <w:r>
        <w:rPr/>
        <w:t>）</w:t>
      </w:r>
      <w:r>
        <w:rPr>
          <w:spacing w:val="93"/>
        </w:rPr>
        <w:t> </w:t>
      </w:r>
      <w:r>
        <w:rPr/>
        <w:t>关联方贷款</w:t>
      </w:r>
    </w:p>
    <w:tbl>
      <w:tblPr>
        <w:tblW w:w="0" w:type="auto"/>
        <w:jc w:val="left"/>
        <w:tblInd w:w="721" w:type="dxa"/>
        <w:tblLayout w:type="fixed"/>
        <w:tblCellMar>
          <w:top w:w="0" w:type="dxa"/>
          <w:left w:w="0" w:type="dxa"/>
          <w:bottom w:w="0" w:type="dxa"/>
          <w:right w:w="0" w:type="dxa"/>
        </w:tblCellMar>
        <w:tblLook w:val="01E0"/>
      </w:tblPr>
      <w:tblGrid>
        <w:gridCol w:w="2211"/>
        <w:gridCol w:w="1459"/>
        <w:gridCol w:w="1493"/>
        <w:gridCol w:w="1498"/>
        <w:gridCol w:w="1543"/>
      </w:tblGrid>
      <w:tr>
        <w:trPr>
          <w:trHeight w:val="490" w:hRule="exact"/>
        </w:trPr>
        <w:tc>
          <w:tcPr>
            <w:tcW w:w="221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6"/>
              <w:ind w:left="20" w:right="0"/>
              <w:jc w:val="center"/>
              <w:rPr>
                <w:rFonts w:ascii="宋体" w:hAnsi="宋体" w:cs="宋体" w:eastAsia="宋体" w:hint="default"/>
                <w:sz w:val="16"/>
                <w:szCs w:val="16"/>
              </w:rPr>
            </w:pPr>
            <w:r>
              <w:rPr>
                <w:rFonts w:ascii="宋体" w:hAnsi="宋体" w:cs="宋体" w:eastAsia="宋体" w:hint="default"/>
                <w:sz w:val="16"/>
                <w:szCs w:val="16"/>
              </w:rPr>
              <w:t>关联方名称</w:t>
            </w:r>
          </w:p>
        </w:tc>
        <w:tc>
          <w:tcPr>
            <w:tcW w:w="14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right="2"/>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14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420"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498"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24"/>
              <w:ind w:left="343" w:right="101" w:hanging="240"/>
              <w:jc w:val="left"/>
              <w:rPr>
                <w:rFonts w:ascii="宋体" w:hAnsi="宋体" w:cs="宋体" w:eastAsia="宋体" w:hint="default"/>
                <w:sz w:val="16"/>
                <w:szCs w:val="16"/>
              </w:rPr>
            </w:pPr>
            <w:r>
              <w:rPr>
                <w:rFonts w:ascii="宋体" w:hAnsi="宋体" w:cs="宋体" w:eastAsia="宋体" w:hint="default"/>
                <w:sz w:val="16"/>
                <w:szCs w:val="16"/>
              </w:rPr>
              <w:t>本年收取或支付利</w:t>
            </w:r>
            <w:r>
              <w:rPr>
                <w:rFonts w:ascii="宋体" w:hAnsi="宋体" w:cs="宋体" w:eastAsia="宋体" w:hint="default"/>
                <w:w w:val="100"/>
                <w:sz w:val="16"/>
                <w:szCs w:val="16"/>
              </w:rPr>
              <w:t> </w:t>
            </w:r>
            <w:r>
              <w:rPr>
                <w:rFonts w:ascii="宋体" w:hAnsi="宋体" w:cs="宋体" w:eastAsia="宋体" w:hint="default"/>
                <w:sz w:val="16"/>
                <w:szCs w:val="16"/>
              </w:rPr>
              <w:t>息、手续费</w:t>
            </w:r>
          </w:p>
        </w:tc>
        <w:tc>
          <w:tcPr>
            <w:tcW w:w="1543" w:type="dxa"/>
            <w:tcBorders>
              <w:top w:val="single" w:sz="12" w:space="0" w:color="000000"/>
              <w:left w:val="dotted" w:sz="4" w:space="0" w:color="000000"/>
              <w:bottom w:val="dotted" w:sz="4" w:space="0" w:color="000000"/>
              <w:right w:val="nil" w:sz="6" w:space="0" w:color="auto"/>
            </w:tcBorders>
          </w:tcPr>
          <w:p>
            <w:pPr>
              <w:pStyle w:val="TableParagraph"/>
              <w:spacing w:line="206" w:lineRule="exact" w:before="24"/>
              <w:ind w:left="367" w:right="127" w:hanging="240"/>
              <w:jc w:val="left"/>
              <w:rPr>
                <w:rFonts w:ascii="宋体" w:hAnsi="宋体" w:cs="宋体" w:eastAsia="宋体" w:hint="default"/>
                <w:sz w:val="16"/>
                <w:szCs w:val="16"/>
              </w:rPr>
            </w:pPr>
            <w:r>
              <w:rPr>
                <w:rFonts w:ascii="宋体" w:hAnsi="宋体" w:cs="宋体" w:eastAsia="宋体" w:hint="default"/>
                <w:spacing w:val="-1"/>
                <w:sz w:val="16"/>
                <w:szCs w:val="16"/>
              </w:rPr>
              <w:t>上年收取或支付利</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息、手续费</w:t>
            </w:r>
          </w:p>
        </w:tc>
      </w:tr>
      <w:tr>
        <w:trPr>
          <w:trHeight w:val="286" w:hRule="exact"/>
        </w:trPr>
        <w:tc>
          <w:tcPr>
            <w:tcW w:w="22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37"/>
              <w:jc w:val="center"/>
              <w:rPr>
                <w:rFonts w:ascii="宋体" w:hAnsi="宋体" w:cs="宋体" w:eastAsia="宋体" w:hint="default"/>
                <w:sz w:val="16"/>
                <w:szCs w:val="16"/>
              </w:rPr>
            </w:pPr>
            <w:r>
              <w:rPr>
                <w:rFonts w:ascii="宋体" w:hAnsi="宋体" w:cs="宋体" w:eastAsia="宋体" w:hint="default"/>
                <w:sz w:val="16"/>
                <w:szCs w:val="16"/>
              </w:rPr>
              <w:t>中国电子财务有限责任公司</w:t>
            </w:r>
          </w:p>
        </w:tc>
        <w:tc>
          <w:tcPr>
            <w:tcW w:w="14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left="117" w:right="0"/>
              <w:jc w:val="center"/>
              <w:rPr>
                <w:rFonts w:ascii="Times New Roman" w:hAnsi="Times New Roman" w:cs="Times New Roman" w:eastAsia="Times New Roman" w:hint="default"/>
                <w:sz w:val="16"/>
                <w:szCs w:val="16"/>
              </w:rPr>
            </w:pPr>
            <w:r>
              <w:rPr>
                <w:rFonts w:ascii="Times New Roman"/>
                <w:sz w:val="16"/>
              </w:rPr>
              <w:t>1,070,858,000.00</w:t>
            </w:r>
          </w:p>
        </w:tc>
        <w:tc>
          <w:tcPr>
            <w:tcW w:w="14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left="259" w:right="0"/>
              <w:jc w:val="left"/>
              <w:rPr>
                <w:rFonts w:ascii="Times New Roman" w:hAnsi="Times New Roman" w:cs="Times New Roman" w:eastAsia="Times New Roman" w:hint="default"/>
                <w:sz w:val="16"/>
                <w:szCs w:val="16"/>
              </w:rPr>
            </w:pPr>
            <w:r>
              <w:rPr>
                <w:rFonts w:ascii="Times New Roman"/>
                <w:sz w:val="16"/>
              </w:rPr>
              <w:t>1,132,603,120.00</w:t>
            </w:r>
          </w:p>
        </w:tc>
        <w:tc>
          <w:tcPr>
            <w:tcW w:w="14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left="465" w:right="0"/>
              <w:jc w:val="left"/>
              <w:rPr>
                <w:rFonts w:ascii="Times New Roman" w:hAnsi="Times New Roman" w:cs="Times New Roman" w:eastAsia="Times New Roman" w:hint="default"/>
                <w:sz w:val="16"/>
                <w:szCs w:val="16"/>
              </w:rPr>
            </w:pPr>
            <w:r>
              <w:rPr>
                <w:rFonts w:ascii="Times New Roman"/>
                <w:sz w:val="16"/>
              </w:rPr>
              <w:t>50,879,807.21</w:t>
            </w:r>
          </w:p>
        </w:tc>
        <w:tc>
          <w:tcPr>
            <w:tcW w:w="154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left="511" w:right="0"/>
              <w:jc w:val="left"/>
              <w:rPr>
                <w:rFonts w:ascii="Times New Roman" w:hAnsi="Times New Roman" w:cs="Times New Roman" w:eastAsia="Times New Roman" w:hint="default"/>
                <w:sz w:val="16"/>
                <w:szCs w:val="16"/>
              </w:rPr>
            </w:pPr>
            <w:r>
              <w:rPr>
                <w:rFonts w:ascii="Times New Roman"/>
                <w:sz w:val="16"/>
              </w:rPr>
              <w:t>58,150,815.16</w:t>
            </w:r>
          </w:p>
        </w:tc>
      </w:tr>
    </w:tbl>
    <w:p>
      <w:pPr>
        <w:spacing w:line="240" w:lineRule="auto" w:before="6"/>
        <w:rPr>
          <w:rFonts w:ascii="宋体" w:hAnsi="宋体" w:cs="宋体" w:eastAsia="宋体" w:hint="default"/>
          <w:sz w:val="27"/>
          <w:szCs w:val="27"/>
        </w:rPr>
      </w:pPr>
    </w:p>
    <w:p>
      <w:pPr>
        <w:pStyle w:val="BodyText"/>
        <w:spacing w:line="240" w:lineRule="auto"/>
        <w:ind w:right="3683"/>
        <w:jc w:val="left"/>
      </w:pPr>
      <w:r>
        <w:rPr/>
        <w:t>（</w:t>
      </w:r>
      <w:r>
        <w:rPr>
          <w:rFonts w:ascii="Times New Roman" w:hAnsi="Times New Roman" w:cs="Times New Roman" w:eastAsia="Times New Roman" w:hint="default"/>
        </w:rPr>
        <w:t>3</w:t>
      </w:r>
      <w:r>
        <w:rPr/>
        <w:t>）</w:t>
      </w:r>
      <w:r>
        <w:rPr>
          <w:spacing w:val="92"/>
        </w:rPr>
        <w:t> </w:t>
      </w:r>
      <w:r>
        <w:rPr/>
        <w:t>关联方委托贷款</w:t>
      </w:r>
    </w:p>
    <w:tbl>
      <w:tblPr>
        <w:tblW w:w="0" w:type="auto"/>
        <w:jc w:val="left"/>
        <w:tblInd w:w="721" w:type="dxa"/>
        <w:tblLayout w:type="fixed"/>
        <w:tblCellMar>
          <w:top w:w="0" w:type="dxa"/>
          <w:left w:w="0" w:type="dxa"/>
          <w:bottom w:w="0" w:type="dxa"/>
          <w:right w:w="0" w:type="dxa"/>
        </w:tblCellMar>
        <w:tblLook w:val="01E0"/>
      </w:tblPr>
      <w:tblGrid>
        <w:gridCol w:w="2473"/>
        <w:gridCol w:w="1433"/>
        <w:gridCol w:w="1433"/>
        <w:gridCol w:w="1433"/>
        <w:gridCol w:w="1433"/>
      </w:tblGrid>
      <w:tr>
        <w:trPr>
          <w:trHeight w:val="493" w:hRule="exact"/>
        </w:trPr>
        <w:tc>
          <w:tcPr>
            <w:tcW w:w="24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6"/>
              <w:ind w:left="18" w:right="0"/>
              <w:jc w:val="center"/>
              <w:rPr>
                <w:rFonts w:ascii="宋体" w:hAnsi="宋体" w:cs="宋体" w:eastAsia="宋体" w:hint="default"/>
                <w:sz w:val="16"/>
                <w:szCs w:val="16"/>
              </w:rPr>
            </w:pPr>
            <w:r>
              <w:rPr>
                <w:rFonts w:ascii="宋体" w:hAnsi="宋体" w:cs="宋体" w:eastAsia="宋体" w:hint="default"/>
                <w:sz w:val="16"/>
                <w:szCs w:val="16"/>
              </w:rPr>
              <w:t>关联方名称</w:t>
            </w:r>
          </w:p>
        </w:tc>
        <w:tc>
          <w:tcPr>
            <w:tcW w:w="14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14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391"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4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230" w:right="147" w:hanging="80"/>
              <w:jc w:val="left"/>
              <w:rPr>
                <w:rFonts w:ascii="宋体" w:hAnsi="宋体" w:cs="宋体" w:eastAsia="宋体" w:hint="default"/>
                <w:sz w:val="16"/>
                <w:szCs w:val="16"/>
              </w:rPr>
            </w:pPr>
            <w:r>
              <w:rPr>
                <w:rFonts w:ascii="宋体" w:hAnsi="宋体" w:cs="宋体" w:eastAsia="宋体" w:hint="default"/>
                <w:sz w:val="16"/>
                <w:szCs w:val="16"/>
              </w:rPr>
              <w:t>本年收取或支付</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利息、手续费</w:t>
            </w:r>
          </w:p>
        </w:tc>
        <w:tc>
          <w:tcPr>
            <w:tcW w:w="14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227" w:right="154" w:hanging="80"/>
              <w:jc w:val="left"/>
              <w:rPr>
                <w:rFonts w:ascii="宋体" w:hAnsi="宋体" w:cs="宋体" w:eastAsia="宋体" w:hint="default"/>
                <w:sz w:val="16"/>
                <w:szCs w:val="16"/>
              </w:rPr>
            </w:pPr>
            <w:r>
              <w:rPr>
                <w:rFonts w:ascii="宋体" w:hAnsi="宋体" w:cs="宋体" w:eastAsia="宋体" w:hint="default"/>
                <w:sz w:val="16"/>
                <w:szCs w:val="16"/>
              </w:rPr>
              <w:t>上年收取或支付</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利息、手续费</w:t>
            </w:r>
          </w:p>
        </w:tc>
      </w:tr>
      <w:tr>
        <w:trPr>
          <w:trHeight w:val="283" w:hRule="exact"/>
        </w:trPr>
        <w:tc>
          <w:tcPr>
            <w:tcW w:w="24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4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96" w:right="0"/>
              <w:jc w:val="center"/>
              <w:rPr>
                <w:rFonts w:ascii="Times New Roman" w:hAnsi="Times New Roman" w:cs="Times New Roman" w:eastAsia="Times New Roman" w:hint="default"/>
                <w:sz w:val="16"/>
                <w:szCs w:val="16"/>
              </w:rPr>
            </w:pPr>
            <w:r>
              <w:rPr>
                <w:rFonts w:ascii="Times New Roman"/>
                <w:sz w:val="16"/>
              </w:rPr>
              <w:t>1,165,000,000.00</w:t>
            </w:r>
          </w:p>
        </w:tc>
        <w:tc>
          <w:tcPr>
            <w:tcW w:w="14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319" w:right="0"/>
              <w:jc w:val="left"/>
              <w:rPr>
                <w:rFonts w:ascii="Times New Roman" w:hAnsi="Times New Roman" w:cs="Times New Roman" w:eastAsia="Times New Roman" w:hint="default"/>
                <w:sz w:val="16"/>
                <w:szCs w:val="16"/>
              </w:rPr>
            </w:pPr>
            <w:r>
              <w:rPr>
                <w:rFonts w:ascii="Times New Roman"/>
                <w:sz w:val="16"/>
              </w:rPr>
              <w:t>945,000,000.00</w:t>
            </w:r>
          </w:p>
        </w:tc>
        <w:tc>
          <w:tcPr>
            <w:tcW w:w="14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400" w:right="0"/>
              <w:jc w:val="left"/>
              <w:rPr>
                <w:rFonts w:ascii="Times New Roman" w:hAnsi="Times New Roman" w:cs="Times New Roman" w:eastAsia="Times New Roman" w:hint="default"/>
                <w:sz w:val="16"/>
                <w:szCs w:val="16"/>
              </w:rPr>
            </w:pPr>
            <w:r>
              <w:rPr>
                <w:rFonts w:ascii="Times New Roman"/>
                <w:sz w:val="16"/>
              </w:rPr>
              <w:t>40,702,812.50</w:t>
            </w:r>
          </w:p>
        </w:tc>
        <w:tc>
          <w:tcPr>
            <w:tcW w:w="14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left="398" w:right="0"/>
              <w:jc w:val="left"/>
              <w:rPr>
                <w:rFonts w:ascii="Times New Roman" w:hAnsi="Times New Roman" w:cs="Times New Roman" w:eastAsia="Times New Roman" w:hint="default"/>
                <w:sz w:val="16"/>
                <w:szCs w:val="16"/>
              </w:rPr>
            </w:pPr>
            <w:r>
              <w:rPr>
                <w:rFonts w:ascii="Times New Roman"/>
                <w:sz w:val="16"/>
              </w:rPr>
              <w:t>19,137,340.28</w:t>
            </w:r>
          </w:p>
        </w:tc>
      </w:tr>
    </w:tbl>
    <w:p>
      <w:pPr>
        <w:spacing w:line="240" w:lineRule="auto" w:before="6"/>
        <w:rPr>
          <w:rFonts w:ascii="宋体" w:hAnsi="宋体" w:cs="宋体" w:eastAsia="宋体" w:hint="default"/>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8</w:t>
      </w:r>
      <w:r>
        <w:rPr/>
        <w:t>、</w:t>
        <w:tab/>
        <w:t>其他关联交易</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034"/>
        <w:gridCol w:w="1359"/>
        <w:gridCol w:w="1910"/>
        <w:gridCol w:w="1901"/>
      </w:tblGrid>
      <w:tr>
        <w:trPr>
          <w:trHeight w:val="286" w:hRule="exact"/>
        </w:trPr>
        <w:tc>
          <w:tcPr>
            <w:tcW w:w="3034" w:type="dxa"/>
            <w:vMerge w:val="restart"/>
            <w:tcBorders>
              <w:top w:val="single" w:sz="12" w:space="0" w:color="000000"/>
              <w:left w:val="nil" w:sz="6" w:space="0" w:color="auto"/>
              <w:right w:val="dotted" w:sz="4" w:space="0" w:color="000000"/>
            </w:tcBorders>
          </w:tcPr>
          <w:p>
            <w:pPr>
              <w:pStyle w:val="TableParagraph"/>
              <w:spacing w:line="240" w:lineRule="auto" w:before="142"/>
              <w:ind w:left="18" w:right="0"/>
              <w:jc w:val="center"/>
              <w:rPr>
                <w:rFonts w:ascii="宋体" w:hAnsi="宋体" w:cs="宋体" w:eastAsia="宋体" w:hint="default"/>
                <w:sz w:val="16"/>
                <w:szCs w:val="16"/>
              </w:rPr>
            </w:pPr>
            <w:r>
              <w:rPr>
                <w:rFonts w:ascii="宋体" w:hAnsi="宋体" w:cs="宋体" w:eastAsia="宋体" w:hint="default"/>
                <w:sz w:val="16"/>
                <w:szCs w:val="16"/>
              </w:rPr>
              <w:t>关联方名称</w:t>
            </w:r>
          </w:p>
        </w:tc>
        <w:tc>
          <w:tcPr>
            <w:tcW w:w="1359" w:type="dxa"/>
            <w:vMerge w:val="restart"/>
            <w:tcBorders>
              <w:top w:val="single" w:sz="12" w:space="0" w:color="000000"/>
              <w:left w:val="dotted" w:sz="4" w:space="0" w:color="000000"/>
              <w:right w:val="dotted" w:sz="4" w:space="0" w:color="000000"/>
            </w:tcBorders>
          </w:tcPr>
          <w:p>
            <w:pPr>
              <w:pStyle w:val="TableParagraph"/>
              <w:spacing w:line="240" w:lineRule="auto" w:before="142"/>
              <w:ind w:left="191" w:right="0"/>
              <w:jc w:val="left"/>
              <w:rPr>
                <w:rFonts w:ascii="宋体" w:hAnsi="宋体" w:cs="宋体" w:eastAsia="宋体" w:hint="default"/>
                <w:sz w:val="16"/>
                <w:szCs w:val="16"/>
              </w:rPr>
            </w:pPr>
            <w:r>
              <w:rPr>
                <w:rFonts w:ascii="宋体" w:hAnsi="宋体" w:cs="宋体" w:eastAsia="宋体" w:hint="default"/>
                <w:sz w:val="16"/>
                <w:szCs w:val="16"/>
              </w:rPr>
              <w:t>关联交易内容</w:t>
            </w:r>
          </w:p>
        </w:tc>
        <w:tc>
          <w:tcPr>
            <w:tcW w:w="381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5"/>
              <w:jc w:val="center"/>
              <w:rPr>
                <w:rFonts w:ascii="宋体" w:hAnsi="宋体" w:cs="宋体" w:eastAsia="宋体" w:hint="default"/>
                <w:sz w:val="16"/>
                <w:szCs w:val="16"/>
              </w:rPr>
            </w:pPr>
            <w:r>
              <w:rPr>
                <w:rFonts w:ascii="宋体" w:hAnsi="宋体" w:cs="宋体" w:eastAsia="宋体" w:hint="default"/>
                <w:sz w:val="16"/>
                <w:szCs w:val="16"/>
              </w:rPr>
              <w:t>发生额</w:t>
            </w:r>
          </w:p>
        </w:tc>
      </w:tr>
      <w:tr>
        <w:trPr>
          <w:trHeight w:val="274" w:hRule="exact"/>
        </w:trPr>
        <w:tc>
          <w:tcPr>
            <w:tcW w:w="3034" w:type="dxa"/>
            <w:vMerge/>
            <w:tcBorders>
              <w:left w:val="nil" w:sz="6" w:space="0" w:color="auto"/>
              <w:bottom w:val="dotted" w:sz="4" w:space="0" w:color="000000"/>
              <w:right w:val="dotted" w:sz="4" w:space="0" w:color="000000"/>
            </w:tcBorders>
          </w:tcPr>
          <w:p>
            <w:pPr/>
          </w:p>
        </w:tc>
        <w:tc>
          <w:tcPr>
            <w:tcW w:w="1359" w:type="dxa"/>
            <w:vMerge/>
            <w:tcBorders>
              <w:left w:val="dotted" w:sz="4" w:space="0" w:color="000000"/>
              <w:bottom w:val="dotted" w:sz="4" w:space="0" w:color="000000"/>
              <w:right w:val="dotted" w:sz="4" w:space="0" w:color="000000"/>
            </w:tcBorders>
          </w:tcPr>
          <w:p>
            <w:pP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626"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622"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商标使用费</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385,967.01</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9"/>
              <w:jc w:val="right"/>
              <w:rPr>
                <w:rFonts w:ascii="Times New Roman" w:hAnsi="Times New Roman" w:cs="Times New Roman" w:eastAsia="Times New Roman" w:hint="default"/>
                <w:sz w:val="16"/>
                <w:szCs w:val="16"/>
              </w:rPr>
            </w:pPr>
            <w:r>
              <w:rPr>
                <w:rFonts w:ascii="Times New Roman"/>
                <w:spacing w:val="-2"/>
                <w:sz w:val="16"/>
              </w:rPr>
              <w:t>764,837.75</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中国电子财务有限责任公司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投资收益</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4,500,425.60</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武汉长江电源有限公司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购置资产</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42,771,995.00</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中国电子系统技术有限公司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购置资产</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27,356,250.37</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9"/>
              <w:jc w:val="right"/>
              <w:rPr>
                <w:rFonts w:ascii="宋体" w:hAnsi="宋体" w:cs="宋体" w:eastAsia="宋体" w:hint="default"/>
                <w:sz w:val="16"/>
                <w:szCs w:val="16"/>
              </w:rPr>
            </w:pPr>
            <w:r>
              <w:rPr>
                <w:rFonts w:ascii="宋体"/>
                <w:w w:val="100"/>
                <w:sz w:val="16"/>
              </w:rPr>
              <w:t> </w:t>
            </w:r>
          </w:p>
        </w:tc>
      </w:tr>
      <w:tr>
        <w:trPr>
          <w:trHeight w:val="271"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中国信息安全研究院有限公司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购置资产</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6,956,770.13</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3,465,919.85</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长城超云（北京）科技有限公司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购置资产</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1,320,636.28</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郑州蓝普锋自动化技术有限公司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3"/>
              <w:jc w:val="center"/>
              <w:rPr>
                <w:rFonts w:ascii="宋体" w:hAnsi="宋体" w:cs="宋体" w:eastAsia="宋体" w:hint="default"/>
                <w:sz w:val="16"/>
                <w:szCs w:val="16"/>
              </w:rPr>
            </w:pPr>
            <w:r>
              <w:rPr>
                <w:rFonts w:ascii="宋体" w:hAnsi="宋体" w:cs="宋体" w:eastAsia="宋体" w:hint="default"/>
                <w:sz w:val="16"/>
                <w:szCs w:val="16"/>
              </w:rPr>
              <w:t>购置资产</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356,242.80</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深圳长城开发科技股份有限公司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购置资产</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41,379.31</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南京中电熊猫家电有限公司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购置资产</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19,200.88</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购置资产</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23"/>
              <w:jc w:val="right"/>
              <w:rPr>
                <w:rFonts w:ascii="宋体" w:hAnsi="宋体" w:cs="宋体" w:eastAsia="宋体" w:hint="default"/>
                <w:sz w:val="16"/>
                <w:szCs w:val="16"/>
              </w:rPr>
            </w:pPr>
            <w:r>
              <w:rPr>
                <w:rFonts w:ascii="宋体"/>
                <w:w w:val="100"/>
                <w:sz w:val="16"/>
              </w:rPr>
              <w:t> </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6"/>
                <w:szCs w:val="16"/>
              </w:rPr>
            </w:pPr>
            <w:r>
              <w:rPr>
                <w:rFonts w:ascii="Times New Roman"/>
                <w:spacing w:val="-2"/>
                <w:sz w:val="16"/>
              </w:rPr>
              <w:t>439,441.51</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销售资产</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15,047,619.05</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销售资产</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23"/>
              <w:jc w:val="right"/>
              <w:rPr>
                <w:rFonts w:ascii="宋体" w:hAnsi="宋体" w:cs="宋体" w:eastAsia="宋体" w:hint="default"/>
                <w:sz w:val="16"/>
                <w:szCs w:val="16"/>
              </w:rPr>
            </w:pPr>
            <w:r>
              <w:rPr>
                <w:rFonts w:ascii="宋体"/>
                <w:w w:val="100"/>
                <w:sz w:val="16"/>
              </w:rPr>
              <w:t> </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6"/>
                <w:szCs w:val="16"/>
              </w:rPr>
            </w:pPr>
            <w:r>
              <w:rPr>
                <w:rFonts w:ascii="Times New Roman"/>
                <w:spacing w:val="-2"/>
                <w:sz w:val="16"/>
              </w:rPr>
              <w:t>858,670.54</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收取租赁代理费</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1,170,155.92</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10"/>
              <w:jc w:val="right"/>
              <w:rPr>
                <w:rFonts w:ascii="Times New Roman" w:hAnsi="Times New Roman" w:cs="Times New Roman" w:eastAsia="Times New Roman" w:hint="default"/>
                <w:sz w:val="16"/>
                <w:szCs w:val="16"/>
              </w:rPr>
            </w:pPr>
            <w:r>
              <w:rPr>
                <w:rFonts w:ascii="Times New Roman"/>
                <w:spacing w:val="-2"/>
                <w:sz w:val="16"/>
              </w:rPr>
              <w:t>1,120,811.12</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收取货款延付费</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2,647,392.45</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100"/>
                <w:sz w:val="16"/>
              </w:rPr>
              <w:t> </w:t>
            </w:r>
          </w:p>
        </w:tc>
      </w:tr>
      <w:tr>
        <w:trPr>
          <w:trHeight w:val="274" w:hRule="exact"/>
        </w:trPr>
        <w:tc>
          <w:tcPr>
            <w:tcW w:w="30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中电通商商业保理（天津）有限公司</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保理手续费</w:t>
            </w:r>
          </w:p>
        </w:tc>
        <w:tc>
          <w:tcPr>
            <w:tcW w:w="1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13,061,980.48</w:t>
            </w:r>
          </w:p>
        </w:tc>
        <w:tc>
          <w:tcPr>
            <w:tcW w:w="1901"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30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59" w:type="dxa"/>
            <w:tcBorders>
              <w:top w:val="dotted" w:sz="4" w:space="0" w:color="000000"/>
              <w:left w:val="dotted" w:sz="4" w:space="0" w:color="000000"/>
              <w:bottom w:val="single" w:sz="12" w:space="0" w:color="000000"/>
              <w:right w:val="dotted" w:sz="4" w:space="0" w:color="000000"/>
            </w:tcBorders>
          </w:tcPr>
          <w:p>
            <w:pPr/>
          </w:p>
        </w:tc>
        <w:tc>
          <w:tcPr>
            <w:tcW w:w="19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2"/>
                <w:sz w:val="16"/>
              </w:rPr>
              <w:t>115,636,015.28</w:t>
            </w:r>
          </w:p>
        </w:tc>
        <w:tc>
          <w:tcPr>
            <w:tcW w:w="190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6,649,680.77</w:t>
            </w:r>
          </w:p>
        </w:tc>
      </w:tr>
    </w:tbl>
    <w:p>
      <w:pPr>
        <w:spacing w:line="240" w:lineRule="auto" w:before="6"/>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9</w:t>
      </w:r>
      <w:r>
        <w:rPr/>
        <w:t>、</w:t>
        <w:tab/>
        <w:t>其他关联事项说明</w:t>
      </w:r>
      <w:r>
        <w:rPr>
          <w:b w:val="0"/>
          <w:bCs w:val="0"/>
        </w:rPr>
      </w:r>
    </w:p>
    <w:p>
      <w:pPr>
        <w:pStyle w:val="BodyText"/>
        <w:spacing w:line="307" w:lineRule="auto" w:before="69"/>
        <w:ind w:right="1679"/>
        <w:jc w:val="left"/>
      </w:pPr>
      <w:r>
        <w:rPr/>
        <w:t>（</w:t>
      </w:r>
      <w:r>
        <w:rPr>
          <w:rFonts w:ascii="Times New Roman" w:hAnsi="Times New Roman" w:cs="Times New Roman" w:eastAsia="Times New Roman" w:hint="default"/>
        </w:rPr>
        <w:t>1</w:t>
      </w:r>
      <w:r>
        <w:rPr/>
        <w:t>）出售凯杰科技</w:t>
      </w:r>
      <w:r>
        <w:rPr>
          <w:spacing w:val="-55"/>
        </w:rPr>
        <w:t> </w:t>
      </w:r>
      <w:r>
        <w:rPr>
          <w:rFonts w:ascii="Times New Roman" w:hAnsi="Times New Roman" w:cs="Times New Roman" w:eastAsia="Times New Roman" w:hint="default"/>
        </w:rPr>
        <w:t>100%</w:t>
      </w:r>
      <w:r>
        <w:rPr/>
        <w:t>股权暨关联交易</w:t>
      </w:r>
      <w:r>
        <w:rPr>
          <w:spacing w:val="-103"/>
        </w:rPr>
        <w:t> </w:t>
      </w:r>
      <w:r>
        <w:rPr>
          <w:spacing w:val="-103"/>
        </w:rPr>
      </w:r>
      <w:r>
        <w:rPr>
          <w:spacing w:val="-5"/>
        </w:rPr>
        <w:t>为加快聚焦主业，推进低效无效资产的清理整合，优化资源配置，提升公司发</w:t>
      </w:r>
      <w:r>
        <w:rPr>
          <w:spacing w:val="-49"/>
        </w:rPr>
        <w:t> </w:t>
      </w:r>
      <w:r>
        <w:rPr>
          <w:spacing w:val="-49"/>
        </w:rPr>
      </w:r>
      <w:r>
        <w:rPr>
          <w:spacing w:val="-12"/>
          <w:w w:val="100"/>
        </w:rPr>
        <w:t>展质量及管理效益，经</w:t>
      </w:r>
      <w:r>
        <w:rPr>
          <w:spacing w:val="-67"/>
          <w:w w:val="100"/>
        </w:rPr>
        <w:t> </w:t>
      </w:r>
      <w:r>
        <w:rPr>
          <w:rFonts w:ascii="Times New Roman" w:hAnsi="Times New Roman" w:cs="Times New Roman" w:eastAsia="Times New Roman" w:hint="default"/>
          <w:spacing w:val="-2"/>
          <w:w w:val="100"/>
        </w:rPr>
        <w:t>2019</w:t>
      </w:r>
      <w:r>
        <w:rPr>
          <w:rFonts w:ascii="Times New Roman" w:hAnsi="Times New Roman" w:cs="Times New Roman" w:eastAsia="Times New Roman" w:hint="default"/>
          <w:spacing w:val="-15"/>
          <w:w w:val="100"/>
        </w:rPr>
        <w:t> </w:t>
      </w:r>
      <w:r>
        <w:rPr>
          <w:w w:val="100"/>
        </w:rPr>
        <w:t>年</w:t>
      </w:r>
      <w:r>
        <w:rPr>
          <w:spacing w:val="-70"/>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7"/>
          <w:w w:val="100"/>
        </w:rPr>
        <w:t> </w:t>
      </w:r>
      <w:r>
        <w:rPr>
          <w:w w:val="100"/>
        </w:rPr>
        <w:t>月</w:t>
      </w:r>
      <w:r>
        <w:rPr>
          <w:spacing w:val="-67"/>
          <w:w w:val="100"/>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17"/>
          <w:w w:val="100"/>
        </w:rPr>
        <w:t> </w:t>
      </w:r>
      <w:r>
        <w:rPr>
          <w:spacing w:val="-2"/>
          <w:w w:val="100"/>
        </w:rPr>
        <w:t>日公司第七届董事会第十三次会议审议，</w:t>
      </w:r>
    </w:p>
    <w:p>
      <w:pPr>
        <w:pStyle w:val="BodyText"/>
        <w:spacing w:line="302" w:lineRule="auto" w:before="4"/>
        <w:ind w:right="1684"/>
        <w:jc w:val="left"/>
      </w:pPr>
      <w:r>
        <w:rPr/>
        <w:t>同意公司以</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5"/>
        </w:rPr>
        <w:t>日湖南凯杰科技有限责任公司（简称</w:t>
      </w:r>
      <w:r>
        <w:rPr>
          <w:rFonts w:ascii="Times New Roman" w:hAnsi="Times New Roman" w:cs="Times New Roman" w:eastAsia="Times New Roman" w:hint="default"/>
          <w:spacing w:val="-5"/>
        </w:rPr>
        <w:t>“</w:t>
      </w:r>
      <w:r>
        <w:rPr>
          <w:spacing w:val="-5"/>
        </w:rPr>
        <w:t>凯杰科技</w:t>
      </w:r>
      <w:r>
        <w:rPr>
          <w:rFonts w:ascii="Times New Roman" w:hAnsi="Times New Roman" w:cs="Times New Roman" w:eastAsia="Times New Roman" w:hint="default"/>
          <w:spacing w:val="-5"/>
        </w:rPr>
        <w:t>”</w:t>
      </w:r>
      <w:r>
        <w:rPr>
          <w:spacing w:val="-5"/>
        </w:rPr>
        <w:t>）</w:t>
      </w:r>
      <w:r>
        <w:rPr>
          <w:w w:val="100"/>
        </w:rPr>
        <w:t> </w:t>
      </w:r>
      <w:r>
        <w:rPr/>
        <w:t>净资产评估价值为基础，向关联方中电工业互联网有限公司转让凯杰科技</w:t>
      </w:r>
      <w:r>
        <w:rPr>
          <w:w w:val="100"/>
        </w:rPr>
        <w:t> </w:t>
      </w:r>
      <w:r>
        <w:rPr>
          <w:rFonts w:ascii="Times New Roman" w:hAnsi="Times New Roman" w:cs="Times New Roman" w:eastAsia="Times New Roman" w:hint="default"/>
        </w:rPr>
        <w:t>100%</w:t>
      </w:r>
      <w:r>
        <w:rPr/>
        <w:t>股权，转让价格为人民币</w:t>
      </w:r>
      <w:r>
        <w:rPr>
          <w:spacing w:val="-55"/>
        </w:rPr>
        <w:t> </w:t>
      </w:r>
      <w:r>
        <w:rPr>
          <w:rFonts w:ascii="Times New Roman" w:hAnsi="Times New Roman" w:cs="Times New Roman" w:eastAsia="Times New Roman" w:hint="default"/>
        </w:rPr>
        <w:t>3,211.40</w:t>
      </w:r>
      <w:r>
        <w:rPr>
          <w:rFonts w:ascii="Times New Roman" w:hAnsi="Times New Roman" w:cs="Times New Roman" w:eastAsia="Times New Roman" w:hint="default"/>
          <w:spacing w:val="-5"/>
        </w:rPr>
        <w:t> </w:t>
      </w:r>
      <w:r>
        <w:rPr/>
        <w:t>万元加减过渡期运营发生的损益。报</w:t>
      </w:r>
      <w:r>
        <w:rPr>
          <w:w w:val="100"/>
        </w:rPr>
        <w:t> </w:t>
      </w:r>
      <w:r>
        <w:rPr/>
        <w:t>告期内交易完成，公司不再持有凯杰科技的股权。</w:t>
      </w:r>
    </w:p>
    <w:p>
      <w:pPr>
        <w:spacing w:after="0" w:line="302" w:lineRule="auto"/>
        <w:jc w:val="left"/>
        <w:sectPr>
          <w:pgSz w:w="11910" w:h="16840"/>
          <w:pgMar w:header="753" w:footer="997" w:top="1500" w:bottom="1180" w:left="1660" w:right="0"/>
        </w:sectPr>
      </w:pPr>
    </w:p>
    <w:p>
      <w:pPr>
        <w:spacing w:line="240" w:lineRule="auto" w:before="13"/>
        <w:rPr>
          <w:rFonts w:ascii="宋体" w:hAnsi="宋体" w:cs="宋体" w:eastAsia="宋体" w:hint="default"/>
          <w:sz w:val="19"/>
          <w:szCs w:val="19"/>
        </w:rPr>
      </w:pPr>
    </w:p>
    <w:p>
      <w:pPr>
        <w:pStyle w:val="BodyText"/>
        <w:spacing w:line="297" w:lineRule="auto"/>
        <w:ind w:right="1785"/>
        <w:jc w:val="left"/>
      </w:pPr>
      <w:r>
        <w:rPr/>
        <w:t>（</w:t>
      </w:r>
      <w:r>
        <w:rPr>
          <w:rFonts w:ascii="Times New Roman" w:hAnsi="Times New Roman" w:cs="Times New Roman" w:eastAsia="Times New Roman" w:hint="default"/>
        </w:rPr>
        <w:t>2</w:t>
      </w:r>
      <w:r>
        <w:rPr/>
        <w:t>）长城信安购买长城银河无形资产暨关联交易</w:t>
      </w:r>
      <w:r>
        <w:rPr>
          <w:w w:val="100"/>
        </w:rPr>
        <w:t> </w:t>
      </w:r>
      <w:r>
        <w:rPr>
          <w:spacing w:val="-4"/>
        </w:rPr>
        <w:t>基于全资子公司深圳中电长城信息安全系统有限公司（简称</w:t>
      </w:r>
      <w:r>
        <w:rPr>
          <w:rFonts w:ascii="Times New Roman" w:hAnsi="Times New Roman" w:cs="Times New Roman" w:eastAsia="Times New Roman" w:hint="default"/>
          <w:spacing w:val="-4"/>
        </w:rPr>
        <w:t>“</w:t>
      </w:r>
      <w:r>
        <w:rPr>
          <w:spacing w:val="-4"/>
        </w:rPr>
        <w:t>长城信安</w:t>
      </w:r>
      <w:r>
        <w:rPr>
          <w:rFonts w:ascii="Times New Roman" w:hAnsi="Times New Roman" w:cs="Times New Roman" w:eastAsia="Times New Roman" w:hint="default"/>
          <w:spacing w:val="-4"/>
        </w:rPr>
        <w:t>”</w:t>
      </w:r>
      <w:r>
        <w:rPr>
          <w:spacing w:val="-4"/>
        </w:rPr>
        <w:t>）战略</w:t>
      </w:r>
      <w:r>
        <w:rPr>
          <w:spacing w:val="-51"/>
        </w:rPr>
        <w:t> </w:t>
      </w:r>
      <w:r>
        <w:rPr>
          <w:spacing w:val="-51"/>
        </w:rPr>
      </w:r>
      <w:r>
        <w:rPr/>
        <w:t>和业务发展需要，为持续提升</w:t>
      </w:r>
      <w:r>
        <w:rPr>
          <w:spacing w:val="-57"/>
        </w:rPr>
        <w:t> </w:t>
      </w:r>
      <w:r>
        <w:rPr>
          <w:rFonts w:ascii="Times New Roman" w:hAnsi="Times New Roman" w:cs="Times New Roman" w:eastAsia="Times New Roman" w:hint="default"/>
        </w:rPr>
        <w:t>ZZKK</w:t>
      </w:r>
      <w:r>
        <w:rPr>
          <w:rFonts w:ascii="Times New Roman" w:hAnsi="Times New Roman" w:cs="Times New Roman" w:eastAsia="Times New Roman" w:hint="default"/>
          <w:spacing w:val="-1"/>
        </w:rPr>
        <w:t> </w:t>
      </w:r>
      <w:r>
        <w:rPr/>
        <w:t>产品技术先进性和核心竞争力，经</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w w:val="100"/>
        </w:rPr>
        <w:t> </w:t>
      </w:r>
      <w:r>
        <w:rPr>
          <w:w w:val="100"/>
        </w:rPr>
        <w:t>年</w:t>
      </w:r>
      <w:r>
        <w:rPr>
          <w:spacing w:val="-53"/>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 </w:t>
      </w:r>
      <w:r>
        <w:rPr>
          <w:w w:val="100"/>
        </w:rPr>
        <w:t>月</w:t>
      </w:r>
      <w:r>
        <w:rPr>
          <w:spacing w:val="-53"/>
          <w:w w:val="100"/>
        </w:rPr>
        <w:t> </w:t>
      </w:r>
      <w:r>
        <w:rPr>
          <w:rFonts w:ascii="Times New Roman" w:hAnsi="Times New Roman" w:cs="Times New Roman" w:eastAsia="Times New Roman" w:hint="default"/>
          <w:w w:val="100"/>
        </w:rPr>
        <w:t>4 </w:t>
      </w:r>
      <w:r>
        <w:rPr>
          <w:spacing w:val="-5"/>
          <w:w w:val="100"/>
        </w:rPr>
        <w:t>日公司第七届董事会第十六次会议审议，同意长城信安购买关联方湖</w:t>
      </w:r>
      <w:r>
        <w:rPr>
          <w:w w:val="100"/>
        </w:rPr>
        <w:t> </w:t>
      </w:r>
      <w:r>
        <w:rPr>
          <w:spacing w:val="-7"/>
        </w:rPr>
        <w:t>南长城银河科技有限公司（简称</w:t>
      </w:r>
      <w:r>
        <w:rPr>
          <w:rFonts w:ascii="Times New Roman" w:hAnsi="Times New Roman" w:cs="Times New Roman" w:eastAsia="Times New Roman" w:hint="default"/>
          <w:spacing w:val="-7"/>
        </w:rPr>
        <w:t>“</w:t>
      </w:r>
      <w:r>
        <w:rPr>
          <w:spacing w:val="-7"/>
        </w:rPr>
        <w:t>长城银河</w:t>
      </w:r>
      <w:r>
        <w:rPr>
          <w:rFonts w:ascii="Times New Roman" w:hAnsi="Times New Roman" w:cs="Times New Roman" w:eastAsia="Times New Roman" w:hint="default"/>
          <w:spacing w:val="-7"/>
        </w:rPr>
        <w:t>”</w:t>
      </w:r>
      <w:r>
        <w:rPr>
          <w:spacing w:val="-7"/>
        </w:rPr>
        <w:t>，为公司持股 </w:t>
      </w:r>
      <w:r>
        <w:rPr>
          <w:rFonts w:ascii="Times New Roman" w:hAnsi="Times New Roman" w:cs="Times New Roman" w:eastAsia="Times New Roman" w:hint="default"/>
          <w:spacing w:val="-8"/>
        </w:rPr>
        <w:t>40%</w:t>
      </w:r>
      <w:r>
        <w:rPr>
          <w:spacing w:val="-8"/>
        </w:rPr>
        <w:t>的参股公司）</w:t>
      </w:r>
      <w:r>
        <w:rPr>
          <w:rFonts w:ascii="Times New Roman" w:hAnsi="Times New Roman" w:cs="Times New Roman" w:eastAsia="Times New Roman" w:hint="default"/>
          <w:spacing w:val="-8"/>
        </w:rPr>
        <w:t>“</w:t>
      </w:r>
      <w:r>
        <w:rPr>
          <w:spacing w:val="-8"/>
        </w:rPr>
        <w:t>基</w:t>
      </w:r>
      <w:r>
        <w:rPr>
          <w:spacing w:val="-79"/>
        </w:rPr>
        <w:t> </w:t>
      </w:r>
      <w:r>
        <w:rPr/>
        <w:t>于飞腾芯片的</w:t>
      </w:r>
      <w:r>
        <w:rPr>
          <w:spacing w:val="-37"/>
        </w:rPr>
        <w:t> </w:t>
      </w:r>
      <w:r>
        <w:rPr>
          <w:rFonts w:ascii="Times New Roman" w:hAnsi="Times New Roman" w:cs="Times New Roman" w:eastAsia="Times New Roman" w:hint="default"/>
        </w:rPr>
        <w:t>ZZKK</w:t>
      </w:r>
      <w:r>
        <w:rPr>
          <w:rFonts w:ascii="Times New Roman" w:hAnsi="Times New Roman" w:cs="Times New Roman" w:eastAsia="Times New Roman" w:hint="default"/>
          <w:spacing w:val="20"/>
        </w:rPr>
        <w:t> </w:t>
      </w:r>
      <w:r>
        <w:rPr>
          <w:spacing w:val="-3"/>
        </w:rPr>
        <w:t>系列整机</w:t>
      </w:r>
      <w:r>
        <w:rPr>
          <w:rFonts w:ascii="Times New Roman" w:hAnsi="Times New Roman" w:cs="Times New Roman" w:eastAsia="Times New Roman" w:hint="default"/>
          <w:spacing w:val="-3"/>
        </w:rPr>
        <w:t>”</w:t>
      </w:r>
      <w:r>
        <w:rPr>
          <w:spacing w:val="-3"/>
        </w:rPr>
        <w:t>专有技术所有权及部分专利使用权资产（专利</w:t>
      </w:r>
      <w:r>
        <w:rPr>
          <w:spacing w:val="-97"/>
        </w:rPr>
        <w:t> </w:t>
      </w:r>
      <w:r>
        <w:rPr>
          <w:spacing w:val="-97"/>
        </w:rPr>
      </w:r>
      <w:r>
        <w:rPr>
          <w:w w:val="100"/>
        </w:rPr>
        <w:t>权</w:t>
      </w:r>
      <w:r>
        <w:rPr>
          <w:spacing w:val="-53"/>
          <w:w w:val="100"/>
        </w:rPr>
        <w:t> </w:t>
      </w:r>
      <w:r>
        <w:rPr>
          <w:rFonts w:ascii="Times New Roman" w:hAnsi="Times New Roman" w:cs="Times New Roman" w:eastAsia="Times New Roman" w:hint="default"/>
          <w:w w:val="100"/>
        </w:rPr>
        <w:t>35</w:t>
      </w:r>
      <w:r>
        <w:rPr>
          <w:rFonts w:ascii="Times New Roman" w:hAnsi="Times New Roman" w:cs="Times New Roman" w:eastAsia="Times New Roman" w:hint="default"/>
          <w:spacing w:val="-3"/>
          <w:w w:val="100"/>
        </w:rPr>
        <w:t> </w:t>
      </w:r>
      <w:r>
        <w:rPr>
          <w:spacing w:val="-1"/>
          <w:w w:val="100"/>
        </w:rPr>
        <w:t>项和专有技术</w:t>
      </w:r>
      <w:r>
        <w:rPr>
          <w:spacing w:val="-55"/>
          <w:w w:val="100"/>
        </w:rPr>
        <w:t> </w:t>
      </w:r>
      <w:r>
        <w:rPr>
          <w:rFonts w:ascii="Times New Roman" w:hAnsi="Times New Roman" w:cs="Times New Roman" w:eastAsia="Times New Roman" w:hint="default"/>
          <w:w w:val="100"/>
        </w:rPr>
        <w:t>857</w:t>
      </w:r>
      <w:r>
        <w:rPr>
          <w:rFonts w:ascii="Times New Roman" w:hAnsi="Times New Roman" w:cs="Times New Roman" w:eastAsia="Times New Roman" w:hint="default"/>
          <w:spacing w:val="-3"/>
          <w:w w:val="100"/>
        </w:rPr>
        <w:t> </w:t>
      </w:r>
      <w:r>
        <w:rPr>
          <w:spacing w:val="-7"/>
          <w:w w:val="100"/>
        </w:rPr>
        <w:t>项）。交易价格以长城银河转让无形资产截至</w:t>
      </w:r>
      <w:r>
        <w:rPr>
          <w:spacing w:val="-52"/>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w w:val="100"/>
        </w:rPr>
        <w:t> </w:t>
      </w:r>
      <w:r>
        <w:rPr>
          <w:w w:val="100"/>
        </w:rPr>
        <w:t>年</w:t>
      </w:r>
    </w:p>
    <w:p>
      <w:pPr>
        <w:pStyle w:val="BodyText"/>
        <w:spacing w:line="240" w:lineRule="auto" w:before="13"/>
        <w:ind w:right="1468"/>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spacing w:val="-4"/>
        </w:rPr>
        <w:t>日的评估价值为基础，经双方协商一致，确定为人民币</w:t>
      </w:r>
      <w:r>
        <w:rPr>
          <w:spacing w:val="-45"/>
        </w:rPr>
        <w:t> </w:t>
      </w:r>
      <w:r>
        <w:rPr>
          <w:rFonts w:ascii="Times New Roman" w:hAnsi="Times New Roman" w:cs="Times New Roman" w:eastAsia="Times New Roman" w:hint="default"/>
        </w:rPr>
        <w:t>4,155.00</w:t>
      </w:r>
      <w:r>
        <w:rPr>
          <w:rFonts w:ascii="Times New Roman" w:hAnsi="Times New Roman" w:cs="Times New Roman" w:eastAsia="Times New Roman" w:hint="default"/>
          <w:spacing w:val="5"/>
        </w:rPr>
        <w:t> </w:t>
      </w:r>
      <w:r>
        <w:rPr/>
        <w:t>万元。</w:t>
      </w:r>
    </w:p>
    <w:p>
      <w:pPr>
        <w:pStyle w:val="BodyText"/>
        <w:spacing w:line="300" w:lineRule="auto" w:before="69"/>
        <w:ind w:right="1468"/>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）中原电子收购中电财务</w:t>
      </w:r>
      <w:r>
        <w:rPr>
          <w:spacing w:val="-54"/>
        </w:rPr>
        <w:t> </w:t>
      </w:r>
      <w:r>
        <w:rPr>
          <w:rFonts w:ascii="Times New Roman" w:hAnsi="Times New Roman" w:cs="Times New Roman" w:eastAsia="Times New Roman" w:hint="default"/>
        </w:rPr>
        <w:t>15%</w:t>
      </w:r>
      <w:r>
        <w:rPr/>
        <w:t>股权暨关联交易</w:t>
      </w:r>
      <w:r>
        <w:rPr>
          <w:w w:val="100"/>
        </w:rPr>
        <w:t> </w:t>
      </w:r>
      <w:r>
        <w:rPr>
          <w:spacing w:val="-4"/>
        </w:rPr>
        <w:t>为了更好利用中国电子财务有限责任公司（简称</w:t>
      </w:r>
      <w:r>
        <w:rPr>
          <w:rFonts w:ascii="Times New Roman" w:hAnsi="Times New Roman" w:cs="Times New Roman" w:eastAsia="Times New Roman" w:hint="default"/>
          <w:spacing w:val="-4"/>
        </w:rPr>
        <w:t>“</w:t>
      </w:r>
      <w:r>
        <w:rPr>
          <w:spacing w:val="-4"/>
        </w:rPr>
        <w:t>中电财务</w:t>
      </w:r>
      <w:r>
        <w:rPr>
          <w:rFonts w:ascii="Times New Roman" w:hAnsi="Times New Roman" w:cs="Times New Roman" w:eastAsia="Times New Roman" w:hint="default"/>
          <w:spacing w:val="-4"/>
        </w:rPr>
        <w:t>”</w:t>
      </w:r>
      <w:r>
        <w:rPr>
          <w:spacing w:val="-4"/>
        </w:rPr>
        <w:t>）的金融平台做好</w:t>
      </w:r>
      <w:r>
        <w:rPr>
          <w:spacing w:val="-51"/>
        </w:rPr>
        <w:t> </w:t>
      </w:r>
      <w:r>
        <w:rPr>
          <w:spacing w:val="-51"/>
        </w:rPr>
      </w:r>
      <w:r>
        <w:rPr>
          <w:spacing w:val="-5"/>
        </w:rPr>
        <w:t>公司资金管理及存贷工作，通过优质金融资产和业务促进公司实业发展，同时</w:t>
      </w:r>
      <w:r>
        <w:rPr>
          <w:spacing w:val="-46"/>
        </w:rPr>
        <w:t> </w:t>
      </w:r>
      <w:r>
        <w:rPr>
          <w:spacing w:val="-46"/>
        </w:rPr>
      </w:r>
      <w:r>
        <w:rPr>
          <w:spacing w:val="-4"/>
        </w:rPr>
        <w:t>考虑到下属全资公司武汉中原电子集团有限公司（简称</w:t>
      </w:r>
      <w:r>
        <w:rPr>
          <w:rFonts w:ascii="Times New Roman" w:hAnsi="Times New Roman" w:cs="Times New Roman" w:eastAsia="Times New Roman" w:hint="default"/>
          <w:spacing w:val="-4"/>
        </w:rPr>
        <w:t>“</w:t>
      </w:r>
      <w:r>
        <w:rPr>
          <w:spacing w:val="-4"/>
        </w:rPr>
        <w:t>中原电子</w:t>
      </w:r>
      <w:r>
        <w:rPr>
          <w:rFonts w:ascii="Times New Roman" w:hAnsi="Times New Roman" w:cs="Times New Roman" w:eastAsia="Times New Roman" w:hint="default"/>
          <w:spacing w:val="-4"/>
        </w:rPr>
        <w:t>”</w:t>
      </w:r>
      <w:r>
        <w:rPr>
          <w:spacing w:val="-4"/>
        </w:rPr>
        <w:t>）原已持有</w:t>
      </w:r>
      <w:r>
        <w:rPr>
          <w:spacing w:val="-53"/>
        </w:rPr>
        <w:t> </w:t>
      </w:r>
      <w:r>
        <w:rPr>
          <w:spacing w:val="-53"/>
        </w:rPr>
      </w:r>
      <w:r>
        <w:rPr/>
        <w:t>中电财务 </w:t>
      </w:r>
      <w:r>
        <w:rPr>
          <w:rFonts w:ascii="Times New Roman" w:hAnsi="Times New Roman" w:cs="Times New Roman" w:eastAsia="Times New Roman" w:hint="default"/>
          <w:spacing w:val="-4"/>
        </w:rPr>
        <w:t>5.7112%</w:t>
      </w:r>
      <w:r>
        <w:rPr>
          <w:spacing w:val="-4"/>
        </w:rPr>
        <w:t>的股权，相对而言更为熟悉中电财务的内部管理流程，为方</w:t>
      </w:r>
      <w:r>
        <w:rPr>
          <w:spacing w:val="-99"/>
        </w:rPr>
        <w:t> </w:t>
      </w:r>
      <w:r>
        <w:rPr>
          <w:spacing w:val="-99"/>
        </w:rPr>
      </w:r>
      <w:r>
        <w:rPr>
          <w:spacing w:val="-5"/>
        </w:rPr>
        <w:t>便收购后的股权统一归集管理，经</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spacing w:val="-5"/>
        </w:rPr>
        <w:t>日公司第六届董事会、</w:t>
      </w:r>
      <w:r>
        <w:rPr>
          <w:rFonts w:ascii="Times New Roman" w:hAnsi="Times New Roman" w:cs="Times New Roman" w:eastAsia="Times New Roman" w:hint="default"/>
          <w:spacing w:val="-5"/>
        </w:rPr>
        <w:t>2017</w:t>
      </w:r>
    </w:p>
    <w:p>
      <w:pPr>
        <w:pStyle w:val="BodyText"/>
        <w:spacing w:line="240" w:lineRule="auto" w:before="11"/>
        <w:ind w:right="1468"/>
        <w:jc w:val="left"/>
      </w:pP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日公司</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年度第三次临时股东大会、</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日公司第七</w:t>
      </w:r>
    </w:p>
    <w:p>
      <w:pPr>
        <w:pStyle w:val="BodyText"/>
        <w:spacing w:line="297" w:lineRule="auto" w:before="69"/>
        <w:ind w:right="1685"/>
        <w:jc w:val="both"/>
      </w:pPr>
      <w:r>
        <w:rPr/>
        <w:t>届董事会第十八次会议、</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5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日公司</w:t>
      </w:r>
      <w:r>
        <w:rPr>
          <w:spacing w:val="-53"/>
        </w:rPr>
        <w:t> </w:t>
      </w:r>
      <w:r>
        <w:rPr>
          <w:rFonts w:ascii="Times New Roman" w:hAnsi="Times New Roman" w:cs="Times New Roman" w:eastAsia="Times New Roman" w:hint="default"/>
        </w:rPr>
        <w:t>2018 </w:t>
      </w:r>
      <w:r>
        <w:rPr/>
        <w:t>年度股东大会审议，同</w:t>
      </w:r>
      <w:r>
        <w:rPr>
          <w:w w:val="100"/>
        </w:rPr>
        <w:t> </w:t>
      </w:r>
      <w:r>
        <w:rPr>
          <w:spacing w:val="-4"/>
        </w:rPr>
        <w:t>意中原电子与中国电子信息产业集团有限公司（简称</w:t>
      </w:r>
      <w:r>
        <w:rPr>
          <w:rFonts w:ascii="Times New Roman" w:hAnsi="Times New Roman" w:cs="Times New Roman" w:eastAsia="Times New Roman" w:hint="default"/>
          <w:spacing w:val="-4"/>
        </w:rPr>
        <w:t>“</w:t>
      </w:r>
      <w:r>
        <w:rPr>
          <w:spacing w:val="-4"/>
        </w:rPr>
        <w:t>中国电子</w:t>
      </w:r>
      <w:r>
        <w:rPr>
          <w:rFonts w:ascii="Times New Roman" w:hAnsi="Times New Roman" w:cs="Times New Roman" w:eastAsia="Times New Roman" w:hint="default"/>
          <w:spacing w:val="-4"/>
        </w:rPr>
        <w:t>”</w:t>
      </w:r>
      <w:r>
        <w:rPr>
          <w:spacing w:val="-4"/>
        </w:rPr>
        <w:t>，公司控股股</w:t>
      </w:r>
      <w:r>
        <w:rPr>
          <w:spacing w:val="-55"/>
        </w:rPr>
        <w:t> </w:t>
      </w:r>
      <w:r>
        <w:rPr>
          <w:spacing w:val="-55"/>
        </w:rPr>
      </w:r>
      <w:r>
        <w:rPr>
          <w:spacing w:val="-6"/>
          <w:w w:val="100"/>
        </w:rPr>
        <w:t>东及实际控制人）就收购中电财务</w:t>
      </w:r>
      <w:r>
        <w:rPr>
          <w:spacing w:val="-31"/>
          <w:w w:val="100"/>
        </w:rPr>
        <w:t> </w:t>
      </w:r>
      <w:r>
        <w:rPr>
          <w:rFonts w:ascii="Times New Roman" w:hAnsi="Times New Roman" w:cs="Times New Roman" w:eastAsia="Times New Roman" w:hint="default"/>
          <w:spacing w:val="-10"/>
          <w:w w:val="100"/>
        </w:rPr>
        <w:t>15%</w:t>
      </w:r>
      <w:r>
        <w:rPr>
          <w:spacing w:val="-10"/>
          <w:w w:val="100"/>
        </w:rPr>
        <w:t>股权事宜签署及更新《股权转让协议》。</w:t>
      </w:r>
    </w:p>
    <w:p>
      <w:pPr>
        <w:pStyle w:val="BodyText"/>
        <w:spacing w:line="304" w:lineRule="auto" w:before="13"/>
        <w:ind w:right="1736"/>
        <w:jc w:val="left"/>
      </w:pPr>
      <w:r>
        <w:rPr/>
        <w:t>（</w:t>
      </w:r>
      <w:r>
        <w:rPr>
          <w:rFonts w:ascii="Times New Roman" w:hAnsi="Times New Roman" w:cs="Times New Roman" w:eastAsia="Times New Roman" w:hint="default"/>
        </w:rPr>
        <w:t>4</w:t>
      </w:r>
      <w:r>
        <w:rPr/>
        <w:t>）重大资产重组之年度业绩补偿方案实施情况</w:t>
      </w:r>
      <w:r>
        <w:rPr>
          <w:w w:val="100"/>
        </w:rPr>
        <w:t> </w:t>
      </w:r>
      <w:r>
        <w:rPr/>
        <w:t>因公司重大资产重组购入资产北京圣非凡电子系统技术开发有限公司（简称</w:t>
      </w:r>
      <w:r>
        <w:rPr>
          <w:w w:val="100"/>
        </w:rPr>
        <w:t> </w:t>
      </w:r>
      <w:r>
        <w:rPr>
          <w:rFonts w:ascii="Times New Roman" w:hAnsi="Times New Roman" w:cs="Times New Roman" w:eastAsia="Times New Roman" w:hint="default"/>
          <w:spacing w:val="-10"/>
        </w:rPr>
        <w:t>“</w:t>
      </w:r>
      <w:r>
        <w:rPr>
          <w:spacing w:val="-10"/>
        </w:rPr>
        <w:t>圣非凡</w:t>
      </w:r>
      <w:r>
        <w:rPr>
          <w:rFonts w:ascii="Times New Roman" w:hAnsi="Times New Roman" w:cs="Times New Roman" w:eastAsia="Times New Roman" w:hint="default"/>
          <w:spacing w:val="-10"/>
        </w:rPr>
        <w:t>”</w:t>
      </w:r>
      <w:r>
        <w:rPr>
          <w:spacing w:val="-10"/>
        </w:rPr>
        <w:t>）</w:t>
      </w:r>
      <w:r>
        <w:rPr>
          <w:rFonts w:ascii="Times New Roman" w:hAnsi="Times New Roman" w:cs="Times New Roman" w:eastAsia="Times New Roman" w:hint="default"/>
          <w:spacing w:val="-10"/>
        </w:rPr>
        <w:t>2018</w:t>
      </w:r>
      <w:r>
        <w:rPr>
          <w:rFonts w:ascii="Times New Roman" w:hAnsi="Times New Roman" w:cs="Times New Roman" w:eastAsia="Times New Roman" w:hint="default"/>
          <w:spacing w:val="7"/>
        </w:rPr>
        <w:t> </w:t>
      </w:r>
      <w:r>
        <w:rPr/>
        <w:t>年度扣除非经常性损益归属于母公司所有者的净利润未达业绩</w:t>
      </w:r>
      <w:r>
        <w:rPr>
          <w:spacing w:val="-103"/>
        </w:rPr>
        <w:t> </w:t>
      </w:r>
      <w:r>
        <w:rPr>
          <w:spacing w:val="-103"/>
        </w:rPr>
      </w:r>
      <w:r>
        <w:rPr>
          <w:spacing w:val="-3"/>
        </w:rPr>
        <w:t>承诺，资产注入方中国电子需向公司进行股份补偿，根据双方签署的《盈利预</w:t>
      </w:r>
      <w:r>
        <w:rPr>
          <w:spacing w:val="-64"/>
        </w:rPr>
        <w:t> </w:t>
      </w:r>
      <w:r>
        <w:rPr>
          <w:spacing w:val="-64"/>
        </w:rPr>
      </w:r>
      <w:r>
        <w:rPr>
          <w:spacing w:val="-11"/>
          <w:w w:val="100"/>
        </w:rPr>
        <w:t>测补偿协议》、《盈利预测补偿协议之补充协议》约定，公司以</w:t>
      </w:r>
      <w:r>
        <w:rPr>
          <w:spacing w:val="-49"/>
          <w:w w:val="100"/>
        </w:rPr>
        <w:t> </w:t>
      </w:r>
      <w:r>
        <w:rPr>
          <w:rFonts w:ascii="Times New Roman" w:hAnsi="Times New Roman" w:cs="Times New Roman" w:eastAsia="Times New Roman" w:hint="default"/>
          <w:w w:val="100"/>
        </w:rPr>
        <w:t>1 </w:t>
      </w:r>
      <w:r>
        <w:rPr>
          <w:spacing w:val="-2"/>
          <w:w w:val="100"/>
        </w:rPr>
        <w:t>元的价格回购</w:t>
      </w:r>
    </w:p>
    <w:p>
      <w:pPr>
        <w:pStyle w:val="BodyText"/>
        <w:spacing w:line="240" w:lineRule="auto" w:before="6"/>
        <w:ind w:right="1468"/>
        <w:jc w:val="left"/>
      </w:pPr>
      <w:r>
        <w:rPr/>
        <w:t>中国电子</w:t>
      </w:r>
      <w:r>
        <w:rPr>
          <w:spacing w:val="-53"/>
        </w:rPr>
        <w:t> </w:t>
      </w:r>
      <w:r>
        <w:rPr>
          <w:rFonts w:ascii="Times New Roman" w:hAnsi="Times New Roman" w:cs="Times New Roman" w:eastAsia="Times New Roman" w:hint="default"/>
        </w:rPr>
        <w:t>7,983,507</w:t>
      </w:r>
      <w:r>
        <w:rPr>
          <w:rFonts w:ascii="Times New Roman" w:hAnsi="Times New Roman" w:cs="Times New Roman" w:eastAsia="Times New Roman" w:hint="default"/>
          <w:spacing w:val="-4"/>
        </w:rPr>
        <w:t> </w:t>
      </w:r>
      <w:r>
        <w:rPr/>
        <w:t>股并注销。业绩补偿方案已经</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日公司第七</w:t>
      </w:r>
    </w:p>
    <w:p>
      <w:pPr>
        <w:pStyle w:val="BodyText"/>
        <w:spacing w:line="240" w:lineRule="auto" w:before="69"/>
        <w:ind w:right="1468"/>
        <w:jc w:val="left"/>
      </w:pPr>
      <w:r>
        <w:rPr/>
        <w:t>届董事会第十八次会议、</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5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日公司</w:t>
      </w:r>
      <w:r>
        <w:rPr>
          <w:spacing w:val="-53"/>
        </w:rPr>
        <w:t> </w:t>
      </w:r>
      <w:r>
        <w:rPr>
          <w:rFonts w:ascii="Times New Roman" w:hAnsi="Times New Roman" w:cs="Times New Roman" w:eastAsia="Times New Roman" w:hint="default"/>
        </w:rPr>
        <w:t>2018 </w:t>
      </w:r>
      <w:r>
        <w:rPr/>
        <w:t>年度股东大会审议通过。</w:t>
      </w:r>
    </w:p>
    <w:p>
      <w:pPr>
        <w:pStyle w:val="BodyText"/>
        <w:spacing w:line="240" w:lineRule="auto" w:before="69"/>
        <w:ind w:right="1468"/>
        <w:jc w:val="left"/>
      </w:pPr>
      <w:r>
        <w:rPr/>
        <w:t>业绩补偿股份于</w:t>
      </w:r>
      <w:r>
        <w:rPr>
          <w:spacing w:val="-52"/>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日在中国证券登记结算有限责任公司深圳分公</w:t>
      </w:r>
    </w:p>
    <w:p>
      <w:pPr>
        <w:pStyle w:val="BodyText"/>
        <w:spacing w:line="240" w:lineRule="auto" w:before="69"/>
        <w:ind w:right="1468"/>
        <w:jc w:val="left"/>
      </w:pPr>
      <w:r>
        <w:rPr/>
        <w:t>司完成注销手续，公司股本总额变更为</w:t>
      </w:r>
      <w:r>
        <w:rPr>
          <w:spacing w:val="-55"/>
        </w:rPr>
        <w:t> </w:t>
      </w:r>
      <w:r>
        <w:rPr>
          <w:rFonts w:ascii="Times New Roman" w:hAnsi="Times New Roman" w:cs="Times New Roman" w:eastAsia="Times New Roman" w:hint="default"/>
        </w:rPr>
        <w:t>2,928,182,053</w:t>
      </w:r>
      <w:r>
        <w:rPr>
          <w:rFonts w:ascii="Times New Roman" w:hAnsi="Times New Roman" w:cs="Times New Roman" w:eastAsia="Times New Roman" w:hint="default"/>
          <w:spacing w:val="-3"/>
        </w:rPr>
        <w:t> </w:t>
      </w:r>
      <w:r>
        <w:rPr/>
        <w:t>股，中国电子持有公司</w:t>
      </w:r>
    </w:p>
    <w:p>
      <w:pPr>
        <w:pStyle w:val="BodyText"/>
        <w:spacing w:line="240" w:lineRule="auto" w:before="69"/>
        <w:ind w:right="0"/>
        <w:jc w:val="left"/>
      </w:pPr>
      <w:r>
        <w:rPr>
          <w:rFonts w:ascii="Times New Roman" w:hAnsi="Times New Roman" w:cs="Times New Roman" w:eastAsia="Times New Roman" w:hint="default"/>
        </w:rPr>
        <w:t>1,188,482,503  </w:t>
      </w:r>
      <w:r>
        <w:rPr>
          <w:spacing w:val="-7"/>
        </w:rPr>
        <w:t>股，占公司股本总额的</w:t>
      </w:r>
      <w:r>
        <w:rPr>
          <w:spacing w:val="-41"/>
        </w:rPr>
        <w:t> </w:t>
      </w:r>
      <w:r>
        <w:rPr>
          <w:rFonts w:ascii="Times New Roman" w:hAnsi="Times New Roman" w:cs="Times New Roman" w:eastAsia="Times New Roman" w:hint="default"/>
          <w:spacing w:val="-4"/>
        </w:rPr>
        <w:t>40.59%</w:t>
      </w:r>
      <w:r>
        <w:rPr>
          <w:spacing w:val="-4"/>
        </w:rPr>
        <w:t>，仍为公司控股股东及实际控制人。</w:t>
      </w:r>
    </w:p>
    <w:p>
      <w:pPr>
        <w:pStyle w:val="BodyText"/>
        <w:spacing w:line="240" w:lineRule="auto" w:before="69"/>
        <w:ind w:right="146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日公司实施</w:t>
      </w:r>
      <w:r>
        <w:rPr>
          <w:spacing w:val="-53"/>
        </w:rPr>
        <w:t> </w:t>
      </w:r>
      <w:r>
        <w:rPr>
          <w:rFonts w:ascii="Times New Roman" w:hAnsi="Times New Roman" w:cs="Times New Roman" w:eastAsia="Times New Roman" w:hint="default"/>
        </w:rPr>
        <w:t>2018 </w:t>
      </w:r>
      <w:r>
        <w:rPr/>
        <w:t>年度权益分派，以</w:t>
      </w:r>
      <w:r>
        <w:rPr>
          <w:spacing w:val="-53"/>
        </w:rPr>
        <w:t> </w:t>
      </w:r>
      <w:r>
        <w:rPr>
          <w:rFonts w:ascii="Times New Roman" w:hAnsi="Times New Roman" w:cs="Times New Roman" w:eastAsia="Times New Roman" w:hint="default"/>
        </w:rPr>
        <w:t>2018 </w:t>
      </w:r>
      <w:r>
        <w:rPr/>
        <w:t>年末总股本</w:t>
      </w:r>
    </w:p>
    <w:p>
      <w:pPr>
        <w:pStyle w:val="BodyText"/>
        <w:spacing w:line="304" w:lineRule="auto" w:before="69"/>
        <w:ind w:right="1468"/>
        <w:jc w:val="left"/>
      </w:pPr>
      <w:r>
        <w:rPr>
          <w:rFonts w:ascii="Times New Roman" w:hAnsi="Times New Roman" w:cs="Times New Roman" w:eastAsia="Times New Roman" w:hint="default"/>
        </w:rPr>
        <w:t>2,936,165,560</w:t>
      </w:r>
      <w:r>
        <w:rPr>
          <w:rFonts w:ascii="Times New Roman" w:hAnsi="Times New Roman" w:cs="Times New Roman" w:eastAsia="Times New Roman" w:hint="default"/>
          <w:spacing w:val="2"/>
        </w:rPr>
        <w:t> </w:t>
      </w:r>
      <w:r>
        <w:rPr>
          <w:spacing w:val="-4"/>
        </w:rPr>
        <w:t>股为基数，向全体股东每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股派发现金股利人民币</w:t>
      </w:r>
      <w:r>
        <w:rPr>
          <w:spacing w:val="-50"/>
        </w:rPr>
        <w:t> </w:t>
      </w:r>
      <w:r>
        <w:rPr>
          <w:rFonts w:ascii="Times New Roman" w:hAnsi="Times New Roman" w:cs="Times New Roman" w:eastAsia="Times New Roman" w:hint="default"/>
        </w:rPr>
        <w:t>0.50</w:t>
      </w:r>
      <w:r>
        <w:rPr>
          <w:rFonts w:ascii="Times New Roman" w:hAnsi="Times New Roman" w:cs="Times New Roman" w:eastAsia="Times New Roman" w:hint="default"/>
          <w:spacing w:val="-2"/>
        </w:rPr>
        <w:t> </w:t>
      </w:r>
      <w:r>
        <w:rPr>
          <w:spacing w:val="-9"/>
        </w:rPr>
        <w:t>元（含</w:t>
      </w:r>
      <w:r>
        <w:rPr>
          <w:spacing w:val="-101"/>
        </w:rPr>
        <w:t> </w:t>
      </w:r>
      <w:r>
        <w:rPr>
          <w:spacing w:val="-101"/>
        </w:rPr>
      </w:r>
      <w:r>
        <w:rPr>
          <w:spacing w:val="-11"/>
          <w:w w:val="100"/>
        </w:rPr>
        <w:t>税）。根据《盈利预测补偿协议》、《盈利预测补偿协议之补充协议》约定，公</w:t>
      </w:r>
      <w:r>
        <w:rPr>
          <w:spacing w:val="-83"/>
          <w:w w:val="100"/>
        </w:rPr>
        <w:t> </w:t>
      </w:r>
      <w:r>
        <w:rPr>
          <w:spacing w:val="-83"/>
          <w:w w:val="100"/>
        </w:rPr>
      </w:r>
      <w:r>
        <w:rPr>
          <w:spacing w:val="-2"/>
        </w:rPr>
        <w:t>司在补偿期限内实施现金分配，现金分配的部分应作相应返还，计算公式为：</w:t>
      </w:r>
      <w:r>
        <w:rPr>
          <w:spacing w:val="-42"/>
        </w:rPr>
        <w:t> </w:t>
      </w:r>
      <w:r>
        <w:rPr>
          <w:spacing w:val="-42"/>
        </w:rPr>
      </w:r>
      <w:r>
        <w:rPr/>
        <w:t>返还金额</w:t>
      </w:r>
      <w:r>
        <w:rPr>
          <w:rFonts w:ascii="Times New Roman" w:hAnsi="Times New Roman" w:cs="Times New Roman" w:eastAsia="Times New Roman" w:hint="default"/>
        </w:rPr>
        <w:t>=</w:t>
      </w:r>
      <w:r>
        <w:rPr/>
        <w:t>每股已分配现金股利</w:t>
      </w:r>
      <w:r>
        <w:rPr>
          <w:rFonts w:ascii="Times New Roman" w:hAnsi="Times New Roman" w:cs="Times New Roman" w:eastAsia="Times New Roman" w:hint="default"/>
        </w:rPr>
        <w:t>×</w:t>
      </w:r>
      <w:r>
        <w:rPr/>
        <w:t>应回购注销或无偿划转的股份数量。据此，</w:t>
      </w:r>
      <w:r>
        <w:rPr>
          <w:w w:val="100"/>
        </w:rPr>
        <w:t> </w:t>
      </w:r>
      <w:r>
        <w:rPr/>
        <w:t>业绩补偿股份</w:t>
      </w:r>
      <w:r>
        <w:rPr>
          <w:spacing w:val="-52"/>
        </w:rPr>
        <w:t> </w:t>
      </w:r>
      <w:r>
        <w:rPr>
          <w:rFonts w:ascii="Times New Roman" w:hAnsi="Times New Roman" w:cs="Times New Roman" w:eastAsia="Times New Roman" w:hint="default"/>
        </w:rPr>
        <w:t>7,983,507</w:t>
      </w:r>
      <w:r>
        <w:rPr>
          <w:rFonts w:ascii="Times New Roman" w:hAnsi="Times New Roman" w:cs="Times New Roman" w:eastAsia="Times New Roman" w:hint="default"/>
          <w:spacing w:val="-3"/>
        </w:rPr>
        <w:t> </w:t>
      </w:r>
      <w:r>
        <w:rPr/>
        <w:t>股对应返还金额</w:t>
      </w:r>
      <w:r>
        <w:rPr>
          <w:spacing w:val="-53"/>
        </w:rPr>
        <w:t> </w:t>
      </w:r>
      <w:r>
        <w:rPr>
          <w:rFonts w:ascii="Times New Roman" w:hAnsi="Times New Roman" w:cs="Times New Roman" w:eastAsia="Times New Roman" w:hint="default"/>
        </w:rPr>
        <w:t>399,175.35</w:t>
      </w:r>
      <w:r>
        <w:rPr>
          <w:rFonts w:ascii="Times New Roman" w:hAnsi="Times New Roman" w:cs="Times New Roman" w:eastAsia="Times New Roman" w:hint="default"/>
          <w:spacing w:val="-3"/>
        </w:rPr>
        <w:t> </w:t>
      </w:r>
      <w:r>
        <w:rPr/>
        <w:t>元，公司在向中国电子派</w:t>
      </w:r>
      <w:r>
        <w:rPr>
          <w:w w:val="100"/>
        </w:rPr>
        <w:t> </w:t>
      </w:r>
      <w:r>
        <w:rPr/>
        <w:t>发现金红利时已经直接扣减应返还部分。</w:t>
      </w:r>
    </w:p>
    <w:p>
      <w:pPr>
        <w:pStyle w:val="BodyText"/>
        <w:spacing w:line="297" w:lineRule="auto" w:before="28"/>
        <w:ind w:right="1468"/>
        <w:jc w:val="left"/>
      </w:pPr>
      <w:r>
        <w:rPr/>
        <w:t>（</w:t>
      </w:r>
      <w:r>
        <w:rPr>
          <w:rFonts w:ascii="Times New Roman" w:hAnsi="Times New Roman" w:cs="Times New Roman" w:eastAsia="Times New Roman" w:hint="default"/>
        </w:rPr>
        <w:t>5</w:t>
      </w:r>
      <w:r>
        <w:rPr/>
        <w:t>）中原电子收购中元股份</w:t>
      </w:r>
      <w:r>
        <w:rPr>
          <w:spacing w:val="-54"/>
        </w:rPr>
        <w:t> </w:t>
      </w:r>
      <w:r>
        <w:rPr>
          <w:rFonts w:ascii="Times New Roman" w:hAnsi="Times New Roman" w:cs="Times New Roman" w:eastAsia="Times New Roman" w:hint="default"/>
        </w:rPr>
        <w:t>4.98%</w:t>
      </w:r>
      <w:r>
        <w:rPr/>
        <w:t>股权暨关联交易</w:t>
      </w:r>
      <w:r>
        <w:rPr>
          <w:w w:val="100"/>
        </w:rPr>
        <w:t> </w:t>
      </w:r>
      <w:r>
        <w:rPr>
          <w:spacing w:val="-7"/>
          <w:w w:val="100"/>
        </w:rPr>
        <w:t>武汉中元通信股份有限公司（简称</w:t>
      </w:r>
      <w:r>
        <w:rPr>
          <w:rFonts w:ascii="Times New Roman" w:hAnsi="Times New Roman" w:cs="Times New Roman" w:eastAsia="Times New Roman" w:hint="default"/>
          <w:spacing w:val="-7"/>
          <w:w w:val="100"/>
        </w:rPr>
        <w:t>“</w:t>
      </w:r>
      <w:r>
        <w:rPr>
          <w:spacing w:val="-7"/>
          <w:w w:val="100"/>
        </w:rPr>
        <w:t>中元股份</w:t>
      </w:r>
      <w:r>
        <w:rPr>
          <w:rFonts w:ascii="Times New Roman" w:hAnsi="Times New Roman" w:cs="Times New Roman" w:eastAsia="Times New Roman" w:hint="default"/>
          <w:spacing w:val="-7"/>
          <w:w w:val="100"/>
        </w:rPr>
        <w:t>”</w:t>
      </w:r>
      <w:r>
        <w:rPr>
          <w:spacing w:val="-7"/>
          <w:w w:val="100"/>
        </w:rPr>
        <w:t>）主要从事军工电子领域的研发、</w:t>
      </w:r>
    </w:p>
    <w:p>
      <w:pPr>
        <w:spacing w:after="0" w:line="297" w:lineRule="auto"/>
        <w:jc w:val="left"/>
        <w:sectPr>
          <w:pgSz w:w="11910" w:h="16840"/>
          <w:pgMar w:header="753" w:footer="997" w:top="1500" w:bottom="1180" w:left="1660" w:right="0"/>
        </w:sectPr>
      </w:pPr>
    </w:p>
    <w:p>
      <w:pPr>
        <w:spacing w:line="240" w:lineRule="auto" w:before="13"/>
        <w:rPr>
          <w:rFonts w:ascii="宋体" w:hAnsi="宋体" w:cs="宋体" w:eastAsia="宋体" w:hint="default"/>
          <w:sz w:val="19"/>
          <w:szCs w:val="19"/>
        </w:rPr>
      </w:pPr>
    </w:p>
    <w:p>
      <w:pPr>
        <w:pStyle w:val="BodyText"/>
        <w:spacing w:line="304" w:lineRule="auto"/>
        <w:ind w:right="1789"/>
        <w:jc w:val="both"/>
      </w:pPr>
      <w:r>
        <w:rPr>
          <w:spacing w:val="-5"/>
        </w:rPr>
        <w:t>制造与服务等业务，为中原电子下属重要子企业，为更好实现中原电子在高新</w:t>
      </w:r>
      <w:r>
        <w:rPr>
          <w:spacing w:val="-46"/>
        </w:rPr>
        <w:t> </w:t>
      </w:r>
      <w:r>
        <w:rPr>
          <w:spacing w:val="-46"/>
        </w:rPr>
      </w:r>
      <w:r>
        <w:rPr>
          <w:spacing w:val="-5"/>
        </w:rPr>
        <w:t>电子板块的战略发展目标，进一步完善高新电子板块整体资产的经营管理，经</w:t>
      </w:r>
      <w:r>
        <w:rPr>
          <w:spacing w:val="-46"/>
        </w:rPr>
        <w:t> </w:t>
      </w:r>
      <w:r>
        <w:rPr>
          <w:spacing w:val="-46"/>
        </w:rPr>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spacing w:val="-4"/>
        </w:rPr>
        <w:t>日公司第七届董事会第十九次会议审议，同意中原电子就收购</w:t>
      </w:r>
      <w:r>
        <w:rPr>
          <w:spacing w:val="-102"/>
        </w:rPr>
        <w:t> </w:t>
      </w:r>
      <w:r>
        <w:rPr>
          <w:spacing w:val="-102"/>
        </w:rPr>
      </w:r>
      <w:r>
        <w:rPr>
          <w:spacing w:val="-2"/>
          <w:w w:val="100"/>
        </w:rPr>
        <w:t>中国电子所持有的中元股份</w:t>
      </w:r>
      <w:r>
        <w:rPr>
          <w:spacing w:val="-46"/>
          <w:w w:val="100"/>
        </w:rPr>
        <w:t> </w:t>
      </w:r>
      <w:r>
        <w:rPr>
          <w:rFonts w:ascii="Times New Roman" w:hAnsi="Times New Roman" w:cs="Times New Roman" w:eastAsia="Times New Roman" w:hint="default"/>
          <w:spacing w:val="-6"/>
          <w:w w:val="100"/>
        </w:rPr>
        <w:t>4.98%</w:t>
      </w:r>
      <w:r>
        <w:rPr>
          <w:spacing w:val="-6"/>
          <w:w w:val="100"/>
        </w:rPr>
        <w:t>股权签署《股权转让合同》。报告期内，收</w:t>
      </w:r>
      <w:r>
        <w:rPr>
          <w:spacing w:val="-97"/>
          <w:w w:val="100"/>
        </w:rPr>
        <w:t> </w:t>
      </w:r>
      <w:r>
        <w:rPr>
          <w:spacing w:val="-97"/>
          <w:w w:val="100"/>
        </w:rPr>
      </w:r>
      <w:r>
        <w:rPr/>
        <w:t>购事项完成，中原电子持有中元股份股权比例为</w:t>
      </w:r>
      <w:r>
        <w:rPr>
          <w:spacing w:val="-57"/>
        </w:rPr>
        <w:t> </w:t>
      </w:r>
      <w:r>
        <w:rPr>
          <w:rFonts w:ascii="Times New Roman" w:hAnsi="Times New Roman" w:cs="Times New Roman" w:eastAsia="Times New Roman" w:hint="default"/>
        </w:rPr>
        <w:t>100%</w:t>
      </w:r>
      <w:r>
        <w:rPr/>
        <w:t>。</w:t>
      </w:r>
    </w:p>
    <w:p>
      <w:pPr>
        <w:pStyle w:val="BodyText"/>
        <w:spacing w:line="309" w:lineRule="auto" w:before="6"/>
        <w:ind w:right="1783"/>
        <w:jc w:val="left"/>
      </w:pPr>
      <w:r>
        <w:rPr/>
        <w:t>（</w:t>
      </w:r>
      <w:r>
        <w:rPr>
          <w:rFonts w:ascii="Times New Roman" w:hAnsi="Times New Roman" w:cs="Times New Roman" w:eastAsia="Times New Roman" w:hint="default"/>
        </w:rPr>
        <w:t>6</w:t>
      </w:r>
      <w:r>
        <w:rPr/>
        <w:t>）收购天津飞腾</w:t>
      </w:r>
      <w:r>
        <w:rPr>
          <w:spacing w:val="-55"/>
        </w:rPr>
        <w:t> </w:t>
      </w:r>
      <w:r>
        <w:rPr>
          <w:rFonts w:ascii="Times New Roman" w:hAnsi="Times New Roman" w:cs="Times New Roman" w:eastAsia="Times New Roman" w:hint="default"/>
        </w:rPr>
        <w:t>35%</w:t>
      </w:r>
      <w:r>
        <w:rPr/>
        <w:t>股权暨关联交易</w:t>
      </w:r>
      <w:r>
        <w:rPr>
          <w:w w:val="100"/>
        </w:rPr>
        <w:t> </w:t>
      </w:r>
      <w:r>
        <w:rPr>
          <w:spacing w:val="-5"/>
          <w:w w:val="100"/>
        </w:rPr>
        <w:t>为充分利用集团内部资源推进自主安全业务专业化的整合，进一步充实核心关</w:t>
      </w:r>
      <w:r>
        <w:rPr>
          <w:spacing w:val="-85"/>
          <w:w w:val="100"/>
        </w:rPr>
        <w:t> </w:t>
      </w:r>
      <w:r>
        <w:rPr>
          <w:spacing w:val="-85"/>
          <w:w w:val="100"/>
        </w:rPr>
      </w:r>
      <w:r>
        <w:rPr>
          <w:spacing w:val="-5"/>
        </w:rPr>
        <w:t>键技术、完善业务结构和优化产业链，提升公司在自主安全生态体系建设中的</w:t>
      </w:r>
      <w:r>
        <w:rPr>
          <w:spacing w:val="-46"/>
        </w:rPr>
        <w:t> </w:t>
      </w:r>
      <w:r>
        <w:rPr>
          <w:spacing w:val="-46"/>
        </w:rPr>
      </w:r>
      <w:r>
        <w:rPr>
          <w:spacing w:val="-10"/>
          <w:w w:val="100"/>
        </w:rPr>
        <w:t>整体实力和核心竞争力，经</w:t>
      </w:r>
      <w:r>
        <w:rPr>
          <w:spacing w:val="-51"/>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
          <w:w w:val="100"/>
        </w:rPr>
        <w:t> </w:t>
      </w:r>
      <w:r>
        <w:rPr>
          <w:w w:val="100"/>
        </w:rPr>
        <w:t>月</w:t>
      </w:r>
      <w:r>
        <w:rPr>
          <w:spacing w:val="-54"/>
          <w:w w:val="100"/>
        </w:rPr>
        <w:t> </w:t>
      </w:r>
      <w:r>
        <w:rPr>
          <w:rFonts w:ascii="Times New Roman" w:hAnsi="Times New Roman" w:cs="Times New Roman" w:eastAsia="Times New Roman" w:hint="default"/>
          <w:w w:val="100"/>
        </w:rPr>
        <w:t>26</w:t>
      </w:r>
      <w:r>
        <w:rPr>
          <w:rFonts w:ascii="Times New Roman" w:hAnsi="Times New Roman" w:cs="Times New Roman" w:eastAsia="Times New Roman" w:hint="default"/>
          <w:spacing w:val="1"/>
          <w:w w:val="100"/>
        </w:rPr>
        <w:t> </w:t>
      </w:r>
      <w:r>
        <w:rPr>
          <w:spacing w:val="-2"/>
          <w:w w:val="100"/>
        </w:rPr>
        <w:t>日公司第七届董事会第二十二次会</w:t>
      </w:r>
    </w:p>
    <w:p>
      <w:pPr>
        <w:pStyle w:val="BodyText"/>
        <w:spacing w:line="300" w:lineRule="auto" w:before="2"/>
        <w:ind w:right="1786"/>
        <w:jc w:val="both"/>
      </w:pPr>
      <w:r>
        <w:rPr/>
        <w:t>议、</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日公司</w:t>
      </w:r>
      <w:r>
        <w:rPr>
          <w:spacing w:val="-53"/>
        </w:rPr>
        <w:t> </w:t>
      </w:r>
      <w:r>
        <w:rPr>
          <w:rFonts w:ascii="Times New Roman" w:hAnsi="Times New Roman" w:cs="Times New Roman" w:eastAsia="Times New Roman" w:hint="default"/>
        </w:rPr>
        <w:t>2019 </w:t>
      </w:r>
      <w:r>
        <w:rPr/>
        <w:t>年度第三次临时股东大会审议，同意公司向</w:t>
      </w:r>
      <w:r>
        <w:rPr>
          <w:w w:val="100"/>
        </w:rPr>
        <w:t> </w:t>
      </w:r>
      <w:r>
        <w:rPr>
          <w:spacing w:val="-2"/>
        </w:rPr>
        <w:t>华大半导体有限公司收购其所持有的天津飞腾信息技术有限公司（简称</w:t>
      </w:r>
      <w:r>
        <w:rPr>
          <w:rFonts w:ascii="Times New Roman" w:hAnsi="Times New Roman" w:cs="Times New Roman" w:eastAsia="Times New Roman" w:hint="default"/>
          <w:spacing w:val="-2"/>
        </w:rPr>
        <w:t>“</w:t>
      </w:r>
      <w:r>
        <w:rPr>
          <w:spacing w:val="-2"/>
        </w:rPr>
        <w:t>天津</w:t>
      </w:r>
      <w:r>
        <w:rPr>
          <w:spacing w:val="-45"/>
        </w:rPr>
        <w:t> </w:t>
      </w:r>
      <w:r>
        <w:rPr>
          <w:spacing w:val="-2"/>
        </w:rPr>
        <w:t>飞腾</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13.54%</w:t>
      </w:r>
      <w:r>
        <w:rPr>
          <w:spacing w:val="-2"/>
        </w:rPr>
        <w:t>股权、向中国振华电子集团有限公司收购其所持有的天津飞腾</w:t>
      </w:r>
      <w:r>
        <w:rPr>
          <w:spacing w:val="-40"/>
        </w:rPr>
        <w:t> </w:t>
      </w:r>
      <w:r>
        <w:rPr>
          <w:spacing w:val="-40"/>
        </w:rPr>
      </w:r>
      <w:r>
        <w:rPr>
          <w:rFonts w:ascii="Times New Roman" w:hAnsi="Times New Roman" w:cs="Times New Roman" w:eastAsia="Times New Roman" w:hint="default"/>
          <w:spacing w:val="-5"/>
          <w:w w:val="100"/>
        </w:rPr>
        <w:t>21.46%</w:t>
      </w:r>
      <w:r>
        <w:rPr>
          <w:spacing w:val="-5"/>
          <w:w w:val="100"/>
        </w:rPr>
        <w:t>股权并签署相应的《股权转让合同书》。报告期内，收购事项完成；其</w:t>
      </w:r>
      <w:r>
        <w:rPr>
          <w:spacing w:val="-90"/>
          <w:w w:val="100"/>
        </w:rPr>
        <w:t> </w:t>
      </w:r>
      <w:r>
        <w:rPr>
          <w:spacing w:val="-90"/>
          <w:w w:val="100"/>
        </w:rPr>
      </w:r>
      <w:r>
        <w:rPr>
          <w:spacing w:val="-5"/>
        </w:rPr>
        <w:t>后天津飞腾实施股权激励方案，通过增资引入员工持股平台，公司持股比例由</w:t>
      </w:r>
      <w:r>
        <w:rPr>
          <w:spacing w:val="-48"/>
        </w:rPr>
        <w:t> </w:t>
      </w:r>
      <w:r>
        <w:rPr>
          <w:spacing w:val="-48"/>
        </w:rPr>
      </w:r>
      <w:r>
        <w:rPr/>
        <w:t>原</w:t>
      </w:r>
      <w:r>
        <w:rPr>
          <w:spacing w:val="-54"/>
        </w:rPr>
        <w:t> </w:t>
      </w:r>
      <w:r>
        <w:rPr>
          <w:rFonts w:ascii="Times New Roman" w:hAnsi="Times New Roman" w:cs="Times New Roman" w:eastAsia="Times New Roman" w:hint="default"/>
        </w:rPr>
        <w:t>35%</w:t>
      </w:r>
      <w:r>
        <w:rPr/>
        <w:t>下降至</w:t>
      </w:r>
      <w:r>
        <w:rPr>
          <w:spacing w:val="-54"/>
        </w:rPr>
        <w:t> </w:t>
      </w:r>
      <w:r>
        <w:rPr>
          <w:rFonts w:ascii="Times New Roman" w:hAnsi="Times New Roman" w:cs="Times New Roman" w:eastAsia="Times New Roman" w:hint="default"/>
        </w:rPr>
        <w:t>31.50%</w:t>
      </w:r>
      <w:r>
        <w:rPr/>
        <w:t>。</w:t>
      </w:r>
    </w:p>
    <w:p>
      <w:pPr>
        <w:pStyle w:val="BodyText"/>
        <w:spacing w:line="304" w:lineRule="auto" w:before="11"/>
        <w:ind w:right="1783"/>
        <w:jc w:val="left"/>
      </w:pPr>
      <w:r>
        <w:rPr/>
        <w:t>（</w:t>
      </w:r>
      <w:r>
        <w:rPr>
          <w:rFonts w:ascii="Times New Roman" w:hAnsi="Times New Roman" w:cs="Times New Roman" w:eastAsia="Times New Roman" w:hint="default"/>
        </w:rPr>
        <w:t>7</w:t>
      </w:r>
      <w:r>
        <w:rPr/>
        <w:t>）圣非凡收购轨道交通研究院</w:t>
      </w:r>
      <w:r>
        <w:rPr>
          <w:spacing w:val="-54"/>
        </w:rPr>
        <w:t> </w:t>
      </w:r>
      <w:r>
        <w:rPr>
          <w:rFonts w:ascii="Times New Roman" w:hAnsi="Times New Roman" w:cs="Times New Roman" w:eastAsia="Times New Roman" w:hint="default"/>
        </w:rPr>
        <w:t>100%</w:t>
      </w:r>
      <w:r>
        <w:rPr/>
        <w:t>股权暨关联交易</w:t>
      </w:r>
      <w:r>
        <w:rPr>
          <w:w w:val="100"/>
        </w:rPr>
        <w:t> </w:t>
      </w:r>
      <w:r>
        <w:rPr>
          <w:spacing w:val="-5"/>
          <w:w w:val="100"/>
        </w:rPr>
        <w:t>为充分利用集团内部资源推进信息化领域专业化的整合，构建高新电子业务多</w:t>
      </w:r>
      <w:r>
        <w:rPr>
          <w:spacing w:val="-84"/>
          <w:w w:val="100"/>
        </w:rPr>
        <w:t> </w:t>
      </w:r>
      <w:r>
        <w:rPr>
          <w:spacing w:val="-84"/>
          <w:w w:val="100"/>
        </w:rPr>
      </w:r>
      <w:r>
        <w:rPr/>
        <w:t>元化，打造新型区域经济模式，进一步完善公司产业链和生态链，经</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p>
    <w:p>
      <w:pPr>
        <w:pStyle w:val="BodyText"/>
        <w:spacing w:line="302" w:lineRule="auto" w:before="6"/>
        <w:ind w:right="1468"/>
        <w:jc w:val="left"/>
      </w:pP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3"/>
        </w:rPr>
        <w:t> </w:t>
      </w:r>
      <w:r>
        <w:rPr/>
        <w:t>月</w:t>
      </w:r>
      <w:r>
        <w:rPr>
          <w:spacing w:val="-43"/>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spacing w:val="-3"/>
        </w:rPr>
        <w:t>日公司第七届董事会第二十五次会议审议，同意圣非凡向中国电子信</w:t>
      </w:r>
      <w:r>
        <w:rPr>
          <w:spacing w:val="-101"/>
        </w:rPr>
        <w:t> </w:t>
      </w:r>
      <w:r>
        <w:rPr>
          <w:spacing w:val="-101"/>
        </w:rPr>
      </w:r>
      <w:r>
        <w:rPr/>
        <w:t>息产业集团有限公司第六研究所收购其所持有的郑州轨道交通信息技术研究</w:t>
      </w:r>
      <w:r>
        <w:rPr>
          <w:w w:val="100"/>
        </w:rPr>
        <w:t> </w:t>
      </w:r>
      <w:r>
        <w:rPr>
          <w:spacing w:val="-6"/>
          <w:w w:val="100"/>
        </w:rPr>
        <w:t>院（简称</w:t>
      </w:r>
      <w:r>
        <w:rPr>
          <w:rFonts w:ascii="Times New Roman" w:hAnsi="Times New Roman" w:cs="Times New Roman" w:eastAsia="Times New Roman" w:hint="default"/>
          <w:spacing w:val="-6"/>
          <w:w w:val="100"/>
        </w:rPr>
        <w:t>“</w:t>
      </w:r>
      <w:r>
        <w:rPr>
          <w:spacing w:val="-6"/>
          <w:w w:val="100"/>
        </w:rPr>
        <w:t>轨道交通研究院</w:t>
      </w:r>
      <w:r>
        <w:rPr>
          <w:rFonts w:ascii="Times New Roman" w:hAnsi="Times New Roman" w:cs="Times New Roman" w:eastAsia="Times New Roman" w:hint="default"/>
          <w:spacing w:val="-6"/>
          <w:w w:val="100"/>
        </w:rPr>
        <w:t>”</w:t>
      </w:r>
      <w:r>
        <w:rPr>
          <w:spacing w:val="-6"/>
          <w:w w:val="100"/>
        </w:rPr>
        <w:t>）</w:t>
      </w:r>
      <w:r>
        <w:rPr>
          <w:rFonts w:ascii="Times New Roman" w:hAnsi="Times New Roman" w:cs="Times New Roman" w:eastAsia="Times New Roman" w:hint="default"/>
          <w:spacing w:val="-6"/>
          <w:w w:val="100"/>
        </w:rPr>
        <w:t>100%</w:t>
      </w:r>
      <w:r>
        <w:rPr>
          <w:spacing w:val="-6"/>
          <w:w w:val="100"/>
        </w:rPr>
        <w:t>股权并签署相应的《股权转让合同书》。报</w:t>
      </w:r>
      <w:r>
        <w:rPr>
          <w:spacing w:val="-85"/>
          <w:w w:val="100"/>
        </w:rPr>
        <w:t> </w:t>
      </w:r>
      <w:r>
        <w:rPr>
          <w:spacing w:val="-85"/>
          <w:w w:val="100"/>
        </w:rPr>
      </w:r>
      <w:r>
        <w:rPr/>
        <w:t>告期内，收购事项完成，轨道交通研究院成为公司下属全资企业。</w:t>
      </w:r>
    </w:p>
    <w:p>
      <w:pPr>
        <w:pStyle w:val="BodyText"/>
        <w:spacing w:line="302" w:lineRule="auto" w:before="30"/>
        <w:ind w:right="1468"/>
        <w:jc w:val="left"/>
      </w:pPr>
      <w:r>
        <w:rPr/>
        <w:t>（</w:t>
      </w:r>
      <w:r>
        <w:rPr>
          <w:rFonts w:ascii="Times New Roman" w:hAnsi="Times New Roman" w:cs="Times New Roman" w:eastAsia="Times New Roman" w:hint="default"/>
        </w:rPr>
        <w:t>8</w:t>
      </w:r>
      <w:r>
        <w:rPr/>
        <w:t>）湘计海盾向中国电子转让部分应收账款暨关联交易</w:t>
      </w:r>
      <w:r>
        <w:rPr>
          <w:w w:val="100"/>
        </w:rPr>
        <w:t> </w:t>
      </w:r>
      <w:r>
        <w:rPr>
          <w:spacing w:val="-7"/>
          <w:w w:val="100"/>
        </w:rPr>
        <w:t>全资子公司长沙湘计海盾科技有限公司（简称</w:t>
      </w:r>
      <w:r>
        <w:rPr>
          <w:rFonts w:ascii="Times New Roman" w:hAnsi="Times New Roman" w:cs="Times New Roman" w:eastAsia="Times New Roman" w:hint="default"/>
          <w:spacing w:val="-7"/>
          <w:w w:val="100"/>
        </w:rPr>
        <w:t>“</w:t>
      </w:r>
      <w:r>
        <w:rPr>
          <w:spacing w:val="-7"/>
          <w:w w:val="100"/>
        </w:rPr>
        <w:t>湘计海盾</w:t>
      </w:r>
      <w:r>
        <w:rPr>
          <w:rFonts w:ascii="Times New Roman" w:hAnsi="Times New Roman" w:cs="Times New Roman" w:eastAsia="Times New Roman" w:hint="default"/>
          <w:spacing w:val="-7"/>
          <w:w w:val="100"/>
        </w:rPr>
        <w:t>”</w:t>
      </w:r>
      <w:r>
        <w:rPr>
          <w:spacing w:val="-7"/>
          <w:w w:val="100"/>
        </w:rPr>
        <w:t>）为了有效盘活资金，</w:t>
      </w:r>
      <w:r>
        <w:rPr>
          <w:spacing w:val="-85"/>
          <w:w w:val="100"/>
        </w:rPr>
        <w:t> </w:t>
      </w:r>
      <w:r>
        <w:rPr>
          <w:spacing w:val="-85"/>
          <w:w w:val="100"/>
        </w:rPr>
      </w:r>
      <w:r>
        <w:rPr>
          <w:spacing w:val="-2"/>
        </w:rPr>
        <w:t>拓宽融资渠道，提高资产周转效率和压降</w:t>
      </w:r>
      <w:r>
        <w:rPr>
          <w:rFonts w:ascii="Times New Roman" w:hAnsi="Times New Roman" w:cs="Times New Roman" w:eastAsia="Times New Roman" w:hint="default"/>
          <w:spacing w:val="-2"/>
        </w:rPr>
        <w:t>“</w:t>
      </w:r>
      <w:r>
        <w:rPr>
          <w:spacing w:val="-2"/>
        </w:rPr>
        <w:t>两金</w:t>
      </w:r>
      <w:r>
        <w:rPr>
          <w:rFonts w:ascii="Times New Roman" w:hAnsi="Times New Roman" w:cs="Times New Roman" w:eastAsia="Times New Roman" w:hint="default"/>
          <w:spacing w:val="-2"/>
        </w:rPr>
        <w:t>”</w:t>
      </w:r>
      <w:r>
        <w:rPr>
          <w:spacing w:val="-2"/>
        </w:rPr>
        <w:t>占用余额，根据其业务需求，</w:t>
      </w:r>
      <w:r>
        <w:rPr>
          <w:spacing w:val="-41"/>
        </w:rPr>
        <w:t> </w:t>
      </w:r>
      <w:r>
        <w:rPr>
          <w:spacing w:val="-41"/>
        </w:rPr>
      </w:r>
      <w:r>
        <w:rPr/>
        <w:t>将账面价值不超过人民币</w:t>
      </w:r>
      <w:r>
        <w:rPr>
          <w:spacing w:val="-80"/>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8"/>
        </w:rPr>
        <w:t> </w:t>
      </w:r>
      <w:r>
        <w:rPr/>
        <w:t>万元的一年内应收账款债权评估作价转让给中</w:t>
      </w:r>
      <w:r>
        <w:rPr>
          <w:w w:val="100"/>
        </w:rPr>
        <w:t> </w:t>
      </w:r>
      <w:r>
        <w:rPr>
          <w:spacing w:val="-5"/>
          <w:w w:val="100"/>
        </w:rPr>
        <w:t>国电子。本次关联交易是中国电子受让湘计海盾部分应收账款后通过证券公司</w:t>
      </w:r>
      <w:r>
        <w:rPr>
          <w:spacing w:val="-85"/>
          <w:w w:val="100"/>
        </w:rPr>
        <w:t> </w:t>
      </w:r>
      <w:r>
        <w:rPr>
          <w:spacing w:val="-85"/>
          <w:w w:val="100"/>
        </w:rPr>
      </w:r>
      <w:r>
        <w:rPr>
          <w:spacing w:val="-5"/>
          <w:w w:val="100"/>
        </w:rPr>
        <w:t>设立资产支持专项计划，向合格投资者发售资产支持证券并在交易所挂牌的应</w:t>
      </w:r>
      <w:r>
        <w:rPr>
          <w:spacing w:val="-84"/>
          <w:w w:val="100"/>
        </w:rPr>
        <w:t> </w:t>
      </w:r>
      <w:r>
        <w:rPr>
          <w:spacing w:val="-84"/>
          <w:w w:val="100"/>
        </w:rPr>
      </w:r>
      <w:r>
        <w:rPr>
          <w:spacing w:val="-12"/>
          <w:w w:val="100"/>
        </w:rPr>
        <w:t>收账款证券化业务。经</w:t>
      </w:r>
      <w:r>
        <w:rPr>
          <w:spacing w:val="-51"/>
          <w:w w:val="100"/>
        </w:rPr>
        <w:t> </w:t>
      </w:r>
      <w:r>
        <w:rPr>
          <w:rFonts w:ascii="Times New Roman" w:hAnsi="Times New Roman" w:cs="Times New Roman" w:eastAsia="Times New Roman" w:hint="default"/>
          <w:spacing w:val="-2"/>
          <w:w w:val="100"/>
        </w:rPr>
        <w:t>2019</w:t>
      </w:r>
      <w:r>
        <w:rPr>
          <w:rFonts w:ascii="Times New Roman" w:hAnsi="Times New Roman" w:cs="Times New Roman" w:eastAsia="Times New Roman" w:hint="default"/>
          <w:spacing w:val="1"/>
          <w:w w:val="100"/>
        </w:rPr>
        <w:t> </w:t>
      </w:r>
      <w:r>
        <w:rPr>
          <w:w w:val="100"/>
        </w:rPr>
        <w:t>年</w:t>
      </w:r>
      <w:r>
        <w:rPr>
          <w:spacing w:val="-52"/>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1"/>
          <w:w w:val="100"/>
        </w:rPr>
        <w:t> </w:t>
      </w:r>
      <w:r>
        <w:rPr>
          <w:w w:val="100"/>
        </w:rPr>
        <w:t>月</w:t>
      </w:r>
      <w:r>
        <w:rPr>
          <w:spacing w:val="-54"/>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
          <w:w w:val="100"/>
        </w:rPr>
        <w:t> </w:t>
      </w:r>
      <w:r>
        <w:rPr>
          <w:spacing w:val="-2"/>
          <w:w w:val="100"/>
        </w:rPr>
        <w:t>日公司第七届董事会第二十六次会议审</w:t>
      </w:r>
      <w:r>
        <w:rPr>
          <w:spacing w:val="-101"/>
          <w:w w:val="100"/>
        </w:rPr>
        <w:t> </w:t>
      </w:r>
      <w:r>
        <w:rPr>
          <w:spacing w:val="-101"/>
          <w:w w:val="100"/>
        </w:rPr>
      </w:r>
      <w:r>
        <w:rPr>
          <w:spacing w:val="-6"/>
          <w:w w:val="100"/>
        </w:rPr>
        <w:t>议，同意湘计海盾与中国电子签署《应收账款转让合同》。</w:t>
      </w:r>
    </w:p>
    <w:p>
      <w:pPr>
        <w:pStyle w:val="BodyText"/>
        <w:spacing w:line="297" w:lineRule="auto" w:before="30"/>
        <w:ind w:right="1784"/>
        <w:jc w:val="left"/>
      </w:pPr>
      <w:r>
        <w:rPr/>
        <w:t>（</w:t>
      </w:r>
      <w:r>
        <w:rPr>
          <w:rFonts w:ascii="Times New Roman" w:hAnsi="Times New Roman" w:cs="Times New Roman" w:eastAsia="Times New Roman" w:hint="default"/>
        </w:rPr>
        <w:t>9</w:t>
      </w:r>
      <w:r>
        <w:rPr/>
        <w:t>）与中电金投就国有资本金的使用签署《借款合同》暨关联交易</w:t>
      </w:r>
      <w:r>
        <w:rPr>
          <w:w w:val="100"/>
        </w:rPr>
        <w:t> </w:t>
      </w:r>
      <w:r>
        <w:rPr>
          <w:spacing w:val="-5"/>
          <w:w w:val="100"/>
        </w:rPr>
        <w:t>根据中电金投控股有限公司（简称</w:t>
      </w:r>
      <w:r>
        <w:rPr>
          <w:rFonts w:ascii="Times New Roman" w:hAnsi="Times New Roman" w:cs="Times New Roman" w:eastAsia="Times New Roman" w:hint="default"/>
          <w:spacing w:val="-5"/>
          <w:w w:val="100"/>
        </w:rPr>
        <w:t>“</w:t>
      </w:r>
      <w:r>
        <w:rPr>
          <w:spacing w:val="-5"/>
          <w:w w:val="100"/>
        </w:rPr>
        <w:t>中电金投</w:t>
      </w:r>
      <w:r>
        <w:rPr>
          <w:rFonts w:ascii="Times New Roman" w:hAnsi="Times New Roman" w:cs="Times New Roman" w:eastAsia="Times New Roman" w:hint="default"/>
          <w:spacing w:val="-5"/>
          <w:w w:val="100"/>
        </w:rPr>
        <w:t>”</w:t>
      </w:r>
      <w:r>
        <w:rPr>
          <w:spacing w:val="-5"/>
          <w:w w:val="100"/>
        </w:rPr>
        <w:t>）《关于下达中国长城科技集团</w:t>
      </w:r>
      <w:r>
        <w:rPr>
          <w:spacing w:val="-79"/>
          <w:w w:val="100"/>
        </w:rPr>
        <w:t> </w:t>
      </w:r>
      <w:r>
        <w:rPr>
          <w:spacing w:val="-79"/>
          <w:w w:val="100"/>
        </w:rPr>
      </w:r>
      <w:r>
        <w:rPr>
          <w:spacing w:val="-1"/>
          <w:w w:val="100"/>
        </w:rPr>
        <w:t>股份有限公司</w:t>
      </w:r>
      <w:r>
        <w:rPr>
          <w:spacing w:val="-45"/>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4"/>
          <w:w w:val="100"/>
        </w:rPr>
        <w:t> </w:t>
      </w:r>
      <w:r>
        <w:rPr>
          <w:spacing w:val="-10"/>
          <w:w w:val="100"/>
        </w:rPr>
        <w:t>年中央国有资本经营预算的通知》，中电金投向公司下达国</w:t>
      </w:r>
    </w:p>
    <w:p>
      <w:pPr>
        <w:pStyle w:val="BodyText"/>
        <w:spacing w:line="297" w:lineRule="auto" w:before="13"/>
        <w:ind w:right="1468"/>
        <w:jc w:val="left"/>
      </w:pPr>
      <w:r>
        <w:rPr/>
        <w:t>有资本金</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万元作为资本投资，用于</w:t>
      </w:r>
      <w:r>
        <w:rPr>
          <w:rFonts w:ascii="Times New Roman" w:hAnsi="Times New Roman" w:cs="Times New Roman" w:eastAsia="Times New Roman" w:hint="default"/>
        </w:rPr>
        <w:t>“</w:t>
      </w:r>
      <w:r>
        <w:rPr/>
        <w:t>前瞻性战略性产业发展支出</w:t>
      </w:r>
      <w:r>
        <w:rPr>
          <w:rFonts w:ascii="Times New Roman" w:hAnsi="Times New Roman" w:cs="Times New Roman" w:eastAsia="Times New Roman" w:hint="default"/>
        </w:rPr>
        <w:t>—</w:t>
      </w:r>
      <w:r>
        <w:rPr/>
        <w:t>飞腾</w:t>
      </w:r>
      <w:r>
        <w:rPr>
          <w:w w:val="100"/>
        </w:rPr>
        <w:t> </w:t>
      </w:r>
      <w:r>
        <w:rPr>
          <w:spacing w:val="-2"/>
        </w:rPr>
        <w:t>中央处理器和麒麟操作系统产业体系建设工程</w:t>
      </w:r>
      <w:r>
        <w:rPr>
          <w:rFonts w:ascii="Times New Roman" w:hAnsi="Times New Roman" w:cs="Times New Roman" w:eastAsia="Times New Roman" w:hint="default"/>
          <w:spacing w:val="-2"/>
        </w:rPr>
        <w:t>”</w:t>
      </w:r>
      <w:r>
        <w:rPr>
          <w:spacing w:val="-2"/>
        </w:rPr>
        <w:t>。但因公司目前暂不具备国有</w:t>
      </w:r>
      <w:r>
        <w:rPr>
          <w:spacing w:val="-43"/>
        </w:rPr>
        <w:t> </w:t>
      </w:r>
      <w:r>
        <w:rPr>
          <w:spacing w:val="-43"/>
        </w:rPr>
      </w:r>
      <w:r>
        <w:rPr/>
        <w:t>资本金注资条件，中电金投以贷款方式提供给公司使用，经</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w w:val="100"/>
        </w:rPr>
        <w:t> </w:t>
      </w:r>
      <w:r>
        <w:rPr>
          <w:spacing w:val="-5"/>
        </w:rPr>
        <w:t>日公司第七届董事会第二十六次会议审议，同意公司与中电金投签署《借款合</w:t>
      </w:r>
    </w:p>
    <w:p>
      <w:pPr>
        <w:spacing w:after="0" w:line="297" w:lineRule="auto"/>
        <w:jc w:val="left"/>
        <w:sectPr>
          <w:pgSz w:w="11910" w:h="16840"/>
          <w:pgMar w:header="753" w:footer="997" w:top="1500" w:bottom="1180" w:left="1660" w:right="0"/>
        </w:sectPr>
      </w:pPr>
    </w:p>
    <w:p>
      <w:pPr>
        <w:spacing w:line="240" w:lineRule="auto" w:before="13"/>
        <w:rPr>
          <w:rFonts w:ascii="宋体" w:hAnsi="宋体" w:cs="宋体" w:eastAsia="宋体" w:hint="default"/>
          <w:sz w:val="19"/>
          <w:szCs w:val="19"/>
        </w:rPr>
      </w:pPr>
    </w:p>
    <w:p>
      <w:pPr>
        <w:pStyle w:val="BodyText"/>
        <w:spacing w:line="240" w:lineRule="auto"/>
        <w:ind w:right="0"/>
        <w:jc w:val="both"/>
      </w:pPr>
      <w:r>
        <w:rPr>
          <w:w w:val="100"/>
        </w:rPr>
        <w:t>同</w:t>
      </w:r>
      <w:r>
        <w:rPr>
          <w:spacing w:val="-106"/>
          <w:w w:val="100"/>
        </w:rPr>
        <w:t>》</w:t>
      </w:r>
      <w:r>
        <w:rPr>
          <w:spacing w:val="-3"/>
          <w:w w:val="100"/>
        </w:rPr>
        <w:t>，</w:t>
      </w:r>
      <w:r>
        <w:rPr>
          <w:w w:val="100"/>
        </w:rPr>
        <w:t>利</w:t>
      </w:r>
      <w:r>
        <w:rPr>
          <w:spacing w:val="-3"/>
          <w:w w:val="100"/>
        </w:rPr>
        <w:t>率</w:t>
      </w:r>
      <w:r>
        <w:rPr>
          <w:w w:val="100"/>
        </w:rPr>
        <w:t>为</w:t>
      </w:r>
      <w:r>
        <w:rPr>
          <w:spacing w:val="-3"/>
          <w:w w:val="100"/>
        </w:rPr>
        <w:t>人</w:t>
      </w:r>
      <w:r>
        <w:rPr>
          <w:w w:val="100"/>
        </w:rPr>
        <w:t>民</w:t>
      </w:r>
      <w:r>
        <w:rPr>
          <w:spacing w:val="-3"/>
          <w:w w:val="100"/>
        </w:rPr>
        <w:t>银</w:t>
      </w:r>
      <w:r>
        <w:rPr>
          <w:w w:val="100"/>
        </w:rPr>
        <w:t>行</w:t>
      </w:r>
      <w:r>
        <w:rPr>
          <w:spacing w:val="-3"/>
          <w:w w:val="100"/>
        </w:rPr>
        <w:t>公布</w:t>
      </w:r>
      <w:r>
        <w:rPr>
          <w:w w:val="100"/>
        </w:rPr>
        <w:t>的一</w:t>
      </w:r>
      <w:r>
        <w:rPr>
          <w:spacing w:val="-3"/>
          <w:w w:val="100"/>
        </w:rPr>
        <w:t>年</w:t>
      </w:r>
      <w:r>
        <w:rPr>
          <w:w w:val="100"/>
        </w:rPr>
        <w:t>期</w:t>
      </w:r>
      <w:r>
        <w:rPr>
          <w:spacing w:val="-3"/>
          <w:w w:val="100"/>
        </w:rPr>
        <w:t>贷</w:t>
      </w:r>
      <w:r>
        <w:rPr>
          <w:w w:val="100"/>
        </w:rPr>
        <w:t>款</w:t>
      </w:r>
      <w:r>
        <w:rPr>
          <w:spacing w:val="-3"/>
          <w:w w:val="100"/>
        </w:rPr>
        <w:t>基</w:t>
      </w:r>
      <w:r>
        <w:rPr>
          <w:w w:val="100"/>
        </w:rPr>
        <w:t>准</w:t>
      </w:r>
      <w:r>
        <w:rPr>
          <w:spacing w:val="-3"/>
          <w:w w:val="100"/>
        </w:rPr>
        <w:t>利</w:t>
      </w:r>
      <w:r>
        <w:rPr>
          <w:w w:val="100"/>
        </w:rPr>
        <w:t>率</w:t>
      </w:r>
      <w:r>
        <w:rPr>
          <w:spacing w:val="-3"/>
          <w:w w:val="100"/>
        </w:rPr>
        <w:t>，</w:t>
      </w:r>
      <w:r>
        <w:rPr>
          <w:w w:val="100"/>
        </w:rPr>
        <w:t>期限</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年。</w:t>
      </w:r>
    </w:p>
    <w:p>
      <w:pPr>
        <w:pStyle w:val="BodyText"/>
        <w:spacing w:line="309" w:lineRule="auto" w:before="69"/>
        <w:ind w:right="1675"/>
        <w:jc w:val="left"/>
      </w:pPr>
      <w:r>
        <w:rPr>
          <w:spacing w:val="-5"/>
        </w:rPr>
        <w:t>（</w:t>
      </w:r>
      <w:r>
        <w:rPr>
          <w:rFonts w:ascii="Times New Roman" w:hAnsi="Times New Roman" w:cs="Times New Roman" w:eastAsia="Times New Roman" w:hint="default"/>
          <w:spacing w:val="-5"/>
        </w:rPr>
        <w:t>10</w:t>
      </w:r>
      <w:r>
        <w:rPr>
          <w:spacing w:val="-5"/>
        </w:rPr>
        <w:t>）与中国电子、中电财务就国有资本金的继续使用签署《委托贷款展期协</w:t>
      </w:r>
      <w:r>
        <w:rPr>
          <w:spacing w:val="-40"/>
        </w:rPr>
        <w:t> </w:t>
      </w:r>
      <w:r>
        <w:rPr>
          <w:spacing w:val="-40"/>
        </w:rPr>
      </w:r>
      <w:r>
        <w:rPr/>
        <w:t>议》暨关联交易</w:t>
      </w:r>
      <w:r>
        <w:rPr>
          <w:spacing w:val="-103"/>
        </w:rPr>
        <w:t> </w:t>
      </w:r>
      <w:r>
        <w:rPr>
          <w:spacing w:val="-103"/>
        </w:rPr>
      </w:r>
      <w:r>
        <w:rPr/>
        <w:t>中国电子通过中电财务以委托贷款方式发放本公司使用的项目国有资本金</w:t>
      </w:r>
      <w:r>
        <w:rPr>
          <w:w w:val="100"/>
        </w:rPr>
        <w:t> </w:t>
      </w:r>
      <w:r>
        <w:rPr>
          <w:rFonts w:ascii="Times New Roman" w:hAnsi="Times New Roman" w:cs="Times New Roman" w:eastAsia="Times New Roman" w:hint="default"/>
          <w:w w:val="100"/>
        </w:rPr>
        <w:t>16,500</w:t>
      </w:r>
      <w:r>
        <w:rPr>
          <w:rFonts w:ascii="Times New Roman" w:hAnsi="Times New Roman" w:cs="Times New Roman" w:eastAsia="Times New Roman" w:hint="default"/>
          <w:spacing w:val="1"/>
          <w:w w:val="100"/>
        </w:rPr>
        <w:t> </w:t>
      </w:r>
      <w:r>
        <w:rPr>
          <w:spacing w:val="-8"/>
          <w:w w:val="100"/>
        </w:rPr>
        <w:t>万元（项目均已按投向完成投入）目前仍暂不具备国有资本金注资条件，</w:t>
      </w:r>
    </w:p>
    <w:p>
      <w:pPr>
        <w:pStyle w:val="BodyText"/>
        <w:spacing w:line="240" w:lineRule="auto" w:before="2"/>
        <w:ind w:right="0"/>
        <w:jc w:val="both"/>
      </w:pPr>
      <w:r>
        <w:rPr/>
        <w:t>且原借款合同期限即将届满，为保证资金的继续使用，经</w:t>
      </w:r>
      <w:r>
        <w:rPr>
          <w:spacing w:val="-53"/>
        </w:rPr>
        <w:t> </w:t>
      </w:r>
      <w:r>
        <w:rPr>
          <w:rFonts w:ascii="Times New Roman" w:hAnsi="Times New Roman" w:cs="Times New Roman" w:eastAsia="Times New Roman" w:hint="default"/>
        </w:rPr>
        <w:t>2017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w:t>
      </w:r>
    </w:p>
    <w:p>
      <w:pPr>
        <w:pStyle w:val="BodyText"/>
        <w:spacing w:line="240" w:lineRule="auto" w:before="69"/>
        <w:ind w:right="0"/>
        <w:jc w:val="both"/>
      </w:pPr>
      <w:r>
        <w:rPr>
          <w:w w:val="100"/>
        </w:rPr>
        <w:t>公司</w:t>
      </w:r>
      <w:r>
        <w:rPr>
          <w:spacing w:val="-3"/>
          <w:w w:val="100"/>
        </w:rPr>
        <w:t>第</w:t>
      </w:r>
      <w:r>
        <w:rPr>
          <w:w w:val="100"/>
        </w:rPr>
        <w:t>六</w:t>
      </w:r>
      <w:r>
        <w:rPr>
          <w:spacing w:val="-3"/>
          <w:w w:val="100"/>
        </w:rPr>
        <w:t>届</w:t>
      </w:r>
      <w:r>
        <w:rPr>
          <w:w w:val="100"/>
        </w:rPr>
        <w:t>董</w:t>
      </w:r>
      <w:r>
        <w:rPr>
          <w:spacing w:val="-3"/>
          <w:w w:val="100"/>
        </w:rPr>
        <w:t>事</w:t>
      </w:r>
      <w:r>
        <w:rPr>
          <w:w w:val="100"/>
        </w:rPr>
        <w:t>会</w:t>
      </w:r>
      <w:r>
        <w:rPr>
          <w:spacing w:val="-106"/>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10"/>
        </w:rPr>
        <w:t> </w:t>
      </w:r>
      <w:r>
        <w:rPr>
          <w:w w:val="100"/>
        </w:rPr>
        <w:t>年</w:t>
      </w:r>
      <w:r>
        <w:rPr>
          <w:spacing w:val="-6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0"/>
        </w:rPr>
        <w:t> </w:t>
      </w:r>
      <w:r>
        <w:rPr>
          <w:w w:val="100"/>
        </w:rPr>
        <w:t>月</w:t>
      </w:r>
      <w:r>
        <w:rPr>
          <w:spacing w:val="-6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7"/>
        </w:rPr>
        <w:t> </w:t>
      </w:r>
      <w:r>
        <w:rPr>
          <w:spacing w:val="-3"/>
          <w:w w:val="100"/>
        </w:rPr>
        <w:t>日公</w:t>
      </w:r>
      <w:r>
        <w:rPr>
          <w:w w:val="100"/>
        </w:rPr>
        <w:t>司</w:t>
      </w:r>
      <w:r>
        <w:rPr>
          <w:spacing w:val="-59"/>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7"/>
        </w:rPr>
        <w:t> </w:t>
      </w:r>
      <w:r>
        <w:rPr>
          <w:spacing w:val="-3"/>
          <w:w w:val="100"/>
        </w:rPr>
        <w:t>年度</w:t>
      </w:r>
      <w:r>
        <w:rPr>
          <w:w w:val="100"/>
        </w:rPr>
        <w:t>第三</w:t>
      </w:r>
      <w:r>
        <w:rPr>
          <w:spacing w:val="-3"/>
          <w:w w:val="100"/>
        </w:rPr>
        <w:t>次</w:t>
      </w:r>
      <w:r>
        <w:rPr>
          <w:w w:val="100"/>
        </w:rPr>
        <w:t>临</w:t>
      </w:r>
      <w:r>
        <w:rPr>
          <w:spacing w:val="-3"/>
          <w:w w:val="100"/>
        </w:rPr>
        <w:t>时</w:t>
      </w:r>
      <w:r>
        <w:rPr>
          <w:w w:val="100"/>
        </w:rPr>
        <w:t>股</w:t>
      </w:r>
      <w:r>
        <w:rPr>
          <w:spacing w:val="-3"/>
          <w:w w:val="100"/>
        </w:rPr>
        <w:t>东</w:t>
      </w:r>
      <w:r>
        <w:rPr>
          <w:w w:val="100"/>
        </w:rPr>
        <w:t>大</w:t>
      </w:r>
      <w:r>
        <w:rPr>
          <w:spacing w:val="-3"/>
          <w:w w:val="100"/>
        </w:rPr>
        <w:t>会</w:t>
      </w:r>
      <w:r>
        <w:rPr>
          <w:w w:val="100"/>
        </w:rPr>
        <w:t>审</w:t>
      </w:r>
      <w:r>
        <w:rPr>
          <w:spacing w:val="-3"/>
          <w:w w:val="100"/>
        </w:rPr>
        <w:t>议</w:t>
      </w:r>
      <w:r>
        <w:rPr>
          <w:w w:val="100"/>
        </w:rPr>
        <w:t>，</w:t>
      </w:r>
    </w:p>
    <w:p>
      <w:pPr>
        <w:pStyle w:val="BodyText"/>
        <w:spacing w:line="240" w:lineRule="auto" w:before="69"/>
        <w:ind w:right="0"/>
        <w:jc w:val="both"/>
        <w:rPr>
          <w:rFonts w:ascii="Times New Roman" w:hAnsi="Times New Roman" w:cs="Times New Roman" w:eastAsia="Times New Roman" w:hint="default"/>
        </w:rPr>
      </w:pPr>
      <w:r>
        <w:rPr>
          <w:w w:val="100"/>
        </w:rPr>
        <w:t>同意</w:t>
      </w:r>
      <w:r>
        <w:rPr>
          <w:spacing w:val="-3"/>
          <w:w w:val="100"/>
        </w:rPr>
        <w:t>公</w:t>
      </w:r>
      <w:r>
        <w:rPr>
          <w:w w:val="100"/>
        </w:rPr>
        <w:t>司</w:t>
      </w:r>
      <w:r>
        <w:rPr>
          <w:spacing w:val="-3"/>
          <w:w w:val="100"/>
        </w:rPr>
        <w:t>与</w:t>
      </w:r>
      <w:r>
        <w:rPr>
          <w:w w:val="100"/>
        </w:rPr>
        <w:t>中</w:t>
      </w:r>
      <w:r>
        <w:rPr>
          <w:spacing w:val="-3"/>
          <w:w w:val="100"/>
        </w:rPr>
        <w:t>电</w:t>
      </w:r>
      <w:r>
        <w:rPr>
          <w:w w:val="100"/>
        </w:rPr>
        <w:t>财</w:t>
      </w:r>
      <w:r>
        <w:rPr>
          <w:spacing w:val="-3"/>
          <w:w w:val="100"/>
        </w:rPr>
        <w:t>务</w:t>
      </w:r>
      <w:r>
        <w:rPr>
          <w:w w:val="100"/>
        </w:rPr>
        <w:t>签</w:t>
      </w:r>
      <w:r>
        <w:rPr>
          <w:spacing w:val="-3"/>
          <w:w w:val="100"/>
        </w:rPr>
        <w:t>署</w:t>
      </w:r>
      <w:r>
        <w:rPr>
          <w:w w:val="100"/>
        </w:rPr>
        <w:t>《委</w:t>
      </w:r>
      <w:r>
        <w:rPr>
          <w:spacing w:val="-3"/>
          <w:w w:val="100"/>
        </w:rPr>
        <w:t>托</w:t>
      </w:r>
      <w:r>
        <w:rPr>
          <w:w w:val="100"/>
        </w:rPr>
        <w:t>贷</w:t>
      </w:r>
      <w:r>
        <w:rPr>
          <w:spacing w:val="-3"/>
          <w:w w:val="100"/>
        </w:rPr>
        <w:t>款</w:t>
      </w:r>
      <w:r>
        <w:rPr>
          <w:w w:val="100"/>
        </w:rPr>
        <w:t>借</w:t>
      </w:r>
      <w:r>
        <w:rPr>
          <w:spacing w:val="-3"/>
          <w:w w:val="100"/>
        </w:rPr>
        <w:t>款</w:t>
      </w:r>
      <w:r>
        <w:rPr>
          <w:w w:val="100"/>
        </w:rPr>
        <w:t>展</w:t>
      </w:r>
      <w:r>
        <w:rPr>
          <w:spacing w:val="-3"/>
          <w:w w:val="100"/>
        </w:rPr>
        <w:t>期</w:t>
      </w:r>
      <w:r>
        <w:rPr>
          <w:w w:val="100"/>
        </w:rPr>
        <w:t>协</w:t>
      </w:r>
      <w:r>
        <w:rPr>
          <w:spacing w:val="-3"/>
          <w:w w:val="100"/>
        </w:rPr>
        <w:t>议</w:t>
      </w:r>
      <w:r>
        <w:rPr>
          <w:spacing w:val="-108"/>
          <w:w w:val="100"/>
        </w:rPr>
        <w:t>》</w:t>
      </w:r>
      <w:r>
        <w:rPr>
          <w:w w:val="100"/>
        </w:rPr>
        <w:t>，</w:t>
      </w:r>
      <w:r>
        <w:rPr>
          <w:spacing w:val="-3"/>
          <w:w w:val="100"/>
        </w:rPr>
        <w:t>展</w:t>
      </w:r>
      <w:r>
        <w:rPr>
          <w:w w:val="100"/>
        </w:rPr>
        <w:t>期</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年</w:t>
      </w:r>
      <w:r>
        <w:rPr>
          <w:w w:val="100"/>
        </w:rPr>
        <w:t>至</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p>
    <w:p>
      <w:pPr>
        <w:pStyle w:val="BodyText"/>
        <w:spacing w:line="240" w:lineRule="auto" w:before="69"/>
        <w:ind w:right="0"/>
        <w:jc w:val="both"/>
      </w:pP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8"/>
        </w:rPr>
        <w:t>日；经</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spacing w:val="-4"/>
        </w:rPr>
        <w:t>日公司第七届董事会第八次会议审议，同意公司</w:t>
      </w:r>
    </w:p>
    <w:p>
      <w:pPr>
        <w:pStyle w:val="BodyText"/>
        <w:spacing w:line="240" w:lineRule="auto" w:before="69"/>
        <w:ind w:right="0"/>
        <w:jc w:val="both"/>
        <w:rPr>
          <w:rFonts w:ascii="Times New Roman" w:hAnsi="Times New Roman" w:cs="Times New Roman" w:eastAsia="Times New Roman" w:hint="default"/>
        </w:rPr>
      </w:pPr>
      <w:r>
        <w:rPr>
          <w:w w:val="100"/>
        </w:rPr>
        <w:t>与中</w:t>
      </w:r>
      <w:r>
        <w:rPr>
          <w:spacing w:val="-3"/>
          <w:w w:val="100"/>
        </w:rPr>
        <w:t>电</w:t>
      </w:r>
      <w:r>
        <w:rPr>
          <w:w w:val="100"/>
        </w:rPr>
        <w:t>财</w:t>
      </w:r>
      <w:r>
        <w:rPr>
          <w:spacing w:val="-3"/>
          <w:w w:val="100"/>
        </w:rPr>
        <w:t>务</w:t>
      </w:r>
      <w:r>
        <w:rPr>
          <w:w w:val="100"/>
        </w:rPr>
        <w:t>继</w:t>
      </w:r>
      <w:r>
        <w:rPr>
          <w:spacing w:val="-3"/>
          <w:w w:val="100"/>
        </w:rPr>
        <w:t>续</w:t>
      </w:r>
      <w:r>
        <w:rPr>
          <w:w w:val="100"/>
        </w:rPr>
        <w:t>签</w:t>
      </w:r>
      <w:r>
        <w:rPr>
          <w:spacing w:val="-27"/>
          <w:w w:val="100"/>
        </w:rPr>
        <w:t>署</w:t>
      </w:r>
      <w:r>
        <w:rPr>
          <w:spacing w:val="-3"/>
          <w:w w:val="100"/>
        </w:rPr>
        <w:t>《委</w:t>
      </w:r>
      <w:r>
        <w:rPr>
          <w:w w:val="100"/>
        </w:rPr>
        <w:t>托贷</w:t>
      </w:r>
      <w:r>
        <w:rPr>
          <w:spacing w:val="-3"/>
          <w:w w:val="100"/>
        </w:rPr>
        <w:t>款</w:t>
      </w:r>
      <w:r>
        <w:rPr>
          <w:w w:val="100"/>
        </w:rPr>
        <w:t>借</w:t>
      </w:r>
      <w:r>
        <w:rPr>
          <w:spacing w:val="-3"/>
          <w:w w:val="100"/>
        </w:rPr>
        <w:t>款</w:t>
      </w:r>
      <w:r>
        <w:rPr>
          <w:w w:val="100"/>
        </w:rPr>
        <w:t>展</w:t>
      </w:r>
      <w:r>
        <w:rPr>
          <w:spacing w:val="-3"/>
          <w:w w:val="100"/>
        </w:rPr>
        <w:t>期</w:t>
      </w:r>
      <w:r>
        <w:rPr>
          <w:w w:val="100"/>
        </w:rPr>
        <w:t>协</w:t>
      </w:r>
      <w:r>
        <w:rPr>
          <w:spacing w:val="-3"/>
          <w:w w:val="100"/>
        </w:rPr>
        <w:t>议</w:t>
      </w:r>
      <w:r>
        <w:rPr>
          <w:spacing w:val="-106"/>
          <w:w w:val="100"/>
        </w:rPr>
        <w:t>》</w:t>
      </w:r>
      <w:r>
        <w:rPr>
          <w:spacing w:val="-27"/>
          <w:w w:val="100"/>
        </w:rPr>
        <w:t>，</w:t>
      </w:r>
      <w:r>
        <w:rPr>
          <w:spacing w:val="-3"/>
          <w:w w:val="100"/>
        </w:rPr>
        <w:t>展</w:t>
      </w:r>
      <w:r>
        <w:rPr>
          <w:w w:val="100"/>
        </w:rPr>
        <w:t>期</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年</w:t>
      </w:r>
      <w:r>
        <w:rPr>
          <w:w w:val="100"/>
        </w:rPr>
        <w:t>至</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2"/>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31</w:t>
      </w:r>
      <w:r>
        <w:rPr>
          <w:rFonts w:ascii="Times New Roman" w:hAnsi="Times New Roman" w:cs="Times New Roman" w:eastAsia="Times New Roman" w:hint="default"/>
          <w:w w:val="100"/>
        </w:rPr>
      </w:r>
    </w:p>
    <w:p>
      <w:pPr>
        <w:pStyle w:val="BodyText"/>
        <w:spacing w:line="240" w:lineRule="auto" w:before="69"/>
        <w:ind w:right="0"/>
        <w:jc w:val="both"/>
      </w:pPr>
      <w:r>
        <w:rPr/>
        <w:t>日；经</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日公司第七届董事会第二十八次会议、</w:t>
      </w: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12 </w:t>
      </w:r>
      <w:r>
        <w:rPr/>
        <w:t>月</w:t>
      </w:r>
    </w:p>
    <w:p>
      <w:pPr>
        <w:pStyle w:val="BodyText"/>
        <w:spacing w:line="240" w:lineRule="auto" w:before="70"/>
        <w:ind w:right="0"/>
        <w:jc w:val="both"/>
      </w:pPr>
      <w:r>
        <w:rPr>
          <w:rFonts w:ascii="Times New Roman" w:hAnsi="Times New Roman" w:cs="Times New Roman" w:eastAsia="Times New Roman" w:hint="default"/>
        </w:rPr>
        <w:t>30 </w:t>
      </w:r>
      <w:r>
        <w:rPr/>
        <w:t>日公司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spacing w:val="-4"/>
        </w:rPr>
        <w:t>年度第五次临时股东大会审议，同意公司与中国电子、中电财</w:t>
      </w:r>
    </w:p>
    <w:p>
      <w:pPr>
        <w:pStyle w:val="BodyText"/>
        <w:spacing w:line="297" w:lineRule="auto" w:before="69"/>
        <w:ind w:right="1789"/>
        <w:jc w:val="both"/>
      </w:pPr>
      <w:r>
        <w:rPr>
          <w:spacing w:val="-11"/>
          <w:w w:val="100"/>
        </w:rPr>
        <w:t>务继续签署《委托贷款展期协议》，展期</w:t>
      </w:r>
      <w:r>
        <w:rPr>
          <w:spacing w:val="-53"/>
          <w:w w:val="100"/>
        </w:rPr>
        <w:t> </w:t>
      </w:r>
      <w:r>
        <w:rPr>
          <w:rFonts w:ascii="Times New Roman" w:hAnsi="Times New Roman" w:cs="Times New Roman" w:eastAsia="Times New Roman" w:hint="default"/>
          <w:w w:val="100"/>
        </w:rPr>
        <w:t>1 </w:t>
      </w:r>
      <w:r>
        <w:rPr>
          <w:spacing w:val="-2"/>
          <w:w w:val="100"/>
        </w:rPr>
        <w:t>年至</w:t>
      </w:r>
      <w:r>
        <w:rPr>
          <w:spacing w:val="-54"/>
          <w:w w:val="100"/>
        </w:rPr>
        <w:t> </w:t>
      </w:r>
      <w:r>
        <w:rPr>
          <w:rFonts w:ascii="Times New Roman" w:hAnsi="Times New Roman" w:cs="Times New Roman" w:eastAsia="Times New Roman" w:hint="default"/>
          <w:spacing w:val="-2"/>
          <w:w w:val="100"/>
        </w:rPr>
        <w:t>2020</w:t>
      </w:r>
      <w:r>
        <w:rPr>
          <w:rFonts w:ascii="Times New Roman" w:hAnsi="Times New Roman" w:cs="Times New Roman" w:eastAsia="Times New Roman" w:hint="default"/>
          <w:w w:val="100"/>
        </w:rPr>
        <w:t> </w:t>
      </w:r>
      <w:r>
        <w:rPr>
          <w:w w:val="100"/>
        </w:rPr>
        <w:t>年</w:t>
      </w:r>
      <w:r>
        <w:rPr>
          <w:spacing w:val="-54"/>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w w:val="100"/>
        </w:rPr>
        <w:t> </w:t>
      </w:r>
      <w:r>
        <w:rPr>
          <w:w w:val="100"/>
        </w:rPr>
        <w:t>月</w:t>
      </w:r>
      <w:r>
        <w:rPr>
          <w:spacing w:val="-54"/>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w w:val="100"/>
        </w:rPr>
        <w:t> </w:t>
      </w:r>
      <w:r>
        <w:rPr>
          <w:spacing w:val="-7"/>
          <w:w w:val="100"/>
        </w:rPr>
        <w:t>日，贷款基准</w:t>
      </w:r>
      <w:r>
        <w:rPr>
          <w:w w:val="100"/>
        </w:rPr>
        <w:t> </w:t>
      </w:r>
      <w:r>
        <w:rPr/>
        <w:t>利率保持不变，仍按人民银行公布的一年期贷款基准利率执行。</w:t>
      </w:r>
    </w:p>
    <w:p>
      <w:pPr>
        <w:pStyle w:val="BodyText"/>
        <w:spacing w:line="302" w:lineRule="auto" w:before="34"/>
        <w:ind w:right="1676"/>
        <w:jc w:val="left"/>
      </w:pPr>
      <w:r>
        <w:rPr/>
        <w:t>（</w:t>
      </w:r>
      <w:r>
        <w:rPr>
          <w:rFonts w:ascii="Times New Roman" w:hAnsi="Times New Roman" w:cs="Times New Roman" w:eastAsia="Times New Roman" w:hint="default"/>
        </w:rPr>
        <w:t>11</w:t>
      </w:r>
      <w:r>
        <w:rPr/>
        <w:t>）办理应收账款保理业务暨关联交易</w:t>
      </w:r>
      <w:r>
        <w:rPr>
          <w:w w:val="100"/>
        </w:rPr>
        <w:t> </w:t>
      </w:r>
      <w:r>
        <w:rPr>
          <w:spacing w:val="-8"/>
        </w:rPr>
        <w:t>为盘活资产，加快资金周转，缩短公司整体应收账款回笼时间，优化财务结构，</w:t>
      </w:r>
      <w:r>
        <w:rPr>
          <w:spacing w:val="-41"/>
        </w:rPr>
        <w:t> </w:t>
      </w:r>
      <w:r>
        <w:rPr>
          <w:spacing w:val="-41"/>
        </w:rPr>
      </w:r>
      <w:r>
        <w:rPr/>
        <w:t>经</w:t>
      </w:r>
      <w:r>
        <w:rPr>
          <w:spacing w:val="-53"/>
        </w:rPr>
        <w:t> </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日公司第七届董事会第三十次会议审议，同意公司及下属</w:t>
      </w:r>
      <w:r>
        <w:rPr>
          <w:w w:val="100"/>
        </w:rPr>
        <w:t> </w:t>
      </w:r>
      <w:r>
        <w:rPr>
          <w:spacing w:val="-4"/>
        </w:rPr>
        <w:t>公司与中电通商商业保理（天津）有限公司（简称</w:t>
      </w:r>
      <w:r>
        <w:rPr>
          <w:rFonts w:ascii="Times New Roman" w:hAnsi="Times New Roman" w:cs="Times New Roman" w:eastAsia="Times New Roman" w:hint="default"/>
          <w:spacing w:val="-4"/>
        </w:rPr>
        <w:t>“</w:t>
      </w:r>
      <w:r>
        <w:rPr>
          <w:spacing w:val="-4"/>
        </w:rPr>
        <w:t>通商保理公司</w:t>
      </w:r>
      <w:r>
        <w:rPr>
          <w:rFonts w:ascii="Times New Roman" w:hAnsi="Times New Roman" w:cs="Times New Roman" w:eastAsia="Times New Roman" w:hint="default"/>
          <w:spacing w:val="-4"/>
        </w:rPr>
        <w:t>”</w:t>
      </w:r>
      <w:r>
        <w:rPr>
          <w:spacing w:val="-4"/>
        </w:rPr>
        <w:t>）及商业银</w:t>
      </w:r>
      <w:r>
        <w:rPr>
          <w:spacing w:val="-51"/>
        </w:rPr>
        <w:t> </w:t>
      </w:r>
      <w:r>
        <w:rPr>
          <w:spacing w:val="-51"/>
        </w:rPr>
      </w:r>
      <w:r>
        <w:rPr/>
        <w:t>行或其他符合条件的机构开展总额不超过人民币</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亿元的应收账款保理业务，</w:t>
      </w:r>
    </w:p>
    <w:p>
      <w:pPr>
        <w:pStyle w:val="BodyText"/>
        <w:spacing w:line="309" w:lineRule="auto" w:before="9"/>
        <w:ind w:right="1786"/>
        <w:jc w:val="both"/>
      </w:pPr>
      <w:r>
        <w:rPr>
          <w:spacing w:val="-4"/>
        </w:rPr>
        <w:t>根据上市公司规则认定，其中与通商保理公司开展的不超过人民币 </w:t>
      </w:r>
      <w:r>
        <w:rPr>
          <w:rFonts w:ascii="Times New Roman" w:hAnsi="Times New Roman" w:cs="Times New Roman" w:eastAsia="Times New Roman" w:hint="default"/>
        </w:rPr>
        <w:t>2.6 </w:t>
      </w:r>
      <w:r>
        <w:rPr/>
        <w:t>亿元的</w:t>
      </w:r>
      <w:r>
        <w:rPr>
          <w:spacing w:val="-94"/>
        </w:rPr>
        <w:t> </w:t>
      </w:r>
      <w:r>
        <w:rPr>
          <w:spacing w:val="-94"/>
        </w:rPr>
      </w:r>
      <w:r>
        <w:rPr>
          <w:spacing w:val="-5"/>
        </w:rPr>
        <w:t>应收账款保理业务构成关联交易，保理方式为无追索权的应收账款保理；其余</w:t>
      </w:r>
      <w:r>
        <w:rPr>
          <w:spacing w:val="-45"/>
        </w:rPr>
        <w:t> </w:t>
      </w:r>
      <w:r>
        <w:rPr>
          <w:spacing w:val="-45"/>
        </w:rPr>
      </w:r>
      <w:r>
        <w:rPr/>
        <w:t>不超过人民币</w:t>
      </w:r>
      <w:r>
        <w:rPr>
          <w:spacing w:val="-32"/>
        </w:rPr>
        <w:t> </w:t>
      </w:r>
      <w:r>
        <w:rPr>
          <w:rFonts w:ascii="Times New Roman" w:hAnsi="Times New Roman" w:cs="Times New Roman" w:eastAsia="Times New Roman" w:hint="default"/>
        </w:rPr>
        <w:t>2.4</w:t>
      </w:r>
      <w:r>
        <w:rPr>
          <w:rFonts w:ascii="Times New Roman" w:hAnsi="Times New Roman" w:cs="Times New Roman" w:eastAsia="Times New Roman" w:hint="default"/>
          <w:spacing w:val="19"/>
        </w:rPr>
        <w:t> </w:t>
      </w:r>
      <w:r>
        <w:rPr>
          <w:spacing w:val="-4"/>
        </w:rPr>
        <w:t>亿元的应收账款保理业务，公司将结合业务实际情况和各应</w:t>
      </w:r>
      <w:r>
        <w:rPr>
          <w:spacing w:val="-98"/>
        </w:rPr>
        <w:t> </w:t>
      </w:r>
      <w:r>
        <w:rPr>
          <w:spacing w:val="-98"/>
        </w:rPr>
      </w:r>
      <w:r>
        <w:rPr>
          <w:spacing w:val="-5"/>
        </w:rPr>
        <w:t>收账款保理商的优势，选择最优的保理方式。公司办理保理业务的费率参照市</w:t>
      </w:r>
      <w:r>
        <w:rPr>
          <w:spacing w:val="-46"/>
        </w:rPr>
        <w:t> </w:t>
      </w:r>
      <w:r>
        <w:rPr>
          <w:spacing w:val="-46"/>
        </w:rPr>
      </w:r>
      <w:r>
        <w:rPr>
          <w:spacing w:val="-5"/>
          <w:w w:val="100"/>
        </w:rPr>
        <w:t>场价格确定，不高于通商保理公司及商业银行或其他符合条件的机构为其他同</w:t>
      </w:r>
      <w:r>
        <w:rPr>
          <w:spacing w:val="-85"/>
          <w:w w:val="100"/>
        </w:rPr>
        <w:t> </w:t>
      </w:r>
      <w:r>
        <w:rPr>
          <w:spacing w:val="-85"/>
          <w:w w:val="100"/>
        </w:rPr>
      </w:r>
      <w:r>
        <w:rPr>
          <w:spacing w:val="-5"/>
        </w:rPr>
        <w:t>等客户提供的同类业务服务收取标准。本年度，武汉中元通信股份有限公司与</w:t>
      </w:r>
      <w:r>
        <w:rPr>
          <w:spacing w:val="-43"/>
        </w:rPr>
        <w:t> </w:t>
      </w:r>
      <w:r>
        <w:rPr>
          <w:spacing w:val="-43"/>
        </w:rPr>
      </w:r>
      <w:r>
        <w:rPr/>
        <w:t>通商保理公司办理应收账款无追索权保理业务</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spacing w:val="-6"/>
        </w:rPr>
        <w:t>亿元，长沙湘计海盾科技有</w:t>
      </w:r>
    </w:p>
    <w:p>
      <w:pPr>
        <w:pStyle w:val="BodyText"/>
        <w:spacing w:line="304" w:lineRule="auto" w:before="2"/>
        <w:ind w:right="1841"/>
        <w:jc w:val="both"/>
      </w:pPr>
      <w:r>
        <w:rPr/>
        <w:t>限公司与通商保理公司办理应收账款无追索权保理业务</w:t>
      </w:r>
      <w:r>
        <w:rPr>
          <w:spacing w:val="-54"/>
        </w:rPr>
        <w:t> </w:t>
      </w:r>
      <w:r>
        <w:rPr>
          <w:rFonts w:ascii="Times New Roman" w:hAnsi="Times New Roman" w:cs="Times New Roman" w:eastAsia="Times New Roman" w:hint="default"/>
        </w:rPr>
        <w:t>0.50</w:t>
      </w:r>
      <w:r>
        <w:rPr>
          <w:rFonts w:ascii="Times New Roman" w:hAnsi="Times New Roman" w:cs="Times New Roman" w:eastAsia="Times New Roman" w:hint="default"/>
          <w:spacing w:val="-5"/>
        </w:rPr>
        <w:t> </w:t>
      </w:r>
      <w:r>
        <w:rPr/>
        <w:t>亿元、湖南长城</w:t>
      </w:r>
      <w:r>
        <w:rPr>
          <w:w w:val="100"/>
        </w:rPr>
        <w:t> </w:t>
      </w:r>
      <w:r>
        <w:rPr/>
        <w:t>信息金融设备有限责任公司与通商保理公司办理应收账款无追索权保理业务</w:t>
      </w:r>
      <w:r>
        <w:rPr>
          <w:w w:val="100"/>
        </w:rPr>
        <w:t> </w:t>
      </w:r>
      <w:r>
        <w:rPr>
          <w:rFonts w:ascii="Times New Roman" w:hAnsi="Times New Roman" w:cs="Times New Roman" w:eastAsia="Times New Roman" w:hint="default"/>
        </w:rPr>
        <w:t>0.70</w:t>
      </w:r>
      <w:r>
        <w:rPr>
          <w:rFonts w:ascii="Times New Roman" w:hAnsi="Times New Roman" w:cs="Times New Roman" w:eastAsia="Times New Roman" w:hint="default"/>
          <w:spacing w:val="2"/>
        </w:rPr>
        <w:t> </w:t>
      </w:r>
      <w:r>
        <w:rPr/>
        <w:t>亿元。</w:t>
      </w:r>
    </w:p>
    <w:p>
      <w:pPr>
        <w:pStyle w:val="BodyText"/>
        <w:spacing w:line="240" w:lineRule="auto" w:before="6"/>
        <w:ind w:right="0"/>
        <w:jc w:val="both"/>
      </w:pPr>
      <w:r>
        <w:rPr/>
        <w:t>（</w:t>
      </w:r>
      <w:r>
        <w:rPr>
          <w:rFonts w:ascii="Times New Roman" w:hAnsi="Times New Roman" w:cs="Times New Roman" w:eastAsia="Times New Roman" w:hint="default"/>
        </w:rPr>
        <w:t>12</w:t>
      </w:r>
      <w:r>
        <w:rPr/>
        <w:t>）核销中国电子其他应收款</w:t>
      </w:r>
      <w:r>
        <w:rPr>
          <w:spacing w:val="-52"/>
        </w:rPr>
        <w:t> </w:t>
      </w:r>
      <w:r>
        <w:rPr>
          <w:rFonts w:ascii="Times New Roman" w:hAnsi="Times New Roman" w:cs="Times New Roman" w:eastAsia="Times New Roman" w:hint="default"/>
        </w:rPr>
        <w:t>800</w:t>
      </w:r>
      <w:r>
        <w:rPr>
          <w:rFonts w:ascii="Times New Roman" w:hAnsi="Times New Roman" w:cs="Times New Roman" w:eastAsia="Times New Roman" w:hint="default"/>
          <w:spacing w:val="-2"/>
        </w:rPr>
        <w:t> </w:t>
      </w:r>
      <w:r>
        <w:rPr/>
        <w:t>万元</w:t>
      </w:r>
    </w:p>
    <w:p>
      <w:pPr>
        <w:pStyle w:val="BodyText"/>
        <w:spacing w:line="297" w:lineRule="auto" w:before="69"/>
        <w:ind w:right="1786"/>
        <w:jc w:val="both"/>
      </w:pPr>
      <w:r>
        <w:rPr>
          <w:spacing w:val="-2"/>
          <w:w w:val="100"/>
        </w:rPr>
        <w:t>中原电子账面其他应收武汉工业国有投资有限公司的</w:t>
      </w:r>
      <w:r>
        <w:rPr>
          <w:spacing w:val="-46"/>
          <w:w w:val="100"/>
        </w:rPr>
        <w:t> </w:t>
      </w:r>
      <w:r>
        <w:rPr>
          <w:rFonts w:ascii="Times New Roman" w:hAnsi="Times New Roman" w:cs="Times New Roman" w:eastAsia="Times New Roman" w:hint="default"/>
          <w:w w:val="100"/>
        </w:rPr>
        <w:t>800</w:t>
      </w:r>
      <w:r>
        <w:rPr>
          <w:rFonts w:ascii="Times New Roman" w:hAnsi="Times New Roman" w:cs="Times New Roman" w:eastAsia="Times New Roman" w:hint="default"/>
          <w:spacing w:val="3"/>
          <w:w w:val="100"/>
        </w:rPr>
        <w:t> </w:t>
      </w:r>
      <w:r>
        <w:rPr>
          <w:spacing w:val="-13"/>
          <w:w w:val="100"/>
        </w:rPr>
        <w:t>万元垫付出资款（对</w:t>
      </w:r>
      <w:r>
        <w:rPr>
          <w:spacing w:val="-104"/>
          <w:w w:val="100"/>
        </w:rPr>
        <w:t> </w:t>
      </w:r>
      <w:r>
        <w:rPr>
          <w:spacing w:val="-104"/>
          <w:w w:val="100"/>
        </w:rPr>
      </w:r>
      <w:r>
        <w:rPr/>
        <w:t>应 </w:t>
      </w:r>
      <w:r>
        <w:rPr>
          <w:rFonts w:ascii="Times New Roman" w:hAnsi="Times New Roman" w:cs="Times New Roman" w:eastAsia="Times New Roman" w:hint="default"/>
          <w:spacing w:val="-4"/>
        </w:rPr>
        <w:t>4.98%</w:t>
      </w:r>
      <w:r>
        <w:rPr>
          <w:spacing w:val="-4"/>
        </w:rPr>
        <w:t>股权）是基于历史遗留代持关系而形成，已全额计提坏账准备，对应</w:t>
      </w:r>
      <w:r>
        <w:rPr>
          <w:spacing w:val="-96"/>
        </w:rPr>
        <w:t> </w:t>
      </w:r>
      <w:r>
        <w:rPr>
          <w:spacing w:val="-96"/>
        </w:rPr>
      </w:r>
      <w:r>
        <w:rPr/>
        <w:t>的该部分股权当时未纳入重大资产重组范畴及作价。随着</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月中国电</w:t>
      </w:r>
      <w:r>
        <w:rPr>
          <w:w w:val="100"/>
        </w:rPr>
        <w:t> </w:t>
      </w:r>
      <w:r>
        <w:rPr/>
        <w:t>子通过国有股权无偿划转的方式收回</w:t>
      </w:r>
      <w:r>
        <w:rPr>
          <w:spacing w:val="-62"/>
        </w:rPr>
        <w:t> </w:t>
      </w:r>
      <w:r>
        <w:rPr>
          <w:rFonts w:ascii="Times New Roman" w:hAnsi="Times New Roman" w:cs="Times New Roman" w:eastAsia="Times New Roman" w:hint="default"/>
        </w:rPr>
        <w:t>4.98%</w:t>
      </w:r>
      <w:r>
        <w:rPr/>
        <w:t>股权及原代持关系的解除，</w:t>
      </w:r>
      <w:r>
        <w:rPr>
          <w:rFonts w:ascii="Times New Roman" w:hAnsi="Times New Roman" w:cs="Times New Roman" w:eastAsia="Times New Roman" w:hint="default"/>
        </w:rPr>
        <w:t>800</w:t>
      </w:r>
      <w:r>
        <w:rPr>
          <w:rFonts w:ascii="Times New Roman" w:hAnsi="Times New Roman" w:cs="Times New Roman" w:eastAsia="Times New Roman" w:hint="default"/>
          <w:spacing w:val="-9"/>
        </w:rPr>
        <w:t> </w:t>
      </w:r>
      <w:r>
        <w:rPr/>
        <w:t>万</w:t>
      </w:r>
      <w:r>
        <w:rPr>
          <w:w w:val="100"/>
        </w:rPr>
        <w:t> </w:t>
      </w:r>
      <w:r>
        <w:rPr/>
        <w:t>元其他应收款应予以核销。</w:t>
      </w:r>
    </w:p>
    <w:p>
      <w:pPr>
        <w:pStyle w:val="Heading5"/>
        <w:tabs>
          <w:tab w:pos="712" w:val="left" w:leader="none"/>
        </w:tabs>
        <w:spacing w:line="240" w:lineRule="auto" w:before="73"/>
        <w:ind w:left="0" w:right="7354"/>
        <w:jc w:val="center"/>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关联方应收应付款项</w:t>
      </w:r>
      <w:r>
        <w:rPr>
          <w:b w:val="0"/>
          <w:bCs w:val="0"/>
        </w:rPr>
      </w:r>
    </w:p>
    <w:p>
      <w:pPr>
        <w:pStyle w:val="Heading5"/>
        <w:tabs>
          <w:tab w:pos="551" w:val="left" w:leader="none"/>
        </w:tabs>
        <w:spacing w:line="240" w:lineRule="auto" w:before="110"/>
        <w:ind w:left="0" w:right="7155"/>
        <w:jc w:val="center"/>
        <w:rPr>
          <w:b w:val="0"/>
          <w:bCs w:val="0"/>
        </w:rPr>
      </w:pPr>
      <w:r>
        <w:rPr>
          <w:rFonts w:ascii="Times New Roman" w:hAnsi="Times New Roman" w:cs="Times New Roman" w:eastAsia="Times New Roman" w:hint="default"/>
        </w:rPr>
        <w:t>1</w:t>
      </w:r>
      <w:r>
        <w:rPr/>
        <w:t>、</w:t>
        <w:tab/>
        <w:t>应收项目</w:t>
      </w:r>
      <w:r>
        <w:rPr>
          <w:b w:val="0"/>
          <w:bCs w:val="0"/>
        </w:rPr>
      </w:r>
    </w:p>
    <w:p>
      <w:pPr>
        <w:spacing w:after="0" w:line="240" w:lineRule="auto"/>
        <w:jc w:val="center"/>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1070"/>
        <w:gridCol w:w="2893"/>
        <w:gridCol w:w="1280"/>
        <w:gridCol w:w="1277"/>
        <w:gridCol w:w="1280"/>
        <w:gridCol w:w="1277"/>
      </w:tblGrid>
      <w:tr>
        <w:trPr>
          <w:trHeight w:val="284" w:hRule="exact"/>
        </w:trPr>
        <w:tc>
          <w:tcPr>
            <w:tcW w:w="1070" w:type="dxa"/>
            <w:vMerge w:val="restart"/>
            <w:tcBorders>
              <w:top w:val="single" w:sz="12" w:space="0" w:color="000000"/>
              <w:left w:val="nil" w:sz="6" w:space="0" w:color="auto"/>
              <w:right w:val="dotted" w:sz="4" w:space="0" w:color="000000"/>
            </w:tcBorders>
          </w:tcPr>
          <w:p>
            <w:pPr>
              <w:pStyle w:val="TableParagraph"/>
              <w:spacing w:line="240" w:lineRule="auto" w:before="140"/>
              <w:ind w:left="220" w:right="0"/>
              <w:jc w:val="left"/>
              <w:rPr>
                <w:rFonts w:ascii="宋体" w:hAnsi="宋体" w:cs="宋体" w:eastAsia="宋体" w:hint="default"/>
                <w:sz w:val="16"/>
                <w:szCs w:val="16"/>
              </w:rPr>
            </w:pPr>
            <w:r>
              <w:rPr>
                <w:rFonts w:ascii="宋体" w:hAnsi="宋体" w:cs="宋体" w:eastAsia="宋体" w:hint="default"/>
                <w:sz w:val="16"/>
                <w:szCs w:val="16"/>
              </w:rPr>
              <w:t>项目名称</w:t>
            </w:r>
          </w:p>
        </w:tc>
        <w:tc>
          <w:tcPr>
            <w:tcW w:w="2893" w:type="dxa"/>
            <w:vMerge w:val="restart"/>
            <w:tcBorders>
              <w:top w:val="single" w:sz="12" w:space="0" w:color="000000"/>
              <w:left w:val="dotted" w:sz="4" w:space="0" w:color="000000"/>
              <w:right w:val="dotted" w:sz="4" w:space="0" w:color="000000"/>
            </w:tcBorders>
          </w:tcPr>
          <w:p>
            <w:pPr>
              <w:pStyle w:val="TableParagraph"/>
              <w:spacing w:line="240" w:lineRule="auto" w:before="140"/>
              <w:ind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255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55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79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1070" w:type="dxa"/>
            <w:vMerge/>
            <w:tcBorders>
              <w:left w:val="nil" w:sz="6" w:space="0" w:color="auto"/>
              <w:bottom w:val="dotted" w:sz="4" w:space="0" w:color="000000"/>
              <w:right w:val="dotted" w:sz="4" w:space="0" w:color="000000"/>
            </w:tcBorders>
          </w:tcPr>
          <w:p>
            <w:pPr/>
          </w:p>
        </w:tc>
        <w:tc>
          <w:tcPr>
            <w:tcW w:w="2893" w:type="dxa"/>
            <w:vMerge/>
            <w:tcBorders>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14"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11"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14"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312"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893"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中软信息系统工程有限公司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115,956,403.00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2,777,070.15</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7,133,200.00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356,660.00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21,477,897.38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1,060,609.94</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634,642.50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中国电子进出口有限公司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14,679,162.44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2,589,226.88</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7,542,727.44</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377,136.37</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长信数码信息文化发展有限公司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11,861,278.00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11,861,278.00</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11,861,278.00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11,861,278.00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中国软件与技术服务股份有限公司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11,239,800.00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3,500.00</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11,865,000.00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35,000.00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中电智能科技有限公司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9,786,898.35</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亿安仓（香港）有限公司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7,099,667.02</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中电六所智能系统有限公司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5,311,092.03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265,554.60</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南京熊猫汉达科技有限公司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3,830,740.50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235,037.03</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174,000.00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17,400.00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pacing w:val="-4"/>
                <w:sz w:val="16"/>
                <w:szCs w:val="16"/>
              </w:rPr>
              <w:t>中电（海南）联合创新研究院有限公司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3,136,000.00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6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2"/>
              <w:ind w:left="103" w:right="0"/>
              <w:jc w:val="left"/>
              <w:rPr>
                <w:rFonts w:ascii="Times New Roman" w:hAnsi="Times New Roman" w:cs="Times New Roman" w:eastAsia="Times New Roman" w:hint="default"/>
                <w:sz w:val="16"/>
                <w:szCs w:val="16"/>
              </w:rPr>
            </w:pPr>
            <w:r>
              <w:rPr>
                <w:rFonts w:ascii="Times New Roman"/>
                <w:spacing w:val="-4"/>
                <w:sz w:val="16"/>
              </w:rPr>
              <w:t>KAIFA </w:t>
            </w:r>
            <w:r>
              <w:rPr>
                <w:rFonts w:ascii="Times New Roman"/>
                <w:sz w:val="16"/>
              </w:rPr>
              <w:t>TECHNOLOGY (HK)</w:t>
            </w:r>
            <w:r>
              <w:rPr>
                <w:rFonts w:ascii="Times New Roman"/>
                <w:spacing w:val="-9"/>
                <w:sz w:val="16"/>
              </w:rPr>
              <w:t> </w:t>
            </w:r>
            <w:r>
              <w:rPr>
                <w:rFonts w:ascii="Times New Roman"/>
                <w:spacing w:val="-5"/>
                <w:sz w:val="16"/>
              </w:rPr>
              <w:t>LTD</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2"/>
              <w:ind w:right="101"/>
              <w:jc w:val="right"/>
              <w:rPr>
                <w:rFonts w:ascii="Times New Roman" w:hAnsi="Times New Roman" w:cs="Times New Roman" w:eastAsia="Times New Roman" w:hint="default"/>
                <w:sz w:val="16"/>
                <w:szCs w:val="16"/>
              </w:rPr>
            </w:pPr>
            <w:r>
              <w:rPr>
                <w:rFonts w:ascii="Times New Roman"/>
                <w:spacing w:val="-1"/>
                <w:sz w:val="16"/>
              </w:rPr>
              <w:t>3,067,278.52</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2"/>
              <w:ind w:right="101"/>
              <w:jc w:val="right"/>
              <w:rPr>
                <w:rFonts w:ascii="Times New Roman" w:hAnsi="Times New Roman" w:cs="Times New Roman" w:eastAsia="Times New Roman" w:hint="default"/>
                <w:sz w:val="16"/>
                <w:szCs w:val="16"/>
              </w:rPr>
            </w:pPr>
            <w:r>
              <w:rPr>
                <w:rFonts w:ascii="Times New Roman"/>
                <w:spacing w:val="-1"/>
                <w:sz w:val="16"/>
              </w:rPr>
              <w:t>33,608.81</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left="103" w:right="0"/>
              <w:jc w:val="left"/>
              <w:rPr>
                <w:rFonts w:ascii="宋体" w:hAnsi="宋体" w:cs="宋体" w:eastAsia="宋体" w:hint="default"/>
                <w:sz w:val="16"/>
                <w:szCs w:val="16"/>
              </w:rPr>
            </w:pPr>
            <w:r>
              <w:rPr>
                <w:rFonts w:ascii="宋体" w:hAnsi="宋体" w:cs="宋体" w:eastAsia="宋体" w:hint="default"/>
                <w:sz w:val="16"/>
                <w:szCs w:val="16"/>
              </w:rPr>
              <w:t>桂林长海发展有限责任公司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3,056,200.00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218,160.00</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3,549,000.00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177,450.00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中软信息服务有限公司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1,927,700.00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成都锦江电子系统工程有限公司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1,632,600.00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81,630.00</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758,000.00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47,250.00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长城计算机软件与系统有限公司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1,432,050.00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54,657.50</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428,800.00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21,440.00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南京中电熊猫液晶显示科技有限公司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453,332.60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45,333.26</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5,176,033.56</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258,801.68</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中国电子系统技术有限公司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265,979.00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49,535.50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2,476.78</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华北计算机系统工程研究所</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260,000.00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13,000.00</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福建捷联电子有限公司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196,816.51</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盛科网络（苏州）有限公司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180,215.00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中电长城网际系统应用有限公司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105,742.00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2,097,536.00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104,876.80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北京中软万维网络技术有限公司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76,000.00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22,800.00</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76,000.00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7,600.00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深圳长城开发科技股份有限公司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58,459.00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1,461.20</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武汉长江融达电子有限公司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34,000.00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3,400.00</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34,000.00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1,700.00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彩虹集团有限公司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29,235.00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left="103" w:right="0"/>
              <w:jc w:val="left"/>
              <w:rPr>
                <w:rFonts w:ascii="宋体" w:hAnsi="宋体" w:cs="宋体" w:eastAsia="宋体" w:hint="default"/>
                <w:sz w:val="16"/>
                <w:szCs w:val="16"/>
              </w:rPr>
            </w:pPr>
            <w:r>
              <w:rPr>
                <w:rFonts w:ascii="宋体" w:hAnsi="宋体" w:cs="宋体" w:eastAsia="宋体" w:hint="default"/>
                <w:sz w:val="16"/>
                <w:szCs w:val="16"/>
              </w:rPr>
              <w:t>成都中电锦江信息产业有限公司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29,235.00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华大半导体有限公司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29,235.00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南京中电熊猫信息产业集团有限公司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29,235.00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上海浦东软件园股份有限公司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29,235.00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中国中电国际信息服务有限公司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29,235.00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中国信息安全研究院有限公司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29,235.00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1"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中电工业互联网有限公司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29,235.00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中电惠融商业保理（深圳）有限公司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7,214.85</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360.74</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3,612.00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迈普通信技术股份有限公司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456,603.78</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94.19</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南京中电熊猫平板显示科技有限公司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341,847.30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17,092.37</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成都长城开发科技有限公司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35,098.40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1,754.92</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中电长城网际系统应用广东有限公司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6,892.00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344.60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湖南凯杰科技有限责任公司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5,977.80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298.89</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2893"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中电通商商业保理（天津）有限公司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2"/>
                <w:sz w:val="16"/>
              </w:rPr>
              <w:t>135,110,579.61</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中软信息服务有限公司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60,312,770.00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93,786.36</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长城计算机软件与系统有限公司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56,546,829.88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87,930.32</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中电六所智能系统有限公司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13,176,218.89</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20,489.02</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桂林长海发展有限责任公司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7,000,000.00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10,602,593.00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1070" w:type="dxa"/>
            <w:tcBorders>
              <w:top w:val="dotted" w:sz="4" w:space="0" w:color="000000"/>
              <w:left w:val="nil" w:sz="6" w:space="0" w:color="auto"/>
              <w:bottom w:val="single" w:sz="12" w:space="0" w:color="000000"/>
              <w:right w:val="dotted" w:sz="4" w:space="0" w:color="000000"/>
            </w:tcBorders>
          </w:tcPr>
          <w:p>
            <w:pPr/>
          </w:p>
        </w:tc>
        <w:tc>
          <w:tcPr>
            <w:tcW w:w="28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8"/>
              <w:ind w:left="103" w:right="0"/>
              <w:jc w:val="left"/>
              <w:rPr>
                <w:rFonts w:ascii="宋体" w:hAnsi="宋体" w:cs="宋体" w:eastAsia="宋体" w:hint="default"/>
                <w:sz w:val="16"/>
                <w:szCs w:val="16"/>
              </w:rPr>
            </w:pPr>
            <w:r>
              <w:rPr>
                <w:rFonts w:ascii="宋体" w:hAnsi="宋体" w:cs="宋体" w:eastAsia="宋体" w:hint="default"/>
                <w:sz w:val="16"/>
                <w:szCs w:val="16"/>
              </w:rPr>
              <w:t>湖南中软信息系统有限公司</w:t>
            </w:r>
          </w:p>
        </w:tc>
        <w:tc>
          <w:tcPr>
            <w:tcW w:w="1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2,914,940.00</w:t>
            </w:r>
          </w:p>
        </w:tc>
        <w:tc>
          <w:tcPr>
            <w:tcW w:w="1277" w:type="dxa"/>
            <w:tcBorders>
              <w:top w:val="dotted" w:sz="4" w:space="0" w:color="000000"/>
              <w:left w:val="dotted" w:sz="4" w:space="0" w:color="000000"/>
              <w:bottom w:val="single" w:sz="12" w:space="0" w:color="000000"/>
              <w:right w:val="dotted" w:sz="4" w:space="0" w:color="000000"/>
            </w:tcBorders>
          </w:tcPr>
          <w:p>
            <w:pPr/>
          </w:p>
        </w:tc>
        <w:tc>
          <w:tcPr>
            <w:tcW w:w="1280"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1070"/>
        <w:gridCol w:w="2893"/>
        <w:gridCol w:w="1280"/>
        <w:gridCol w:w="1277"/>
        <w:gridCol w:w="1280"/>
        <w:gridCol w:w="1277"/>
      </w:tblGrid>
      <w:tr>
        <w:trPr>
          <w:trHeight w:val="284" w:hRule="exact"/>
        </w:trPr>
        <w:tc>
          <w:tcPr>
            <w:tcW w:w="1070" w:type="dxa"/>
            <w:vMerge w:val="restart"/>
            <w:tcBorders>
              <w:top w:val="single" w:sz="12" w:space="0" w:color="000000"/>
              <w:left w:val="nil" w:sz="6" w:space="0" w:color="auto"/>
              <w:right w:val="dotted" w:sz="4" w:space="0" w:color="000000"/>
            </w:tcBorders>
          </w:tcPr>
          <w:p>
            <w:pPr>
              <w:pStyle w:val="TableParagraph"/>
              <w:spacing w:line="240" w:lineRule="auto" w:before="140"/>
              <w:ind w:left="220" w:right="0"/>
              <w:jc w:val="left"/>
              <w:rPr>
                <w:rFonts w:ascii="宋体" w:hAnsi="宋体" w:cs="宋体" w:eastAsia="宋体" w:hint="default"/>
                <w:sz w:val="16"/>
                <w:szCs w:val="16"/>
              </w:rPr>
            </w:pPr>
            <w:r>
              <w:rPr>
                <w:rFonts w:ascii="宋体" w:hAnsi="宋体" w:cs="宋体" w:eastAsia="宋体" w:hint="default"/>
                <w:sz w:val="16"/>
                <w:szCs w:val="16"/>
              </w:rPr>
              <w:t>项目名称</w:t>
            </w:r>
          </w:p>
        </w:tc>
        <w:tc>
          <w:tcPr>
            <w:tcW w:w="2893" w:type="dxa"/>
            <w:vMerge w:val="restart"/>
            <w:tcBorders>
              <w:top w:val="single" w:sz="12" w:space="0" w:color="000000"/>
              <w:left w:val="dotted" w:sz="4" w:space="0" w:color="000000"/>
              <w:right w:val="dotted" w:sz="4" w:space="0" w:color="000000"/>
            </w:tcBorders>
          </w:tcPr>
          <w:p>
            <w:pPr>
              <w:pStyle w:val="TableParagraph"/>
              <w:spacing w:line="240" w:lineRule="auto" w:before="140"/>
              <w:ind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255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55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79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1070" w:type="dxa"/>
            <w:vMerge/>
            <w:tcBorders>
              <w:left w:val="nil" w:sz="6" w:space="0" w:color="auto"/>
              <w:bottom w:val="dotted" w:sz="4" w:space="0" w:color="000000"/>
              <w:right w:val="dotted" w:sz="4" w:space="0" w:color="000000"/>
            </w:tcBorders>
          </w:tcPr>
          <w:p>
            <w:pPr/>
          </w:p>
        </w:tc>
        <w:tc>
          <w:tcPr>
            <w:tcW w:w="2893" w:type="dxa"/>
            <w:vMerge/>
            <w:tcBorders>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14"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11"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14"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312"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成都锦江电子系统工程有限公司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2,077,000.00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2,607.74</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1,363,910.00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15,153,604.00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湖南凯杰科技有限责任公司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500,000.00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南京熊猫汉达科技有限公司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200,000.00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中国软件与技术服务股份有限公司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5,806,775.00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中软信息系统工程有限公司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4,785,000.00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中电长城网际系统应用有限公司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533,680.00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预付账款</w:t>
            </w:r>
          </w:p>
        </w:tc>
        <w:tc>
          <w:tcPr>
            <w:tcW w:w="2893"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天津飞腾信息技术有限公司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942,317,836.19</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66,806.68</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48,209,962.42</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4,509,933.85</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24,930,000.00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24,930,000.00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广东亿安仓供应链科技有限公司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327,955.01</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2"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left="103" w:right="0"/>
              <w:jc w:val="left"/>
              <w:rPr>
                <w:rFonts w:ascii="宋体" w:hAnsi="宋体" w:cs="宋体" w:eastAsia="宋体" w:hint="default"/>
                <w:sz w:val="16"/>
                <w:szCs w:val="16"/>
              </w:rPr>
            </w:pPr>
            <w:r>
              <w:rPr>
                <w:rFonts w:ascii="宋体" w:hAnsi="宋体" w:cs="宋体" w:eastAsia="宋体" w:hint="default"/>
                <w:sz w:val="16"/>
                <w:szCs w:val="16"/>
              </w:rPr>
              <w:t>天津麒麟信息技术有限公司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250,000.00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郑州蓝普锋自动化技术有限公司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450,000.00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南京熊猫汉达科技有限公司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316,312.00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武汉艾德蒙科技股份有限公司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203,840.00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2893"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中科长城海洋信息系统有限公司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1,925,111.40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95,676.79</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1,128,638.75</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56,431.94</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1,240,365.28</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1,188,059.79</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174,286.34</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1,197,200.65</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中国电子进出口有限公司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61,000.00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3,050.00</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武汉长江电源有限公司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30,000.00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4,500.00</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30,000.00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3,000.00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深圳市爱华电子有限公司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23,000.00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23,000.00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深圳中电蓝海控股有限公司</w:t>
            </w: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667.80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深圳长城开发精密技术有限公司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372,635.12</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中软信息系统工程有限公司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370,000.00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18,500.00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长沙湘计开拓物业管理有限公司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215,211.63</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10,760.58</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武汉长江融达电子有限公司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211,300.00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34,640.00</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中国信息安全研究院有限公司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25,081.39</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1,254.07</w:t>
            </w:r>
          </w:p>
        </w:tc>
      </w:tr>
      <w:tr>
        <w:trPr>
          <w:trHeight w:val="274" w:hRule="exact"/>
        </w:trPr>
        <w:tc>
          <w:tcPr>
            <w:tcW w:w="1070" w:type="dxa"/>
            <w:tcBorders>
              <w:top w:val="dotted" w:sz="4" w:space="0" w:color="000000"/>
              <w:left w:val="nil" w:sz="6" w:space="0" w:color="auto"/>
              <w:bottom w:val="dotted" w:sz="4" w:space="0" w:color="000000"/>
              <w:right w:val="dotted" w:sz="4" w:space="0" w:color="000000"/>
            </w:tcBorders>
          </w:tcPr>
          <w:p>
            <w:pPr/>
          </w:p>
        </w:tc>
        <w:tc>
          <w:tcPr>
            <w:tcW w:w="2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武汉中元物业发展有限公司</w:t>
            </w:r>
          </w:p>
        </w:tc>
        <w:tc>
          <w:tcPr>
            <w:tcW w:w="128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1,000.00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283" w:hRule="exact"/>
        </w:trPr>
        <w:tc>
          <w:tcPr>
            <w:tcW w:w="1070" w:type="dxa"/>
            <w:tcBorders>
              <w:top w:val="dotted" w:sz="4" w:space="0" w:color="000000"/>
              <w:left w:val="nil" w:sz="6" w:space="0" w:color="auto"/>
              <w:bottom w:val="single" w:sz="12" w:space="0" w:color="000000"/>
              <w:right w:val="dotted" w:sz="4" w:space="0" w:color="000000"/>
            </w:tcBorders>
          </w:tcPr>
          <w:p>
            <w:pPr/>
          </w:p>
        </w:tc>
        <w:tc>
          <w:tcPr>
            <w:tcW w:w="28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湖南计算机厂有限公司</w:t>
            </w:r>
          </w:p>
        </w:tc>
        <w:tc>
          <w:tcPr>
            <w:tcW w:w="1280"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
        </w:tc>
        <w:tc>
          <w:tcPr>
            <w:tcW w:w="1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0.12</w:t>
            </w:r>
          </w:p>
        </w:tc>
        <w:tc>
          <w:tcPr>
            <w:tcW w:w="127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1"/>
        <w:rPr>
          <w:rFonts w:ascii="Times New Roman" w:hAnsi="Times New Roman" w:cs="Times New Roman" w:eastAsia="Times New Roman" w:hint="default"/>
          <w:sz w:val="29"/>
          <w:szCs w:val="29"/>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t>应付项目</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219"/>
        <w:gridCol w:w="3572"/>
        <w:gridCol w:w="1704"/>
        <w:gridCol w:w="1709"/>
      </w:tblGrid>
      <w:tr>
        <w:trPr>
          <w:trHeight w:val="286" w:hRule="exact"/>
        </w:trPr>
        <w:tc>
          <w:tcPr>
            <w:tcW w:w="121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295" w:right="0"/>
              <w:jc w:val="left"/>
              <w:rPr>
                <w:rFonts w:ascii="宋体" w:hAnsi="宋体" w:cs="宋体" w:eastAsia="宋体" w:hint="default"/>
                <w:sz w:val="16"/>
                <w:szCs w:val="16"/>
              </w:rPr>
            </w:pPr>
            <w:r>
              <w:rPr>
                <w:rFonts w:ascii="宋体" w:hAnsi="宋体" w:cs="宋体" w:eastAsia="宋体" w:hint="default"/>
                <w:sz w:val="16"/>
                <w:szCs w:val="16"/>
              </w:rPr>
              <w:t>项目名称</w:t>
            </w:r>
          </w:p>
        </w:tc>
        <w:tc>
          <w:tcPr>
            <w:tcW w:w="35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17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364" w:right="0"/>
              <w:jc w:val="left"/>
              <w:rPr>
                <w:rFonts w:ascii="宋体" w:hAnsi="宋体" w:cs="宋体" w:eastAsia="宋体" w:hint="default"/>
                <w:sz w:val="16"/>
                <w:szCs w:val="16"/>
              </w:rPr>
            </w:pPr>
            <w:r>
              <w:rPr>
                <w:rFonts w:ascii="宋体" w:hAnsi="宋体" w:cs="宋体" w:eastAsia="宋体" w:hint="default"/>
                <w:sz w:val="16"/>
                <w:szCs w:val="16"/>
              </w:rPr>
              <w:t>期末账面余额</w:t>
            </w:r>
          </w:p>
        </w:tc>
        <w:tc>
          <w:tcPr>
            <w:tcW w:w="17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209" w:right="0"/>
              <w:jc w:val="left"/>
              <w:rPr>
                <w:rFonts w:ascii="宋体" w:hAnsi="宋体" w:cs="宋体" w:eastAsia="宋体" w:hint="default"/>
                <w:sz w:val="16"/>
                <w:szCs w:val="16"/>
              </w:rPr>
            </w:pPr>
            <w:r>
              <w:rPr>
                <w:rFonts w:ascii="宋体" w:hAnsi="宋体" w:cs="宋体" w:eastAsia="宋体" w:hint="default"/>
                <w:sz w:val="16"/>
                <w:szCs w:val="16"/>
              </w:rPr>
              <w:t>上年年末账面余额</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3572" w:type="dxa"/>
            <w:tcBorders>
              <w:top w:val="dotted" w:sz="4" w:space="0" w:color="000000"/>
              <w:left w:val="dotted" w:sz="4" w:space="0" w:color="000000"/>
              <w:bottom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天津飞腾信息技术有限公司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62,181,760.25</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24,361,942.66</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天津麒麟信息技术有限公司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25,184,694.85</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6,022,440.49</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盛科网络（苏州）有限公司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13,615,250.06</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7,406,650.06</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武汉长江融达电子有限公司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12,220,000.00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6,699,500.00</w:t>
            </w:r>
          </w:p>
        </w:tc>
      </w:tr>
      <w:tr>
        <w:trPr>
          <w:trHeight w:val="272"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left="103" w:right="0"/>
              <w:jc w:val="left"/>
              <w:rPr>
                <w:rFonts w:ascii="宋体" w:hAnsi="宋体" w:cs="宋体" w:eastAsia="宋体" w:hint="default"/>
                <w:sz w:val="16"/>
                <w:szCs w:val="16"/>
              </w:rPr>
            </w:pPr>
            <w:r>
              <w:rPr>
                <w:rFonts w:ascii="宋体" w:hAnsi="宋体" w:cs="宋体" w:eastAsia="宋体" w:hint="default"/>
                <w:sz w:val="16"/>
                <w:szCs w:val="16"/>
              </w:rPr>
              <w:t>广东亿安仓供应链科技有限公司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2"/>
                <w:sz w:val="16"/>
              </w:rPr>
              <w:t>10,090,653.92</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6"/>
                <w:szCs w:val="16"/>
              </w:rPr>
            </w:pPr>
            <w:r>
              <w:rPr>
                <w:rFonts w:ascii="Times New Roman"/>
                <w:spacing w:val="-2"/>
                <w:sz w:val="16"/>
              </w:rPr>
              <w:t>6,011,245.12</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中国电子进出口有限公司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9,228,830.65</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9,027,106.45</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5,146,452.00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7,536,380.59</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武汉艾德蒙科技股份有限公司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4,952,482.34</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3,092,054.77</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中电六所智能系统有限公司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3,533,784.00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深圳振华富电子有限公司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2,818,032.11</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963,614.26</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迈普通信技术股份有限公司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100"/>
              <w:jc w:val="right"/>
              <w:rPr>
                <w:rFonts w:ascii="Times New Roman" w:hAnsi="Times New Roman" w:cs="Times New Roman" w:eastAsia="Times New Roman" w:hint="default"/>
                <w:sz w:val="16"/>
                <w:szCs w:val="16"/>
              </w:rPr>
            </w:pPr>
            <w:r>
              <w:rPr>
                <w:rFonts w:ascii="Times New Roman"/>
                <w:spacing w:val="-1"/>
                <w:sz w:val="16"/>
              </w:rPr>
              <w:t>2,673,329.17</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6"/>
                <w:szCs w:val="16"/>
              </w:rPr>
            </w:pPr>
            <w:r>
              <w:rPr>
                <w:rFonts w:ascii="Times New Roman"/>
                <w:spacing w:val="-1"/>
                <w:sz w:val="16"/>
              </w:rPr>
              <w:t>662,672.41</w:t>
            </w:r>
          </w:p>
        </w:tc>
      </w:tr>
      <w:tr>
        <w:trPr>
          <w:trHeight w:val="286" w:hRule="exact"/>
        </w:trPr>
        <w:tc>
          <w:tcPr>
            <w:tcW w:w="1219" w:type="dxa"/>
            <w:tcBorders>
              <w:top w:val="dotted" w:sz="4" w:space="0" w:color="000000"/>
              <w:left w:val="nil" w:sz="6" w:space="0" w:color="auto"/>
              <w:bottom w:val="single" w:sz="12" w:space="0" w:color="000000"/>
              <w:right w:val="dotted" w:sz="4" w:space="0" w:color="000000"/>
            </w:tcBorders>
          </w:tcPr>
          <w:p>
            <w:pPr/>
          </w:p>
        </w:tc>
        <w:tc>
          <w:tcPr>
            <w:tcW w:w="35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湖南凯杰科技有限责任公司</w:t>
            </w:r>
          </w:p>
        </w:tc>
        <w:tc>
          <w:tcPr>
            <w:tcW w:w="17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2,508,947.52</w:t>
            </w:r>
          </w:p>
        </w:tc>
        <w:tc>
          <w:tcPr>
            <w:tcW w:w="17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641,621.35</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1219"/>
        <w:gridCol w:w="3572"/>
        <w:gridCol w:w="1704"/>
        <w:gridCol w:w="1709"/>
      </w:tblGrid>
      <w:tr>
        <w:trPr>
          <w:trHeight w:val="284" w:hRule="exact"/>
        </w:trPr>
        <w:tc>
          <w:tcPr>
            <w:tcW w:w="121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95" w:right="0"/>
              <w:jc w:val="left"/>
              <w:rPr>
                <w:rFonts w:ascii="宋体" w:hAnsi="宋体" w:cs="宋体" w:eastAsia="宋体" w:hint="default"/>
                <w:sz w:val="16"/>
                <w:szCs w:val="16"/>
              </w:rPr>
            </w:pPr>
            <w:r>
              <w:rPr>
                <w:rFonts w:ascii="宋体" w:hAnsi="宋体" w:cs="宋体" w:eastAsia="宋体" w:hint="default"/>
                <w:sz w:val="16"/>
                <w:szCs w:val="16"/>
              </w:rPr>
              <w:t>项目名称</w:t>
            </w:r>
          </w:p>
        </w:tc>
        <w:tc>
          <w:tcPr>
            <w:tcW w:w="35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17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364" w:right="0"/>
              <w:jc w:val="left"/>
              <w:rPr>
                <w:rFonts w:ascii="宋体" w:hAnsi="宋体" w:cs="宋体" w:eastAsia="宋体" w:hint="default"/>
                <w:sz w:val="16"/>
                <w:szCs w:val="16"/>
              </w:rPr>
            </w:pPr>
            <w:r>
              <w:rPr>
                <w:rFonts w:ascii="宋体" w:hAnsi="宋体" w:cs="宋体" w:eastAsia="宋体" w:hint="default"/>
                <w:sz w:val="16"/>
                <w:szCs w:val="16"/>
              </w:rPr>
              <w:t>期末账面余额</w:t>
            </w:r>
          </w:p>
        </w:tc>
        <w:tc>
          <w:tcPr>
            <w:tcW w:w="17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209" w:right="0"/>
              <w:jc w:val="left"/>
              <w:rPr>
                <w:rFonts w:ascii="宋体" w:hAnsi="宋体" w:cs="宋体" w:eastAsia="宋体" w:hint="default"/>
                <w:sz w:val="16"/>
                <w:szCs w:val="16"/>
              </w:rPr>
            </w:pPr>
            <w:r>
              <w:rPr>
                <w:rFonts w:ascii="宋体" w:hAnsi="宋体" w:cs="宋体" w:eastAsia="宋体" w:hint="default"/>
                <w:sz w:val="16"/>
                <w:szCs w:val="16"/>
              </w:rPr>
              <w:t>上年年末账面余额</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中电智能科技有限公司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2,147,758.55</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中国振华（集团）新云电子元器件有限责任公司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1,570,740.73</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554,365.92</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中国振华集团永光电子有限公司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1,239,575.68</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1,041,756.93</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南京熊猫汉达科技有限公司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1,200,000.00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1,200,000.00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中国信息安全研究院有限公司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1,160,000.00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1,385,823.15</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深圳京裕电子有限公司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903,870.77</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400,947.28</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中国电子系统技术有限公司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777,780.09</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1,682,341.91</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北京中电华大电子设计有限责任公司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700,000.00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700,000.00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长城超云（北京）科技有限公司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625,300.50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6,784,833.67</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贵州振华群英电器有限公司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486,917.60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30,940.00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中电金融设备系统（深圳）有限公司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417,154.15</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南京中软软件与技术服务有限公司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322,600.00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上海贝岭股份有限公司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228,453.23</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2"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left="103" w:right="0"/>
              <w:jc w:val="left"/>
              <w:rPr>
                <w:rFonts w:ascii="宋体" w:hAnsi="宋体" w:cs="宋体" w:eastAsia="宋体" w:hint="default"/>
                <w:sz w:val="16"/>
                <w:szCs w:val="16"/>
              </w:rPr>
            </w:pPr>
            <w:r>
              <w:rPr>
                <w:rFonts w:ascii="宋体" w:hAnsi="宋体" w:cs="宋体" w:eastAsia="宋体" w:hint="default"/>
                <w:sz w:val="16"/>
                <w:szCs w:val="16"/>
              </w:rPr>
              <w:t>中国电子产业开发有限公司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200,000.00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6"/>
                <w:szCs w:val="16"/>
              </w:rPr>
            </w:pPr>
            <w:r>
              <w:rPr>
                <w:rFonts w:ascii="Times New Roman"/>
                <w:spacing w:val="-1"/>
                <w:sz w:val="16"/>
              </w:rPr>
              <w:t>200,000.00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深圳中电国际信息科技有限公司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140,632.55</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400,927.88</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贵州振华华联电子有限公司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135,967.87</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595,118.00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深圳市振华微电子有限公司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132,486.32</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190,186.32</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中国振华集团云科电子有限公司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112,496.05</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45,480.69</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中国电子器材国际有限公司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80,603.00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中电基础产品装备有限公司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47,341.60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29,073.55</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南京中电熊猫磁电科技有限公司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12,100.00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南京中电熊猫家电有限公司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5,128.21</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5,128.21</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中国振华电子集团有限公司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1,588.70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1,588.70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中标软件有限公司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153,000.00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贵州振华红云电子有限公司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17,081.00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3572" w:type="dxa"/>
            <w:tcBorders>
              <w:top w:val="dotted" w:sz="4" w:space="0" w:color="000000"/>
              <w:left w:val="dotted" w:sz="4" w:space="0" w:color="000000"/>
              <w:bottom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湖南凯杰科技有限责任公司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5,895,806.30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15,568,786.33</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武汉长江融达电子有限公司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5,001,700.00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3,200,000.00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武汉艾德蒙科技股份有限公司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2,454,880.00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7,031,770.00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深圳振华富电子有限公司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1,736,650.85</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477,435.80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中国振华（集团）新云电子元器件有限责任公司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1,374,422.75</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1,952,889.45</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深圳京裕电子有限公司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1,147,695.18</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80,019.75</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长城超云（北京）科技有限公司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703,300.00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中国振华集团云科电子有限公司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360,680.50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144,191.20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贵州振华华联电子有限公司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305,790.00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429,846.00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中标软件有限公司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175,000.00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200,000.00</w:t>
            </w:r>
          </w:p>
        </w:tc>
      </w:tr>
      <w:tr>
        <w:trPr>
          <w:trHeight w:val="271"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上海贝岭股份有限公司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31,178.96</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15,153,604.00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盛科网络（苏州）有限公司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1,677,600.00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1,350,658.83</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深圳市振华微电子有限公司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165,600.00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中电基础产品装备有限公司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102,009.50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中国振华集团永光电子有限公司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100,000.00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3572" w:type="dxa"/>
            <w:tcBorders>
              <w:top w:val="dotted" w:sz="4" w:space="0" w:color="000000"/>
              <w:left w:val="dotted" w:sz="4" w:space="0" w:color="000000"/>
              <w:bottom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375,267,231.59</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297,294,277.15</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中电金投控股有限公司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50,000,000.00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武汉长江电源有限公司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38,201,754.41</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16,546,112.01</w:t>
            </w:r>
          </w:p>
        </w:tc>
      </w:tr>
      <w:tr>
        <w:trPr>
          <w:trHeight w:val="283" w:hRule="exact"/>
        </w:trPr>
        <w:tc>
          <w:tcPr>
            <w:tcW w:w="1219" w:type="dxa"/>
            <w:tcBorders>
              <w:top w:val="dotted" w:sz="4" w:space="0" w:color="000000"/>
              <w:left w:val="nil" w:sz="6" w:space="0" w:color="auto"/>
              <w:bottom w:val="single" w:sz="12" w:space="0" w:color="000000"/>
              <w:right w:val="dotted" w:sz="4" w:space="0" w:color="000000"/>
            </w:tcBorders>
          </w:tcPr>
          <w:p>
            <w:pPr/>
          </w:p>
        </w:tc>
        <w:tc>
          <w:tcPr>
            <w:tcW w:w="35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中国电子系统技术有限公司</w:t>
            </w:r>
          </w:p>
        </w:tc>
        <w:tc>
          <w:tcPr>
            <w:tcW w:w="17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31,549,004.54</w:t>
            </w:r>
          </w:p>
        </w:tc>
        <w:tc>
          <w:tcPr>
            <w:tcW w:w="17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11,705,020.07</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1219"/>
        <w:gridCol w:w="3572"/>
        <w:gridCol w:w="1704"/>
        <w:gridCol w:w="1709"/>
      </w:tblGrid>
      <w:tr>
        <w:trPr>
          <w:trHeight w:val="284" w:hRule="exact"/>
        </w:trPr>
        <w:tc>
          <w:tcPr>
            <w:tcW w:w="121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95" w:right="0"/>
              <w:jc w:val="left"/>
              <w:rPr>
                <w:rFonts w:ascii="宋体" w:hAnsi="宋体" w:cs="宋体" w:eastAsia="宋体" w:hint="default"/>
                <w:sz w:val="16"/>
                <w:szCs w:val="16"/>
              </w:rPr>
            </w:pPr>
            <w:r>
              <w:rPr>
                <w:rFonts w:ascii="宋体" w:hAnsi="宋体" w:cs="宋体" w:eastAsia="宋体" w:hint="default"/>
                <w:sz w:val="16"/>
                <w:szCs w:val="16"/>
              </w:rPr>
              <w:t>项目名称</w:t>
            </w:r>
          </w:p>
        </w:tc>
        <w:tc>
          <w:tcPr>
            <w:tcW w:w="35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17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364" w:right="0"/>
              <w:jc w:val="left"/>
              <w:rPr>
                <w:rFonts w:ascii="宋体" w:hAnsi="宋体" w:cs="宋体" w:eastAsia="宋体" w:hint="default"/>
                <w:sz w:val="16"/>
                <w:szCs w:val="16"/>
              </w:rPr>
            </w:pPr>
            <w:r>
              <w:rPr>
                <w:rFonts w:ascii="宋体" w:hAnsi="宋体" w:cs="宋体" w:eastAsia="宋体" w:hint="default"/>
                <w:sz w:val="16"/>
                <w:szCs w:val="16"/>
              </w:rPr>
              <w:t>期末账面余额</w:t>
            </w:r>
          </w:p>
        </w:tc>
        <w:tc>
          <w:tcPr>
            <w:tcW w:w="17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209" w:right="0"/>
              <w:jc w:val="left"/>
              <w:rPr>
                <w:rFonts w:ascii="宋体" w:hAnsi="宋体" w:cs="宋体" w:eastAsia="宋体" w:hint="default"/>
                <w:sz w:val="16"/>
                <w:szCs w:val="16"/>
              </w:rPr>
            </w:pPr>
            <w:r>
              <w:rPr>
                <w:rFonts w:ascii="宋体" w:hAnsi="宋体" w:cs="宋体" w:eastAsia="宋体" w:hint="default"/>
                <w:sz w:val="16"/>
                <w:szCs w:val="16"/>
              </w:rPr>
              <w:t>上年年末账面余额</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中电通商商业保理（天津）有限公司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9,167,333.26</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中国中电国际信息服务有限公司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4,050,000.00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50,000.00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深圳长城开发精密技术有限公司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1,246,932.00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1,246,932.00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中国电子信息产业集团有限公司第六研究所</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988,800.00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988,800.00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湖南计算机厂有限公司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964,509.39</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长沙湘计开拓物业管理有限公司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700,000.00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700,000.00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中电工业互联网有限公司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375,300.00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深圳中电国际信息科技有限公司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14,998.00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14,998.00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长沙智能制造研究总院有限公司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13,800.00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中电智行技术有限公司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9,000.00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5,000.00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中国电子财务有限责任公司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25,800.00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长城计算机软件与系统有限公司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3,994.00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3,994.00</w:t>
            </w:r>
          </w:p>
        </w:tc>
      </w:tr>
      <w:tr>
        <w:trPr>
          <w:trHeight w:val="272"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left="103" w:right="0"/>
              <w:jc w:val="left"/>
              <w:rPr>
                <w:rFonts w:ascii="宋体" w:hAnsi="宋体" w:cs="宋体" w:eastAsia="宋体" w:hint="default"/>
                <w:sz w:val="16"/>
                <w:szCs w:val="16"/>
              </w:rPr>
            </w:pPr>
            <w:r>
              <w:rPr>
                <w:rFonts w:ascii="宋体" w:hAnsi="宋体" w:cs="宋体" w:eastAsia="宋体" w:hint="default"/>
                <w:sz w:val="16"/>
                <w:szCs w:val="16"/>
              </w:rPr>
              <w:t>建通工程建设监理有限公司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292.30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6"/>
                <w:szCs w:val="16"/>
              </w:rPr>
            </w:pPr>
            <w:r>
              <w:rPr>
                <w:rFonts w:ascii="Times New Roman"/>
                <w:spacing w:val="-1"/>
                <w:sz w:val="16"/>
              </w:rPr>
              <w:t>292.30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深圳长城开发科技股份有限公司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511,152.22</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深圳神彩物流有限公司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130,000.00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湖南凯杰科技有限责任公司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83,531.31</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中电九天智能科技有限公司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42,607.18</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中软云智技术服务有限公司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1,292.70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预收账款</w:t>
            </w:r>
          </w:p>
        </w:tc>
        <w:tc>
          <w:tcPr>
            <w:tcW w:w="3572" w:type="dxa"/>
            <w:tcBorders>
              <w:top w:val="dotted" w:sz="4" w:space="0" w:color="000000"/>
              <w:left w:val="dotted" w:sz="4" w:space="0" w:color="000000"/>
              <w:bottom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长沙湘计开拓物业管理有限公司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1,090,479.69</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湖南凯杰科技有限责任公司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583,078.00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中电金融设备系统（深圳）有限公司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275,000.00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中电工业互联网有限公司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222,771.00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中软信息系统工程有限公司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199,200.00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天津麒麟信息技术有限公司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151,500.00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山西长城科技信息有限公司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146,399.00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南京中软软件与技术服务有限公司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65,486.73</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长城超云（北京）科技有限公司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35,000.00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35,000.00</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深圳中电国际信息科技有限公司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29,246.00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1,842.53</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中电长城网际系统应用四川有限公司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26,250.00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广州鼎甲计算机科技有限公司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22,050.00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中国电子器材国际有限公司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4,240.30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4,299.72</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中电长城计算机集团有限公司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3,791.62</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3,791.62</w:t>
            </w: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湖南长城银河科技有限公司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2,482.00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湖南计算机厂有限公司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1"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中电基础产品装备有限公司</w:t>
            </w: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20,000.00</w:t>
            </w:r>
          </w:p>
        </w:tc>
      </w:tr>
      <w:tr>
        <w:trPr>
          <w:trHeight w:val="482" w:hRule="exact"/>
        </w:trPr>
        <w:tc>
          <w:tcPr>
            <w:tcW w:w="12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96"/>
              <w:jc w:val="left"/>
              <w:rPr>
                <w:rFonts w:ascii="宋体" w:hAnsi="宋体" w:cs="宋体" w:eastAsia="宋体" w:hint="default"/>
                <w:sz w:val="16"/>
                <w:szCs w:val="16"/>
              </w:rPr>
            </w:pPr>
            <w:r>
              <w:rPr>
                <w:rFonts w:ascii="宋体" w:hAnsi="宋体" w:cs="宋体" w:eastAsia="宋体" w:hint="default"/>
                <w:spacing w:val="3"/>
                <w:sz w:val="16"/>
                <w:szCs w:val="16"/>
              </w:rPr>
              <w:t>一年内到期的</w:t>
            </w:r>
            <w:r>
              <w:rPr>
                <w:rFonts w:ascii="宋体" w:hAnsi="宋体" w:cs="宋体" w:eastAsia="宋体" w:hint="default"/>
                <w:spacing w:val="-70"/>
                <w:sz w:val="16"/>
                <w:szCs w:val="16"/>
              </w:rPr>
              <w:t> </w:t>
            </w:r>
            <w:r>
              <w:rPr>
                <w:rFonts w:ascii="宋体" w:hAnsi="宋体" w:cs="宋体" w:eastAsia="宋体" w:hint="default"/>
                <w:sz w:val="16"/>
                <w:szCs w:val="16"/>
              </w:rPr>
              <w:t>长期应付款</w:t>
            </w:r>
          </w:p>
        </w:tc>
        <w:tc>
          <w:tcPr>
            <w:tcW w:w="3572" w:type="dxa"/>
            <w:tcBorders>
              <w:top w:val="dotted" w:sz="4" w:space="0" w:color="000000"/>
              <w:left w:val="dotted" w:sz="4" w:space="0" w:color="000000"/>
              <w:bottom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
        </w:tc>
        <w:tc>
          <w:tcPr>
            <w:tcW w:w="3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6,000,000.00</w:t>
            </w: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2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长期应付款</w:t>
            </w:r>
          </w:p>
        </w:tc>
        <w:tc>
          <w:tcPr>
            <w:tcW w:w="3572" w:type="dxa"/>
            <w:tcBorders>
              <w:top w:val="dotted" w:sz="4" w:space="0" w:color="000000"/>
              <w:left w:val="dotted" w:sz="4" w:space="0" w:color="000000"/>
              <w:bottom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284" w:hRule="exact"/>
        </w:trPr>
        <w:tc>
          <w:tcPr>
            <w:tcW w:w="1219" w:type="dxa"/>
            <w:tcBorders>
              <w:top w:val="dotted" w:sz="4" w:space="0" w:color="000000"/>
              <w:left w:val="nil" w:sz="6" w:space="0" w:color="auto"/>
              <w:bottom w:val="single" w:sz="12" w:space="0" w:color="000000"/>
              <w:right w:val="dotted" w:sz="4" w:space="0" w:color="000000"/>
            </w:tcBorders>
          </w:tcPr>
          <w:p>
            <w:pPr/>
          </w:p>
        </w:tc>
        <w:tc>
          <w:tcPr>
            <w:tcW w:w="35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left="103" w:right="0"/>
              <w:jc w:val="left"/>
              <w:rPr>
                <w:rFonts w:ascii="宋体" w:hAnsi="宋体" w:cs="宋体" w:eastAsia="宋体" w:hint="default"/>
                <w:sz w:val="16"/>
                <w:szCs w:val="16"/>
              </w:rPr>
            </w:pPr>
            <w:r>
              <w:rPr>
                <w:rFonts w:ascii="宋体" w:hAnsi="宋体" w:cs="宋体" w:eastAsia="宋体" w:hint="default"/>
                <w:sz w:val="16"/>
                <w:szCs w:val="16"/>
              </w:rPr>
              <w:t>中国电子信息产业集团有限公司</w:t>
            </w:r>
          </w:p>
        </w:tc>
        <w:tc>
          <w:tcPr>
            <w:tcW w:w="17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2"/>
                <w:sz w:val="16"/>
              </w:rPr>
              <w:t>88,000,000.00</w:t>
            </w:r>
          </w:p>
        </w:tc>
        <w:tc>
          <w:tcPr>
            <w:tcW w:w="17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6"/>
                <w:szCs w:val="16"/>
              </w:rPr>
            </w:pPr>
            <w:r>
              <w:rPr>
                <w:rFonts w:ascii="Times New Roman"/>
                <w:spacing w:val="-1"/>
                <w:sz w:val="16"/>
              </w:rPr>
              <w:t>100,000,000.00</w:t>
            </w:r>
          </w:p>
        </w:tc>
      </w:tr>
    </w:tbl>
    <w:p>
      <w:pPr>
        <w:spacing w:line="240" w:lineRule="auto" w:before="11"/>
        <w:rPr>
          <w:rFonts w:ascii="Times New Roman" w:hAnsi="Times New Roman" w:cs="Times New Roman" w:eastAsia="Times New Roman" w:hint="default"/>
          <w:sz w:val="29"/>
          <w:szCs w:val="29"/>
        </w:rPr>
      </w:pPr>
    </w:p>
    <w:p>
      <w:pPr>
        <w:pStyle w:val="BodyText"/>
        <w:tabs>
          <w:tab w:pos="850" w:val="left" w:leader="none"/>
        </w:tabs>
        <w:spacing w:line="304" w:lineRule="auto"/>
        <w:ind w:left="850" w:right="1835" w:hanging="713"/>
        <w:jc w:val="left"/>
      </w:pPr>
      <w:r>
        <w:rPr>
          <w:rFonts w:ascii="Times New Roman" w:hAnsi="Times New Roman" w:cs="Times New Roman" w:eastAsia="Times New Roman" w:hint="default"/>
          <w:b/>
          <w:bCs/>
        </w:rPr>
        <w:t>(</w:t>
      </w:r>
      <w:r>
        <w:rPr>
          <w:rFonts w:ascii="宋体" w:hAnsi="宋体" w:cs="宋体" w:eastAsia="宋体" w:hint="default"/>
          <w:b/>
          <w:bCs/>
        </w:rPr>
        <w:t>七</w:t>
      </w:r>
      <w:r>
        <w:rPr>
          <w:rFonts w:ascii="Times New Roman" w:hAnsi="Times New Roman" w:cs="Times New Roman" w:eastAsia="Times New Roman" w:hint="default"/>
          <w:b/>
          <w:bCs/>
        </w:rPr>
        <w:t>)</w:t>
        <w:tab/>
      </w:r>
      <w:r>
        <w:rPr>
          <w:rFonts w:ascii="宋体" w:hAnsi="宋体" w:cs="宋体" w:eastAsia="宋体" w:hint="default"/>
          <w:b/>
          <w:bCs/>
        </w:rPr>
        <w:t>关联方承诺</w:t>
      </w:r>
      <w:r>
        <w:rPr>
          <w:rFonts w:ascii="宋体" w:hAnsi="宋体" w:cs="宋体" w:eastAsia="宋体" w:hint="default"/>
          <w:b/>
          <w:bCs/>
          <w:w w:val="100"/>
        </w:rPr>
        <w:t> </w:t>
      </w:r>
      <w:r>
        <w:rPr>
          <w:spacing w:val="-2"/>
        </w:rPr>
        <w:t>以下为本公司于资产负债表日，已签约而尚不必在资产负债表上列示的与关联方有</w:t>
      </w:r>
      <w:r>
        <w:rPr>
          <w:w w:val="100"/>
        </w:rPr>
        <w:t> </w:t>
      </w:r>
      <w:r>
        <w:rPr/>
        <w:t>关的承诺事项：</w:t>
      </w:r>
    </w:p>
    <w:p>
      <w:pPr>
        <w:pStyle w:val="BodyText"/>
        <w:spacing w:line="240" w:lineRule="auto" w:before="28"/>
        <w:ind w:left="850" w:right="146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日中国电子在收购报告书或权益变动报告书中作出关于同业竞</w:t>
      </w:r>
    </w:p>
    <w:p>
      <w:pPr>
        <w:spacing w:after="0" w:line="240" w:lineRule="auto"/>
        <w:jc w:val="left"/>
        <w:sectPr>
          <w:pgSz w:w="11910" w:h="16840"/>
          <w:pgMar w:header="753" w:footer="997" w:top="1500" w:bottom="1180" w:left="1660" w:right="0"/>
        </w:sectPr>
      </w:pPr>
    </w:p>
    <w:p>
      <w:pPr>
        <w:spacing w:line="240" w:lineRule="auto" w:before="13"/>
        <w:rPr>
          <w:rFonts w:ascii="宋体" w:hAnsi="宋体" w:cs="宋体" w:eastAsia="宋体" w:hint="default"/>
          <w:sz w:val="19"/>
          <w:szCs w:val="19"/>
        </w:rPr>
      </w:pPr>
    </w:p>
    <w:p>
      <w:pPr>
        <w:pStyle w:val="BodyText"/>
        <w:spacing w:line="314" w:lineRule="auto"/>
        <w:ind w:left="850" w:right="1468"/>
        <w:jc w:val="left"/>
      </w:pPr>
      <w:r>
        <w:rPr>
          <w:spacing w:val="-2"/>
        </w:rPr>
        <w:t>争、关联交易方面的承诺（长期有效，被重大资产重组承诺继承优化，见下述资产</w:t>
      </w:r>
      <w:r>
        <w:rPr>
          <w:spacing w:val="-35"/>
        </w:rPr>
        <w:t> </w:t>
      </w:r>
      <w:r>
        <w:rPr>
          <w:spacing w:val="-35"/>
        </w:rPr>
      </w:r>
      <w:r>
        <w:rPr>
          <w:spacing w:val="-13"/>
          <w:w w:val="100"/>
        </w:rPr>
        <w:t>重组时所作承诺）。</w:t>
      </w:r>
    </w:p>
    <w:p>
      <w:pPr>
        <w:pStyle w:val="BodyText"/>
        <w:spacing w:line="297" w:lineRule="auto" w:before="20"/>
        <w:ind w:left="850" w:right="3683"/>
        <w:jc w:val="left"/>
      </w:pPr>
      <w:r>
        <w:rPr>
          <w:rFonts w:ascii="Times New Roman" w:hAnsi="Times New Roman" w:cs="Times New Roman" w:eastAsia="Times New Roman" w:hint="default"/>
        </w:rPr>
        <w:t>2</w:t>
      </w:r>
      <w:r>
        <w:rPr/>
        <w:t>、资产重组时所作承诺</w:t>
      </w:r>
      <w:r>
        <w:rPr>
          <w:w w:val="100"/>
        </w:rPr>
        <w:t> </w:t>
      </w:r>
      <w:r>
        <w:rPr>
          <w:spacing w:val="-2"/>
        </w:rPr>
        <w:t>中国电子在公司重大资产重组项目中作出承诺：</w:t>
      </w:r>
    </w:p>
    <w:p>
      <w:pPr>
        <w:pStyle w:val="BodyText"/>
        <w:spacing w:line="314" w:lineRule="auto" w:before="34"/>
        <w:ind w:left="850" w:right="1468"/>
        <w:jc w:val="left"/>
      </w:pPr>
      <w:r>
        <w:rPr>
          <w:spacing w:val="-1"/>
          <w:w w:val="100"/>
        </w:rPr>
        <w:t>（</w:t>
      </w:r>
      <w:r>
        <w:rPr>
          <w:rFonts w:ascii="Times New Roman" w:hAnsi="Times New Roman" w:cs="Times New Roman" w:eastAsia="Times New Roman" w:hint="default"/>
          <w:spacing w:val="-1"/>
          <w:w w:val="100"/>
        </w:rPr>
        <w:t>1</w:t>
      </w:r>
      <w:r>
        <w:rPr>
          <w:spacing w:val="-1"/>
          <w:w w:val="100"/>
        </w:rPr>
        <w:t>）</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3"/>
          <w:w w:val="100"/>
        </w:rPr>
        <w:t> </w:t>
      </w:r>
      <w:r>
        <w:rPr>
          <w:w w:val="100"/>
        </w:rPr>
        <w:t>年</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54"/>
          <w:w w:val="100"/>
        </w:rPr>
        <w:t> </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w w:val="100"/>
        </w:rPr>
        <w:t> </w:t>
      </w:r>
      <w:r>
        <w:rPr>
          <w:spacing w:val="-6"/>
          <w:w w:val="100"/>
        </w:rPr>
        <w:t>日关于同业竞争、关联交易方面的承诺（长期有效）：</w:t>
      </w:r>
      <w:r>
        <w:rPr>
          <w:spacing w:val="-98"/>
          <w:w w:val="100"/>
        </w:rPr>
        <w:t> </w:t>
      </w:r>
      <w:r>
        <w:rPr>
          <w:spacing w:val="-98"/>
          <w:w w:val="100"/>
        </w:rPr>
      </w:r>
      <w:r>
        <w:rPr>
          <w:rFonts w:ascii="Times New Roman" w:hAnsi="Times New Roman" w:cs="Times New Roman" w:eastAsia="Times New Roman" w:hint="default"/>
        </w:rPr>
        <w:t>1</w:t>
      </w:r>
      <w:r>
        <w:rPr/>
        <w:t>）同业竞争</w:t>
      </w:r>
      <w:r>
        <w:rPr>
          <w:w w:val="100"/>
        </w:rPr>
        <w:t> </w:t>
      </w:r>
      <w:r>
        <w:rPr/>
        <w:t>截至承诺出具日，中国电子及其控股企业未直接或者间接从事任何与中国长城、长</w:t>
      </w:r>
      <w:r>
        <w:rPr>
          <w:w w:val="100"/>
        </w:rPr>
        <w:t> </w:t>
      </w:r>
      <w:r>
        <w:rPr/>
        <w:t>城信息及其控股企业现有业务构成实质同业竞争的生产经营活动，与中国长城、长</w:t>
      </w:r>
      <w:r>
        <w:rPr>
          <w:w w:val="100"/>
        </w:rPr>
        <w:t> </w:t>
      </w:r>
      <w:r>
        <w:rPr/>
        <w:t>城信息及其控股企业不存在实质同业竞争的情形。中国长城与冠捷科技不存在实质</w:t>
      </w:r>
      <w:r>
        <w:rPr>
          <w:w w:val="100"/>
        </w:rPr>
        <w:t> </w:t>
      </w:r>
      <w:r>
        <w:rPr/>
        <w:t>同业竞争的情形。</w:t>
      </w:r>
      <w:r>
        <w:rPr>
          <w:w w:val="100"/>
        </w:rPr>
        <w:t> </w:t>
      </w:r>
      <w:r>
        <w:rPr>
          <w:spacing w:val="-2"/>
        </w:rPr>
        <w:t>本次交易完成后，中国电子及其控股企业不会以控股、参股、联营、合作、合伙、承</w:t>
      </w:r>
      <w:r>
        <w:rPr>
          <w:spacing w:val="-35"/>
        </w:rPr>
        <w:t> </w:t>
      </w:r>
      <w:r>
        <w:rPr>
          <w:spacing w:val="-35"/>
        </w:rPr>
      </w:r>
      <w:r>
        <w:rPr>
          <w:spacing w:val="-2"/>
        </w:rPr>
        <w:t>包、租赁等任何形式，直接、间接或代表任何人士、公司或单位在任何地区，从事与</w:t>
      </w:r>
      <w:r>
        <w:rPr>
          <w:spacing w:val="-35"/>
        </w:rPr>
        <w:t> </w:t>
      </w:r>
      <w:r>
        <w:rPr>
          <w:spacing w:val="-35"/>
        </w:rPr>
      </w:r>
      <w:r>
        <w:rPr>
          <w:spacing w:val="-2"/>
        </w:rPr>
        <w:t>中国长城或其控股企业实质相同或者相似的业务。中国电子保证不利用控股地位损害</w:t>
      </w:r>
      <w:r>
        <w:rPr>
          <w:spacing w:val="-35"/>
        </w:rPr>
        <w:t> </w:t>
      </w:r>
      <w:r>
        <w:rPr>
          <w:spacing w:val="-35"/>
        </w:rPr>
      </w:r>
      <w:r>
        <w:rPr/>
        <w:t>中国长城及中国长城其他股东的合法权益，也不利用控股地位谋取额外的利益。</w:t>
      </w:r>
      <w:r>
        <w:rPr>
          <w:w w:val="100"/>
        </w:rPr>
        <w:t> </w:t>
      </w:r>
      <w:r>
        <w:rPr/>
        <w:t>本次交易完成后，如果中国电子或中国电子除中国长城外的控股企业发现任何与中</w:t>
      </w:r>
      <w:r>
        <w:rPr>
          <w:w w:val="100"/>
        </w:rPr>
        <w:t> </w:t>
      </w:r>
      <w:r>
        <w:rPr/>
        <w:t>国长城或其控股企业主营业务构成或可能构成直接或间接竞争关系的新业务机会，</w:t>
      </w:r>
      <w:r>
        <w:rPr>
          <w:w w:val="100"/>
        </w:rPr>
        <w:t> </w:t>
      </w:r>
      <w:r>
        <w:rPr/>
        <w:t>将立即书面通知中国长城，并尽力促使该业务机会按合理和公平的条款和条件首先</w:t>
      </w:r>
      <w:r>
        <w:rPr>
          <w:w w:val="100"/>
        </w:rPr>
        <w:t> </w:t>
      </w:r>
      <w:r>
        <w:rPr/>
        <w:t>提供给中国长城或其控股企业。</w:t>
      </w:r>
      <w:r>
        <w:rPr>
          <w:w w:val="100"/>
        </w:rPr>
        <w:t> </w:t>
      </w:r>
      <w:r>
        <w:rPr/>
        <w:t>本次交易完成后，如果中国长城或其控股企业放弃上述竞争性新业务机会且中国电</w:t>
      </w:r>
      <w:r>
        <w:rPr>
          <w:w w:val="100"/>
        </w:rPr>
        <w:t> </w:t>
      </w:r>
      <w:r>
        <w:rPr/>
        <w:t>子或中国电子除中国长城以外的控股企业从事该等竞争性业务，则中国长城或其控</w:t>
      </w:r>
      <w:r>
        <w:rPr>
          <w:w w:val="100"/>
        </w:rPr>
        <w:t> </w:t>
      </w:r>
      <w:r>
        <w:rPr/>
        <w:t>股企业有权随时一次性或分多次向中国电子或中国电子除中国长城以外的控股企业</w:t>
      </w:r>
      <w:r>
        <w:rPr>
          <w:w w:val="100"/>
        </w:rPr>
        <w:t> </w:t>
      </w:r>
      <w:r>
        <w:rPr/>
        <w:t>收购在上述竞争性业务中的任何股权、资产及其他权益，或由中国长城根据国家法</w:t>
      </w:r>
      <w:r>
        <w:rPr>
          <w:w w:val="100"/>
        </w:rPr>
        <w:t> </w:t>
      </w:r>
      <w:r>
        <w:rPr/>
        <w:t>律法规许可的方式选择委托经营、租赁或承包经营中国电子或中国电子除中国长城</w:t>
      </w:r>
      <w:r>
        <w:rPr>
          <w:w w:val="100"/>
        </w:rPr>
        <w:t> </w:t>
      </w:r>
      <w:r>
        <w:rPr/>
        <w:t>以外的控股企业在上述竞争性业务中的资产或业务。</w:t>
      </w:r>
      <w:r>
        <w:rPr>
          <w:w w:val="100"/>
        </w:rPr>
        <w:t> </w:t>
      </w:r>
      <w:r>
        <w:rPr/>
        <w:t>本次交易完成后，在中国电子及中国电子除中国长城外的控股企业拟转让、出售、</w:t>
      </w:r>
      <w:r>
        <w:rPr>
          <w:w w:val="100"/>
        </w:rPr>
        <w:t> </w:t>
      </w:r>
      <w:r>
        <w:rPr/>
        <w:t>出租、许可使用或以其他方式转让或允许使用与中国长城或其控股企业主营业务构</w:t>
      </w:r>
      <w:r>
        <w:rPr>
          <w:w w:val="100"/>
        </w:rPr>
        <w:t> </w:t>
      </w:r>
      <w:r>
        <w:rPr/>
        <w:t>成或可能构成直接或间接竞争关系的资产和业务时，中国电子及中国电子除中国长</w:t>
      </w:r>
      <w:r>
        <w:rPr>
          <w:w w:val="100"/>
        </w:rPr>
        <w:t> </w:t>
      </w:r>
      <w:r>
        <w:rPr/>
        <w:t>城外的控股企业将向中国长城或其控股企业提供优先受让权，并承诺尽最大努力促</w:t>
      </w:r>
      <w:r>
        <w:rPr>
          <w:w w:val="100"/>
        </w:rPr>
        <w:t> </w:t>
      </w:r>
      <w:r>
        <w:rPr/>
        <w:t>使中国电子参股企业在上述情况下向中国长城或其控股企业提供优先受让权。</w:t>
      </w:r>
      <w:r>
        <w:rPr>
          <w:w w:val="100"/>
        </w:rPr>
        <w:t> </w:t>
      </w:r>
      <w:r>
        <w:rPr/>
        <w:t>自承诺出具日起，中国电子承诺赔偿中国长城或其控股企业因中国电子或中国电子</w:t>
      </w:r>
      <w:r>
        <w:rPr>
          <w:w w:val="100"/>
        </w:rPr>
        <w:t> </w:t>
      </w:r>
      <w:r>
        <w:rPr/>
        <w:t>控股企业因违反本承诺任何条款而遭受的一切实际损失、损害和开支。</w:t>
      </w:r>
      <w:r>
        <w:rPr>
          <w:w w:val="100"/>
        </w:rPr>
        <w:t> </w:t>
      </w:r>
      <w:r>
        <w:rPr/>
        <w:t>上述承诺在中国电子对中国长城拥有由资本因素或非资本因素形成的直接或间接的</w:t>
      </w:r>
      <w:r>
        <w:rPr>
          <w:w w:val="100"/>
        </w:rPr>
        <w:t> </w:t>
      </w:r>
      <w:r>
        <w:rPr/>
        <w:t>控制权或对中国长城存在重大影响期间持续有效，且不可变更或撤销。</w:t>
      </w:r>
    </w:p>
    <w:p>
      <w:pPr>
        <w:pStyle w:val="BodyText"/>
        <w:spacing w:line="309" w:lineRule="auto" w:before="20"/>
        <w:ind w:left="850" w:right="1468"/>
        <w:jc w:val="left"/>
      </w:pPr>
      <w:r>
        <w:rPr>
          <w:rFonts w:ascii="Times New Roman" w:hAnsi="Times New Roman" w:cs="Times New Roman" w:eastAsia="Times New Roman" w:hint="default"/>
        </w:rPr>
        <w:t>2</w:t>
      </w:r>
      <w:r>
        <w:rPr/>
        <w:t>）关联交易</w:t>
      </w:r>
      <w:r>
        <w:rPr>
          <w:w w:val="100"/>
        </w:rPr>
        <w:t> </w:t>
      </w:r>
      <w:r>
        <w:rPr>
          <w:spacing w:val="-2"/>
        </w:rPr>
        <w:t>在本次交易前，中国电子及其控制的其他企业与中国长城、长城信息之间不存在显</w:t>
      </w:r>
      <w:r>
        <w:rPr>
          <w:spacing w:val="-35"/>
        </w:rPr>
        <w:t> </w:t>
      </w:r>
      <w:r>
        <w:rPr>
          <w:spacing w:val="-35"/>
        </w:rPr>
      </w:r>
      <w:r>
        <w:rPr>
          <w:spacing w:val="-2"/>
        </w:rPr>
        <w:t>失公平的关联交易。本次交易完成后，中国电子控制的除中国长城及其下属公司以</w:t>
      </w:r>
      <w:r>
        <w:rPr>
          <w:spacing w:val="-35"/>
        </w:rPr>
        <w:t> </w:t>
      </w:r>
      <w:r>
        <w:rPr>
          <w:spacing w:val="-35"/>
        </w:rPr>
      </w:r>
      <w:r>
        <w:rPr/>
        <w:t>外的其他企业将尽量减少与中国长城及其下属公司之间发生关联交易。</w:t>
      </w:r>
    </w:p>
    <w:p>
      <w:pPr>
        <w:spacing w:after="0" w:line="309" w:lineRule="auto"/>
        <w:jc w:val="left"/>
        <w:sectPr>
          <w:footerReference w:type="default" r:id="rId74"/>
          <w:pgSz w:w="11910" w:h="16840"/>
          <w:pgMar w:footer="997" w:header="753" w:top="1500" w:bottom="1180" w:left="1660" w:right="0"/>
          <w:pgNumType w:start="120"/>
        </w:sectPr>
      </w:pPr>
    </w:p>
    <w:p>
      <w:pPr>
        <w:spacing w:line="240" w:lineRule="auto" w:before="13"/>
        <w:rPr>
          <w:rFonts w:ascii="宋体" w:hAnsi="宋体" w:cs="宋体" w:eastAsia="宋体" w:hint="default"/>
          <w:sz w:val="19"/>
          <w:szCs w:val="19"/>
        </w:rPr>
      </w:pPr>
    </w:p>
    <w:p>
      <w:pPr>
        <w:pStyle w:val="BodyText"/>
        <w:spacing w:line="314" w:lineRule="auto"/>
        <w:ind w:left="850" w:right="1468"/>
        <w:jc w:val="left"/>
      </w:pPr>
      <w:r>
        <w:rPr/>
        <w:t>本次交易完成后，对于无法避免或有合理理由存在的关联交易，中国电子控制的其</w:t>
      </w:r>
      <w:r>
        <w:rPr>
          <w:w w:val="100"/>
        </w:rPr>
        <w:t> </w:t>
      </w:r>
      <w:r>
        <w:rPr/>
        <w:t>他企业将与中国长城依法签订规范的关联交易协议，关联交易价格依照与无关联关</w:t>
      </w:r>
      <w:r>
        <w:rPr>
          <w:w w:val="100"/>
        </w:rPr>
        <w:t> </w:t>
      </w:r>
      <w:r>
        <w:rPr>
          <w:spacing w:val="-4"/>
        </w:rPr>
        <w:t>系的独立第三方进行相同或相似交易时的价格确定，保证关联交易价格具有公允性；</w:t>
      </w:r>
      <w:r>
        <w:rPr>
          <w:spacing w:val="-25"/>
        </w:rPr>
        <w:t> </w:t>
      </w:r>
      <w:r>
        <w:rPr>
          <w:spacing w:val="-25"/>
        </w:rPr>
      </w:r>
      <w:r>
        <w:rPr/>
        <w:t>并按照有关法律、法规、规章、其他规范性文件和中国长城公司章程的规定，履行</w:t>
      </w:r>
      <w:r>
        <w:rPr>
          <w:w w:val="100"/>
        </w:rPr>
        <w:t> </w:t>
      </w:r>
      <w:r>
        <w:rPr/>
        <w:t>关联交易决策、回避表决等公允程序，及时进行信息披露，保证不通过关联交易损</w:t>
      </w:r>
      <w:r>
        <w:rPr>
          <w:w w:val="100"/>
        </w:rPr>
        <w:t> </w:t>
      </w:r>
      <w:r>
        <w:rPr/>
        <w:t>害中国长城及中国长城其他股东的合法权益；保证不要求或不接受中国长城在任何</w:t>
      </w:r>
      <w:r>
        <w:rPr>
          <w:w w:val="100"/>
        </w:rPr>
        <w:t> </w:t>
      </w:r>
      <w:r>
        <w:rPr/>
        <w:t>一项市场公平交易中给予中国电子及其控制的其他企业优于给予第三者的条件；保</w:t>
      </w:r>
      <w:r>
        <w:rPr>
          <w:w w:val="100"/>
        </w:rPr>
        <w:t> </w:t>
      </w:r>
      <w:r>
        <w:rPr/>
        <w:t>证将依照中国长城公司章程行使相应权利，承担相应义务，不利用实际控制人的身</w:t>
      </w:r>
      <w:r>
        <w:rPr>
          <w:w w:val="100"/>
        </w:rPr>
        <w:t> </w:t>
      </w:r>
      <w:r>
        <w:rPr/>
        <w:t>份谋取不正当利益，不利用关联交易非法转移中国长城的资金、利润，保证不损害</w:t>
      </w:r>
      <w:r>
        <w:rPr>
          <w:w w:val="100"/>
        </w:rPr>
        <w:t> </w:t>
      </w:r>
      <w:r>
        <w:rPr/>
        <w:t>中国长城其他股东的合法权益。</w:t>
      </w:r>
      <w:r>
        <w:rPr>
          <w:w w:val="100"/>
        </w:rPr>
        <w:t> </w:t>
      </w:r>
      <w:r>
        <w:rPr/>
        <w:t>如违反上述承诺，愿意承担由此产生的全部责任，充分赔偿或补偿由此给中国长城</w:t>
      </w:r>
      <w:r>
        <w:rPr>
          <w:w w:val="100"/>
        </w:rPr>
        <w:t> </w:t>
      </w:r>
      <w:r>
        <w:rPr/>
        <w:t>造成的所有直接或间接损失。</w:t>
      </w:r>
      <w:r>
        <w:rPr>
          <w:w w:val="100"/>
        </w:rPr>
        <w:t> </w:t>
      </w:r>
      <w:r>
        <w:rPr/>
        <w:t>上述承诺在中国电子对中国长城拥有由资本因素或非资本因素形成的直接或间接的</w:t>
      </w:r>
      <w:r>
        <w:rPr>
          <w:w w:val="100"/>
        </w:rPr>
        <w:t> </w:t>
      </w:r>
      <w:r>
        <w:rPr/>
        <w:t>控制权或对中国长城存在重大影响期间持续有效，且不可变更或撤销。</w:t>
      </w:r>
    </w:p>
    <w:p>
      <w:pPr>
        <w:pStyle w:val="BodyText"/>
        <w:spacing w:line="309" w:lineRule="auto" w:before="20"/>
        <w:ind w:left="850" w:right="1468"/>
        <w:jc w:val="left"/>
      </w:pPr>
      <w:r>
        <w:rPr>
          <w:spacing w:val="-1"/>
          <w:w w:val="100"/>
        </w:rPr>
        <w:t>（</w:t>
      </w:r>
      <w:r>
        <w:rPr>
          <w:rFonts w:ascii="Times New Roman" w:hAnsi="Times New Roman" w:cs="Times New Roman" w:eastAsia="Times New Roman" w:hint="default"/>
          <w:spacing w:val="-1"/>
          <w:w w:val="100"/>
        </w:rPr>
        <w:t>2</w:t>
      </w:r>
      <w:r>
        <w:rPr>
          <w:spacing w:val="-1"/>
          <w:w w:val="100"/>
        </w:rPr>
        <w:t>）</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4"/>
          <w:w w:val="100"/>
        </w:rPr>
        <w:t> </w:t>
      </w:r>
      <w:r>
        <w:rPr>
          <w:w w:val="100"/>
        </w:rPr>
        <w:t>年</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 </w:t>
      </w:r>
      <w:r>
        <w:rPr>
          <w:w w:val="100"/>
        </w:rPr>
        <w:t>月</w:t>
      </w:r>
      <w:r>
        <w:rPr>
          <w:spacing w:val="-54"/>
          <w:w w:val="100"/>
        </w:rPr>
        <w:t> </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spacing w:val="-1"/>
          <w:w w:val="100"/>
        </w:rPr>
        <w:t> </w:t>
      </w:r>
      <w:r>
        <w:rPr>
          <w:spacing w:val="-7"/>
          <w:w w:val="100"/>
        </w:rPr>
        <w:t>日保证上市公司独立性承诺（长期有效）：</w:t>
      </w:r>
      <w:r>
        <w:rPr>
          <w:spacing w:val="-102"/>
          <w:w w:val="100"/>
        </w:rPr>
        <w:t> </w:t>
      </w:r>
      <w:r>
        <w:rPr>
          <w:spacing w:val="-102"/>
          <w:w w:val="100"/>
        </w:rPr>
      </w:r>
      <w:r>
        <w:rPr>
          <w:spacing w:val="-2"/>
        </w:rPr>
        <w:t>在本次交易完成后，保证中国长城在人员、资产、财务、机构及业务方面与中国电</w:t>
      </w:r>
      <w:r>
        <w:rPr>
          <w:spacing w:val="-35"/>
        </w:rPr>
        <w:t> </w:t>
      </w:r>
      <w:r>
        <w:rPr>
          <w:spacing w:val="-35"/>
        </w:rPr>
      </w:r>
      <w:r>
        <w:rPr>
          <w:spacing w:val="-2"/>
        </w:rPr>
        <w:t>子控制的其他企业完全分开，保持上市公司在业务、资产、人员、财务和机构方面</w:t>
      </w:r>
      <w:r>
        <w:rPr>
          <w:spacing w:val="-35"/>
        </w:rPr>
        <w:t> </w:t>
      </w:r>
      <w:r>
        <w:rPr>
          <w:spacing w:val="-35"/>
        </w:rPr>
      </w:r>
      <w:r>
        <w:rPr/>
        <w:t>的独立。</w:t>
      </w:r>
    </w:p>
    <w:p>
      <w:pPr>
        <w:pStyle w:val="BodyText"/>
        <w:spacing w:line="302" w:lineRule="auto" w:before="24"/>
        <w:ind w:left="850" w:right="1699"/>
        <w:jc w:val="left"/>
      </w:pPr>
      <w:r>
        <w:rPr>
          <w:spacing w:val="-1"/>
          <w:w w:val="100"/>
        </w:rPr>
        <w:t>（</w:t>
      </w:r>
      <w:r>
        <w:rPr>
          <w:rFonts w:ascii="Times New Roman" w:hAnsi="Times New Roman" w:cs="Times New Roman" w:eastAsia="Times New Roman" w:hint="default"/>
          <w:spacing w:val="-1"/>
          <w:w w:val="100"/>
        </w:rPr>
        <w:t>3</w:t>
      </w:r>
      <w:r>
        <w:rPr>
          <w:spacing w:val="-1"/>
          <w:w w:val="100"/>
        </w:rPr>
        <w:t>）</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3"/>
          <w:w w:val="100"/>
        </w:rPr>
        <w:t> </w:t>
      </w:r>
      <w:r>
        <w:rPr>
          <w:w w:val="100"/>
        </w:rPr>
        <w:t>年</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54"/>
          <w:w w:val="100"/>
        </w:rPr>
        <w:t> </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w w:val="100"/>
        </w:rPr>
        <w:t> </w:t>
      </w:r>
      <w:r>
        <w:rPr>
          <w:spacing w:val="-2"/>
          <w:w w:val="100"/>
        </w:rPr>
        <w:t>日业绩承诺及补偿安排（有效期截至</w:t>
      </w:r>
      <w:r>
        <w:rPr>
          <w:spacing w:val="-54"/>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w w:val="100"/>
        </w:rPr>
        <w:t> </w:t>
      </w:r>
      <w:r>
        <w:rPr>
          <w:spacing w:val="-36"/>
          <w:w w:val="100"/>
        </w:rPr>
        <w:t>年）：</w:t>
      </w:r>
      <w:r>
        <w:rPr>
          <w:spacing w:val="-95"/>
          <w:w w:val="100"/>
        </w:rPr>
        <w:t> </w:t>
      </w:r>
      <w:r>
        <w:rPr>
          <w:spacing w:val="-95"/>
          <w:w w:val="100"/>
        </w:rPr>
      </w:r>
      <w:r>
        <w:rPr/>
        <w:t>中国电子对标的公司在本次交易实施完毕当年及其后</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个会计年度（</w:t>
      </w:r>
      <w:r>
        <w:rPr>
          <w:rFonts w:ascii="Times New Roman" w:hAnsi="Times New Roman" w:cs="Times New Roman" w:eastAsia="Times New Roman" w:hint="default"/>
        </w:rPr>
        <w:t>2017-2019</w:t>
      </w:r>
      <w:r>
        <w:rPr>
          <w:rFonts w:ascii="Times New Roman" w:hAnsi="Times New Roman" w:cs="Times New Roman" w:eastAsia="Times New Roman" w:hint="default"/>
          <w:spacing w:val="-2"/>
        </w:rPr>
        <w:t> </w:t>
      </w:r>
      <w:r>
        <w:rPr/>
        <w:t>年）</w:t>
      </w:r>
      <w:r>
        <w:rPr>
          <w:w w:val="100"/>
        </w:rPr>
        <w:t> </w:t>
      </w:r>
      <w:r>
        <w:rPr/>
        <w:t>的具体每年的盈利承诺数如下：中原电子盈利承诺数为</w:t>
      </w:r>
      <w:r>
        <w:rPr>
          <w:spacing w:val="-53"/>
        </w:rPr>
        <w:t> </w:t>
      </w:r>
      <w:r>
        <w:rPr>
          <w:rFonts w:ascii="Times New Roman" w:hAnsi="Times New Roman" w:cs="Times New Roman" w:eastAsia="Times New Roman" w:hint="default"/>
        </w:rPr>
        <w:t>18,182.84</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18,495.39</w:t>
      </w:r>
      <w:r>
        <w:rPr>
          <w:rFonts w:ascii="Times New Roman" w:hAnsi="Times New Roman" w:cs="Times New Roman" w:eastAsia="Times New Roman" w:hint="default"/>
          <w:w w:val="100"/>
        </w:rPr>
        <w:t> </w:t>
      </w:r>
      <w:r>
        <w:rPr/>
        <w:t>万元、</w:t>
      </w:r>
      <w:r>
        <w:rPr>
          <w:rFonts w:ascii="Times New Roman" w:hAnsi="Times New Roman" w:cs="Times New Roman" w:eastAsia="Times New Roman" w:hint="default"/>
        </w:rPr>
        <w:t>20,329.37</w:t>
      </w:r>
      <w:r>
        <w:rPr>
          <w:rFonts w:ascii="Times New Roman" w:hAnsi="Times New Roman" w:cs="Times New Roman" w:eastAsia="Times New Roman" w:hint="default"/>
          <w:spacing w:val="2"/>
        </w:rPr>
        <w:t> </w:t>
      </w:r>
      <w:r>
        <w:rPr>
          <w:spacing w:val="-3"/>
        </w:rPr>
        <w:t>万元；圣非凡盈利承诺数为</w:t>
      </w:r>
      <w:r>
        <w:rPr>
          <w:spacing w:val="-49"/>
        </w:rPr>
        <w:t> </w:t>
      </w:r>
      <w:r>
        <w:rPr>
          <w:rFonts w:ascii="Times New Roman" w:hAnsi="Times New Roman" w:cs="Times New Roman" w:eastAsia="Times New Roman" w:hint="default"/>
        </w:rPr>
        <w:t>7,146.38</w:t>
      </w:r>
      <w:r>
        <w:rPr>
          <w:rFonts w:ascii="Times New Roman" w:hAnsi="Times New Roman" w:cs="Times New Roman" w:eastAsia="Times New Roman" w:hint="default"/>
          <w:spacing w:val="4"/>
        </w:rPr>
        <w:t> </w:t>
      </w:r>
      <w:r>
        <w:rPr>
          <w:spacing w:val="-3"/>
        </w:rPr>
        <w:t>万元、</w:t>
      </w:r>
      <w:r>
        <w:rPr>
          <w:rFonts w:ascii="Times New Roman" w:hAnsi="Times New Roman" w:cs="Times New Roman" w:eastAsia="Times New Roman" w:hint="default"/>
          <w:spacing w:val="-3"/>
        </w:rPr>
        <w:t>7,160.17</w:t>
      </w:r>
      <w:r>
        <w:rPr>
          <w:rFonts w:ascii="Times New Roman" w:hAnsi="Times New Roman" w:cs="Times New Roman" w:eastAsia="Times New Roman" w:hint="default"/>
          <w:spacing w:val="4"/>
        </w:rPr>
        <w:t> </w:t>
      </w:r>
      <w:r>
        <w:rPr>
          <w:spacing w:val="-3"/>
        </w:rPr>
        <w:t>万元、</w:t>
      </w:r>
      <w:r>
        <w:rPr>
          <w:rFonts w:ascii="Times New Roman" w:hAnsi="Times New Roman" w:cs="Times New Roman" w:eastAsia="Times New Roman" w:hint="default"/>
          <w:spacing w:val="-3"/>
        </w:rPr>
        <w:t>8,418.46</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万元。该承诺净利润不包括募集配套资金的项目所产生的收益。</w:t>
      </w:r>
      <w:r>
        <w:rPr>
          <w:w w:val="100"/>
        </w:rPr>
        <w:t> </w:t>
      </w:r>
      <w:r>
        <w:rPr/>
        <w:t>中国长城及中国电子确认本次交易完成后，标的公司在本次交易实施完毕当年及其</w:t>
      </w:r>
      <w:r>
        <w:rPr>
          <w:w w:val="100"/>
        </w:rPr>
        <w:t> </w:t>
      </w:r>
      <w:r>
        <w:rPr/>
        <w:t>后</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个会计年度的累计实现净利润应不低于累计承诺净利润，否则中国电子应按照</w:t>
      </w:r>
    </w:p>
    <w:p>
      <w:pPr>
        <w:pStyle w:val="BodyText"/>
        <w:spacing w:line="240" w:lineRule="auto" w:before="9"/>
        <w:ind w:left="850" w:right="3683"/>
        <w:jc w:val="left"/>
      </w:pPr>
      <w:r>
        <w:rPr/>
        <w:t>《盈利预测补偿协议》规定对中国长城予以补偿。</w:t>
      </w:r>
    </w:p>
    <w:p>
      <w:pPr>
        <w:pStyle w:val="BodyText"/>
        <w:spacing w:line="307" w:lineRule="auto" w:before="85"/>
        <w:ind w:left="850" w:right="1468"/>
        <w:jc w:val="left"/>
      </w:pPr>
      <w:r>
        <w:rPr>
          <w:spacing w:val="-1"/>
          <w:w w:val="100"/>
        </w:rPr>
        <w:t>（</w:t>
      </w:r>
      <w:r>
        <w:rPr>
          <w:rFonts w:ascii="Times New Roman" w:hAnsi="Times New Roman" w:cs="Times New Roman" w:eastAsia="Times New Roman" w:hint="default"/>
          <w:spacing w:val="-1"/>
          <w:w w:val="100"/>
        </w:rPr>
        <w:t>4</w:t>
      </w:r>
      <w:r>
        <w:rPr>
          <w:spacing w:val="-1"/>
          <w:w w:val="100"/>
        </w:rPr>
        <w:t>）</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3"/>
          <w:w w:val="100"/>
        </w:rPr>
        <w:t> </w:t>
      </w:r>
      <w:r>
        <w:rPr>
          <w:w w:val="100"/>
        </w:rPr>
        <w:t>年</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54"/>
          <w:w w:val="100"/>
        </w:rPr>
        <w:t> </w:t>
      </w:r>
      <w:r>
        <w:rPr>
          <w:rFonts w:ascii="Times New Roman" w:hAnsi="Times New Roman" w:cs="Times New Roman" w:eastAsia="Times New Roman" w:hint="default"/>
          <w:spacing w:val="-2"/>
          <w:w w:val="100"/>
        </w:rPr>
        <w:t>13</w:t>
      </w:r>
      <w:r>
        <w:rPr>
          <w:rFonts w:ascii="Times New Roman" w:hAnsi="Times New Roman" w:cs="Times New Roman" w:eastAsia="Times New Roman" w:hint="default"/>
          <w:w w:val="100"/>
        </w:rPr>
        <w:t> </w:t>
      </w:r>
      <w:r>
        <w:rPr>
          <w:spacing w:val="-2"/>
          <w:w w:val="100"/>
        </w:rPr>
        <w:t>日股份限售承诺（有效期截至</w:t>
      </w:r>
      <w:r>
        <w:rPr>
          <w:spacing w:val="-56"/>
          <w:w w:val="100"/>
        </w:rPr>
        <w:t> </w:t>
      </w:r>
      <w:r>
        <w:rPr>
          <w:rFonts w:ascii="Times New Roman" w:hAnsi="Times New Roman" w:cs="Times New Roman" w:eastAsia="Times New Roman" w:hint="default"/>
          <w:w w:val="100"/>
        </w:rPr>
        <w:t>2020</w:t>
      </w:r>
      <w:r>
        <w:rPr>
          <w:rFonts w:ascii="Times New Roman" w:hAnsi="Times New Roman" w:cs="Times New Roman" w:eastAsia="Times New Roman" w:hint="default"/>
          <w:spacing w:val="-3"/>
          <w:w w:val="100"/>
        </w:rPr>
        <w:t> </w:t>
      </w:r>
      <w:r>
        <w:rPr>
          <w:w w:val="100"/>
        </w:rPr>
        <w:t>年</w:t>
      </w:r>
      <w:r>
        <w:rPr>
          <w:spacing w:val="-54"/>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 </w:t>
      </w:r>
      <w:r>
        <w:rPr>
          <w:w w:val="100"/>
        </w:rPr>
        <w:t>月</w:t>
      </w:r>
      <w:r>
        <w:rPr>
          <w:spacing w:val="-54"/>
          <w:w w:val="100"/>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w w:val="100"/>
        </w:rPr>
        <w:t> </w:t>
      </w:r>
      <w:r>
        <w:rPr>
          <w:spacing w:val="-36"/>
          <w:w w:val="100"/>
        </w:rPr>
        <w:t>日）：</w:t>
      </w:r>
      <w:r>
        <w:rPr>
          <w:spacing w:val="-100"/>
          <w:w w:val="100"/>
        </w:rPr>
        <w:t> </w:t>
      </w:r>
      <w:r>
        <w:rPr>
          <w:spacing w:val="-100"/>
          <w:w w:val="100"/>
        </w:rPr>
      </w:r>
      <w:r>
        <w:rPr>
          <w:spacing w:val="-2"/>
        </w:rPr>
        <w:t>本次重大资产重组完成后，中国电子持有的长城信息股份相应变更为中国长城股份</w:t>
      </w:r>
      <w:r>
        <w:rPr>
          <w:spacing w:val="-35"/>
        </w:rPr>
        <w:t> </w:t>
      </w:r>
      <w:r>
        <w:rPr>
          <w:spacing w:val="-35"/>
        </w:rPr>
      </w:r>
      <w:r>
        <w:rPr/>
        <w:t>并自发行上市之日起</w:t>
      </w:r>
      <w:r>
        <w:rPr>
          <w:spacing w:val="-53"/>
        </w:rPr>
        <w:t> </w:t>
      </w:r>
      <w:r>
        <w:rPr>
          <w:rFonts w:ascii="Times New Roman" w:hAnsi="Times New Roman" w:cs="Times New Roman" w:eastAsia="Times New Roman" w:hint="default"/>
        </w:rPr>
        <w:t>36</w:t>
      </w:r>
      <w:r>
        <w:rPr>
          <w:rFonts w:ascii="Times New Roman" w:hAnsi="Times New Roman" w:cs="Times New Roman" w:eastAsia="Times New Roman" w:hint="default"/>
          <w:spacing w:val="-4"/>
        </w:rPr>
        <w:t> </w:t>
      </w:r>
      <w:r>
        <w:rPr/>
        <w:t>个月内不转让该等通过本次换股合并而取得的中国长城股</w:t>
      </w:r>
      <w:r>
        <w:rPr>
          <w:w w:val="100"/>
        </w:rPr>
        <w:t> </w:t>
      </w:r>
      <w:r>
        <w:rPr/>
        <w:t>份，之后按照中国证监会及深交所的有关规定执行。</w:t>
      </w:r>
      <w:r>
        <w:rPr>
          <w:w w:val="100"/>
        </w:rPr>
        <w:t> </w:t>
      </w:r>
      <w:r>
        <w:rPr>
          <w:spacing w:val="-2"/>
        </w:rPr>
        <w:t>本次重大资产重组完成后，中国电子以资产认购的中国长城新增股份自股份发行上</w:t>
      </w:r>
      <w:r>
        <w:rPr>
          <w:spacing w:val="-35"/>
        </w:rPr>
        <w:t> </w:t>
      </w:r>
      <w:r>
        <w:rPr>
          <w:spacing w:val="-35"/>
        </w:rPr>
      </w:r>
      <w:r>
        <w:rPr/>
        <w:t>市之日起</w:t>
      </w:r>
      <w:r>
        <w:rPr>
          <w:spacing w:val="-55"/>
        </w:rPr>
        <w:t> </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个月内不转让。</w:t>
      </w:r>
    </w:p>
    <w:p>
      <w:pPr>
        <w:pStyle w:val="BodyText"/>
        <w:spacing w:line="240" w:lineRule="auto" w:before="4"/>
        <w:ind w:left="850" w:right="1468"/>
        <w:jc w:val="left"/>
      </w:pPr>
      <w:r>
        <w:rPr/>
        <w:t>本次交易完成后</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7"/>
        </w:rPr>
        <w:t>个月内，如中国长城股票连续</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个交易日的收盘价低于其发行股</w:t>
      </w:r>
    </w:p>
    <w:p>
      <w:pPr>
        <w:pStyle w:val="BodyText"/>
        <w:spacing w:line="240" w:lineRule="auto" w:before="69"/>
        <w:ind w:left="850" w:right="1468"/>
        <w:jc w:val="left"/>
      </w:pPr>
      <w:r>
        <w:rPr/>
        <w:t>份购买资产的发行价格，或者交易完成后</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个月期末收盘价低于其发行股份购买资</w:t>
      </w:r>
    </w:p>
    <w:p>
      <w:pPr>
        <w:pStyle w:val="BodyText"/>
        <w:spacing w:line="240" w:lineRule="auto" w:before="69"/>
        <w:ind w:left="850" w:right="1468"/>
        <w:jc w:val="left"/>
      </w:pPr>
      <w:r>
        <w:rPr>
          <w:spacing w:val="-4"/>
        </w:rPr>
        <w:t>产发行价格的，则以上中国电子作出的股份锁定期承诺将在 </w:t>
      </w:r>
      <w:r>
        <w:rPr>
          <w:rFonts w:ascii="Times New Roman" w:hAnsi="Times New Roman" w:cs="Times New Roman" w:eastAsia="Times New Roman" w:hint="default"/>
        </w:rPr>
        <w:t>36</w:t>
      </w:r>
      <w:r>
        <w:rPr>
          <w:rFonts w:ascii="Times New Roman" w:hAnsi="Times New Roman" w:cs="Times New Roman" w:eastAsia="Times New Roman" w:hint="default"/>
          <w:spacing w:val="-18"/>
        </w:rPr>
        <w:t> </w:t>
      </w:r>
      <w:r>
        <w:rPr/>
        <w:t>个月的基础上自动延</w:t>
      </w:r>
    </w:p>
    <w:p>
      <w:pPr>
        <w:pStyle w:val="BodyText"/>
        <w:spacing w:line="297" w:lineRule="auto" w:before="69"/>
        <w:ind w:left="850" w:right="3683"/>
        <w:jc w:val="left"/>
      </w:pPr>
      <w:r>
        <w:rPr/>
        <w:t>长</w:t>
      </w:r>
      <w:r>
        <w:rPr>
          <w:spacing w:val="-53"/>
        </w:rPr>
        <w:t> </w:t>
      </w:r>
      <w:r>
        <w:rPr>
          <w:rFonts w:ascii="Times New Roman" w:hAnsi="Times New Roman" w:cs="Times New Roman" w:eastAsia="Times New Roman" w:hint="default"/>
        </w:rPr>
        <w:t>6 </w:t>
      </w:r>
      <w:r>
        <w:rPr/>
        <w:t>个月。</w:t>
      </w:r>
      <w:r>
        <w:rPr>
          <w:spacing w:val="-103"/>
        </w:rPr>
        <w:t> </w:t>
      </w:r>
      <w:r>
        <w:rPr>
          <w:spacing w:val="-103"/>
        </w:rPr>
      </w:r>
      <w:r>
        <w:rPr>
          <w:spacing w:val="-2"/>
        </w:rPr>
        <w:t>湖南计算机厂有限公司在公司重大资产重组项目中作出承诺：</w:t>
      </w:r>
    </w:p>
    <w:p>
      <w:pPr>
        <w:spacing w:after="0" w:line="297" w:lineRule="auto"/>
        <w:jc w:val="left"/>
        <w:sectPr>
          <w:pgSz w:w="11910" w:h="16840"/>
          <w:pgMar w:header="753" w:footer="997" w:top="1500" w:bottom="1180" w:left="1660" w:right="0"/>
        </w:sectPr>
      </w:pPr>
    </w:p>
    <w:p>
      <w:pPr>
        <w:spacing w:line="240" w:lineRule="auto" w:before="13"/>
        <w:rPr>
          <w:rFonts w:ascii="宋体" w:hAnsi="宋体" w:cs="宋体" w:eastAsia="宋体" w:hint="default"/>
          <w:sz w:val="19"/>
          <w:szCs w:val="19"/>
        </w:rPr>
      </w:pPr>
    </w:p>
    <w:p>
      <w:pPr>
        <w:pStyle w:val="BodyText"/>
        <w:spacing w:line="302" w:lineRule="auto"/>
        <w:ind w:left="850" w:right="1468"/>
        <w:jc w:val="left"/>
      </w:pPr>
      <w:r>
        <w:rPr>
          <w:spacing w:val="-1"/>
          <w:w w:val="100"/>
        </w:rPr>
        <w:t>（</w:t>
      </w:r>
      <w:r>
        <w:rPr>
          <w:rFonts w:ascii="Times New Roman" w:hAnsi="Times New Roman" w:cs="Times New Roman" w:eastAsia="Times New Roman" w:hint="default"/>
          <w:spacing w:val="-1"/>
          <w:w w:val="100"/>
        </w:rPr>
        <w:t>5</w:t>
      </w:r>
      <w:r>
        <w:rPr>
          <w:spacing w:val="-1"/>
          <w:w w:val="100"/>
        </w:rPr>
        <w:t>）</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3"/>
          <w:w w:val="100"/>
        </w:rPr>
        <w:t> </w:t>
      </w:r>
      <w:r>
        <w:rPr>
          <w:w w:val="100"/>
        </w:rPr>
        <w:t>年</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54"/>
          <w:w w:val="100"/>
        </w:rPr>
        <w:t> </w:t>
      </w:r>
      <w:r>
        <w:rPr>
          <w:rFonts w:ascii="Times New Roman" w:hAnsi="Times New Roman" w:cs="Times New Roman" w:eastAsia="Times New Roman" w:hint="default"/>
          <w:spacing w:val="-2"/>
          <w:w w:val="100"/>
        </w:rPr>
        <w:t>13</w:t>
      </w:r>
      <w:r>
        <w:rPr>
          <w:rFonts w:ascii="Times New Roman" w:hAnsi="Times New Roman" w:cs="Times New Roman" w:eastAsia="Times New Roman" w:hint="default"/>
          <w:w w:val="100"/>
        </w:rPr>
        <w:t> </w:t>
      </w:r>
      <w:r>
        <w:rPr>
          <w:spacing w:val="-2"/>
          <w:w w:val="100"/>
        </w:rPr>
        <w:t>日股份限售承诺（有效期截至</w:t>
      </w:r>
      <w:r>
        <w:rPr>
          <w:spacing w:val="-56"/>
          <w:w w:val="100"/>
        </w:rPr>
        <w:t> </w:t>
      </w:r>
      <w:r>
        <w:rPr>
          <w:rFonts w:ascii="Times New Roman" w:hAnsi="Times New Roman" w:cs="Times New Roman" w:eastAsia="Times New Roman" w:hint="default"/>
          <w:w w:val="100"/>
        </w:rPr>
        <w:t>2020</w:t>
      </w:r>
      <w:r>
        <w:rPr>
          <w:rFonts w:ascii="Times New Roman" w:hAnsi="Times New Roman" w:cs="Times New Roman" w:eastAsia="Times New Roman" w:hint="default"/>
          <w:spacing w:val="-3"/>
          <w:w w:val="100"/>
        </w:rPr>
        <w:t> </w:t>
      </w:r>
      <w:r>
        <w:rPr>
          <w:w w:val="100"/>
        </w:rPr>
        <w:t>年</w:t>
      </w:r>
      <w:r>
        <w:rPr>
          <w:spacing w:val="-54"/>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 </w:t>
      </w:r>
      <w:r>
        <w:rPr>
          <w:w w:val="100"/>
        </w:rPr>
        <w:t>月</w:t>
      </w:r>
      <w:r>
        <w:rPr>
          <w:spacing w:val="-54"/>
          <w:w w:val="10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w w:val="100"/>
        </w:rPr>
        <w:t> </w:t>
      </w:r>
      <w:r>
        <w:rPr>
          <w:spacing w:val="-36"/>
          <w:w w:val="100"/>
        </w:rPr>
        <w:t>日）：</w:t>
      </w:r>
      <w:r>
        <w:rPr>
          <w:spacing w:val="-100"/>
          <w:w w:val="100"/>
        </w:rPr>
        <w:t> </w:t>
      </w:r>
      <w:r>
        <w:rPr>
          <w:spacing w:val="-100"/>
          <w:w w:val="100"/>
        </w:rPr>
      </w:r>
      <w:r>
        <w:rPr>
          <w:spacing w:val="-2"/>
        </w:rPr>
        <w:t>本次重大资产重组完成后，湖南计算机厂有限公司持有的长城信息股份相应变更为</w:t>
      </w:r>
      <w:r>
        <w:rPr>
          <w:spacing w:val="-35"/>
        </w:rPr>
        <w:t> </w:t>
      </w:r>
      <w:r>
        <w:rPr>
          <w:spacing w:val="-35"/>
        </w:rPr>
      </w:r>
      <w:r>
        <w:rPr/>
        <w:t>中国长城股份并自发行上市之日起</w:t>
      </w:r>
      <w:r>
        <w:rPr>
          <w:spacing w:val="-55"/>
        </w:rPr>
        <w:t> </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个月内不转让该等通过本次换股合并而取得</w:t>
      </w:r>
      <w:r>
        <w:rPr>
          <w:w w:val="100"/>
        </w:rPr>
        <w:t> </w:t>
      </w:r>
      <w:r>
        <w:rPr/>
        <w:t>的中国长城股份，之后按照中国证监会及深交所的有关规定执行。</w:t>
      </w:r>
    </w:p>
    <w:p>
      <w:pPr>
        <w:pStyle w:val="BodyText"/>
        <w:spacing w:line="240" w:lineRule="auto" w:before="30"/>
        <w:ind w:left="850" w:right="1468"/>
        <w:jc w:val="left"/>
      </w:pPr>
      <w:r>
        <w:rPr/>
        <w:t>本次交易完成后</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7"/>
        </w:rPr>
        <w:t>个月内，如中国长城股票连续</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个交易日的收盘价低于其换股价</w:t>
      </w:r>
    </w:p>
    <w:p>
      <w:pPr>
        <w:pStyle w:val="BodyText"/>
        <w:spacing w:line="240" w:lineRule="auto" w:before="69"/>
        <w:ind w:left="850" w:right="1468"/>
        <w:jc w:val="left"/>
      </w:pPr>
      <w:r>
        <w:rPr/>
        <w:t>格，或者交易完成后</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个月期末收盘价低于其换股价格的，则以上湖南计算机厂有</w:t>
      </w:r>
    </w:p>
    <w:p>
      <w:pPr>
        <w:pStyle w:val="BodyText"/>
        <w:spacing w:line="240" w:lineRule="auto" w:before="69"/>
        <w:ind w:left="850" w:right="1468"/>
        <w:jc w:val="left"/>
      </w:pPr>
      <w:r>
        <w:rPr/>
        <w:t>限公司作出的股份锁定期承诺将在</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个月的基础上自动延长</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个月。</w:t>
      </w:r>
    </w:p>
    <w:p>
      <w:pPr>
        <w:pStyle w:val="BodyText"/>
        <w:spacing w:line="240" w:lineRule="auto" w:before="69"/>
        <w:ind w:left="850" w:right="1468"/>
        <w:jc w:val="left"/>
      </w:pPr>
      <w:r>
        <w:rPr>
          <w:rFonts w:ascii="Times New Roman" w:hAnsi="Times New Roman" w:cs="Times New Roman" w:eastAsia="Times New Roman" w:hint="default"/>
          <w:spacing w:val="-10"/>
        </w:rPr>
        <w:t>3</w:t>
      </w:r>
      <w:r>
        <w:rPr>
          <w:spacing w:val="-10"/>
        </w:rPr>
        <w:t>、</w:t>
      </w:r>
      <w:r>
        <w:rPr>
          <w:rFonts w:ascii="Times New Roman" w:hAnsi="Times New Roman" w:cs="Times New Roman" w:eastAsia="Times New Roman" w:hint="default"/>
          <w:spacing w:val="-10"/>
        </w:rPr>
        <w:t>2013</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11"/>
        </w:rPr>
        <w:t> </w:t>
      </w:r>
      <w:r>
        <w:rPr>
          <w:spacing w:val="-4"/>
        </w:rPr>
        <w:t>日中国电子在中国长城与集团财务公司金融合作中所作承诺（有</w:t>
      </w:r>
    </w:p>
    <w:p>
      <w:pPr>
        <w:pStyle w:val="BodyText"/>
        <w:spacing w:line="309" w:lineRule="auto" w:before="69"/>
        <w:ind w:left="850" w:right="1468"/>
        <w:jc w:val="left"/>
      </w:pPr>
      <w:r>
        <w:rPr>
          <w:spacing w:val="-1"/>
          <w:w w:val="100"/>
        </w:rPr>
        <w:t>效期截至</w:t>
      </w:r>
      <w:r>
        <w:rPr>
          <w:spacing w:val="-54"/>
          <w:w w:val="100"/>
        </w:rPr>
        <w:t> </w:t>
      </w:r>
      <w:r>
        <w:rPr>
          <w:rFonts w:ascii="Times New Roman" w:hAnsi="Times New Roman" w:cs="Times New Roman" w:eastAsia="Times New Roman" w:hint="default"/>
          <w:spacing w:val="-1"/>
          <w:w w:val="100"/>
        </w:rPr>
        <w:t>2022</w:t>
      </w:r>
      <w:r>
        <w:rPr>
          <w:rFonts w:ascii="Times New Roman" w:hAnsi="Times New Roman" w:cs="Times New Roman" w:eastAsia="Times New Roman" w:hint="default"/>
          <w:spacing w:val="-4"/>
          <w:w w:val="100"/>
        </w:rPr>
        <w:t> </w:t>
      </w:r>
      <w:r>
        <w:rPr>
          <w:w w:val="100"/>
        </w:rPr>
        <w:t>年</w:t>
      </w:r>
      <w:r>
        <w:rPr>
          <w:spacing w:val="-53"/>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4"/>
          <w:w w:val="100"/>
        </w:rPr>
        <w:t> </w:t>
      </w:r>
      <w:r>
        <w:rPr>
          <w:w w:val="100"/>
        </w:rPr>
        <w:t>月</w:t>
      </w:r>
      <w:r>
        <w:rPr>
          <w:spacing w:val="-54"/>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4"/>
          <w:w w:val="100"/>
        </w:rPr>
        <w:t> </w:t>
      </w:r>
      <w:r>
        <w:rPr>
          <w:spacing w:val="-36"/>
          <w:w w:val="100"/>
        </w:rPr>
        <w:t>日）：</w:t>
      </w:r>
      <w:r>
        <w:rPr>
          <w:spacing w:val="-102"/>
          <w:w w:val="100"/>
        </w:rPr>
        <w:t> </w:t>
      </w:r>
      <w:r>
        <w:rPr>
          <w:spacing w:val="-102"/>
          <w:w w:val="100"/>
        </w:rPr>
      </w:r>
      <w:r>
        <w:rPr>
          <w:spacing w:val="-2"/>
        </w:rPr>
        <w:t>公司实际控制人中国电子承诺不会发生占用上市公司资金的现象和可能。中国电子</w:t>
      </w:r>
      <w:r>
        <w:rPr>
          <w:spacing w:val="-35"/>
        </w:rPr>
        <w:t> </w:t>
      </w:r>
      <w:r>
        <w:rPr>
          <w:spacing w:val="-35"/>
        </w:rPr>
      </w:r>
      <w:r>
        <w:rPr>
          <w:spacing w:val="-2"/>
        </w:rPr>
        <w:t>承诺当中电财务出现支付困难的紧急情况时，按照解决支付困难的实际需要，增加</w:t>
      </w:r>
      <w:r>
        <w:rPr>
          <w:spacing w:val="-35"/>
        </w:rPr>
        <w:t> </w:t>
      </w:r>
      <w:r>
        <w:rPr>
          <w:spacing w:val="-35"/>
        </w:rPr>
      </w:r>
      <w:r>
        <w:rPr/>
        <w:t>相应的资本金。</w:t>
      </w:r>
    </w:p>
    <w:p>
      <w:pPr>
        <w:pStyle w:val="BodyText"/>
        <w:spacing w:line="312" w:lineRule="auto" w:before="24"/>
        <w:ind w:left="850" w:right="1468"/>
        <w:jc w:val="left"/>
      </w:pPr>
      <w:r>
        <w:rPr>
          <w:rFonts w:ascii="Times New Roman" w:hAnsi="Times New Roman" w:cs="Times New Roman" w:eastAsia="Times New Roman" w:hint="default"/>
        </w:rPr>
        <w:t>4</w:t>
      </w:r>
      <w:r>
        <w:rPr/>
        <w:t>、实施股票期权激励计划所作承诺（有效期截至</w:t>
      </w:r>
      <w:r>
        <w:rPr>
          <w:spacing w:val="-53"/>
        </w:rPr>
        <w:t> </w:t>
      </w:r>
      <w:r>
        <w:rPr>
          <w:rFonts w:ascii="Times New Roman" w:hAnsi="Times New Roman" w:cs="Times New Roman" w:eastAsia="Times New Roman" w:hint="default"/>
        </w:rPr>
        <w:t>2023</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3"/>
        </w:rPr>
        <w:t>日）</w:t>
      </w:r>
      <w:r>
        <w:rPr>
          <w:spacing w:val="-3"/>
          <w:w w:val="100"/>
        </w:rPr>
        <w:t> </w:t>
      </w:r>
      <w:r>
        <w:rPr>
          <w:spacing w:val="-2"/>
        </w:rPr>
        <w:t>公司承诺不为激励对象依股票期权激励计划获取有关股票期权提供贷款以及其他任</w:t>
      </w:r>
      <w:r>
        <w:rPr>
          <w:spacing w:val="-35"/>
        </w:rPr>
        <w:t> </w:t>
      </w:r>
      <w:r>
        <w:rPr>
          <w:spacing w:val="-35"/>
        </w:rPr>
      </w:r>
      <w:r>
        <w:rPr/>
        <w:t>何形式的财务资助，包括为其贷款提供担保。</w:t>
      </w:r>
      <w:r>
        <w:rPr>
          <w:w w:val="100"/>
        </w:rPr>
        <w:t> </w:t>
      </w:r>
      <w:r>
        <w:rPr>
          <w:spacing w:val="-2"/>
        </w:rPr>
        <w:t>激励对象承诺，公司因信息披露文件中有虚假记载、误导性陈述或者重大遗漏，导</w:t>
      </w:r>
      <w:r>
        <w:rPr>
          <w:spacing w:val="-35"/>
        </w:rPr>
        <w:t> </w:t>
      </w:r>
      <w:r>
        <w:rPr>
          <w:spacing w:val="-35"/>
        </w:rPr>
      </w:r>
      <w:r>
        <w:rPr>
          <w:spacing w:val="-2"/>
        </w:rPr>
        <w:t>致不符合授予权益或行使权益安排的，激励对象应当自相关信息披露文件被确认存</w:t>
      </w:r>
      <w:r>
        <w:rPr>
          <w:spacing w:val="-35"/>
        </w:rPr>
        <w:t> </w:t>
      </w:r>
      <w:r>
        <w:rPr>
          <w:spacing w:val="-35"/>
        </w:rPr>
      </w:r>
      <w:r>
        <w:rPr>
          <w:spacing w:val="-2"/>
        </w:rPr>
        <w:t>在虚假记载、误导性陈述或者重大遗漏后，将由股票期权激励计划所获得的全部利</w:t>
      </w:r>
      <w:r>
        <w:rPr>
          <w:spacing w:val="-34"/>
        </w:rPr>
        <w:t> </w:t>
      </w:r>
      <w:r>
        <w:rPr>
          <w:spacing w:val="-34"/>
        </w:rPr>
      </w:r>
      <w:r>
        <w:rPr/>
        <w:t>益返还公司。</w:t>
      </w:r>
    </w:p>
    <w:p>
      <w:pPr>
        <w:pStyle w:val="BodyText"/>
        <w:spacing w:line="240" w:lineRule="auto" w:before="22"/>
        <w:ind w:left="850" w:right="1468"/>
        <w:jc w:val="left"/>
      </w:pPr>
      <w:r>
        <w:rPr>
          <w:rFonts w:ascii="Times New Roman" w:hAnsi="Times New Roman" w:cs="Times New Roman" w:eastAsia="Times New Roman" w:hint="default"/>
        </w:rPr>
        <w:t>5</w:t>
      </w:r>
      <w:r>
        <w:rPr/>
        <w:t>、长城超云原股东业绩承诺及补偿安排（有效期截至</w:t>
      </w:r>
      <w:r>
        <w:rPr>
          <w:spacing w:val="-55"/>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spacing w:val="-3"/>
        </w:rPr>
        <w:t>年）</w:t>
      </w:r>
      <w:r>
        <w:rPr/>
      </w:r>
    </w:p>
    <w:p>
      <w:pPr>
        <w:pStyle w:val="BodyText"/>
        <w:spacing w:line="297" w:lineRule="auto" w:before="69"/>
        <w:ind w:left="850" w:right="1679"/>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4"/>
        </w:rPr>
        <w:t>月，公司完成收购长城超云管理层股东</w:t>
      </w:r>
      <w:r>
        <w:rPr>
          <w:spacing w:val="-46"/>
        </w:rPr>
        <w:t> </w:t>
      </w:r>
      <w:r>
        <w:rPr>
          <w:rFonts w:ascii="Times New Roman" w:hAnsi="Times New Roman" w:cs="Times New Roman" w:eastAsia="Times New Roman" w:hint="default"/>
        </w:rPr>
        <w:t>4%</w:t>
      </w:r>
      <w:r>
        <w:rPr/>
        <w:t>股权并向其增资人民币</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亿元，</w:t>
      </w:r>
      <w:r>
        <w:rPr>
          <w:spacing w:val="-103"/>
        </w:rPr>
        <w:t> </w:t>
      </w:r>
      <w:r>
        <w:rPr/>
        <w:t>公司持有长城超云股权比例为</w:t>
      </w:r>
      <w:r>
        <w:rPr>
          <w:spacing w:val="-53"/>
        </w:rPr>
        <w:t> </w:t>
      </w:r>
      <w:r>
        <w:rPr>
          <w:rFonts w:ascii="Times New Roman" w:hAnsi="Times New Roman" w:cs="Times New Roman" w:eastAsia="Times New Roman" w:hint="default"/>
        </w:rPr>
        <w:t>44%</w:t>
      </w:r>
      <w:r>
        <w:rPr/>
        <w:t>。长城超云原股东承诺</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w:t>
      </w:r>
      <w:r>
        <w:rPr>
          <w:w w:val="100"/>
        </w:rPr>
        <w:t> </w:t>
      </w:r>
      <w:r>
        <w:rPr>
          <w:rFonts w:ascii="Times New Roman" w:hAnsi="Times New Roman" w:cs="Times New Roman" w:eastAsia="Times New Roman" w:hint="default"/>
        </w:rPr>
        <w:t>2020 </w:t>
      </w:r>
      <w:r>
        <w:rPr/>
        <w:t>年度实现的扣除非经常性损益归属于母公司所有者的净利润之和不低于</w:t>
      </w:r>
      <w:r>
        <w:rPr>
          <w:spacing w:val="-61"/>
        </w:rPr>
        <w:t> </w:t>
      </w:r>
      <w:r>
        <w:rPr>
          <w:rFonts w:ascii="Times New Roman" w:hAnsi="Times New Roman" w:cs="Times New Roman" w:eastAsia="Times New Roman" w:hint="default"/>
        </w:rPr>
        <w:t>8,700</w:t>
      </w:r>
    </w:p>
    <w:p>
      <w:pPr>
        <w:pStyle w:val="BodyText"/>
        <w:spacing w:line="240" w:lineRule="auto" w:before="13"/>
        <w:ind w:left="850" w:right="1468"/>
        <w:jc w:val="left"/>
        <w:rPr>
          <w:rFonts w:ascii="Times New Roman" w:hAnsi="Times New Roman" w:cs="Times New Roman" w:eastAsia="Times New Roman" w:hint="default"/>
        </w:rPr>
      </w:pPr>
      <w:r>
        <w:rPr>
          <w:spacing w:val="-10"/>
        </w:rPr>
        <w:t>万元，逐年度分别为</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年度不低于</w:t>
      </w:r>
      <w:r>
        <w:rPr>
          <w:spacing w:val="-4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spacing w:val="-12"/>
        </w:rPr>
        <w:t>万元、</w:t>
      </w:r>
      <w:r>
        <w:rPr>
          <w:rFonts w:ascii="Times New Roman" w:hAnsi="Times New Roman" w:cs="Times New Roman" w:eastAsia="Times New Roman" w:hint="default"/>
          <w:spacing w:val="-12"/>
        </w:rPr>
        <w:t>2019</w:t>
      </w:r>
      <w:r>
        <w:rPr>
          <w:rFonts w:ascii="Times New Roman" w:hAnsi="Times New Roman" w:cs="Times New Roman" w:eastAsia="Times New Roman" w:hint="default"/>
          <w:spacing w:val="4"/>
        </w:rPr>
        <w:t> </w:t>
      </w:r>
      <w:r>
        <w:rPr/>
        <w:t>年度不低于</w:t>
      </w:r>
      <w:r>
        <w:rPr>
          <w:spacing w:val="-49"/>
        </w:rPr>
        <w:t> </w:t>
      </w:r>
      <w:r>
        <w:rPr>
          <w:rFonts w:ascii="Times New Roman" w:hAnsi="Times New Roman" w:cs="Times New Roman" w:eastAsia="Times New Roman" w:hint="default"/>
        </w:rPr>
        <w:t>2,900</w:t>
      </w:r>
      <w:r>
        <w:rPr>
          <w:rFonts w:ascii="Times New Roman" w:hAnsi="Times New Roman" w:cs="Times New Roman" w:eastAsia="Times New Roman" w:hint="default"/>
          <w:spacing w:val="2"/>
        </w:rPr>
        <w:t> </w:t>
      </w:r>
      <w:r>
        <w:rPr>
          <w:spacing w:val="-12"/>
        </w:rPr>
        <w:t>万元、</w:t>
      </w:r>
      <w:r>
        <w:rPr>
          <w:rFonts w:ascii="Times New Roman" w:hAnsi="Times New Roman" w:cs="Times New Roman" w:eastAsia="Times New Roman" w:hint="default"/>
          <w:spacing w:val="-12"/>
        </w:rPr>
        <w:t>2020</w:t>
      </w:r>
    </w:p>
    <w:p>
      <w:pPr>
        <w:pStyle w:val="BodyText"/>
        <w:spacing w:line="240" w:lineRule="auto" w:before="69"/>
        <w:ind w:left="850" w:right="1468"/>
        <w:jc w:val="left"/>
      </w:pPr>
      <w:r>
        <w:rPr/>
        <w:t>年度不低于</w:t>
      </w:r>
      <w:r>
        <w:rPr>
          <w:spacing w:val="-56"/>
        </w:rPr>
        <w:t> </w:t>
      </w:r>
      <w:r>
        <w:rPr>
          <w:rFonts w:ascii="Times New Roman" w:hAnsi="Times New Roman" w:cs="Times New Roman" w:eastAsia="Times New Roman" w:hint="default"/>
        </w:rPr>
        <w:t>4,800</w:t>
      </w:r>
      <w:r>
        <w:rPr>
          <w:rFonts w:ascii="Times New Roman" w:hAnsi="Times New Roman" w:cs="Times New Roman" w:eastAsia="Times New Roman" w:hint="default"/>
          <w:spacing w:val="-3"/>
        </w:rPr>
        <w:t> </w:t>
      </w:r>
      <w:r>
        <w:rPr/>
        <w:t>万元。如果未达业绩承诺则按协议约定对中国长城予以补偿。</w:t>
      </w:r>
    </w:p>
    <w:p>
      <w:pPr>
        <w:spacing w:line="240" w:lineRule="auto" w:before="3"/>
        <w:rPr>
          <w:rFonts w:ascii="宋体" w:hAnsi="宋体" w:cs="宋体" w:eastAsia="宋体" w:hint="default"/>
          <w:sz w:val="30"/>
          <w:szCs w:val="30"/>
        </w:rPr>
      </w:pPr>
    </w:p>
    <w:p>
      <w:pPr>
        <w:pStyle w:val="Heading5"/>
        <w:spacing w:line="240" w:lineRule="auto" w:before="0"/>
        <w:ind w:right="3683"/>
        <w:jc w:val="left"/>
        <w:rPr>
          <w:b w:val="0"/>
          <w:bCs w:val="0"/>
        </w:rPr>
      </w:pPr>
      <w:r>
        <w:rPr/>
        <w:t>十一、</w:t>
      </w:r>
      <w:r>
        <w:rPr>
          <w:spacing w:val="-25"/>
        </w:rPr>
        <w:t> </w:t>
      </w:r>
      <w:r>
        <w:rPr/>
        <w:t>股份支付</w:t>
      </w:r>
      <w:r>
        <w:rPr>
          <w:b w:val="0"/>
          <w:bCs w:val="0"/>
        </w:rPr>
      </w:r>
    </w:p>
    <w:p>
      <w:pPr>
        <w:pStyle w:val="BodyText"/>
        <w:tabs>
          <w:tab w:pos="850" w:val="left" w:leader="none"/>
        </w:tabs>
        <w:spacing w:line="343" w:lineRule="auto" w:before="126"/>
        <w:ind w:left="850" w:right="4614" w:hanging="713"/>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tab/>
      </w:r>
      <w:r>
        <w:rPr>
          <w:rFonts w:ascii="宋体" w:hAnsi="宋体" w:cs="宋体" w:eastAsia="宋体" w:hint="default"/>
          <w:b/>
          <w:bCs/>
        </w:rPr>
        <w:t>股份支付总体情况</w:t>
      </w:r>
      <w:r>
        <w:rPr>
          <w:rFonts w:ascii="宋体" w:hAnsi="宋体" w:cs="宋体" w:eastAsia="宋体" w:hint="default"/>
          <w:b/>
          <w:bCs/>
          <w:spacing w:val="-103"/>
        </w:rPr>
        <w:t> </w:t>
      </w:r>
      <w:r>
        <w:rPr/>
        <w:t>公司本期授予的各项权益工具总额：无</w:t>
      </w:r>
      <w:r>
        <w:rPr>
          <w:w w:val="100"/>
        </w:rPr>
        <w:t> </w:t>
      </w:r>
      <w:r>
        <w:rPr/>
        <w:t>公司本期行权的各项权益工具总额：无</w:t>
      </w:r>
      <w:r>
        <w:rPr>
          <w:w w:val="100"/>
        </w:rPr>
        <w:t> </w:t>
      </w:r>
      <w:r>
        <w:rPr/>
        <w:t>公司本期失效的各项权益工具总额：</w:t>
      </w:r>
      <w:r>
        <w:rPr>
          <w:rFonts w:ascii="Times New Roman" w:hAnsi="Times New Roman" w:cs="Times New Roman" w:eastAsia="Times New Roman" w:hint="default"/>
        </w:rPr>
        <w:t>1,593.4769 </w:t>
      </w:r>
      <w:r>
        <w:rPr>
          <w:spacing w:val="-3"/>
        </w:rPr>
        <w:t>万份</w:t>
      </w:r>
      <w:r>
        <w:rPr/>
      </w:r>
    </w:p>
    <w:p>
      <w:pPr>
        <w:pStyle w:val="BodyText"/>
        <w:spacing w:line="240" w:lineRule="auto" w:before="8"/>
        <w:ind w:left="850" w:right="1468"/>
        <w:jc w:val="left"/>
        <w:rPr>
          <w:rFonts w:ascii="Times New Roman" w:hAnsi="Times New Roman" w:cs="Times New Roman" w:eastAsia="Times New Roman" w:hint="default"/>
        </w:rPr>
      </w:pPr>
      <w:r>
        <w:rPr/>
        <w:t>公司期末发行在外的股份期权行权价格的范围和合同剩余期限：行权价格</w:t>
      </w:r>
      <w:r>
        <w:rPr>
          <w:spacing w:val="-55"/>
        </w:rPr>
        <w:t> </w:t>
      </w:r>
      <w:r>
        <w:rPr>
          <w:rFonts w:ascii="Times New Roman" w:hAnsi="Times New Roman" w:cs="Times New Roman" w:eastAsia="Times New Roman" w:hint="default"/>
        </w:rPr>
        <w:t>8.16</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p>
    <w:p>
      <w:pPr>
        <w:pStyle w:val="BodyText"/>
        <w:spacing w:line="331" w:lineRule="auto" w:before="110"/>
        <w:ind w:left="850" w:right="3683"/>
        <w:jc w:val="left"/>
      </w:pPr>
      <w:r>
        <w:rPr/>
        <w:t>份；剩余期限</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w:t>
      </w:r>
      <w:r>
        <w:rPr>
          <w:spacing w:val="-101"/>
        </w:rPr>
        <w:t> </w:t>
      </w:r>
      <w:r>
        <w:rPr>
          <w:spacing w:val="-2"/>
        </w:rPr>
        <w:t>公司期末其他权益工具行权价格的范围和合同剩余期限：无。</w:t>
      </w:r>
    </w:p>
    <w:p>
      <w:pPr>
        <w:tabs>
          <w:tab w:pos="850" w:val="left" w:leader="none"/>
        </w:tabs>
        <w:spacing w:line="331" w:lineRule="auto" w:before="43"/>
        <w:ind w:left="850" w:right="3714"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以权益结算的股份支付情况</w:t>
      </w:r>
      <w:r>
        <w:rPr>
          <w:rFonts w:ascii="宋体" w:hAnsi="宋体" w:cs="宋体" w:eastAsia="宋体" w:hint="default"/>
          <w:b/>
          <w:bCs/>
          <w:w w:val="100"/>
          <w:sz w:val="21"/>
          <w:szCs w:val="21"/>
        </w:rPr>
        <w:t> </w:t>
      </w:r>
      <w:r>
        <w:rPr>
          <w:rFonts w:ascii="宋体" w:hAnsi="宋体" w:cs="宋体" w:eastAsia="宋体" w:hint="default"/>
          <w:spacing w:val="-2"/>
          <w:sz w:val="21"/>
          <w:szCs w:val="21"/>
        </w:rPr>
        <w:t>授予日权益工具公允价值的确定方法：</w:t>
      </w:r>
      <w:r>
        <w:rPr>
          <w:rFonts w:ascii="Times New Roman" w:hAnsi="Times New Roman" w:cs="Times New Roman" w:eastAsia="Times New Roman" w:hint="default"/>
          <w:spacing w:val="-2"/>
          <w:sz w:val="21"/>
          <w:szCs w:val="21"/>
        </w:rPr>
        <w:t>Black-Scholes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模型定价</w:t>
      </w:r>
    </w:p>
    <w:p>
      <w:pPr>
        <w:spacing w:after="0" w:line="331" w:lineRule="auto"/>
        <w:jc w:val="left"/>
        <w:rPr>
          <w:rFonts w:ascii="宋体" w:hAnsi="宋体" w:cs="宋体" w:eastAsia="宋体" w:hint="default"/>
          <w:sz w:val="21"/>
          <w:szCs w:val="21"/>
        </w:rPr>
        <w:sectPr>
          <w:pgSz w:w="11910" w:h="16840"/>
          <w:pgMar w:header="753" w:footer="997" w:top="1500" w:bottom="1180" w:left="1660" w:right="0"/>
        </w:sectPr>
      </w:pPr>
    </w:p>
    <w:p>
      <w:pPr>
        <w:spacing w:line="240" w:lineRule="auto" w:before="12"/>
        <w:rPr>
          <w:rFonts w:ascii="宋体" w:hAnsi="宋体" w:cs="宋体" w:eastAsia="宋体" w:hint="default"/>
          <w:sz w:val="22"/>
          <w:szCs w:val="22"/>
        </w:rPr>
      </w:pPr>
    </w:p>
    <w:p>
      <w:pPr>
        <w:pStyle w:val="BodyText"/>
        <w:spacing w:line="345" w:lineRule="auto"/>
        <w:ind w:left="850" w:right="1468"/>
        <w:jc w:val="left"/>
      </w:pPr>
      <w:r>
        <w:rPr>
          <w:spacing w:val="-2"/>
        </w:rPr>
        <w:t>对可行权权益工具数量的最佳估计的确定方法：根据最新取得的可行权人数变动、</w:t>
      </w:r>
      <w:r>
        <w:rPr>
          <w:spacing w:val="-34"/>
        </w:rPr>
        <w:t> </w:t>
      </w:r>
      <w:r>
        <w:rPr>
          <w:spacing w:val="-34"/>
        </w:rPr>
      </w:r>
      <w:r>
        <w:rPr/>
        <w:t>业绩指标完成情况等后续信息，修正预计可行权的股票期权数量</w:t>
      </w:r>
      <w:r>
        <w:rPr>
          <w:w w:val="100"/>
        </w:rPr>
        <w:t> </w:t>
      </w:r>
      <w:r>
        <w:rPr/>
        <w:t>本期估计与上期估计有重大差异的原因：无</w:t>
      </w:r>
      <w:r>
        <w:rPr>
          <w:w w:val="100"/>
        </w:rPr>
        <w:t> </w:t>
      </w:r>
      <w:r>
        <w:rPr/>
        <w:t>以权益结算的股份支付计入资本公积的累计金额：</w:t>
      </w:r>
      <w:r>
        <w:rPr>
          <w:rFonts w:ascii="Times New Roman" w:hAnsi="Times New Roman" w:cs="Times New Roman" w:eastAsia="Times New Roman" w:hint="default"/>
        </w:rPr>
        <w:t>22,942,994.55</w:t>
      </w:r>
      <w:r>
        <w:rPr>
          <w:rFonts w:ascii="Times New Roman" w:hAnsi="Times New Roman" w:cs="Times New Roman" w:eastAsia="Times New Roman" w:hint="default"/>
          <w:spacing w:val="-1"/>
        </w:rPr>
        <w:t> </w:t>
      </w:r>
      <w:r>
        <w:rPr/>
        <w:t>元</w:t>
      </w:r>
      <w:r>
        <w:rPr>
          <w:w w:val="100"/>
        </w:rPr>
        <w:t> </w:t>
      </w:r>
      <w:r>
        <w:rPr/>
        <w:t>本期以权益结算的股份支付确认的费用总额：</w:t>
      </w:r>
      <w:r>
        <w:rPr>
          <w:rFonts w:ascii="Times New Roman" w:hAnsi="Times New Roman" w:cs="Times New Roman" w:eastAsia="Times New Roman" w:hint="default"/>
        </w:rPr>
        <w:t>820,188.30</w:t>
      </w:r>
      <w:r>
        <w:rPr>
          <w:rFonts w:ascii="Times New Roman" w:hAnsi="Times New Roman" w:cs="Times New Roman" w:eastAsia="Times New Roman" w:hint="default"/>
          <w:spacing w:val="-5"/>
        </w:rPr>
        <w:t> </w:t>
      </w:r>
      <w:r>
        <w:rPr/>
        <w:t>元</w:t>
      </w:r>
    </w:p>
    <w:p>
      <w:pPr>
        <w:pStyle w:val="BodyText"/>
        <w:spacing w:line="240" w:lineRule="auto" w:before="7"/>
        <w:ind w:left="850" w:right="0"/>
        <w:jc w:val="both"/>
      </w:pPr>
      <w:r>
        <w:rPr/>
        <w:t>说明：</w:t>
      </w:r>
    </w:p>
    <w:p>
      <w:pPr>
        <w:pStyle w:val="BodyText"/>
        <w:spacing w:line="331" w:lineRule="auto" w:before="123"/>
        <w:ind w:left="850" w:right="1846"/>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月，国务院国有资产监督管理委员会出具了《关于中国长城科技集团股</w:t>
      </w:r>
      <w:r>
        <w:rPr>
          <w:w w:val="100"/>
        </w:rPr>
        <w:t> </w:t>
      </w:r>
      <w:r>
        <w:rPr>
          <w:spacing w:val="-5"/>
          <w:w w:val="100"/>
        </w:rPr>
        <w:t>份有限公司实施股票期权激励计划的批复》（国资考分</w:t>
      </w:r>
      <w:r>
        <w:rPr>
          <w:rFonts w:ascii="Times New Roman" w:hAnsi="Times New Roman" w:cs="Times New Roman" w:eastAsia="Times New Roman" w:hint="default"/>
          <w:spacing w:val="-5"/>
          <w:w w:val="100"/>
        </w:rPr>
        <w:t>[2017]1291</w:t>
      </w:r>
      <w:r>
        <w:rPr>
          <w:rFonts w:ascii="Times New Roman" w:hAnsi="Times New Roman" w:cs="Times New Roman" w:eastAsia="Times New Roman" w:hint="default"/>
          <w:w w:val="100"/>
        </w:rPr>
        <w:t> </w:t>
      </w:r>
      <w:r>
        <w:rPr>
          <w:spacing w:val="-15"/>
          <w:w w:val="100"/>
        </w:rPr>
        <w:t>号），原则上同意</w:t>
      </w:r>
      <w:r>
        <w:rPr>
          <w:spacing w:val="-77"/>
          <w:w w:val="100"/>
        </w:rPr>
        <w:t> </w:t>
      </w:r>
      <w:r>
        <w:rPr>
          <w:spacing w:val="-77"/>
          <w:w w:val="100"/>
        </w:rPr>
      </w:r>
      <w:r>
        <w:rPr/>
        <w:t>公司实施股票期权激励计划。</w:t>
      </w:r>
    </w:p>
    <w:p>
      <w:pPr>
        <w:pStyle w:val="BodyText"/>
        <w:spacing w:line="331" w:lineRule="auto" w:before="44"/>
        <w:ind w:left="850" w:right="1468"/>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5"/>
        </w:rPr>
        <w:t>日，公司</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年度第二次临时股东大会审议通过公司股票期权激励</w:t>
      </w:r>
      <w:r>
        <w:rPr>
          <w:w w:val="100"/>
        </w:rPr>
        <w:t> </w:t>
      </w:r>
      <w:r>
        <w:rPr/>
        <w:t>计划。</w:t>
      </w:r>
    </w:p>
    <w:p>
      <w:pPr>
        <w:pStyle w:val="BodyText"/>
        <w:spacing w:line="240" w:lineRule="auto" w:before="46"/>
        <w:ind w:left="850"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日，股票期权激励计划规定的授予条件已经成就，董事会同意将公</w:t>
      </w:r>
    </w:p>
    <w:p>
      <w:pPr>
        <w:pStyle w:val="BodyText"/>
        <w:spacing w:line="240" w:lineRule="auto" w:before="107"/>
        <w:ind w:left="850" w:right="0"/>
        <w:jc w:val="both"/>
        <w:rPr>
          <w:rFonts w:ascii="Times New Roman" w:hAnsi="Times New Roman" w:cs="Times New Roman" w:eastAsia="Times New Roman" w:hint="default"/>
        </w:rPr>
      </w:pPr>
      <w:r>
        <w:rPr/>
        <w:t>司股票期权激励计划授予日定为</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13"/>
        </w:rPr>
        <w:t>日，同时授予</w:t>
      </w:r>
      <w:r>
        <w:rPr>
          <w:spacing w:val="-52"/>
        </w:rPr>
        <w:t> </w:t>
      </w:r>
      <w:r>
        <w:rPr>
          <w:rFonts w:ascii="Times New Roman" w:hAnsi="Times New Roman" w:cs="Times New Roman" w:eastAsia="Times New Roman" w:hint="default"/>
        </w:rPr>
        <w:t>594</w:t>
      </w:r>
      <w:r>
        <w:rPr>
          <w:rFonts w:ascii="Times New Roman" w:hAnsi="Times New Roman" w:cs="Times New Roman" w:eastAsia="Times New Roman" w:hint="default"/>
          <w:spacing w:val="1"/>
        </w:rPr>
        <w:t> </w:t>
      </w:r>
      <w:r>
        <w:rPr/>
        <w:t>名激励对象</w:t>
      </w:r>
      <w:r>
        <w:rPr>
          <w:spacing w:val="-54"/>
        </w:rPr>
        <w:t> </w:t>
      </w:r>
      <w:r>
        <w:rPr>
          <w:rFonts w:ascii="Times New Roman" w:hAnsi="Times New Roman" w:cs="Times New Roman" w:eastAsia="Times New Roman" w:hint="default"/>
        </w:rPr>
        <w:t>4,410</w:t>
      </w:r>
    </w:p>
    <w:p>
      <w:pPr>
        <w:pStyle w:val="BodyText"/>
        <w:spacing w:line="240" w:lineRule="auto" w:before="110"/>
        <w:ind w:left="850" w:right="0"/>
        <w:jc w:val="both"/>
      </w:pPr>
      <w:r>
        <w:rPr/>
        <w:t>万份股票期权，行权价格为</w:t>
      </w:r>
      <w:r>
        <w:rPr>
          <w:spacing w:val="-55"/>
        </w:rPr>
        <w:t> </w:t>
      </w:r>
      <w:r>
        <w:rPr>
          <w:rFonts w:ascii="Times New Roman" w:hAnsi="Times New Roman" w:cs="Times New Roman" w:eastAsia="Times New Roman" w:hint="default"/>
        </w:rPr>
        <w:t>8.27</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份。</w:t>
      </w:r>
    </w:p>
    <w:p>
      <w:pPr>
        <w:pStyle w:val="BodyText"/>
        <w:spacing w:line="240" w:lineRule="auto" w:before="110"/>
        <w:ind w:left="850" w:right="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日，因激励对象离职原因，公司对股票期权激励计划激励对象及期</w:t>
      </w:r>
    </w:p>
    <w:p>
      <w:pPr>
        <w:pStyle w:val="BodyText"/>
        <w:spacing w:line="240" w:lineRule="auto" w:before="107"/>
        <w:ind w:left="850" w:right="0"/>
        <w:jc w:val="both"/>
      </w:pPr>
      <w:r>
        <w:rPr/>
        <w:t>权数量进行相应调整，激励对象由原</w:t>
      </w:r>
      <w:r>
        <w:rPr>
          <w:spacing w:val="-54"/>
        </w:rPr>
        <w:t> </w:t>
      </w:r>
      <w:r>
        <w:rPr>
          <w:rFonts w:ascii="Times New Roman" w:hAnsi="Times New Roman" w:cs="Times New Roman" w:eastAsia="Times New Roman" w:hint="default"/>
        </w:rPr>
        <w:t>594</w:t>
      </w:r>
      <w:r>
        <w:rPr>
          <w:rFonts w:ascii="Times New Roman" w:hAnsi="Times New Roman" w:cs="Times New Roman" w:eastAsia="Times New Roman" w:hint="default"/>
          <w:spacing w:val="-4"/>
        </w:rPr>
        <w:t> </w:t>
      </w:r>
      <w:r>
        <w:rPr/>
        <w:t>人调整为</w:t>
      </w:r>
      <w:r>
        <w:rPr>
          <w:spacing w:val="-56"/>
        </w:rPr>
        <w:t> </w:t>
      </w:r>
      <w:r>
        <w:rPr>
          <w:rFonts w:ascii="Times New Roman" w:hAnsi="Times New Roman" w:cs="Times New Roman" w:eastAsia="Times New Roman" w:hint="default"/>
        </w:rPr>
        <w:t>570</w:t>
      </w:r>
      <w:r>
        <w:rPr>
          <w:rFonts w:ascii="Times New Roman" w:hAnsi="Times New Roman" w:cs="Times New Roman" w:eastAsia="Times New Roman" w:hint="default"/>
          <w:spacing w:val="-1"/>
        </w:rPr>
        <w:t> </w:t>
      </w:r>
      <w:r>
        <w:rPr/>
        <w:t>人，期权数量由原</w:t>
      </w:r>
      <w:r>
        <w:rPr>
          <w:spacing w:val="-53"/>
        </w:rPr>
        <w:t> </w:t>
      </w:r>
      <w:r>
        <w:rPr>
          <w:rFonts w:ascii="Times New Roman" w:hAnsi="Times New Roman" w:cs="Times New Roman" w:eastAsia="Times New Roman" w:hint="default"/>
        </w:rPr>
        <w:t>4,410</w:t>
      </w:r>
      <w:r>
        <w:rPr>
          <w:rFonts w:ascii="Times New Roman" w:hAnsi="Times New Roman" w:cs="Times New Roman" w:eastAsia="Times New Roman" w:hint="default"/>
          <w:spacing w:val="-1"/>
        </w:rPr>
        <w:t> </w:t>
      </w:r>
      <w:r>
        <w:rPr/>
        <w:t>万</w:t>
      </w:r>
    </w:p>
    <w:p>
      <w:pPr>
        <w:pStyle w:val="BodyText"/>
        <w:spacing w:line="240" w:lineRule="auto" w:before="110"/>
        <w:ind w:left="850" w:right="0"/>
        <w:jc w:val="both"/>
      </w:pPr>
      <w:r>
        <w:rPr/>
        <w:t>份调整为</w:t>
      </w:r>
      <w:r>
        <w:rPr>
          <w:spacing w:val="-53"/>
        </w:rPr>
        <w:t> </w:t>
      </w:r>
      <w:r>
        <w:rPr>
          <w:rFonts w:ascii="Times New Roman" w:hAnsi="Times New Roman" w:cs="Times New Roman" w:eastAsia="Times New Roman" w:hint="default"/>
        </w:rPr>
        <w:t>4,275.80</w:t>
      </w:r>
      <w:r>
        <w:rPr>
          <w:rFonts w:ascii="Times New Roman" w:hAnsi="Times New Roman" w:cs="Times New Roman" w:eastAsia="Times New Roman" w:hint="default"/>
          <w:spacing w:val="-1"/>
        </w:rPr>
        <w:t> </w:t>
      </w:r>
      <w:r>
        <w:rPr>
          <w:spacing w:val="-3"/>
        </w:rPr>
        <w:t>万份，注销</w:t>
      </w:r>
      <w:r>
        <w:rPr>
          <w:spacing w:val="-53"/>
        </w:rPr>
        <w:t> </w:t>
      </w:r>
      <w:r>
        <w:rPr>
          <w:rFonts w:ascii="Times New Roman" w:hAnsi="Times New Roman" w:cs="Times New Roman" w:eastAsia="Times New Roman" w:hint="default"/>
        </w:rPr>
        <w:t>134.2</w:t>
      </w:r>
      <w:r>
        <w:rPr>
          <w:rFonts w:ascii="Times New Roman" w:hAnsi="Times New Roman" w:cs="Times New Roman" w:eastAsia="Times New Roman" w:hint="default"/>
          <w:spacing w:val="-3"/>
        </w:rPr>
        <w:t> </w:t>
      </w:r>
      <w:r>
        <w:rPr/>
        <w:t>万份；因公司实施</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年度权益分派方案，股</w:t>
      </w:r>
    </w:p>
    <w:p>
      <w:pPr>
        <w:pStyle w:val="BodyText"/>
        <w:spacing w:line="240" w:lineRule="auto" w:before="110"/>
        <w:ind w:left="850" w:right="0"/>
        <w:jc w:val="both"/>
      </w:pPr>
      <w:r>
        <w:rPr/>
        <w:t>票期权激励计划行权价格由</w:t>
      </w:r>
      <w:r>
        <w:rPr>
          <w:spacing w:val="-53"/>
        </w:rPr>
        <w:t> </w:t>
      </w:r>
      <w:r>
        <w:rPr>
          <w:rFonts w:ascii="Times New Roman" w:hAnsi="Times New Roman" w:cs="Times New Roman" w:eastAsia="Times New Roman" w:hint="default"/>
        </w:rPr>
        <w:t>8.27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份调整为</w:t>
      </w:r>
      <w:r>
        <w:rPr>
          <w:spacing w:val="-53"/>
        </w:rPr>
        <w:t> </w:t>
      </w:r>
      <w:r>
        <w:rPr>
          <w:rFonts w:ascii="Times New Roman" w:hAnsi="Times New Roman" w:cs="Times New Roman" w:eastAsia="Times New Roman" w:hint="default"/>
        </w:rPr>
        <w:t>8.21</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份。</w:t>
      </w:r>
    </w:p>
    <w:p>
      <w:pPr>
        <w:pStyle w:val="BodyText"/>
        <w:spacing w:line="240" w:lineRule="auto" w:before="107"/>
        <w:ind w:left="850" w:right="0"/>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日，因激励对象离职、离世原因，公司对股票期权激励计划激励对</w:t>
      </w:r>
    </w:p>
    <w:p>
      <w:pPr>
        <w:pStyle w:val="BodyText"/>
        <w:spacing w:line="240" w:lineRule="auto" w:before="110"/>
        <w:ind w:left="850" w:right="0"/>
        <w:jc w:val="both"/>
      </w:pPr>
      <w:r>
        <w:rPr/>
        <w:t>象及期权数量进行相应调整，激励对象由原</w:t>
      </w:r>
      <w:r>
        <w:rPr>
          <w:spacing w:val="-53"/>
        </w:rPr>
        <w:t> </w:t>
      </w:r>
      <w:r>
        <w:rPr>
          <w:rFonts w:ascii="Times New Roman" w:hAnsi="Times New Roman" w:cs="Times New Roman" w:eastAsia="Times New Roman" w:hint="default"/>
        </w:rPr>
        <w:t>570</w:t>
      </w:r>
      <w:r>
        <w:rPr>
          <w:rFonts w:ascii="Times New Roman" w:hAnsi="Times New Roman" w:cs="Times New Roman" w:eastAsia="Times New Roman" w:hint="default"/>
          <w:spacing w:val="-1"/>
        </w:rPr>
        <w:t> </w:t>
      </w:r>
      <w:r>
        <w:rPr/>
        <w:t>人调整为</w:t>
      </w:r>
      <w:r>
        <w:rPr>
          <w:spacing w:val="-54"/>
        </w:rPr>
        <w:t> </w:t>
      </w:r>
      <w:r>
        <w:rPr>
          <w:rFonts w:ascii="Times New Roman" w:hAnsi="Times New Roman" w:cs="Times New Roman" w:eastAsia="Times New Roman" w:hint="default"/>
        </w:rPr>
        <w:t>540</w:t>
      </w:r>
      <w:r>
        <w:rPr>
          <w:rFonts w:ascii="Times New Roman" w:hAnsi="Times New Roman" w:cs="Times New Roman" w:eastAsia="Times New Roman" w:hint="default"/>
          <w:spacing w:val="-4"/>
        </w:rPr>
        <w:t> </w:t>
      </w:r>
      <w:r>
        <w:rPr/>
        <w:t>人，期权数量由原</w:t>
      </w:r>
    </w:p>
    <w:p>
      <w:pPr>
        <w:pStyle w:val="BodyText"/>
        <w:spacing w:line="240" w:lineRule="auto" w:before="110"/>
        <w:ind w:left="850" w:right="0"/>
        <w:jc w:val="both"/>
      </w:pPr>
      <w:r>
        <w:rPr>
          <w:rFonts w:ascii="Times New Roman" w:hAnsi="Times New Roman" w:cs="Times New Roman" w:eastAsia="Times New Roman" w:hint="default"/>
        </w:rPr>
        <w:t>4,275.80</w:t>
      </w:r>
      <w:r>
        <w:rPr>
          <w:rFonts w:ascii="Times New Roman" w:hAnsi="Times New Roman" w:cs="Times New Roman" w:eastAsia="Times New Roman" w:hint="default"/>
          <w:spacing w:val="2"/>
        </w:rPr>
        <w:t> </w:t>
      </w:r>
      <w:r>
        <w:rPr/>
        <w:t>万份调整为</w:t>
      </w:r>
      <w:r>
        <w:rPr>
          <w:spacing w:val="-53"/>
        </w:rPr>
        <w:t> </w:t>
      </w:r>
      <w:r>
        <w:rPr>
          <w:rFonts w:ascii="Times New Roman" w:hAnsi="Times New Roman" w:cs="Times New Roman" w:eastAsia="Times New Roman" w:hint="default"/>
        </w:rPr>
        <w:t>4,023.50</w:t>
      </w:r>
      <w:r>
        <w:rPr>
          <w:rFonts w:ascii="Times New Roman" w:hAnsi="Times New Roman" w:cs="Times New Roman" w:eastAsia="Times New Roman" w:hint="default"/>
          <w:spacing w:val="2"/>
        </w:rPr>
        <w:t> </w:t>
      </w:r>
      <w:r>
        <w:rPr>
          <w:spacing w:val="-8"/>
        </w:rPr>
        <w:t>万份，注销</w:t>
      </w:r>
      <w:r>
        <w:rPr>
          <w:spacing w:val="-51"/>
        </w:rPr>
        <w:t> </w:t>
      </w:r>
      <w:r>
        <w:rPr>
          <w:rFonts w:ascii="Times New Roman" w:hAnsi="Times New Roman" w:cs="Times New Roman" w:eastAsia="Times New Roman" w:hint="default"/>
        </w:rPr>
        <w:t>252.30 </w:t>
      </w:r>
      <w:r>
        <w:rPr>
          <w:spacing w:val="-6"/>
        </w:rPr>
        <w:t>万份；因公司实施</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年度权益分</w:t>
      </w:r>
    </w:p>
    <w:p>
      <w:pPr>
        <w:pStyle w:val="BodyText"/>
        <w:spacing w:line="240" w:lineRule="auto" w:before="107"/>
        <w:ind w:left="850" w:right="0"/>
        <w:jc w:val="both"/>
      </w:pPr>
      <w:r>
        <w:rPr/>
        <w:t>派方案，股票期权激励计划行权价格由</w:t>
      </w:r>
      <w:r>
        <w:rPr>
          <w:spacing w:val="-53"/>
        </w:rPr>
        <w:t> </w:t>
      </w:r>
      <w:r>
        <w:rPr>
          <w:rFonts w:ascii="Times New Roman" w:hAnsi="Times New Roman" w:cs="Times New Roman" w:eastAsia="Times New Roman" w:hint="default"/>
        </w:rPr>
        <w:t>8.21</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份调整为</w:t>
      </w:r>
      <w:r>
        <w:rPr>
          <w:spacing w:val="-53"/>
        </w:rPr>
        <w:t> </w:t>
      </w:r>
      <w:r>
        <w:rPr>
          <w:rFonts w:ascii="Times New Roman" w:hAnsi="Times New Roman" w:cs="Times New Roman" w:eastAsia="Times New Roman" w:hint="default"/>
        </w:rPr>
        <w:t>8.16</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份。</w:t>
      </w:r>
    </w:p>
    <w:p>
      <w:pPr>
        <w:pStyle w:val="BodyText"/>
        <w:spacing w:line="240" w:lineRule="auto" w:before="110"/>
        <w:ind w:left="850" w:right="0"/>
        <w:jc w:val="both"/>
      </w:pPr>
      <w:r>
        <w:rPr/>
        <w:t>因公司股票期权激励计划第一个行权期未达行权条件，所有</w:t>
      </w:r>
      <w:r>
        <w:rPr>
          <w:spacing w:val="-55"/>
        </w:rPr>
        <w:t> </w:t>
      </w:r>
      <w:r>
        <w:rPr>
          <w:rFonts w:ascii="Times New Roman" w:hAnsi="Times New Roman" w:cs="Times New Roman" w:eastAsia="Times New Roman" w:hint="default"/>
        </w:rPr>
        <w:t>540</w:t>
      </w:r>
      <w:r>
        <w:rPr>
          <w:rFonts w:ascii="Times New Roman" w:hAnsi="Times New Roman" w:cs="Times New Roman" w:eastAsia="Times New Roman" w:hint="default"/>
          <w:spacing w:val="-2"/>
        </w:rPr>
        <w:t> </w:t>
      </w:r>
      <w:r>
        <w:rPr/>
        <w:t>名激励对象对应</w:t>
      </w:r>
    </w:p>
    <w:p>
      <w:pPr>
        <w:pStyle w:val="BodyText"/>
        <w:spacing w:line="240" w:lineRule="auto" w:before="110"/>
        <w:ind w:left="850" w:right="0"/>
        <w:jc w:val="both"/>
      </w:pPr>
      <w:r>
        <w:rPr>
          <w:rFonts w:ascii="Times New Roman" w:hAnsi="Times New Roman" w:cs="Times New Roman" w:eastAsia="Times New Roman" w:hint="default"/>
        </w:rPr>
        <w:t>2018 </w:t>
      </w:r>
      <w:r>
        <w:rPr/>
        <w:t>年度可行权的股票期权 </w:t>
      </w:r>
      <w:r>
        <w:rPr>
          <w:rFonts w:ascii="Times New Roman" w:hAnsi="Times New Roman" w:cs="Times New Roman" w:eastAsia="Times New Roman" w:hint="default"/>
        </w:rPr>
        <w:t>1,341.1769</w:t>
      </w:r>
      <w:r>
        <w:rPr>
          <w:rFonts w:ascii="Times New Roman" w:hAnsi="Times New Roman" w:cs="Times New Roman" w:eastAsia="Times New Roman" w:hint="default"/>
          <w:spacing w:val="-16"/>
        </w:rPr>
        <w:t> </w:t>
      </w:r>
      <w:r>
        <w:rPr>
          <w:spacing w:val="-8"/>
        </w:rPr>
        <w:t>万份均不得行权，由公司注销，注销完成后，</w:t>
      </w:r>
    </w:p>
    <w:p>
      <w:pPr>
        <w:pStyle w:val="BodyText"/>
        <w:spacing w:line="240" w:lineRule="auto" w:before="107"/>
        <w:ind w:left="850" w:right="0"/>
        <w:jc w:val="both"/>
      </w:pPr>
      <w:r>
        <w:rPr/>
        <w:t>公司股票期权激励计划已授予但尚未行权的股票期权数量为</w:t>
      </w:r>
      <w:r>
        <w:rPr>
          <w:spacing w:val="-54"/>
        </w:rPr>
        <w:t> </w:t>
      </w:r>
      <w:r>
        <w:rPr>
          <w:rFonts w:ascii="Times New Roman" w:hAnsi="Times New Roman" w:cs="Times New Roman" w:eastAsia="Times New Roman" w:hint="default"/>
        </w:rPr>
        <w:t>2,682.3231</w:t>
      </w:r>
      <w:r>
        <w:rPr>
          <w:rFonts w:ascii="Times New Roman" w:hAnsi="Times New Roman" w:cs="Times New Roman" w:eastAsia="Times New Roman" w:hint="default"/>
          <w:spacing w:val="-4"/>
        </w:rPr>
        <w:t> </w:t>
      </w:r>
      <w:r>
        <w:rPr/>
        <w:t>万份。</w:t>
      </w:r>
    </w:p>
    <w:p>
      <w:pPr>
        <w:pStyle w:val="BodyText"/>
        <w:spacing w:line="336" w:lineRule="auto" w:before="110"/>
        <w:ind w:left="850" w:right="1786"/>
        <w:jc w:val="both"/>
      </w:pPr>
      <w:r>
        <w:rPr/>
        <w:t>在可行权日内，若达到规定的行权条件，激励对象应自授予日起</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年后的</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个年度</w:t>
      </w:r>
      <w:r>
        <w:rPr>
          <w:w w:val="100"/>
        </w:rPr>
        <w:t> </w:t>
      </w:r>
      <w:r>
        <w:rPr>
          <w:spacing w:val="-3"/>
        </w:rPr>
        <w:t>内分三期行权。每个行权期的可行权数量占获授权益数量比例 </w:t>
      </w:r>
      <w:r>
        <w:rPr>
          <w:rFonts w:ascii="Times New Roman" w:hAnsi="Times New Roman" w:cs="Times New Roman" w:eastAsia="Times New Roman" w:hint="default"/>
          <w:spacing w:val="-5"/>
        </w:rPr>
        <w:t>1/3</w:t>
      </w:r>
      <w:r>
        <w:rPr>
          <w:spacing w:val="-5"/>
        </w:rPr>
        <w:t>。激励对象必须在</w:t>
      </w:r>
      <w:r>
        <w:rPr>
          <w:spacing w:val="-95"/>
        </w:rPr>
        <w:t> </w:t>
      </w:r>
      <w:r>
        <w:rPr>
          <w:spacing w:val="-95"/>
        </w:rPr>
      </w:r>
      <w:r>
        <w:rPr>
          <w:spacing w:val="-2"/>
        </w:rPr>
        <w:t>期权行权有效期内行权完毕。若达不到行权条件，则当期股票期权不得行权。若符</w:t>
      </w:r>
      <w:r>
        <w:rPr>
          <w:spacing w:val="-35"/>
        </w:rPr>
        <w:t> </w:t>
      </w:r>
      <w:r>
        <w:rPr>
          <w:spacing w:val="-35"/>
        </w:rPr>
      </w:r>
      <w:r>
        <w:rPr/>
        <w:t>合行权条件，但未能在上述行权期行权的股票期权由公司注销。</w:t>
      </w:r>
    </w:p>
    <w:p>
      <w:pPr>
        <w:pStyle w:val="Heading5"/>
        <w:tabs>
          <w:tab w:pos="850" w:val="left" w:leader="none"/>
        </w:tabs>
        <w:spacing w:line="328" w:lineRule="auto" w:before="42"/>
        <w:ind w:left="850" w:right="6863" w:hanging="713"/>
        <w:jc w:val="left"/>
        <w:rPr>
          <w:rFonts w:ascii="宋体" w:hAnsi="宋体" w:cs="宋体" w:eastAsia="宋体" w:hint="default"/>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spacing w:val="-1"/>
        </w:rPr>
        <w:t>股份支付的修改、终止情况</w:t>
      </w:r>
      <w:r>
        <w:rPr>
          <w:spacing w:val="-96"/>
        </w:rPr>
        <w:t> </w:t>
      </w:r>
      <w:r>
        <w:rPr>
          <w:spacing w:val="-96"/>
        </w:rPr>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5"/>
        <w:spacing w:line="240" w:lineRule="auto" w:before="0"/>
        <w:ind w:right="3683"/>
        <w:jc w:val="left"/>
        <w:rPr>
          <w:b w:val="0"/>
          <w:bCs w:val="0"/>
        </w:rPr>
      </w:pPr>
      <w:r>
        <w:rPr/>
        <w:t>十二、</w:t>
      </w:r>
      <w:r>
        <w:rPr>
          <w:spacing w:val="-24"/>
        </w:rPr>
        <w:t> </w:t>
      </w:r>
      <w:r>
        <w:rPr/>
        <w:t>承诺及或有事项</w:t>
      </w:r>
      <w:r>
        <w:rPr>
          <w:b w:val="0"/>
          <w:bCs w:val="0"/>
        </w:rPr>
      </w:r>
    </w:p>
    <w:p>
      <w:pPr>
        <w:pStyle w:val="Heading5"/>
        <w:tabs>
          <w:tab w:pos="850" w:val="left" w:leader="none"/>
        </w:tabs>
        <w:spacing w:line="240" w:lineRule="auto" w:before="123"/>
        <w:ind w:right="368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重要承诺事项</w:t>
      </w:r>
      <w:r>
        <w:rPr>
          <w:b w:val="0"/>
          <w:bCs w:val="0"/>
        </w:rPr>
      </w:r>
    </w:p>
    <w:p>
      <w:pPr>
        <w:spacing w:after="0" w:line="240" w:lineRule="auto"/>
        <w:jc w:val="left"/>
        <w:sectPr>
          <w:pgSz w:w="11910" w:h="16840"/>
          <w:pgMar w:header="753" w:footer="997" w:top="1500" w:bottom="1180" w:left="1660" w:right="0"/>
        </w:sectPr>
      </w:pPr>
    </w:p>
    <w:p>
      <w:pPr>
        <w:spacing w:line="240" w:lineRule="auto" w:before="12"/>
        <w:rPr>
          <w:rFonts w:ascii="宋体" w:hAnsi="宋体" w:cs="宋体" w:eastAsia="宋体" w:hint="default"/>
          <w:b/>
          <w:bCs/>
          <w:sz w:val="22"/>
          <w:szCs w:val="22"/>
        </w:rPr>
      </w:pPr>
    </w:p>
    <w:p>
      <w:pPr>
        <w:tabs>
          <w:tab w:pos="1397" w:val="left" w:leader="none"/>
        </w:tabs>
        <w:spacing w:line="331" w:lineRule="auto" w:before="36"/>
        <w:ind w:left="1414" w:right="1918"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资产负债表日存在的重要承诺</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pacing w:val="-2"/>
          <w:sz w:val="21"/>
          <w:szCs w:val="21"/>
        </w:rPr>
        <w:t>其中，与关联方相关的未确认承诺事项详见本附注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十、关联方及关联交易</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部分相应内容。</w:t>
      </w:r>
    </w:p>
    <w:p>
      <w:pPr>
        <w:pStyle w:val="Heading5"/>
        <w:tabs>
          <w:tab w:pos="850" w:val="left" w:leader="none"/>
        </w:tabs>
        <w:spacing w:line="240" w:lineRule="auto" w:before="43"/>
        <w:ind w:right="36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或有事项</w:t>
      </w:r>
      <w:r>
        <w:rPr>
          <w:b w:val="0"/>
          <w:bCs w:val="0"/>
        </w:rPr>
      </w:r>
    </w:p>
    <w:p>
      <w:pPr>
        <w:tabs>
          <w:tab w:pos="1397" w:val="left" w:leader="none"/>
        </w:tabs>
        <w:spacing w:line="297" w:lineRule="auto" w:before="110"/>
        <w:ind w:left="1414" w:right="5683"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资产负债表日存在的重要或有事项</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对外提供担保形成的或有负债</w:t>
      </w:r>
    </w:p>
    <w:p>
      <w:pPr>
        <w:pStyle w:val="BodyText"/>
        <w:spacing w:line="240" w:lineRule="auto" w:before="34"/>
        <w:ind w:right="1468"/>
        <w:jc w:val="left"/>
        <w:rPr>
          <w:rFonts w:ascii="Times New Roman" w:hAnsi="Times New Roman" w:cs="Times New Roman" w:eastAsia="Times New Roman" w:hint="default"/>
        </w:rPr>
      </w:pPr>
      <w:r>
        <w:rPr/>
        <w:t>担保事项已经公司</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日第七届董事会第十八次会议、</w:t>
      </w: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5</w:t>
      </w:r>
    </w:p>
    <w:p>
      <w:pPr>
        <w:pStyle w:val="BodyText"/>
        <w:spacing w:line="240" w:lineRule="auto" w:before="69"/>
        <w:ind w:right="1468"/>
        <w:jc w:val="left"/>
      </w:pP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6"/>
        </w:rPr>
        <w:t>年度股东大会、</w:t>
      </w:r>
      <w:r>
        <w:rPr>
          <w:rFonts w:ascii="Times New Roman" w:hAnsi="Times New Roman" w:cs="Times New Roman" w:eastAsia="Times New Roman" w:hint="default"/>
          <w:spacing w:val="-6"/>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日公司第七届董事会第二十二次</w:t>
      </w:r>
    </w:p>
    <w:p>
      <w:pPr>
        <w:pStyle w:val="BodyText"/>
        <w:spacing w:line="240" w:lineRule="auto" w:before="69"/>
        <w:ind w:right="1468"/>
        <w:jc w:val="left"/>
        <w:rPr>
          <w:rFonts w:ascii="Times New Roman" w:hAnsi="Times New Roman" w:cs="Times New Roman" w:eastAsia="Times New Roman" w:hint="default"/>
        </w:rPr>
      </w:pPr>
      <w:r>
        <w:rPr/>
        <w:t>会议、</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8 </w:t>
      </w:r>
      <w:r>
        <w:rPr/>
        <w:t>月</w:t>
      </w:r>
      <w:r>
        <w:rPr>
          <w:spacing w:val="-53"/>
        </w:rPr>
        <w:t> </w:t>
      </w:r>
      <w:r>
        <w:rPr>
          <w:rFonts w:ascii="Times New Roman" w:hAnsi="Times New Roman" w:cs="Times New Roman" w:eastAsia="Times New Roman" w:hint="default"/>
        </w:rPr>
        <w:t>29 </w:t>
      </w:r>
      <w:r>
        <w:rPr/>
        <w:t>日公司第七届董事会第二十三次会议、</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9 </w:t>
      </w:r>
      <w:r>
        <w:rPr/>
        <w:t>月</w:t>
      </w:r>
      <w:r>
        <w:rPr>
          <w:spacing w:val="-53"/>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240" w:lineRule="auto" w:before="69"/>
        <w:ind w:right="3683"/>
        <w:jc w:val="left"/>
      </w:pPr>
      <w:r>
        <w:rPr/>
        <w:t>日</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年度第三次临时股东大会审议通过。</w:t>
      </w:r>
    </w:p>
    <w:p>
      <w:pPr>
        <w:pStyle w:val="BodyText"/>
        <w:spacing w:line="304" w:lineRule="auto" w:before="70"/>
        <w:ind w:right="1712"/>
        <w:jc w:val="left"/>
      </w:pPr>
      <w:r>
        <w:rPr/>
        <w:t>（</w:t>
      </w:r>
      <w:r>
        <w:rPr>
          <w:rFonts w:ascii="Times New Roman" w:hAnsi="Times New Roman" w:cs="Times New Roman" w:eastAsia="Times New Roman" w:hint="default"/>
        </w:rPr>
        <w:t>1</w:t>
      </w:r>
      <w:r>
        <w:rPr/>
        <w:t>）对外担保</w:t>
      </w:r>
      <w:r>
        <w:rPr>
          <w:w w:val="100"/>
        </w:rPr>
        <w:t> </w:t>
      </w:r>
      <w:r>
        <w:rPr>
          <w:rFonts w:ascii="Times New Roman" w:hAnsi="Times New Roman" w:cs="Times New Roman" w:eastAsia="Times New Roman" w:hint="default"/>
        </w:rPr>
        <w:t>1</w:t>
      </w:r>
      <w:r>
        <w:rPr/>
        <w:t>）中电软件园为购买其开发项目的按揭贷款客户提供阶段性担保</w:t>
      </w:r>
      <w:r>
        <w:rPr>
          <w:w w:val="100"/>
        </w:rPr>
        <w:t> </w:t>
      </w:r>
      <w:r>
        <w:rPr>
          <w:spacing w:val="-5"/>
          <w:w w:val="100"/>
        </w:rPr>
        <w:t>中电软件园在每位贷款购买其房屋的购房人与贷款银行签订《固定资产借款合</w:t>
      </w:r>
      <w:r>
        <w:rPr>
          <w:spacing w:val="-85"/>
          <w:w w:val="100"/>
        </w:rPr>
        <w:t> </w:t>
      </w:r>
      <w:r>
        <w:rPr>
          <w:spacing w:val="-85"/>
          <w:w w:val="100"/>
        </w:rPr>
      </w:r>
      <w:r>
        <w:rPr>
          <w:spacing w:val="-5"/>
        </w:rPr>
        <w:t>同》时与贷款银行签订相应的《保证合同》为购房人（借款人）向贷款银行申</w:t>
      </w:r>
      <w:r>
        <w:rPr>
          <w:spacing w:val="-50"/>
        </w:rPr>
        <w:t> </w:t>
      </w:r>
      <w:r>
        <w:rPr>
          <w:spacing w:val="-50"/>
        </w:rPr>
      </w:r>
      <w:r>
        <w:rPr/>
        <w:t>请的按揭贷款提供阶段性担保，担保总额不超过人民币</w:t>
      </w:r>
      <w:r>
        <w:rPr>
          <w:spacing w:val="-53"/>
        </w:rPr>
        <w:t> </w:t>
      </w:r>
      <w:r>
        <w:rPr>
          <w:rFonts w:ascii="Times New Roman" w:hAnsi="Times New Roman" w:cs="Times New Roman" w:eastAsia="Times New Roman" w:hint="default"/>
        </w:rPr>
        <w:t>7,000</w:t>
      </w:r>
      <w:r>
        <w:rPr>
          <w:rFonts w:ascii="Times New Roman" w:hAnsi="Times New Roman" w:cs="Times New Roman" w:eastAsia="Times New Roman" w:hint="default"/>
          <w:spacing w:val="-4"/>
        </w:rPr>
        <w:t> </w:t>
      </w:r>
      <w:r>
        <w:rPr/>
        <w:t>万元。</w:t>
      </w:r>
      <w:r>
        <w:rPr>
          <w:w w:val="100"/>
        </w:rPr>
        <w:t> </w:t>
      </w:r>
      <w:r>
        <w:rPr>
          <w:rFonts w:ascii="Times New Roman" w:hAnsi="Times New Roman" w:cs="Times New Roman" w:eastAsia="Times New Roman" w:hint="default"/>
        </w:rPr>
        <w:t>2</w:t>
      </w:r>
      <w:r>
        <w:rPr/>
        <w:t>）为购买中电长城大厦项目的按揭贷款客户提供阶段性担保</w:t>
      </w:r>
      <w:r>
        <w:rPr>
          <w:w w:val="100"/>
        </w:rPr>
        <w:t> </w:t>
      </w:r>
      <w:r>
        <w:rPr>
          <w:spacing w:val="-5"/>
          <w:w w:val="100"/>
        </w:rPr>
        <w:t>公司为购房客户向贷款银行申请的按揭贷款提供阶段性担保，担保总额不超过</w:t>
      </w:r>
      <w:r>
        <w:rPr>
          <w:spacing w:val="-84"/>
          <w:w w:val="100"/>
        </w:rPr>
        <w:t> </w:t>
      </w:r>
      <w:r>
        <w:rPr>
          <w:spacing w:val="-84"/>
          <w:w w:val="100"/>
        </w:rPr>
      </w:r>
      <w:r>
        <w:rPr/>
        <w:t>人民币</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亿元。</w:t>
      </w:r>
    </w:p>
    <w:p>
      <w:pPr>
        <w:pStyle w:val="BodyText"/>
        <w:spacing w:line="240" w:lineRule="auto" w:before="6"/>
        <w:ind w:right="3683"/>
        <w:jc w:val="left"/>
      </w:pPr>
      <w:r>
        <w:rPr/>
        <w:t>（</w:t>
      </w:r>
      <w:r>
        <w:rPr>
          <w:rFonts w:ascii="Times New Roman" w:hAnsi="Times New Roman" w:cs="Times New Roman" w:eastAsia="Times New Roman" w:hint="default"/>
        </w:rPr>
        <w:t>2</w:t>
      </w:r>
      <w:r>
        <w:rPr/>
        <w:t>）为下属子公司提供担保及下属子公司之间的担保</w:t>
      </w:r>
    </w:p>
    <w:p>
      <w:pPr>
        <w:pStyle w:val="BodyText"/>
        <w:spacing w:line="240" w:lineRule="auto" w:before="69"/>
        <w:ind w:right="1468"/>
        <w:jc w:val="left"/>
      </w:pPr>
      <w:r>
        <w:rPr>
          <w:rFonts w:ascii="Times New Roman" w:hAnsi="Times New Roman" w:cs="Times New Roman" w:eastAsia="Times New Roman" w:hint="default"/>
        </w:rPr>
        <w:t>1</w:t>
      </w:r>
      <w:r>
        <w:rPr/>
        <w:t>）因使用《全面金融合作协议》项下授信及贷款额度所涉及的担保</w:t>
      </w:r>
    </w:p>
    <w:p>
      <w:pPr>
        <w:pStyle w:val="BodyText"/>
        <w:spacing w:line="314" w:lineRule="auto" w:before="69"/>
        <w:ind w:right="1468"/>
        <w:jc w:val="left"/>
      </w:pPr>
      <w:r>
        <w:rPr>
          <w:spacing w:val="-5"/>
          <w:w w:val="100"/>
        </w:rPr>
        <w:t>①根据下属公司日常资金使用需求，公司为湖南长城信息金融设备有限责任公</w:t>
      </w:r>
      <w:r>
        <w:rPr>
          <w:spacing w:val="-83"/>
          <w:w w:val="100"/>
        </w:rPr>
        <w:t> </w:t>
      </w:r>
      <w:r>
        <w:rPr>
          <w:spacing w:val="-83"/>
          <w:w w:val="100"/>
        </w:rPr>
      </w:r>
      <w:r>
        <w:rPr>
          <w:spacing w:val="-5"/>
        </w:rPr>
        <w:t>司、湖南长城医疗科技有限公司、长沙湘计海盾科技有限公司、长沙中电软件</w:t>
      </w:r>
      <w:r>
        <w:rPr>
          <w:spacing w:val="-48"/>
        </w:rPr>
        <w:t> </w:t>
      </w:r>
      <w:r>
        <w:rPr>
          <w:spacing w:val="-48"/>
        </w:rPr>
      </w:r>
      <w:r>
        <w:rPr>
          <w:spacing w:val="-5"/>
        </w:rPr>
        <w:t>园有限公司、湖南长城计算机系统有限公司、深圳中电长城信息安全系统有限</w:t>
      </w:r>
      <w:r>
        <w:rPr>
          <w:spacing w:val="-46"/>
        </w:rPr>
        <w:t> </w:t>
      </w:r>
      <w:r>
        <w:rPr>
          <w:spacing w:val="-46"/>
        </w:rPr>
      </w:r>
      <w:r>
        <w:rPr/>
        <w:t>公司使用《全面金融合作协议》项下的综合授信额度分别提供不超过人民币</w:t>
      </w:r>
      <w:r>
        <w:rPr>
          <w:w w:val="100"/>
        </w:rPr>
        <w:t> </w:t>
      </w:r>
      <w:r>
        <w:rPr>
          <w:rFonts w:ascii="Times New Roman" w:hAnsi="Times New Roman" w:cs="Times New Roman" w:eastAsia="Times New Roman" w:hint="default"/>
        </w:rPr>
        <w:t>20,000.00 </w:t>
      </w:r>
      <w:r>
        <w:rPr/>
        <w:t>万元、</w:t>
      </w:r>
      <w:r>
        <w:rPr>
          <w:rFonts w:ascii="Times New Roman" w:hAnsi="Times New Roman" w:cs="Times New Roman" w:eastAsia="Times New Roman" w:hint="default"/>
        </w:rPr>
        <w:t>8,000.00 </w:t>
      </w:r>
      <w:r>
        <w:rPr/>
        <w:t>万元、</w:t>
      </w:r>
      <w:r>
        <w:rPr>
          <w:rFonts w:ascii="Times New Roman" w:hAnsi="Times New Roman" w:cs="Times New Roman" w:eastAsia="Times New Roman" w:hint="default"/>
        </w:rPr>
        <w:t>10,000.00 </w:t>
      </w:r>
      <w:r>
        <w:rPr/>
        <w:t>万元、</w:t>
      </w:r>
      <w:r>
        <w:rPr>
          <w:rFonts w:ascii="Times New Roman" w:hAnsi="Times New Roman" w:cs="Times New Roman" w:eastAsia="Times New Roman" w:hint="default"/>
        </w:rPr>
        <w:t>7,000.00 </w:t>
      </w:r>
      <w:r>
        <w:rPr/>
        <w:t>万元、</w:t>
      </w:r>
      <w:r>
        <w:rPr>
          <w:rFonts w:ascii="Times New Roman" w:hAnsi="Times New Roman" w:cs="Times New Roman" w:eastAsia="Times New Roman" w:hint="default"/>
        </w:rPr>
        <w:t>10,000.00</w:t>
      </w:r>
      <w:r>
        <w:rPr>
          <w:rFonts w:ascii="Times New Roman" w:hAnsi="Times New Roman" w:cs="Times New Roman" w:eastAsia="Times New Roman" w:hint="default"/>
          <w:spacing w:val="-9"/>
        </w:rPr>
        <w:t> </w:t>
      </w:r>
      <w:r>
        <w:rPr/>
        <w:t>万</w:t>
      </w:r>
    </w:p>
    <w:p>
      <w:pPr>
        <w:pStyle w:val="BodyText"/>
        <w:spacing w:line="288" w:lineRule="exact" w:before="0"/>
        <w:ind w:right="3683"/>
        <w:jc w:val="left"/>
      </w:pPr>
      <w:r>
        <w:rPr/>
        <w:t>元、</w:t>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t>万元的信用担保；</w:t>
      </w:r>
    </w:p>
    <w:p>
      <w:pPr>
        <w:pStyle w:val="BodyText"/>
        <w:spacing w:line="307" w:lineRule="auto" w:before="69"/>
        <w:ind w:right="1468"/>
        <w:jc w:val="left"/>
      </w:pPr>
      <w:r>
        <w:rPr>
          <w:spacing w:val="-5"/>
          <w:w w:val="100"/>
        </w:rPr>
        <w:t>②根据武汉中原电子集团有限公司下属公司日常资金使用需求，武汉中原电子</w:t>
      </w:r>
      <w:r>
        <w:rPr>
          <w:spacing w:val="-85"/>
          <w:w w:val="100"/>
        </w:rPr>
        <w:t> </w:t>
      </w:r>
      <w:r>
        <w:rPr>
          <w:spacing w:val="-85"/>
          <w:w w:val="100"/>
        </w:rPr>
      </w:r>
      <w:r>
        <w:rPr>
          <w:spacing w:val="-5"/>
        </w:rPr>
        <w:t>集团有限公司为武汉中元通信股份有限公司、武汉长光电源有限公司、武汉中</w:t>
      </w:r>
      <w:r>
        <w:rPr>
          <w:spacing w:val="-47"/>
        </w:rPr>
        <w:t> </w:t>
      </w:r>
      <w:r>
        <w:rPr>
          <w:spacing w:val="-47"/>
        </w:rPr>
      </w:r>
      <w:r>
        <w:rPr>
          <w:spacing w:val="-5"/>
        </w:rPr>
        <w:t>原电子信息有限公司、武汉中原长江科技发展有限公司使用《全面金融合作协</w:t>
      </w:r>
      <w:r>
        <w:rPr>
          <w:spacing w:val="-45"/>
        </w:rPr>
        <w:t> </w:t>
      </w:r>
      <w:r>
        <w:rPr>
          <w:spacing w:val="-45"/>
        </w:rPr>
      </w:r>
      <w:r>
        <w:rPr/>
        <w:t>议》项下的综合授信额度分别提供不超过人民币</w:t>
      </w:r>
      <w:r>
        <w:rPr>
          <w:spacing w:val="-53"/>
        </w:rPr>
        <w:t> </w:t>
      </w:r>
      <w:r>
        <w:rPr>
          <w:rFonts w:ascii="Times New Roman" w:hAnsi="Times New Roman" w:cs="Times New Roman" w:eastAsia="Times New Roman" w:hint="default"/>
        </w:rPr>
        <w:t>31,000.00</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8,000.00</w:t>
      </w:r>
      <w:r>
        <w:rPr>
          <w:rFonts w:ascii="Times New Roman" w:hAnsi="Times New Roman" w:cs="Times New Roman" w:eastAsia="Times New Roman" w:hint="default"/>
          <w:spacing w:val="-1"/>
        </w:rPr>
        <w:t> </w:t>
      </w:r>
      <w:r>
        <w:rPr/>
        <w:t>万</w:t>
      </w:r>
      <w:r>
        <w:rPr>
          <w:w w:val="100"/>
        </w:rPr>
        <w:t> </w:t>
      </w:r>
      <w:r>
        <w:rPr/>
        <w:t>元、</w:t>
      </w:r>
      <w:r>
        <w:rPr>
          <w:rFonts w:ascii="Times New Roman" w:hAnsi="Times New Roman" w:cs="Times New Roman" w:eastAsia="Times New Roman" w:hint="default"/>
        </w:rPr>
        <w:t>5,000.00 </w:t>
      </w:r>
      <w:r>
        <w:rPr/>
        <w:t>万元、</w:t>
      </w:r>
      <w:r>
        <w:rPr>
          <w:rFonts w:ascii="Times New Roman" w:hAnsi="Times New Roman" w:cs="Times New Roman" w:eastAsia="Times New Roman" w:hint="default"/>
        </w:rPr>
        <w:t>6,000.00</w:t>
      </w:r>
      <w:r>
        <w:rPr>
          <w:rFonts w:ascii="Times New Roman" w:hAnsi="Times New Roman" w:cs="Times New Roman" w:eastAsia="Times New Roman" w:hint="default"/>
          <w:spacing w:val="-1"/>
        </w:rPr>
        <w:t> </w:t>
      </w:r>
      <w:r>
        <w:rPr/>
        <w:t>万元的信用担保。</w:t>
      </w:r>
      <w:r>
        <w:rPr>
          <w:w w:val="100"/>
        </w:rPr>
        <w:t> </w:t>
      </w:r>
      <w:r>
        <w:rPr>
          <w:rFonts w:ascii="Times New Roman" w:hAnsi="Times New Roman" w:cs="Times New Roman" w:eastAsia="Times New Roman" w:hint="default"/>
        </w:rPr>
        <w:t>2</w:t>
      </w:r>
      <w:r>
        <w:rPr/>
        <w:t>）因向银行申请授信额度涉及的担保</w:t>
      </w:r>
    </w:p>
    <w:p>
      <w:pPr>
        <w:pStyle w:val="BodyText"/>
        <w:spacing w:line="314" w:lineRule="auto" w:before="4"/>
        <w:ind w:right="1468"/>
        <w:jc w:val="left"/>
      </w:pPr>
      <w:r>
        <w:rPr>
          <w:spacing w:val="-5"/>
          <w:w w:val="100"/>
        </w:rPr>
        <w:t>①基于柏怡电子有限公司正常经营业务的流动资金需求，柏怡电子有限公司通</w:t>
      </w:r>
      <w:r>
        <w:rPr>
          <w:spacing w:val="-84"/>
          <w:w w:val="100"/>
        </w:rPr>
        <w:t> </w:t>
      </w:r>
      <w:r>
        <w:rPr>
          <w:spacing w:val="-84"/>
          <w:w w:val="100"/>
        </w:rPr>
      </w:r>
      <w:r>
        <w:rPr/>
        <w:t>过债券质押和信用担保的复合担保方式向香港汇丰银行申请综合授信额度</w:t>
      </w:r>
      <w:r>
        <w:rPr>
          <w:w w:val="100"/>
        </w:rPr>
        <w:t> </w:t>
      </w:r>
      <w:r>
        <w:rPr>
          <w:rFonts w:ascii="Times New Roman" w:hAnsi="Times New Roman" w:cs="Times New Roman" w:eastAsia="Times New Roman" w:hint="default"/>
          <w:spacing w:val="-2"/>
          <w:w w:val="100"/>
        </w:rPr>
        <w:t>11,750.00</w:t>
      </w:r>
      <w:r>
        <w:rPr>
          <w:rFonts w:ascii="Times New Roman" w:hAnsi="Times New Roman" w:cs="Times New Roman" w:eastAsia="Times New Roman" w:hint="default"/>
          <w:spacing w:val="3"/>
          <w:w w:val="100"/>
        </w:rPr>
        <w:t> </w:t>
      </w:r>
      <w:r>
        <w:rPr>
          <w:spacing w:val="-2"/>
          <w:w w:val="100"/>
        </w:rPr>
        <w:t>万港币（含</w:t>
      </w:r>
      <w:r>
        <w:rPr>
          <w:spacing w:val="-48"/>
          <w:w w:val="100"/>
        </w:rPr>
        <w:t> </w:t>
      </w:r>
      <w:r>
        <w:rPr>
          <w:rFonts w:ascii="Times New Roman" w:hAnsi="Times New Roman" w:cs="Times New Roman" w:eastAsia="Times New Roman" w:hint="default"/>
          <w:spacing w:val="-1"/>
          <w:w w:val="100"/>
        </w:rPr>
        <w:t>800</w:t>
      </w:r>
      <w:r>
        <w:rPr>
          <w:rFonts w:ascii="Times New Roman" w:hAnsi="Times New Roman" w:cs="Times New Roman" w:eastAsia="Times New Roman" w:hint="default"/>
          <w:spacing w:val="2"/>
          <w:w w:val="100"/>
        </w:rPr>
        <w:t> </w:t>
      </w:r>
      <w:r>
        <w:rPr>
          <w:spacing w:val="-10"/>
          <w:w w:val="100"/>
        </w:rPr>
        <w:t>万美元应收账款保理额度）；</w:t>
      </w:r>
    </w:p>
    <w:p>
      <w:pPr>
        <w:pStyle w:val="BodyText"/>
        <w:spacing w:line="314" w:lineRule="auto" w:before="0"/>
        <w:ind w:right="1779"/>
        <w:jc w:val="left"/>
      </w:pPr>
      <w:r>
        <w:rPr>
          <w:w w:val="100"/>
        </w:rPr>
        <w:t>②根</w:t>
      </w:r>
      <w:r>
        <w:rPr>
          <w:spacing w:val="-3"/>
          <w:w w:val="100"/>
        </w:rPr>
        <w:t>据</w:t>
      </w:r>
      <w:r>
        <w:rPr>
          <w:w w:val="100"/>
        </w:rPr>
        <w:t>湖</w:t>
      </w:r>
      <w:r>
        <w:rPr>
          <w:spacing w:val="-3"/>
          <w:w w:val="100"/>
        </w:rPr>
        <w:t>南</w:t>
      </w:r>
      <w:r>
        <w:rPr>
          <w:w w:val="100"/>
        </w:rPr>
        <w:t>长</w:t>
      </w:r>
      <w:r>
        <w:rPr>
          <w:spacing w:val="-3"/>
          <w:w w:val="100"/>
        </w:rPr>
        <w:t>城</w:t>
      </w:r>
      <w:r>
        <w:rPr>
          <w:w w:val="100"/>
        </w:rPr>
        <w:t>计</w:t>
      </w:r>
      <w:r>
        <w:rPr>
          <w:spacing w:val="-3"/>
          <w:w w:val="100"/>
        </w:rPr>
        <w:t>算</w:t>
      </w:r>
      <w:r>
        <w:rPr>
          <w:w w:val="100"/>
        </w:rPr>
        <w:t>机</w:t>
      </w:r>
      <w:r>
        <w:rPr>
          <w:spacing w:val="-3"/>
          <w:w w:val="100"/>
        </w:rPr>
        <w:t>系</w:t>
      </w:r>
      <w:r>
        <w:rPr>
          <w:w w:val="100"/>
        </w:rPr>
        <w:t>统有</w:t>
      </w:r>
      <w:r>
        <w:rPr>
          <w:spacing w:val="-3"/>
          <w:w w:val="100"/>
        </w:rPr>
        <w:t>限</w:t>
      </w:r>
      <w:r>
        <w:rPr>
          <w:w w:val="100"/>
        </w:rPr>
        <w:t>公</w:t>
      </w:r>
      <w:r>
        <w:rPr>
          <w:spacing w:val="-3"/>
          <w:w w:val="100"/>
        </w:rPr>
        <w:t>司</w:t>
      </w:r>
      <w:r>
        <w:rPr>
          <w:w w:val="100"/>
        </w:rPr>
        <w:t>的</w:t>
      </w:r>
      <w:r>
        <w:rPr>
          <w:spacing w:val="-3"/>
          <w:w w:val="100"/>
        </w:rPr>
        <w:t>日</w:t>
      </w:r>
      <w:r>
        <w:rPr>
          <w:w w:val="100"/>
        </w:rPr>
        <w:t>常</w:t>
      </w:r>
      <w:r>
        <w:rPr>
          <w:spacing w:val="-3"/>
          <w:w w:val="100"/>
        </w:rPr>
        <w:t>资</w:t>
      </w:r>
      <w:r>
        <w:rPr>
          <w:w w:val="100"/>
        </w:rPr>
        <w:t>金</w:t>
      </w:r>
      <w:r>
        <w:rPr>
          <w:spacing w:val="-3"/>
          <w:w w:val="100"/>
        </w:rPr>
        <w:t>使</w:t>
      </w:r>
      <w:r>
        <w:rPr>
          <w:w w:val="100"/>
        </w:rPr>
        <w:t>用需</w:t>
      </w:r>
      <w:r>
        <w:rPr>
          <w:spacing w:val="-3"/>
          <w:w w:val="100"/>
        </w:rPr>
        <w:t>求</w:t>
      </w:r>
      <w:r>
        <w:rPr>
          <w:spacing w:val="-104"/>
          <w:w w:val="100"/>
        </w:rPr>
        <w:t>，</w:t>
      </w:r>
      <w:r>
        <w:rPr>
          <w:spacing w:val="-3"/>
          <w:w w:val="100"/>
        </w:rPr>
        <w:t>湖</w:t>
      </w:r>
      <w:r>
        <w:rPr>
          <w:w w:val="100"/>
        </w:rPr>
        <w:t>南</w:t>
      </w:r>
      <w:r>
        <w:rPr>
          <w:spacing w:val="-3"/>
          <w:w w:val="100"/>
        </w:rPr>
        <w:t>长</w:t>
      </w:r>
      <w:r>
        <w:rPr>
          <w:w w:val="100"/>
        </w:rPr>
        <w:t>城</w:t>
      </w:r>
      <w:r>
        <w:rPr>
          <w:spacing w:val="-3"/>
          <w:w w:val="100"/>
        </w:rPr>
        <w:t>计</w:t>
      </w:r>
      <w:r>
        <w:rPr>
          <w:w w:val="100"/>
        </w:rPr>
        <w:t>算</w:t>
      </w:r>
      <w:r>
        <w:rPr>
          <w:spacing w:val="-3"/>
          <w:w w:val="100"/>
        </w:rPr>
        <w:t>机</w:t>
      </w:r>
      <w:r>
        <w:rPr>
          <w:w w:val="100"/>
        </w:rPr>
        <w:t>系</w:t>
      </w:r>
      <w:r>
        <w:rPr>
          <w:w w:val="100"/>
        </w:rPr>
        <w:t> 统有</w:t>
      </w:r>
      <w:r>
        <w:rPr>
          <w:spacing w:val="-3"/>
          <w:w w:val="100"/>
        </w:rPr>
        <w:t>限</w:t>
      </w:r>
      <w:r>
        <w:rPr>
          <w:w w:val="100"/>
        </w:rPr>
        <w:t>公</w:t>
      </w:r>
      <w:r>
        <w:rPr>
          <w:spacing w:val="-3"/>
          <w:w w:val="100"/>
        </w:rPr>
        <w:t>司</w:t>
      </w:r>
      <w:r>
        <w:rPr>
          <w:w w:val="100"/>
        </w:rPr>
        <w:t>通</w:t>
      </w:r>
      <w:r>
        <w:rPr>
          <w:spacing w:val="-3"/>
          <w:w w:val="100"/>
        </w:rPr>
        <w:t>过</w:t>
      </w:r>
      <w:r>
        <w:rPr>
          <w:w w:val="100"/>
        </w:rPr>
        <w:t>本</w:t>
      </w:r>
      <w:r>
        <w:rPr>
          <w:spacing w:val="-3"/>
          <w:w w:val="100"/>
        </w:rPr>
        <w:t>公</w:t>
      </w:r>
      <w:r>
        <w:rPr>
          <w:w w:val="100"/>
        </w:rPr>
        <w:t>司</w:t>
      </w:r>
      <w:r>
        <w:rPr>
          <w:spacing w:val="-3"/>
          <w:w w:val="100"/>
        </w:rPr>
        <w:t>信</w:t>
      </w:r>
      <w:r>
        <w:rPr>
          <w:w w:val="100"/>
        </w:rPr>
        <w:t>用担</w:t>
      </w:r>
      <w:r>
        <w:rPr>
          <w:spacing w:val="-3"/>
          <w:w w:val="100"/>
        </w:rPr>
        <w:t>保</w:t>
      </w:r>
      <w:r>
        <w:rPr>
          <w:w w:val="100"/>
        </w:rPr>
        <w:t>的</w:t>
      </w:r>
      <w:r>
        <w:rPr>
          <w:spacing w:val="-3"/>
          <w:w w:val="100"/>
        </w:rPr>
        <w:t>方</w:t>
      </w:r>
      <w:r>
        <w:rPr>
          <w:w w:val="100"/>
        </w:rPr>
        <w:t>式</w:t>
      </w:r>
      <w:r>
        <w:rPr>
          <w:spacing w:val="-3"/>
          <w:w w:val="100"/>
        </w:rPr>
        <w:t>向</w:t>
      </w:r>
      <w:r>
        <w:rPr>
          <w:w w:val="100"/>
        </w:rPr>
        <w:t>中</w:t>
      </w:r>
      <w:r>
        <w:rPr>
          <w:spacing w:val="-3"/>
          <w:w w:val="100"/>
        </w:rPr>
        <w:t>国</w:t>
      </w:r>
      <w:r>
        <w:rPr>
          <w:w w:val="100"/>
        </w:rPr>
        <w:t>农</w:t>
      </w:r>
      <w:r>
        <w:rPr>
          <w:spacing w:val="-3"/>
          <w:w w:val="100"/>
        </w:rPr>
        <w:t>业</w:t>
      </w:r>
      <w:r>
        <w:rPr>
          <w:w w:val="100"/>
        </w:rPr>
        <w:t>银行</w:t>
      </w:r>
      <w:r>
        <w:rPr>
          <w:spacing w:val="-3"/>
          <w:w w:val="100"/>
        </w:rPr>
        <w:t>株</w:t>
      </w:r>
      <w:r>
        <w:rPr>
          <w:w w:val="100"/>
        </w:rPr>
        <w:t>洲</w:t>
      </w:r>
      <w:r>
        <w:rPr>
          <w:spacing w:val="-3"/>
          <w:w w:val="100"/>
        </w:rPr>
        <w:t>分</w:t>
      </w:r>
      <w:r>
        <w:rPr>
          <w:w w:val="100"/>
        </w:rPr>
        <w:t>行</w:t>
      </w:r>
      <w:r>
        <w:rPr>
          <w:spacing w:val="-106"/>
          <w:w w:val="100"/>
        </w:rPr>
        <w:t>、</w:t>
      </w:r>
      <w:r>
        <w:rPr>
          <w:w w:val="100"/>
        </w:rPr>
        <w:t>华</w:t>
      </w:r>
      <w:r>
        <w:rPr>
          <w:spacing w:val="-3"/>
          <w:w w:val="100"/>
        </w:rPr>
        <w:t>融</w:t>
      </w:r>
      <w:r>
        <w:rPr>
          <w:w w:val="100"/>
        </w:rPr>
        <w:t>湘</w:t>
      </w:r>
      <w:r>
        <w:rPr>
          <w:spacing w:val="-3"/>
          <w:w w:val="100"/>
        </w:rPr>
        <w:t>江</w:t>
      </w:r>
      <w:r>
        <w:rPr>
          <w:w w:val="100"/>
        </w:rPr>
        <w:t>银</w:t>
      </w:r>
    </w:p>
    <w:p>
      <w:pPr>
        <w:spacing w:after="0" w:line="314" w:lineRule="auto"/>
        <w:jc w:val="left"/>
        <w:sectPr>
          <w:pgSz w:w="11910" w:h="16840"/>
          <w:pgMar w:header="753" w:footer="997" w:top="1500" w:bottom="1180" w:left="1660" w:right="0"/>
        </w:sectPr>
      </w:pPr>
    </w:p>
    <w:p>
      <w:pPr>
        <w:spacing w:line="240" w:lineRule="auto" w:before="13"/>
        <w:rPr>
          <w:rFonts w:ascii="宋体" w:hAnsi="宋体" w:cs="宋体" w:eastAsia="宋体" w:hint="default"/>
          <w:sz w:val="19"/>
          <w:szCs w:val="19"/>
        </w:rPr>
      </w:pPr>
    </w:p>
    <w:p>
      <w:pPr>
        <w:pStyle w:val="BodyText"/>
        <w:spacing w:line="240" w:lineRule="auto"/>
        <w:ind w:right="1468"/>
        <w:jc w:val="left"/>
      </w:pPr>
      <w:r>
        <w:rPr/>
        <w:t>行株洲泰山支行、交通银行分别申请人民币</w:t>
      </w:r>
      <w:r>
        <w:rPr>
          <w:spacing w:val="-55"/>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10,000.00</w:t>
      </w:r>
      <w:r>
        <w:rPr>
          <w:rFonts w:ascii="Times New Roman" w:hAnsi="Times New Roman" w:cs="Times New Roman" w:eastAsia="Times New Roman" w:hint="default"/>
          <w:spacing w:val="-4"/>
        </w:rPr>
        <w:t> </w:t>
      </w:r>
      <w:r>
        <w:rPr/>
        <w:t>万元、</w:t>
      </w:r>
    </w:p>
    <w:p>
      <w:pPr>
        <w:pStyle w:val="BodyText"/>
        <w:spacing w:line="240" w:lineRule="auto" w:before="69"/>
        <w:ind w:right="3683"/>
        <w:jc w:val="left"/>
      </w:pPr>
      <w:r>
        <w:rPr>
          <w:rFonts w:ascii="Times New Roman" w:hAnsi="Times New Roman" w:cs="Times New Roman" w:eastAsia="Times New Roman" w:hint="default"/>
        </w:rPr>
        <w:t>10,000.00</w:t>
      </w:r>
      <w:r>
        <w:rPr>
          <w:rFonts w:ascii="Times New Roman" w:hAnsi="Times New Roman" w:cs="Times New Roman" w:eastAsia="Times New Roman" w:hint="default"/>
          <w:spacing w:val="-1"/>
        </w:rPr>
        <w:t> </w:t>
      </w:r>
      <w:r>
        <w:rPr/>
        <w:t>万元的综合授信额度；</w:t>
      </w:r>
    </w:p>
    <w:p>
      <w:pPr>
        <w:pStyle w:val="BodyText"/>
        <w:spacing w:line="314" w:lineRule="auto" w:before="69"/>
        <w:ind w:right="1468"/>
        <w:jc w:val="left"/>
      </w:pPr>
      <w:r>
        <w:rPr>
          <w:spacing w:val="-5"/>
          <w:w w:val="100"/>
        </w:rPr>
        <w:t>③根据深圳中电长城信息安全系统有限公司的日常资金使用需求，深圳中电长</w:t>
      </w:r>
      <w:r>
        <w:rPr>
          <w:spacing w:val="-84"/>
          <w:w w:val="100"/>
        </w:rPr>
        <w:t> </w:t>
      </w:r>
      <w:r>
        <w:rPr>
          <w:spacing w:val="-84"/>
          <w:w w:val="100"/>
        </w:rPr>
      </w:r>
      <w:r>
        <w:rPr/>
        <w:t>城信息安全系统有限公司通过本公司信用担保的方式向平安银行股份有限公</w:t>
      </w:r>
      <w:r>
        <w:rPr>
          <w:w w:val="100"/>
        </w:rPr>
        <w:t> </w:t>
      </w:r>
      <w:r>
        <w:rPr/>
        <w:t>司深圳高新技术区支行申请人民币</w:t>
      </w:r>
      <w:r>
        <w:rPr>
          <w:spacing w:val="-54"/>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t>万元的综合授信额度；</w:t>
      </w:r>
    </w:p>
    <w:p>
      <w:pPr>
        <w:pStyle w:val="BodyText"/>
        <w:spacing w:line="312" w:lineRule="auto" w:before="0"/>
        <w:ind w:right="1468"/>
        <w:jc w:val="left"/>
      </w:pPr>
      <w:r>
        <w:rPr>
          <w:spacing w:val="-5"/>
          <w:w w:val="100"/>
        </w:rPr>
        <w:t>④根据湖南长城信息金融设备有限责任公司日常资金使用需求，湖南长城信息</w:t>
      </w:r>
      <w:r>
        <w:rPr>
          <w:spacing w:val="-85"/>
          <w:w w:val="100"/>
        </w:rPr>
        <w:t> </w:t>
      </w:r>
      <w:r>
        <w:rPr>
          <w:spacing w:val="-85"/>
          <w:w w:val="100"/>
        </w:rPr>
      </w:r>
      <w:r>
        <w:rPr/>
        <w:t>金融设备有限责任公司通过本公司信用担保的方式向中国建设银行长沙大华</w:t>
      </w:r>
      <w:r>
        <w:rPr>
          <w:w w:val="100"/>
        </w:rPr>
        <w:t> </w:t>
      </w:r>
      <w:r>
        <w:rPr>
          <w:spacing w:val="-5"/>
        </w:rPr>
        <w:t>支行、中信银行长沙星沙支行、招商银行长沙大河西先导区支行、中国银行长</w:t>
      </w:r>
      <w:r>
        <w:rPr>
          <w:spacing w:val="-50"/>
        </w:rPr>
        <w:t> </w:t>
      </w:r>
      <w:r>
        <w:rPr>
          <w:spacing w:val="-50"/>
        </w:rPr>
      </w:r>
      <w:r>
        <w:rPr>
          <w:spacing w:val="-5"/>
        </w:rPr>
        <w:t>沙天心支行、交通银行长沙车站南路支行、中国农业银行长沙星沙支行、中国</w:t>
      </w:r>
      <w:r>
        <w:rPr>
          <w:spacing w:val="-48"/>
        </w:rPr>
        <w:t> </w:t>
      </w:r>
      <w:r>
        <w:rPr>
          <w:spacing w:val="-48"/>
        </w:rPr>
      </w:r>
      <w:r>
        <w:rPr>
          <w:spacing w:val="-2"/>
          <w:w w:val="100"/>
        </w:rPr>
        <w:t>建设银行大华支行分别申请人民币</w:t>
      </w:r>
      <w:r>
        <w:rPr>
          <w:spacing w:val="-49"/>
          <w:w w:val="100"/>
        </w:rPr>
        <w:t> </w:t>
      </w:r>
      <w:r>
        <w:rPr>
          <w:rFonts w:ascii="Times New Roman" w:hAnsi="Times New Roman" w:cs="Times New Roman" w:eastAsia="Times New Roman" w:hint="default"/>
          <w:spacing w:val="-1"/>
          <w:w w:val="100"/>
        </w:rPr>
        <w:t>23,000</w:t>
      </w:r>
      <w:r>
        <w:rPr>
          <w:rFonts w:ascii="Times New Roman" w:hAnsi="Times New Roman" w:cs="Times New Roman" w:eastAsia="Times New Roman" w:hint="default"/>
          <w:spacing w:val="5"/>
          <w:w w:val="100"/>
        </w:rPr>
        <w:t> </w:t>
      </w:r>
      <w:r>
        <w:rPr>
          <w:spacing w:val="-15"/>
          <w:w w:val="100"/>
        </w:rPr>
        <w:t>万元、</w:t>
      </w:r>
      <w:r>
        <w:rPr>
          <w:rFonts w:ascii="Times New Roman" w:hAnsi="Times New Roman" w:cs="Times New Roman" w:eastAsia="Times New Roman" w:hint="default"/>
          <w:spacing w:val="-15"/>
          <w:w w:val="100"/>
        </w:rPr>
        <w:t>5,000</w:t>
      </w:r>
      <w:r>
        <w:rPr>
          <w:rFonts w:ascii="Times New Roman" w:hAnsi="Times New Roman" w:cs="Times New Roman" w:eastAsia="Times New Roman" w:hint="default"/>
          <w:spacing w:val="5"/>
          <w:w w:val="100"/>
        </w:rPr>
        <w:t> </w:t>
      </w:r>
      <w:r>
        <w:rPr>
          <w:spacing w:val="-14"/>
          <w:w w:val="100"/>
        </w:rPr>
        <w:t>万元、</w:t>
      </w:r>
      <w:r>
        <w:rPr>
          <w:rFonts w:ascii="Times New Roman" w:hAnsi="Times New Roman" w:cs="Times New Roman" w:eastAsia="Times New Roman" w:hint="default"/>
          <w:spacing w:val="-14"/>
          <w:w w:val="100"/>
        </w:rPr>
        <w:t>8,000</w:t>
      </w:r>
      <w:r>
        <w:rPr>
          <w:rFonts w:ascii="Times New Roman" w:hAnsi="Times New Roman" w:cs="Times New Roman" w:eastAsia="Times New Roman" w:hint="default"/>
          <w:spacing w:val="5"/>
          <w:w w:val="100"/>
        </w:rPr>
        <w:t> </w:t>
      </w:r>
      <w:r>
        <w:rPr>
          <w:spacing w:val="-13"/>
          <w:w w:val="100"/>
        </w:rPr>
        <w:t>万元、</w:t>
      </w:r>
      <w:r>
        <w:rPr>
          <w:rFonts w:ascii="Times New Roman" w:hAnsi="Times New Roman" w:cs="Times New Roman" w:eastAsia="Times New Roman" w:hint="default"/>
          <w:spacing w:val="-13"/>
          <w:w w:val="100"/>
        </w:rPr>
        <w:t>30,000</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t>万元、</w:t>
      </w:r>
      <w:r>
        <w:rPr>
          <w:rFonts w:ascii="Times New Roman" w:hAnsi="Times New Roman" w:cs="Times New Roman" w:eastAsia="Times New Roman" w:hint="default"/>
        </w:rPr>
        <w:t>35,000 </w:t>
      </w:r>
      <w:r>
        <w:rPr/>
        <w:t>万元、</w:t>
      </w:r>
      <w:r>
        <w:rPr>
          <w:rFonts w:ascii="Times New Roman" w:hAnsi="Times New Roman" w:cs="Times New Roman" w:eastAsia="Times New Roman" w:hint="default"/>
        </w:rPr>
        <w:t>5,000 </w:t>
      </w:r>
      <w:r>
        <w:rPr/>
        <w:t>万元、</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t>万元的综合授信额度；</w:t>
      </w:r>
    </w:p>
    <w:p>
      <w:pPr>
        <w:pStyle w:val="BodyText"/>
        <w:spacing w:line="314" w:lineRule="auto" w:before="0"/>
        <w:ind w:right="1786"/>
        <w:jc w:val="both"/>
      </w:pPr>
      <w:r>
        <w:rPr>
          <w:spacing w:val="-5"/>
          <w:w w:val="100"/>
        </w:rPr>
        <w:t>⑤根据长沙湘计海盾科技有限购本公司的日常资金使用需求，长沙湘计海盾科</w:t>
      </w:r>
      <w:r>
        <w:rPr>
          <w:spacing w:val="-84"/>
          <w:w w:val="100"/>
        </w:rPr>
        <w:t> </w:t>
      </w:r>
      <w:r>
        <w:rPr>
          <w:spacing w:val="-84"/>
          <w:w w:val="100"/>
        </w:rPr>
      </w:r>
      <w:r>
        <w:rPr>
          <w:spacing w:val="-5"/>
          <w:w w:val="100"/>
        </w:rPr>
        <w:t>技有限公司通过本公司信用担保的方式向国家开发银行、招商银行大河西先导</w:t>
      </w:r>
      <w:r>
        <w:rPr>
          <w:spacing w:val="-84"/>
          <w:w w:val="100"/>
        </w:rPr>
        <w:t> </w:t>
      </w:r>
      <w:r>
        <w:rPr>
          <w:spacing w:val="-84"/>
          <w:w w:val="100"/>
        </w:rPr>
      </w:r>
      <w:r>
        <w:rPr/>
        <w:t>区支行分别申请人民币</w:t>
      </w:r>
      <w:r>
        <w:rPr>
          <w:spacing w:val="-53"/>
        </w:rPr>
        <w:t> </w:t>
      </w:r>
      <w:r>
        <w:rPr>
          <w:rFonts w:ascii="Times New Roman" w:hAnsi="Times New Roman" w:cs="Times New Roman" w:eastAsia="Times New Roman" w:hint="default"/>
        </w:rPr>
        <w:t>40,000.00</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t>万元的综合授信额度；</w:t>
      </w:r>
    </w:p>
    <w:p>
      <w:pPr>
        <w:pStyle w:val="BodyText"/>
        <w:spacing w:line="314" w:lineRule="auto" w:before="0"/>
        <w:ind w:right="1468"/>
        <w:jc w:val="left"/>
      </w:pPr>
      <w:r>
        <w:rPr>
          <w:spacing w:val="-5"/>
          <w:w w:val="100"/>
        </w:rPr>
        <w:t>⑥根据湖南长城海盾光纤科技有限公司日常资金使用需求，湖南长城海盾光纤</w:t>
      </w:r>
      <w:r>
        <w:rPr>
          <w:spacing w:val="-85"/>
          <w:w w:val="100"/>
        </w:rPr>
        <w:t> </w:t>
      </w:r>
      <w:r>
        <w:rPr>
          <w:spacing w:val="-85"/>
          <w:w w:val="100"/>
        </w:rPr>
      </w:r>
      <w:r>
        <w:rPr>
          <w:spacing w:val="-2"/>
        </w:rPr>
        <w:t>科技有限公司通过本公司信用担保的方式向招商银行长沙大河西先导区支行、</w:t>
      </w:r>
      <w:r>
        <w:rPr>
          <w:spacing w:val="-42"/>
        </w:rPr>
        <w:t> </w:t>
      </w:r>
      <w:r>
        <w:rPr>
          <w:spacing w:val="-42"/>
        </w:rPr>
      </w:r>
      <w:r>
        <w:rPr/>
        <w:t>国家开发银行分别申请人民币</w:t>
      </w:r>
      <w:r>
        <w:rPr>
          <w:spacing w:val="-5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40,000</w:t>
      </w:r>
      <w:r>
        <w:rPr>
          <w:rFonts w:ascii="Times New Roman" w:hAnsi="Times New Roman" w:cs="Times New Roman" w:eastAsia="Times New Roman" w:hint="default"/>
          <w:spacing w:val="-3"/>
        </w:rPr>
        <w:t> </w:t>
      </w:r>
      <w:r>
        <w:rPr/>
        <w:t>万元的综合授信额度；</w:t>
      </w:r>
    </w:p>
    <w:p>
      <w:pPr>
        <w:pStyle w:val="BodyText"/>
        <w:spacing w:line="304" w:lineRule="auto" w:before="0"/>
        <w:ind w:right="1675"/>
        <w:jc w:val="left"/>
      </w:pPr>
      <w:r>
        <w:rPr>
          <w:spacing w:val="-5"/>
          <w:w w:val="100"/>
        </w:rPr>
        <w:t>⑦根据长沙中电软件园有限公司日常资金使用及项目开展需求，长沙中电软件</w:t>
      </w:r>
      <w:r>
        <w:rPr>
          <w:spacing w:val="-85"/>
          <w:w w:val="100"/>
        </w:rPr>
        <w:t> </w:t>
      </w:r>
      <w:r>
        <w:rPr>
          <w:spacing w:val="-85"/>
          <w:w w:val="100"/>
        </w:rPr>
      </w:r>
      <w:r>
        <w:rPr/>
        <w:t>园有限公司以其全部股东（公司持股</w:t>
      </w:r>
      <w:r>
        <w:rPr>
          <w:spacing w:val="-53"/>
        </w:rPr>
        <w:t> </w:t>
      </w:r>
      <w:r>
        <w:rPr>
          <w:rFonts w:ascii="Times New Roman" w:hAnsi="Times New Roman" w:cs="Times New Roman" w:eastAsia="Times New Roman" w:hint="default"/>
        </w:rPr>
        <w:t>70%</w:t>
      </w:r>
      <w:r>
        <w:rPr/>
        <w:t>、长沙软件园持股</w:t>
      </w:r>
      <w:r>
        <w:rPr>
          <w:spacing w:val="-54"/>
        </w:rPr>
        <w:t> </w:t>
      </w:r>
      <w:r>
        <w:rPr>
          <w:rFonts w:ascii="Times New Roman" w:hAnsi="Times New Roman" w:cs="Times New Roman" w:eastAsia="Times New Roman" w:hint="default"/>
        </w:rPr>
        <w:t>30%</w:t>
      </w:r>
      <w:r>
        <w:rPr/>
        <w:t>）提供信用</w:t>
      </w:r>
      <w:r>
        <w:rPr>
          <w:w w:val="100"/>
        </w:rPr>
        <w:t> </w:t>
      </w:r>
      <w:r>
        <w:rPr>
          <w:spacing w:val="-2"/>
        </w:rPr>
        <w:t>担保的方式向中国建设银行芙蓉支行申请人民币</w:t>
      </w:r>
      <w:r>
        <w:rPr>
          <w:spacing w:val="-46"/>
        </w:rPr>
        <w:t> </w:t>
      </w:r>
      <w:r>
        <w:rPr>
          <w:rFonts w:ascii="Times New Roman" w:hAnsi="Times New Roman" w:cs="Times New Roman" w:eastAsia="Times New Roman" w:hint="default"/>
          <w:spacing w:val="-1"/>
        </w:rPr>
        <w:t>22,500</w:t>
      </w:r>
      <w:r>
        <w:rPr>
          <w:rFonts w:ascii="Times New Roman" w:hAnsi="Times New Roman" w:cs="Times New Roman" w:eastAsia="Times New Roman" w:hint="default"/>
          <w:spacing w:val="6"/>
        </w:rPr>
        <w:t> </w:t>
      </w:r>
      <w:r>
        <w:rPr>
          <w:spacing w:val="-2"/>
        </w:rPr>
        <w:t>万元的综合授信额度；</w:t>
      </w:r>
    </w:p>
    <w:p>
      <w:pPr>
        <w:pStyle w:val="BodyText"/>
        <w:spacing w:line="309" w:lineRule="auto" w:before="6"/>
        <w:ind w:right="1468"/>
        <w:jc w:val="left"/>
      </w:pPr>
      <w:r>
        <w:rPr>
          <w:spacing w:val="-5"/>
          <w:w w:val="100"/>
        </w:rPr>
        <w:t>⑧根据日常资金使用需求，武汉中原电子集团有限公司为武汉中元通信股份有</w:t>
      </w:r>
      <w:r>
        <w:rPr>
          <w:spacing w:val="-84"/>
          <w:w w:val="100"/>
        </w:rPr>
        <w:t> </w:t>
      </w:r>
      <w:r>
        <w:rPr>
          <w:spacing w:val="-84"/>
          <w:w w:val="100"/>
        </w:rPr>
      </w:r>
      <w:r>
        <w:rPr>
          <w:spacing w:val="-5"/>
          <w:w w:val="100"/>
        </w:rPr>
        <w:t>限公司、武汉长光电源有限公司共用其在招商银行金融港支行申请的银行综合</w:t>
      </w:r>
      <w:r>
        <w:rPr>
          <w:spacing w:val="-85"/>
          <w:w w:val="100"/>
        </w:rPr>
        <w:t> </w:t>
      </w:r>
      <w:r>
        <w:rPr>
          <w:spacing w:val="-85"/>
          <w:w w:val="100"/>
        </w:rPr>
      </w:r>
      <w:r>
        <w:rPr/>
        <w:t>授信额度人民币</w:t>
      </w:r>
      <w:r>
        <w:rPr>
          <w:spacing w:val="-53"/>
        </w:rPr>
        <w:t> </w:t>
      </w:r>
      <w:r>
        <w:rPr>
          <w:rFonts w:ascii="Times New Roman" w:hAnsi="Times New Roman" w:cs="Times New Roman" w:eastAsia="Times New Roman" w:hint="default"/>
        </w:rPr>
        <w:t>25,000</w:t>
      </w:r>
      <w:r>
        <w:rPr>
          <w:rFonts w:ascii="Times New Roman" w:hAnsi="Times New Roman" w:cs="Times New Roman" w:eastAsia="Times New Roman" w:hint="default"/>
          <w:spacing w:val="-4"/>
        </w:rPr>
        <w:t> </w:t>
      </w:r>
      <w:r>
        <w:rPr/>
        <w:t>万元中的</w:t>
      </w:r>
      <w:r>
        <w:rPr>
          <w:spacing w:val="-54"/>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t>万元提供信用担保；</w:t>
      </w:r>
      <w:r>
        <w:rPr>
          <w:w w:val="100"/>
        </w:rPr>
        <w:t> </w:t>
      </w:r>
      <w:r>
        <w:rPr/>
        <w:t>为武汉中元通信股份有限公司在中国邮储银行武汉分行申请的银行综合授信</w:t>
      </w:r>
      <w:r>
        <w:rPr>
          <w:w w:val="100"/>
        </w:rPr>
        <w:t> </w:t>
      </w:r>
      <w:r>
        <w:rPr/>
        <w:t>额度人民币</w:t>
      </w:r>
      <w:r>
        <w:rPr>
          <w:spacing w:val="-53"/>
        </w:rPr>
        <w:t> </w:t>
      </w:r>
      <w:r>
        <w:rPr>
          <w:rFonts w:ascii="Times New Roman" w:hAnsi="Times New Roman" w:cs="Times New Roman" w:eastAsia="Times New Roman" w:hint="default"/>
        </w:rPr>
        <w:t>25,000</w:t>
      </w:r>
      <w:r>
        <w:rPr>
          <w:rFonts w:ascii="Times New Roman" w:hAnsi="Times New Roman" w:cs="Times New Roman" w:eastAsia="Times New Roman" w:hint="default"/>
          <w:spacing w:val="-4"/>
        </w:rPr>
        <w:t> </w:t>
      </w:r>
      <w:r>
        <w:rPr/>
        <w:t>万元提供信用担保；</w:t>
      </w:r>
    </w:p>
    <w:p>
      <w:pPr>
        <w:pStyle w:val="BodyText"/>
        <w:spacing w:line="304" w:lineRule="auto" w:before="2"/>
        <w:ind w:right="1786"/>
        <w:jc w:val="both"/>
      </w:pPr>
      <w:r>
        <w:rPr>
          <w:spacing w:val="-5"/>
          <w:w w:val="100"/>
        </w:rPr>
        <w:t>⑨根据日常资金使用需求，武汉中元通信股份有限公司为武汉中原电子信息有</w:t>
      </w:r>
      <w:r>
        <w:rPr>
          <w:spacing w:val="-84"/>
          <w:w w:val="100"/>
        </w:rPr>
        <w:t> </w:t>
      </w:r>
      <w:r>
        <w:rPr>
          <w:spacing w:val="-84"/>
          <w:w w:val="100"/>
        </w:rPr>
      </w:r>
      <w:r>
        <w:rPr/>
        <w:t>限公司共用其在民生银行武汉分行申请的银行综合授信额度人民币</w:t>
      </w:r>
      <w:r>
        <w:rPr>
          <w:spacing w:val="-78"/>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7"/>
        </w:rPr>
        <w:t> </w:t>
      </w:r>
      <w:r>
        <w:rPr>
          <w:spacing w:val="-3"/>
        </w:rPr>
        <w:t>万元</w:t>
      </w:r>
      <w:r>
        <w:rPr>
          <w:spacing w:val="-3"/>
          <w:w w:val="100"/>
        </w:rPr>
        <w:t> </w:t>
      </w:r>
      <w:r>
        <w:rPr/>
        <w:t>提供信用担保。</w:t>
      </w:r>
    </w:p>
    <w:p>
      <w:pPr>
        <w:pStyle w:val="Heading5"/>
        <w:spacing w:line="240" w:lineRule="auto" w:before="67"/>
        <w:ind w:left="846" w:right="0"/>
        <w:jc w:val="both"/>
        <w:rPr>
          <w:b w:val="0"/>
          <w:bCs w:val="0"/>
        </w:rPr>
      </w:pPr>
      <w:r>
        <w:rPr>
          <w:rFonts w:ascii="Times New Roman" w:hAnsi="Times New Roman" w:cs="Times New Roman" w:eastAsia="Times New Roman" w:hint="default"/>
        </w:rPr>
        <w:t>2</w:t>
      </w:r>
      <w:r>
        <w:rPr/>
        <w:t>、 </w:t>
      </w:r>
      <w:r>
        <w:rPr>
          <w:spacing w:val="35"/>
        </w:rPr>
        <w:t> </w:t>
      </w:r>
      <w:r>
        <w:rPr>
          <w:spacing w:val="-6"/>
        </w:rPr>
        <w:t>除存在上述或有事项外，截至</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日，本公司无其他重大或有事项。</w:t>
      </w:r>
      <w:r>
        <w:rPr>
          <w:b w:val="0"/>
          <w:bCs w:val="0"/>
          <w:spacing w:val="-5"/>
        </w:rPr>
      </w:r>
    </w:p>
    <w:p>
      <w:pPr>
        <w:spacing w:line="240" w:lineRule="auto" w:before="6"/>
        <w:rPr>
          <w:rFonts w:ascii="宋体" w:hAnsi="宋体" w:cs="宋体" w:eastAsia="宋体" w:hint="default"/>
          <w:b/>
          <w:bCs/>
          <w:sz w:val="30"/>
          <w:szCs w:val="30"/>
        </w:rPr>
      </w:pPr>
    </w:p>
    <w:p>
      <w:pPr>
        <w:pStyle w:val="Heading5"/>
        <w:spacing w:line="240" w:lineRule="auto" w:before="0"/>
        <w:ind w:right="3683"/>
        <w:jc w:val="left"/>
        <w:rPr>
          <w:b w:val="0"/>
          <w:bCs w:val="0"/>
        </w:rPr>
      </w:pPr>
      <w:r>
        <w:rPr/>
        <w:t>十三、</w:t>
      </w:r>
      <w:r>
        <w:rPr>
          <w:spacing w:val="-23"/>
        </w:rPr>
        <w:t> </w:t>
      </w:r>
      <w:r>
        <w:rPr/>
        <w:t>资产负债表日后事项</w:t>
      </w:r>
      <w:r>
        <w:rPr>
          <w:b w:val="0"/>
          <w:bCs w:val="0"/>
        </w:rPr>
      </w:r>
    </w:p>
    <w:p>
      <w:pPr>
        <w:pStyle w:val="Heading5"/>
        <w:tabs>
          <w:tab w:pos="850" w:val="left" w:leader="none"/>
        </w:tabs>
        <w:spacing w:line="240" w:lineRule="auto" w:before="124"/>
        <w:ind w:right="368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利润分配情况</w:t>
      </w:r>
      <w:r>
        <w:rPr>
          <w:b w:val="0"/>
          <w:bCs w:val="0"/>
        </w:rPr>
      </w:r>
    </w:p>
    <w:p>
      <w:pPr>
        <w:pStyle w:val="BodyText"/>
        <w:spacing w:line="302" w:lineRule="auto" w:before="69"/>
        <w:ind w:left="850" w:right="1786"/>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年度公司每股收益</w:t>
      </w:r>
      <w:r>
        <w:rPr>
          <w:spacing w:val="-53"/>
        </w:rPr>
        <w:t> </w:t>
      </w:r>
      <w:r>
        <w:rPr>
          <w:rFonts w:ascii="Times New Roman" w:hAnsi="Times New Roman" w:cs="Times New Roman" w:eastAsia="Times New Roman" w:hint="default"/>
        </w:rPr>
        <w:t>0.380</w:t>
      </w:r>
      <w:r>
        <w:rPr>
          <w:rFonts w:ascii="Times New Roman" w:hAnsi="Times New Roman" w:cs="Times New Roman" w:eastAsia="Times New Roman" w:hint="default"/>
          <w:spacing w:val="-1"/>
        </w:rPr>
        <w:t> </w:t>
      </w:r>
      <w:r>
        <w:rPr/>
        <w:t>元，母公司净利润</w:t>
      </w:r>
      <w:r>
        <w:rPr>
          <w:spacing w:val="-54"/>
        </w:rPr>
        <w:t> </w:t>
      </w:r>
      <w:r>
        <w:rPr>
          <w:rFonts w:ascii="Times New Roman" w:hAnsi="Times New Roman" w:cs="Times New Roman" w:eastAsia="Times New Roman" w:hint="default"/>
        </w:rPr>
        <w:t>325,859,582.90</w:t>
      </w:r>
      <w:r>
        <w:rPr>
          <w:rFonts w:ascii="Times New Roman" w:hAnsi="Times New Roman" w:cs="Times New Roman" w:eastAsia="Times New Roman" w:hint="default"/>
          <w:spacing w:val="-4"/>
        </w:rPr>
        <w:t> </w:t>
      </w:r>
      <w:r>
        <w:rPr/>
        <w:t>元，提取</w:t>
      </w:r>
      <w:r>
        <w:rPr>
          <w:spacing w:val="-53"/>
        </w:rPr>
        <w:t> </w:t>
      </w:r>
      <w:r>
        <w:rPr>
          <w:rFonts w:ascii="Times New Roman" w:hAnsi="Times New Roman" w:cs="Times New Roman" w:eastAsia="Times New Roman" w:hint="default"/>
        </w:rPr>
        <w:t>10%</w:t>
      </w:r>
      <w:r>
        <w:rPr/>
        <w:t>法定</w:t>
      </w:r>
      <w:r>
        <w:rPr>
          <w:w w:val="100"/>
        </w:rPr>
        <w:t> </w:t>
      </w:r>
      <w:r>
        <w:rPr>
          <w:spacing w:val="-2"/>
        </w:rPr>
        <w:t>盈余公积金，加上年初未分配利润（因同一控制下企业合并、投资性房地产会计政</w:t>
      </w:r>
      <w:r>
        <w:rPr>
          <w:spacing w:val="-35"/>
        </w:rPr>
        <w:t> </w:t>
      </w:r>
      <w:r>
        <w:rPr>
          <w:spacing w:val="-35"/>
        </w:rPr>
      </w:r>
      <w:r>
        <w:rPr/>
        <w:t>策变更以及执行新金融工具系列准则追溯和调整后）</w:t>
      </w:r>
      <w:r>
        <w:rPr>
          <w:rFonts w:ascii="Times New Roman" w:hAnsi="Times New Roman" w:cs="Times New Roman" w:eastAsia="Times New Roman" w:hint="default"/>
        </w:rPr>
        <w:t>1,431,672,602.60</w:t>
      </w:r>
      <w:r>
        <w:rPr>
          <w:rFonts w:ascii="Times New Roman" w:hAnsi="Times New Roman" w:cs="Times New Roman" w:eastAsia="Times New Roman" w:hint="default"/>
          <w:spacing w:val="1"/>
        </w:rPr>
        <w:t> </w:t>
      </w:r>
      <w:r>
        <w:rPr>
          <w:spacing w:val="-3"/>
        </w:rPr>
        <w:t>元，扣除年内</w:t>
      </w:r>
      <w:r>
        <w:rPr>
          <w:w w:val="100"/>
        </w:rPr>
        <w:t> </w:t>
      </w:r>
      <w:r>
        <w:rPr/>
        <w:t>实施的</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年度利润分配现金分红</w:t>
      </w:r>
      <w:r>
        <w:rPr>
          <w:spacing w:val="-53"/>
        </w:rPr>
        <w:t> </w:t>
      </w:r>
      <w:r>
        <w:rPr>
          <w:rFonts w:ascii="Times New Roman" w:hAnsi="Times New Roman" w:cs="Times New Roman" w:eastAsia="Times New Roman" w:hint="default"/>
        </w:rPr>
        <w:t>146,808,278.00</w:t>
      </w:r>
      <w:r>
        <w:rPr>
          <w:rFonts w:ascii="Times New Roman" w:hAnsi="Times New Roman" w:cs="Times New Roman" w:eastAsia="Times New Roman" w:hint="default"/>
          <w:spacing w:val="-3"/>
        </w:rPr>
        <w:t> </w:t>
      </w:r>
      <w:r>
        <w:rPr/>
        <w:t>元，本次可供分配的利润</w:t>
      </w:r>
    </w:p>
    <w:p>
      <w:pPr>
        <w:pStyle w:val="BodyText"/>
        <w:spacing w:line="240" w:lineRule="auto" w:before="8"/>
        <w:ind w:left="850" w:right="0"/>
        <w:jc w:val="both"/>
      </w:pPr>
      <w:r>
        <w:rPr>
          <w:rFonts w:ascii="Times New Roman" w:hAnsi="Times New Roman" w:cs="Times New Roman" w:eastAsia="Times New Roman" w:hint="default"/>
        </w:rPr>
        <w:t>1,578,137,949.21</w:t>
      </w:r>
      <w:r>
        <w:rPr>
          <w:rFonts w:ascii="Times New Roman" w:hAnsi="Times New Roman" w:cs="Times New Roman" w:eastAsia="Times New Roman" w:hint="default"/>
          <w:spacing w:val="1"/>
        </w:rPr>
        <w:t> </w:t>
      </w:r>
      <w:r>
        <w:rPr>
          <w:spacing w:val="-3"/>
        </w:rPr>
        <w:t>元。</w:t>
      </w:r>
      <w:r>
        <w:rPr/>
      </w:r>
    </w:p>
    <w:p>
      <w:pPr>
        <w:spacing w:after="0" w:line="240" w:lineRule="auto"/>
        <w:jc w:val="both"/>
        <w:sectPr>
          <w:pgSz w:w="11910" w:h="16840"/>
          <w:pgMar w:header="753" w:footer="997" w:top="1500" w:bottom="1180" w:left="1660" w:right="0"/>
        </w:sectPr>
      </w:pPr>
    </w:p>
    <w:p>
      <w:pPr>
        <w:spacing w:line="240" w:lineRule="auto" w:before="13"/>
        <w:rPr>
          <w:rFonts w:ascii="宋体" w:hAnsi="宋体" w:cs="宋体" w:eastAsia="宋体" w:hint="default"/>
          <w:sz w:val="19"/>
          <w:szCs w:val="19"/>
        </w:rPr>
      </w:pPr>
    </w:p>
    <w:p>
      <w:pPr>
        <w:pStyle w:val="BodyText"/>
        <w:spacing w:line="297" w:lineRule="auto"/>
        <w:ind w:left="850" w:right="1780"/>
        <w:jc w:val="left"/>
      </w:pPr>
      <w:r>
        <w:rPr>
          <w:spacing w:val="-14"/>
          <w:w w:val="100"/>
        </w:rPr>
        <w:t>根据《公司法》、《公司章程》、《公司股东回报规划（</w:t>
      </w:r>
      <w:r>
        <w:rPr>
          <w:rFonts w:ascii="Times New Roman" w:hAnsi="Times New Roman" w:cs="Times New Roman" w:eastAsia="Times New Roman" w:hint="default"/>
          <w:spacing w:val="-14"/>
          <w:w w:val="100"/>
        </w:rPr>
        <w:t>2018-2020</w:t>
      </w:r>
      <w:r>
        <w:rPr>
          <w:spacing w:val="-14"/>
          <w:w w:val="100"/>
        </w:rPr>
        <w:t>）》之有关规定及公</w:t>
      </w:r>
      <w:r>
        <w:rPr>
          <w:spacing w:val="-79"/>
          <w:w w:val="100"/>
        </w:rPr>
        <w:t> </w:t>
      </w:r>
      <w:r>
        <w:rPr>
          <w:spacing w:val="-79"/>
          <w:w w:val="100"/>
        </w:rPr>
      </w:r>
      <w:r>
        <w:rPr/>
        <w:t>司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spacing w:val="-4"/>
        </w:rPr>
        <w:t>年度的经营情况，在符合利润分配政策、保证公司正常经营和长远发展的前</w:t>
      </w:r>
    </w:p>
    <w:p>
      <w:pPr>
        <w:pStyle w:val="BodyText"/>
        <w:spacing w:line="240" w:lineRule="auto" w:before="13"/>
        <w:ind w:left="850" w:right="1468"/>
        <w:jc w:val="left"/>
      </w:pPr>
      <w:r>
        <w:rPr>
          <w:w w:val="100"/>
        </w:rPr>
        <w:t>提下</w:t>
      </w:r>
      <w:r>
        <w:rPr>
          <w:spacing w:val="-89"/>
          <w:w w:val="100"/>
        </w:rPr>
        <w:t>，</w:t>
      </w:r>
      <w:r>
        <w:rPr>
          <w:w w:val="100"/>
        </w:rPr>
        <w:t>经</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w:t>
      </w:r>
      <w:r>
        <w:rPr>
          <w:spacing w:val="-54"/>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3"/>
        </w:rPr>
        <w:t> </w:t>
      </w:r>
      <w:r>
        <w:rPr>
          <w:spacing w:val="-3"/>
          <w:w w:val="100"/>
        </w:rPr>
        <w:t>日</w:t>
      </w:r>
      <w:r>
        <w:rPr>
          <w:w w:val="100"/>
        </w:rPr>
        <w:t>公司</w:t>
      </w:r>
      <w:r>
        <w:rPr>
          <w:spacing w:val="-3"/>
          <w:w w:val="100"/>
        </w:rPr>
        <w:t>第</w:t>
      </w:r>
      <w:r>
        <w:rPr>
          <w:w w:val="100"/>
        </w:rPr>
        <w:t>七</w:t>
      </w:r>
      <w:r>
        <w:rPr>
          <w:spacing w:val="-3"/>
          <w:w w:val="100"/>
        </w:rPr>
        <w:t>届</w:t>
      </w:r>
      <w:r>
        <w:rPr>
          <w:w w:val="100"/>
        </w:rPr>
        <w:t>董</w:t>
      </w:r>
      <w:r>
        <w:rPr>
          <w:spacing w:val="-3"/>
          <w:w w:val="100"/>
        </w:rPr>
        <w:t>事</w:t>
      </w:r>
      <w:r>
        <w:rPr>
          <w:w w:val="100"/>
        </w:rPr>
        <w:t>会</w:t>
      </w:r>
      <w:r>
        <w:rPr>
          <w:spacing w:val="-3"/>
          <w:w w:val="100"/>
        </w:rPr>
        <w:t>审</w:t>
      </w:r>
      <w:r>
        <w:rPr>
          <w:w w:val="100"/>
        </w:rPr>
        <w:t>议</w:t>
      </w:r>
      <w:r>
        <w:rPr>
          <w:spacing w:val="-89"/>
          <w:w w:val="100"/>
        </w:rPr>
        <w:t>，</w:t>
      </w:r>
      <w:r>
        <w:rPr>
          <w:spacing w:val="-3"/>
          <w:w w:val="100"/>
        </w:rPr>
        <w:t>公</w:t>
      </w:r>
      <w:r>
        <w:rPr>
          <w:w w:val="100"/>
        </w:rPr>
        <w:t>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年</w:t>
      </w:r>
      <w:r>
        <w:rPr>
          <w:w w:val="100"/>
        </w:rPr>
        <w:t>度</w:t>
      </w:r>
      <w:r>
        <w:rPr>
          <w:spacing w:val="-3"/>
          <w:w w:val="100"/>
        </w:rPr>
        <w:t>利</w:t>
      </w:r>
      <w:r>
        <w:rPr>
          <w:w w:val="100"/>
        </w:rPr>
        <w:t>润</w:t>
      </w:r>
      <w:r>
        <w:rPr>
          <w:spacing w:val="-3"/>
          <w:w w:val="100"/>
        </w:rPr>
        <w:t>分</w:t>
      </w:r>
      <w:r>
        <w:rPr>
          <w:w w:val="100"/>
        </w:rPr>
        <w:t>配</w:t>
      </w:r>
      <w:r>
        <w:rPr>
          <w:spacing w:val="-3"/>
          <w:w w:val="100"/>
        </w:rPr>
        <w:t>预案</w:t>
      </w:r>
      <w:r>
        <w:rPr>
          <w:spacing w:val="2"/>
          <w:w w:val="100"/>
        </w:rPr>
        <w:t>为</w:t>
      </w:r>
      <w:r>
        <w:rPr>
          <w:w w:val="100"/>
        </w:rPr>
        <w:t>：</w:t>
      </w:r>
    </w:p>
    <w:p>
      <w:pPr>
        <w:pStyle w:val="BodyText"/>
        <w:spacing w:line="240" w:lineRule="auto" w:before="69"/>
        <w:ind w:left="850" w:right="1468"/>
        <w:jc w:val="left"/>
      </w:pPr>
      <w:r>
        <w:rPr/>
        <w:t>拟以</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年末总股本</w:t>
      </w:r>
      <w:r>
        <w:rPr>
          <w:spacing w:val="-50"/>
        </w:rPr>
        <w:t> </w:t>
      </w:r>
      <w:r>
        <w:rPr>
          <w:rFonts w:ascii="Times New Roman" w:hAnsi="Times New Roman" w:cs="Times New Roman" w:eastAsia="Times New Roman" w:hint="default"/>
        </w:rPr>
        <w:t>2,928,182,053</w:t>
      </w:r>
      <w:r>
        <w:rPr>
          <w:rFonts w:ascii="Times New Roman" w:hAnsi="Times New Roman" w:cs="Times New Roman" w:eastAsia="Times New Roman" w:hint="default"/>
          <w:spacing w:val="-1"/>
        </w:rPr>
        <w:t> </w:t>
      </w:r>
      <w:r>
        <w:rPr>
          <w:spacing w:val="-3"/>
        </w:rPr>
        <w:t>股为基数，向全体股东每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股派发现金股利人</w:t>
      </w:r>
    </w:p>
    <w:p>
      <w:pPr>
        <w:pStyle w:val="BodyText"/>
        <w:spacing w:line="240" w:lineRule="auto" w:before="69"/>
        <w:ind w:left="850" w:right="1468"/>
        <w:jc w:val="left"/>
      </w:pPr>
      <w:r>
        <w:rPr>
          <w:w w:val="100"/>
        </w:rPr>
        <w:t>民币</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87</w:t>
      </w:r>
      <w:r>
        <w:rPr>
          <w:rFonts w:ascii="Times New Roman" w:hAnsi="Times New Roman" w:cs="Times New Roman" w:eastAsia="Times New Roman" w:hint="default"/>
          <w:spacing w:val="-3"/>
        </w:rPr>
        <w:t> </w:t>
      </w:r>
      <w:r>
        <w:rPr>
          <w:spacing w:val="-22"/>
          <w:w w:val="100"/>
        </w:rPr>
        <w:t>元</w:t>
      </w:r>
      <w:r>
        <w:rPr>
          <w:spacing w:val="-3"/>
          <w:w w:val="100"/>
        </w:rPr>
        <w:t>（</w:t>
      </w:r>
      <w:r>
        <w:rPr>
          <w:w w:val="100"/>
        </w:rPr>
        <w:t>含税</w:t>
      </w:r>
      <w:r>
        <w:rPr>
          <w:spacing w:val="-108"/>
          <w:w w:val="100"/>
        </w:rPr>
        <w:t>）</w:t>
      </w:r>
      <w:r>
        <w:rPr>
          <w:spacing w:val="-25"/>
          <w:w w:val="100"/>
        </w:rPr>
        <w:t>，</w:t>
      </w:r>
      <w:r>
        <w:rPr>
          <w:w w:val="100"/>
        </w:rPr>
        <w:t>共</w:t>
      </w:r>
      <w:r>
        <w:rPr>
          <w:spacing w:val="-3"/>
          <w:w w:val="100"/>
        </w:rPr>
        <w:t>计</w:t>
      </w:r>
      <w:r>
        <w:rPr>
          <w:w w:val="100"/>
        </w:rPr>
        <w:t>派发</w:t>
      </w:r>
      <w:r>
        <w:rPr>
          <w:spacing w:val="-3"/>
          <w:w w:val="100"/>
        </w:rPr>
        <w:t>现</w:t>
      </w:r>
      <w:r>
        <w:rPr>
          <w:w w:val="100"/>
        </w:rPr>
        <w:t>金</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54,7</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8.61</w:t>
      </w:r>
      <w:r>
        <w:rPr>
          <w:rFonts w:ascii="Times New Roman" w:hAnsi="Times New Roman" w:cs="Times New Roman" w:eastAsia="Times New Roman" w:hint="default"/>
          <w:spacing w:val="-2"/>
        </w:rPr>
        <w:t> </w:t>
      </w:r>
      <w:r>
        <w:rPr>
          <w:w w:val="100"/>
        </w:rPr>
        <w:t>元</w:t>
      </w:r>
      <w:r>
        <w:rPr>
          <w:spacing w:val="-25"/>
          <w:w w:val="100"/>
        </w:rPr>
        <w:t>。</w:t>
      </w:r>
      <w:r>
        <w:rPr>
          <w:w w:val="100"/>
        </w:rPr>
        <w:t>该</w:t>
      </w:r>
      <w:r>
        <w:rPr>
          <w:spacing w:val="-3"/>
          <w:w w:val="100"/>
        </w:rPr>
        <w:t>利</w:t>
      </w:r>
      <w:r>
        <w:rPr>
          <w:w w:val="100"/>
        </w:rPr>
        <w:t>润</w:t>
      </w:r>
      <w:r>
        <w:rPr>
          <w:spacing w:val="-3"/>
          <w:w w:val="100"/>
        </w:rPr>
        <w:t>分</w:t>
      </w:r>
      <w:r>
        <w:rPr>
          <w:w w:val="100"/>
        </w:rPr>
        <w:t>配</w:t>
      </w:r>
      <w:r>
        <w:rPr>
          <w:spacing w:val="-3"/>
          <w:w w:val="100"/>
        </w:rPr>
        <w:t>预</w:t>
      </w:r>
      <w:r>
        <w:rPr>
          <w:w w:val="100"/>
        </w:rPr>
        <w:t>案</w:t>
      </w:r>
      <w:r>
        <w:rPr>
          <w:spacing w:val="-3"/>
          <w:w w:val="100"/>
        </w:rPr>
        <w:t>需提</w:t>
      </w:r>
      <w:r>
        <w:rPr>
          <w:w w:val="100"/>
        </w:rPr>
        <w:t>交公司</w:t>
      </w:r>
    </w:p>
    <w:p>
      <w:pPr>
        <w:pStyle w:val="BodyText"/>
        <w:spacing w:line="240" w:lineRule="auto" w:before="69"/>
        <w:ind w:left="850" w:right="3683"/>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年度股东大会审议。</w:t>
      </w:r>
    </w:p>
    <w:p>
      <w:pPr>
        <w:spacing w:line="240" w:lineRule="auto" w:before="3"/>
        <w:rPr>
          <w:rFonts w:ascii="宋体" w:hAnsi="宋体" w:cs="宋体" w:eastAsia="宋体" w:hint="default"/>
          <w:sz w:val="30"/>
          <w:szCs w:val="30"/>
        </w:rPr>
      </w:pPr>
    </w:p>
    <w:p>
      <w:pPr>
        <w:pStyle w:val="Heading5"/>
        <w:tabs>
          <w:tab w:pos="850" w:val="left" w:leader="none"/>
        </w:tabs>
        <w:spacing w:line="240" w:lineRule="auto" w:before="0"/>
        <w:ind w:right="36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其他资产负债表日后事项说明</w:t>
      </w:r>
      <w:r>
        <w:rPr>
          <w:b w:val="0"/>
          <w:bCs w:val="0"/>
        </w:rPr>
      </w:r>
    </w:p>
    <w:p>
      <w:pPr>
        <w:tabs>
          <w:tab w:pos="1397" w:val="left" w:leader="none"/>
        </w:tabs>
        <w:spacing w:line="297" w:lineRule="auto" w:before="69"/>
        <w:ind w:left="1414" w:right="1892"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公开发行公司债券</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为实现公司的可持续发展，优化债务结构，降低融资成本，经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BodyText"/>
        <w:spacing w:line="309" w:lineRule="auto" w:before="13"/>
        <w:ind w:right="1786"/>
        <w:jc w:val="both"/>
      </w:pPr>
      <w:r>
        <w:rPr>
          <w:rFonts w:ascii="Times New Roman" w:hAnsi="Times New Roman" w:cs="Times New Roman" w:eastAsia="Times New Roman" w:hint="default"/>
          <w:w w:val="100"/>
        </w:rPr>
        <w:t>29 </w:t>
      </w:r>
      <w:r>
        <w:rPr>
          <w:spacing w:val="-6"/>
          <w:w w:val="100"/>
        </w:rPr>
        <w:t>日公司第七届董事会第二十四次会议、</w:t>
      </w:r>
      <w:r>
        <w:rPr>
          <w:rFonts w:ascii="Times New Roman" w:hAnsi="Times New Roman" w:cs="Times New Roman" w:eastAsia="Times New Roman" w:hint="default"/>
          <w:spacing w:val="-6"/>
          <w:w w:val="100"/>
        </w:rPr>
        <w:t>2019</w:t>
      </w:r>
      <w:r>
        <w:rPr>
          <w:rFonts w:ascii="Times New Roman" w:hAnsi="Times New Roman" w:cs="Times New Roman" w:eastAsia="Times New Roman" w:hint="default"/>
          <w:spacing w:val="-3"/>
          <w:w w:val="100"/>
        </w:rPr>
        <w:t> </w:t>
      </w:r>
      <w:r>
        <w:rPr>
          <w:w w:val="100"/>
        </w:rPr>
        <w:t>年</w:t>
      </w:r>
      <w:r>
        <w:rPr>
          <w:spacing w:val="-54"/>
          <w:w w:val="100"/>
        </w:rPr>
        <w:t> </w:t>
      </w:r>
      <w:r>
        <w:rPr>
          <w:rFonts w:ascii="Times New Roman" w:hAnsi="Times New Roman" w:cs="Times New Roman" w:eastAsia="Times New Roman" w:hint="default"/>
          <w:spacing w:val="-5"/>
          <w:w w:val="100"/>
        </w:rPr>
        <w:t>11</w:t>
      </w:r>
      <w:r>
        <w:rPr>
          <w:rFonts w:ascii="Times New Roman" w:hAnsi="Times New Roman" w:cs="Times New Roman" w:eastAsia="Times New Roman" w:hint="default"/>
          <w:spacing w:val="-3"/>
          <w:w w:val="100"/>
        </w:rPr>
        <w:t> </w:t>
      </w:r>
      <w:r>
        <w:rPr>
          <w:w w:val="100"/>
        </w:rPr>
        <w:t>月</w:t>
      </w:r>
      <w:r>
        <w:rPr>
          <w:spacing w:val="-54"/>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w w:val="100"/>
        </w:rPr>
        <w:t> </w:t>
      </w:r>
      <w:r>
        <w:rPr>
          <w:spacing w:val="-1"/>
          <w:w w:val="100"/>
        </w:rPr>
        <w:t>日公司</w:t>
      </w:r>
      <w:r>
        <w:rPr>
          <w:spacing w:val="-54"/>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spacing w:val="-1"/>
          <w:w w:val="100"/>
        </w:rPr>
        <w:t>年度第</w:t>
      </w:r>
      <w:r>
        <w:rPr>
          <w:w w:val="100"/>
        </w:rPr>
        <w:t> </w:t>
      </w:r>
      <w:r>
        <w:rPr>
          <w:spacing w:val="-5"/>
          <w:w w:val="100"/>
        </w:rPr>
        <w:t>四次临时股东大会审议，公司具备向合格投资者公开发行公司债券的条件和资</w:t>
      </w:r>
      <w:r>
        <w:rPr>
          <w:spacing w:val="-84"/>
          <w:w w:val="100"/>
        </w:rPr>
        <w:t> </w:t>
      </w:r>
      <w:r>
        <w:rPr>
          <w:spacing w:val="-84"/>
          <w:w w:val="100"/>
        </w:rPr>
      </w:r>
      <w:r>
        <w:rPr>
          <w:spacing w:val="-5"/>
        </w:rPr>
        <w:t>格，同意公司公开发行公司债券，本次发行公司债券的股东大会决议有效期为</w:t>
      </w:r>
      <w:r>
        <w:rPr>
          <w:spacing w:val="-45"/>
        </w:rPr>
        <w:t> </w:t>
      </w:r>
      <w:r>
        <w:rPr>
          <w:spacing w:val="-45"/>
        </w:rPr>
      </w:r>
      <w:r>
        <w:rPr/>
        <w:t>自股东大会审议通过之日起</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个月。</w:t>
      </w:r>
    </w:p>
    <w:p>
      <w:pPr>
        <w:pStyle w:val="BodyText"/>
        <w:spacing w:line="304" w:lineRule="auto" w:before="2"/>
        <w:ind w:right="1835"/>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月，公司收到中国证券监督管理委员会出具的《关于核准中国长城</w:t>
      </w:r>
      <w:r>
        <w:rPr>
          <w:w w:val="100"/>
        </w:rPr>
        <w:t> </w:t>
      </w:r>
      <w:r>
        <w:rPr>
          <w:spacing w:val="-5"/>
          <w:w w:val="100"/>
        </w:rPr>
        <w:t>科技集团股份有限公司向合格投资者公开发行公司债券的批复》（证监许可</w:t>
      </w:r>
      <w:r>
        <w:rPr>
          <w:spacing w:val="-89"/>
          <w:w w:val="100"/>
        </w:rPr>
        <w:t> </w:t>
      </w:r>
      <w:r>
        <w:rPr>
          <w:spacing w:val="-89"/>
          <w:w w:val="100"/>
        </w:rPr>
      </w:r>
      <w:r>
        <w:rPr>
          <w:rFonts w:ascii="Times New Roman" w:hAnsi="Times New Roman" w:cs="Times New Roman" w:eastAsia="Times New Roman" w:hint="default"/>
          <w:spacing w:val="-1"/>
          <w:w w:val="100"/>
        </w:rPr>
        <w:t>[2020]260</w:t>
      </w:r>
      <w:r>
        <w:rPr>
          <w:rFonts w:ascii="Times New Roman" w:hAnsi="Times New Roman" w:cs="Times New Roman" w:eastAsia="Times New Roman" w:hint="default"/>
          <w:spacing w:val="9"/>
          <w:w w:val="100"/>
        </w:rPr>
        <w:t> </w:t>
      </w:r>
      <w:r>
        <w:rPr>
          <w:spacing w:val="-6"/>
          <w:w w:val="100"/>
        </w:rPr>
        <w:t>号），公司将在批复有效期内适时公开发行公司债券。</w:t>
      </w:r>
    </w:p>
    <w:p>
      <w:pPr>
        <w:pStyle w:val="Heading5"/>
        <w:tabs>
          <w:tab w:pos="1397" w:val="left" w:leader="none"/>
        </w:tabs>
        <w:spacing w:line="240" w:lineRule="auto" w:before="6"/>
        <w:ind w:left="846" w:right="3683"/>
        <w:jc w:val="left"/>
        <w:rPr>
          <w:b w:val="0"/>
          <w:bCs w:val="0"/>
        </w:rPr>
      </w:pPr>
      <w:r>
        <w:rPr>
          <w:rFonts w:ascii="Times New Roman" w:hAnsi="Times New Roman" w:cs="Times New Roman" w:eastAsia="Times New Roman" w:hint="default"/>
        </w:rPr>
        <w:t>2</w:t>
      </w:r>
      <w:r>
        <w:rPr/>
        <w:t>、</w:t>
        <w:tab/>
        <w:t>发行中期票据</w:t>
      </w:r>
      <w:r>
        <w:rPr>
          <w:b w:val="0"/>
          <w:bCs w:val="0"/>
        </w:rPr>
      </w:r>
    </w:p>
    <w:p>
      <w:pPr>
        <w:pStyle w:val="BodyText"/>
        <w:spacing w:line="314" w:lineRule="auto" w:before="69"/>
        <w:ind w:right="1468"/>
        <w:jc w:val="left"/>
        <w:rPr>
          <w:rFonts w:ascii="Times New Roman" w:hAnsi="Times New Roman" w:cs="Times New Roman" w:eastAsia="Times New Roman" w:hint="default"/>
        </w:rPr>
      </w:pPr>
      <w:r>
        <w:rPr>
          <w:spacing w:val="-3"/>
        </w:rPr>
        <w:t>为进一步拓宽本公司融资渠道、优化债务结构，降低融资成本，满足公司发展</w:t>
      </w:r>
      <w:r>
        <w:rPr>
          <w:spacing w:val="-64"/>
        </w:rPr>
        <w:t> </w:t>
      </w:r>
      <w:r>
        <w:rPr>
          <w:spacing w:val="-64"/>
        </w:rPr>
      </w:r>
      <w:r>
        <w:rPr/>
        <w:t>需要，经</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日公司第七届董事会第二十四次会议、</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r>
    </w:p>
    <w:p>
      <w:pPr>
        <w:pStyle w:val="BodyText"/>
        <w:spacing w:line="288" w:lineRule="exact" w:before="0"/>
        <w:ind w:right="1468"/>
        <w:jc w:val="left"/>
      </w:pP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日公司</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年度第四次临时股东大会审议，同意公司发行中期票据。</w:t>
      </w:r>
    </w:p>
    <w:p>
      <w:pPr>
        <w:pStyle w:val="BodyText"/>
        <w:spacing w:line="240" w:lineRule="auto" w:before="69"/>
        <w:ind w:right="1468"/>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月，公司收到中国银行间市场交易商协会发出的《接受注册通知书》</w:t>
      </w:r>
    </w:p>
    <w:p>
      <w:pPr>
        <w:pStyle w:val="BodyText"/>
        <w:spacing w:line="297" w:lineRule="auto" w:before="69"/>
        <w:ind w:right="1629"/>
        <w:jc w:val="left"/>
      </w:pPr>
      <w:r>
        <w:rPr>
          <w:w w:val="100"/>
        </w:rPr>
        <w:t>（中</w:t>
      </w:r>
      <w:r>
        <w:rPr>
          <w:spacing w:val="-3"/>
          <w:w w:val="100"/>
        </w:rPr>
        <w:t>市</w:t>
      </w:r>
      <w:r>
        <w:rPr>
          <w:w w:val="100"/>
        </w:rPr>
        <w:t>协注</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2020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M</w:t>
      </w:r>
      <w:r>
        <w:rPr>
          <w:rFonts w:ascii="Times New Roman" w:hAnsi="Times New Roman" w:cs="Times New Roman" w:eastAsia="Times New Roman" w:hint="default"/>
          <w:spacing w:val="-2"/>
          <w:w w:val="100"/>
        </w:rPr>
        <w:t>T</w:t>
      </w:r>
      <w:r>
        <w:rPr>
          <w:rFonts w:ascii="Times New Roman" w:hAnsi="Times New Roman" w:cs="Times New Roman" w:eastAsia="Times New Roman" w:hint="default"/>
          <w:w w:val="100"/>
        </w:rPr>
        <w:t>N</w:t>
      </w:r>
      <w:r>
        <w:rPr>
          <w:rFonts w:ascii="Times New Roman" w:hAnsi="Times New Roman" w:cs="Times New Roman" w:eastAsia="Times New Roman" w:hint="default"/>
          <w:w w:val="100"/>
        </w:rPr>
        <w:t>47</w:t>
      </w:r>
      <w:r>
        <w:rPr>
          <w:rFonts w:ascii="Times New Roman" w:hAnsi="Times New Roman" w:cs="Times New Roman" w:eastAsia="Times New Roman" w:hint="default"/>
          <w:spacing w:val="-2"/>
        </w:rPr>
        <w:t> </w:t>
      </w:r>
      <w:r>
        <w:rPr>
          <w:w w:val="100"/>
        </w:rPr>
        <w:t>号</w:t>
      </w:r>
      <w:r>
        <w:rPr>
          <w:spacing w:val="-106"/>
          <w:w w:val="100"/>
        </w:rPr>
        <w:t>）</w:t>
      </w:r>
      <w:r>
        <w:rPr>
          <w:spacing w:val="-3"/>
          <w:w w:val="100"/>
        </w:rPr>
        <w:t>；</w:t>
      </w:r>
      <w:r>
        <w:rPr>
          <w:w w:val="100"/>
        </w:rPr>
        <w:t>公</w:t>
      </w:r>
      <w:r>
        <w:rPr>
          <w:spacing w:val="-3"/>
          <w:w w:val="100"/>
        </w:rPr>
        <w:t>司</w:t>
      </w:r>
      <w:r>
        <w:rPr>
          <w:w w:val="100"/>
        </w:rPr>
        <w:t>于</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55"/>
        </w:rPr>
        <w:t> </w:t>
      </w:r>
      <w:r>
        <w:rPr>
          <w:rFonts w:ascii="Times New Roman" w:hAnsi="Times New Roman" w:cs="Times New Roman" w:eastAsia="Times New Roman" w:hint="default"/>
          <w:w w:val="100"/>
        </w:rPr>
        <w:t>24</w:t>
      </w:r>
      <w:r>
        <w:rPr>
          <w:rFonts w:ascii="Times New Roman" w:hAnsi="Times New Roman" w:cs="Times New Roman" w:eastAsia="Times New Roman" w:hint="default"/>
        </w:rPr>
        <w:t> </w:t>
      </w:r>
      <w:r>
        <w:rPr>
          <w:w w:val="100"/>
        </w:rPr>
        <w:t>日</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日</w:t>
      </w:r>
      <w:r>
        <w:rPr>
          <w:w w:val="100"/>
        </w:rPr>
        <w:t>发</w:t>
      </w:r>
      <w:r>
        <w:rPr>
          <w:spacing w:val="-3"/>
          <w:w w:val="100"/>
        </w:rPr>
        <w:t>行</w:t>
      </w:r>
      <w:r>
        <w:rPr>
          <w:w w:val="100"/>
        </w:rPr>
        <w:t>了</w:t>
      </w:r>
      <w:r>
        <w:rPr>
          <w:rFonts w:ascii="Times New Roman" w:hAnsi="Times New Roman" w:cs="Times New Roman" w:eastAsia="Times New Roman" w:hint="default"/>
          <w:spacing w:val="-1"/>
          <w:w w:val="100"/>
        </w:rPr>
        <w:t>“</w:t>
      </w:r>
      <w:r>
        <w:rPr>
          <w:spacing w:val="-3"/>
          <w:w w:val="100"/>
        </w:rPr>
        <w:t>中</w:t>
      </w:r>
      <w:r>
        <w:rPr>
          <w:w w:val="100"/>
        </w:rPr>
        <w:t>国长</w:t>
      </w:r>
      <w:r>
        <w:rPr>
          <w:w w:val="100"/>
        </w:rPr>
        <w:t> 城科</w:t>
      </w:r>
      <w:r>
        <w:rPr>
          <w:spacing w:val="-3"/>
          <w:w w:val="100"/>
        </w:rPr>
        <w:t>技</w:t>
      </w:r>
      <w:r>
        <w:rPr>
          <w:w w:val="100"/>
        </w:rPr>
        <w:t>集</w:t>
      </w:r>
      <w:r>
        <w:rPr>
          <w:spacing w:val="-3"/>
          <w:w w:val="100"/>
        </w:rPr>
        <w:t>团</w:t>
      </w:r>
      <w:r>
        <w:rPr>
          <w:w w:val="100"/>
        </w:rPr>
        <w:t>股</w:t>
      </w:r>
      <w:r>
        <w:rPr>
          <w:spacing w:val="-3"/>
          <w:w w:val="100"/>
        </w:rPr>
        <w:t>份</w:t>
      </w:r>
      <w:r>
        <w:rPr>
          <w:w w:val="100"/>
        </w:rPr>
        <w:t>有</w:t>
      </w:r>
      <w:r>
        <w:rPr>
          <w:spacing w:val="-3"/>
          <w:w w:val="100"/>
        </w:rPr>
        <w:t>限公</w:t>
      </w:r>
      <w:r>
        <w:rPr>
          <w:w w:val="100"/>
        </w:rPr>
        <w:t>司</w:t>
      </w:r>
      <w:r>
        <w:rPr>
          <w:spacing w:val="-67"/>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020</w:t>
      </w:r>
      <w:r>
        <w:rPr>
          <w:rFonts w:ascii="Times New Roman" w:hAnsi="Times New Roman" w:cs="Times New Roman" w:eastAsia="Times New Roman" w:hint="default"/>
          <w:spacing w:val="-15"/>
        </w:rPr>
        <w:t> </w:t>
      </w:r>
      <w:r>
        <w:rPr>
          <w:spacing w:val="-3"/>
          <w:w w:val="100"/>
        </w:rPr>
        <w:t>年</w:t>
      </w:r>
      <w:r>
        <w:rPr>
          <w:w w:val="100"/>
        </w:rPr>
        <w:t>度</w:t>
      </w:r>
      <w:r>
        <w:rPr>
          <w:spacing w:val="-3"/>
          <w:w w:val="100"/>
        </w:rPr>
        <w:t>第</w:t>
      </w:r>
      <w:r>
        <w:rPr>
          <w:w w:val="100"/>
        </w:rPr>
        <w:t>一</w:t>
      </w:r>
      <w:r>
        <w:rPr>
          <w:spacing w:val="-3"/>
          <w:w w:val="100"/>
        </w:rPr>
        <w:t>期</w:t>
      </w:r>
      <w:r>
        <w:rPr>
          <w:w w:val="100"/>
        </w:rPr>
        <w:t>中</w:t>
      </w:r>
      <w:r>
        <w:rPr>
          <w:spacing w:val="-3"/>
          <w:w w:val="100"/>
        </w:rPr>
        <w:t>期</w:t>
      </w:r>
      <w:r>
        <w:rPr>
          <w:w w:val="100"/>
        </w:rPr>
        <w:t>票</w:t>
      </w:r>
      <w:r>
        <w:rPr>
          <w:spacing w:val="-3"/>
          <w:w w:val="100"/>
        </w:rPr>
        <w:t>据</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spacing w:val="-15"/>
        </w:rPr>
        <w:t> </w:t>
      </w:r>
      <w:r>
        <w:rPr>
          <w:w w:val="100"/>
        </w:rPr>
        <w:t>亿</w:t>
      </w:r>
      <w:r>
        <w:rPr>
          <w:spacing w:val="-3"/>
          <w:w w:val="100"/>
        </w:rPr>
        <w:t>元</w:t>
      </w:r>
      <w:r>
        <w:rPr>
          <w:spacing w:val="-106"/>
          <w:w w:val="100"/>
        </w:rPr>
        <w:t>，</w:t>
      </w:r>
      <w:r>
        <w:rPr>
          <w:spacing w:val="-3"/>
          <w:w w:val="100"/>
        </w:rPr>
        <w:t>票</w:t>
      </w:r>
      <w:r>
        <w:rPr>
          <w:w w:val="100"/>
        </w:rPr>
        <w:t>面</w:t>
      </w:r>
      <w:r>
        <w:rPr>
          <w:spacing w:val="-3"/>
          <w:w w:val="100"/>
        </w:rPr>
        <w:t>利</w:t>
      </w:r>
      <w:r>
        <w:rPr>
          <w:w w:val="100"/>
        </w:rPr>
        <w:t>率</w:t>
      </w:r>
      <w:r>
        <w:rPr>
          <w:spacing w:val="-67"/>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68</w:t>
      </w:r>
      <w:r>
        <w:rPr>
          <w:rFonts w:ascii="Times New Roman" w:hAnsi="Times New Roman" w:cs="Times New Roman" w:eastAsia="Times New Roman" w:hint="default"/>
          <w:spacing w:val="-1"/>
          <w:w w:val="100"/>
        </w:rPr>
        <w:t>%</w:t>
      </w:r>
      <w:r>
        <w:rPr>
          <w:w w:val="100"/>
        </w:rPr>
        <w:t>。</w:t>
      </w:r>
    </w:p>
    <w:p>
      <w:pPr>
        <w:pStyle w:val="Heading5"/>
        <w:tabs>
          <w:tab w:pos="1397" w:val="left" w:leader="none"/>
        </w:tabs>
        <w:spacing w:line="240" w:lineRule="auto" w:before="13"/>
        <w:ind w:left="846" w:right="3683"/>
        <w:jc w:val="left"/>
        <w:rPr>
          <w:b w:val="0"/>
          <w:bCs w:val="0"/>
        </w:rPr>
      </w:pPr>
      <w:r>
        <w:rPr>
          <w:rFonts w:ascii="Times New Roman" w:hAnsi="Times New Roman" w:cs="Times New Roman" w:eastAsia="Times New Roman" w:hint="default"/>
        </w:rPr>
        <w:t>3</w:t>
      </w:r>
      <w:r>
        <w:rPr/>
        <w:t>、</w:t>
        <w:tab/>
        <w:t>新冠肺炎疫情影响</w:t>
      </w:r>
      <w:r>
        <w:rPr>
          <w:b w:val="0"/>
          <w:bCs w:val="0"/>
        </w:rPr>
      </w:r>
    </w:p>
    <w:p>
      <w:pPr>
        <w:pStyle w:val="BodyText"/>
        <w:spacing w:line="312" w:lineRule="auto" w:before="69"/>
        <w:ind w:right="0"/>
        <w:jc w:val="left"/>
      </w:pPr>
      <w:r>
        <w:rPr/>
        <w:t>新型冠状病毒感染的肺炎疫情</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肺炎疫情</w:t>
      </w:r>
      <w:r>
        <w:rPr>
          <w:rFonts w:ascii="Times New Roman" w:hAnsi="Times New Roman" w:cs="Times New Roman" w:eastAsia="Times New Roman" w:hint="default"/>
        </w:rPr>
        <w:t>”)</w:t>
      </w:r>
      <w:r>
        <w:rPr/>
        <w:t>于</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月在全国爆</w:t>
      </w:r>
      <w:r>
        <w:rPr>
          <w:w w:val="100"/>
        </w:rPr>
        <w:t> </w:t>
      </w:r>
      <w:r>
        <w:rPr/>
        <w:t>发以来，对肺炎疫情的防控工作正在全国范围内持续进行。</w:t>
      </w:r>
      <w:r>
        <w:rPr>
          <w:w w:val="100"/>
        </w:rPr>
        <w:t> </w:t>
      </w:r>
      <w:r>
        <w:rPr>
          <w:spacing w:val="-5"/>
        </w:rPr>
        <w:t>为抗击肺炎疫情，本公司各单位全员行动，坚决贯彻落实党中央、国务院、集</w:t>
      </w:r>
      <w:r>
        <w:rPr>
          <w:spacing w:val="-45"/>
        </w:rPr>
        <w:t> </w:t>
      </w:r>
      <w:r>
        <w:rPr>
          <w:spacing w:val="-45"/>
        </w:rPr>
      </w:r>
      <w:r>
        <w:rPr>
          <w:spacing w:val="-5"/>
        </w:rPr>
        <w:t>团总部和所在地区疫情防控相关决策部署，完善防控机制和措施安排，结合各</w:t>
      </w:r>
      <w:r>
        <w:rPr>
          <w:spacing w:val="-46"/>
        </w:rPr>
        <w:t> </w:t>
      </w:r>
      <w:r>
        <w:rPr>
          <w:spacing w:val="-46"/>
        </w:rPr>
      </w:r>
      <w:r>
        <w:rPr/>
        <w:t>企业实际情况，多措并举，坚决保证企业生产平稳运行。</w:t>
      </w:r>
      <w:r>
        <w:rPr>
          <w:w w:val="100"/>
        </w:rPr>
        <w:t> </w:t>
      </w:r>
      <w:r>
        <w:rPr>
          <w:spacing w:val="-4"/>
          <w:w w:val="100"/>
        </w:rPr>
        <w:t>本公司将继续密切关注肺炎疫情发展情况，评估和积极应对其对本公司财务状况、</w:t>
      </w:r>
      <w:r>
        <w:rPr>
          <w:spacing w:val="-97"/>
          <w:w w:val="100"/>
        </w:rPr>
        <w:t> </w:t>
      </w:r>
      <w:r>
        <w:rPr>
          <w:spacing w:val="-97"/>
          <w:w w:val="100"/>
        </w:rPr>
      </w:r>
      <w:r>
        <w:rPr/>
        <w:t>经营成果等方面的影响。本公司预计此次新冠疫情及防控措施将对本公司的生产</w:t>
      </w:r>
      <w:r>
        <w:rPr>
          <w:w w:val="100"/>
        </w:rPr>
        <w:t> </w:t>
      </w:r>
      <w:r>
        <w:rPr/>
        <w:t>和经营造成一定的暂时性影响，影响程度将取决于疫情防控的情况、持续时间以</w:t>
      </w:r>
      <w:r>
        <w:rPr>
          <w:w w:val="100"/>
        </w:rPr>
        <w:t> </w:t>
      </w:r>
      <w:r>
        <w:rPr/>
        <w:t>及各项调控政策的实施。截至本报告报出日，该评估工作尚在进行当中。</w:t>
      </w:r>
    </w:p>
    <w:p>
      <w:pPr>
        <w:pStyle w:val="BodyText"/>
        <w:tabs>
          <w:tab w:pos="1397" w:val="left" w:leader="none"/>
        </w:tabs>
        <w:spacing w:line="309" w:lineRule="auto" w:before="22"/>
        <w:ind w:right="1712" w:hanging="569"/>
        <w:jc w:val="left"/>
      </w:pPr>
      <w:r>
        <w:rPr>
          <w:rFonts w:ascii="Times New Roman" w:hAnsi="Times New Roman" w:cs="Times New Roman" w:eastAsia="Times New Roman" w:hint="default"/>
          <w:b/>
          <w:bCs/>
        </w:rPr>
        <w:t>4</w:t>
      </w:r>
      <w:r>
        <w:rPr>
          <w:rFonts w:ascii="宋体" w:hAnsi="宋体" w:cs="宋体" w:eastAsia="宋体" w:hint="default"/>
          <w:b/>
          <w:bCs/>
        </w:rPr>
        <w:t>、</w:t>
        <w:tab/>
      </w:r>
      <w:r>
        <w:rPr>
          <w:rFonts w:ascii="宋体" w:hAnsi="宋体" w:cs="宋体" w:eastAsia="宋体" w:hint="default"/>
          <w:b/>
          <w:bCs/>
          <w:spacing w:val="-1"/>
        </w:rPr>
        <w:t>投资产业化基地并设立全资子公司</w:t>
      </w:r>
      <w:r>
        <w:rPr>
          <w:rFonts w:ascii="宋体" w:hAnsi="宋体" w:cs="宋体" w:eastAsia="宋体" w:hint="default"/>
          <w:b/>
          <w:bCs/>
          <w:spacing w:val="-92"/>
        </w:rPr>
        <w:t> </w:t>
      </w:r>
      <w:r>
        <w:rPr>
          <w:rFonts w:ascii="宋体" w:hAnsi="宋体" w:cs="宋体" w:eastAsia="宋体" w:hint="default"/>
          <w:b/>
          <w:bCs/>
          <w:spacing w:val="-92"/>
        </w:rPr>
      </w:r>
      <w:r>
        <w:rPr/>
        <w:t>基于对国家网络安全与信息化战略的推进实施和未来自主安全业务市场前景</w:t>
      </w:r>
      <w:r>
        <w:rPr>
          <w:w w:val="100"/>
        </w:rPr>
        <w:t> </w:t>
      </w:r>
      <w:r>
        <w:rPr>
          <w:spacing w:val="-2"/>
        </w:rPr>
        <w:t>的展望，为充分利用公司在网络安全、智能制造方面的业务能力和技术优势，</w:t>
      </w:r>
      <w:r>
        <w:rPr>
          <w:w w:val="100"/>
        </w:rPr>
        <w:t> </w:t>
      </w:r>
      <w:r>
        <w:rPr>
          <w:spacing w:val="-5"/>
        </w:rPr>
        <w:t>依托地方政府的政策及资源，强化自主创新产品生产平台建设，保障公司主营</w:t>
      </w:r>
    </w:p>
    <w:p>
      <w:pPr>
        <w:spacing w:after="0" w:line="309" w:lineRule="auto"/>
        <w:jc w:val="left"/>
        <w:sectPr>
          <w:pgSz w:w="11910" w:h="16840"/>
          <w:pgMar w:header="753" w:footer="997" w:top="1500" w:bottom="1180" w:left="1660" w:right="0"/>
        </w:sectPr>
      </w:pPr>
    </w:p>
    <w:p>
      <w:pPr>
        <w:spacing w:line="240" w:lineRule="auto" w:before="13"/>
        <w:rPr>
          <w:rFonts w:ascii="宋体" w:hAnsi="宋体" w:cs="宋体" w:eastAsia="宋体" w:hint="default"/>
          <w:sz w:val="19"/>
          <w:szCs w:val="19"/>
        </w:rPr>
      </w:pPr>
    </w:p>
    <w:p>
      <w:pPr>
        <w:pStyle w:val="BodyText"/>
        <w:spacing w:line="302" w:lineRule="auto"/>
        <w:ind w:right="1841"/>
        <w:jc w:val="both"/>
      </w:pPr>
      <w:r>
        <w:rPr/>
        <w:t>业务发展，提前做好相关市场布局，</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月，公司分别于黑龙江省哈尔</w:t>
      </w:r>
      <w:r>
        <w:rPr>
          <w:w w:val="100"/>
        </w:rPr>
        <w:t> </w:t>
      </w:r>
      <w:r>
        <w:rPr/>
        <w:t>滨市、山东省烟台市投资建设自主创新产业化基地并设立项目配套全资子公</w:t>
      </w:r>
      <w:r>
        <w:rPr>
          <w:w w:val="100"/>
        </w:rPr>
        <w:t> </w:t>
      </w:r>
      <w:r>
        <w:rPr/>
        <w:t>司；</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月，公司于江苏省南通市投资建设自主创新产业化基地并设立</w:t>
      </w:r>
      <w:r>
        <w:rPr>
          <w:w w:val="100"/>
        </w:rPr>
        <w:t> </w:t>
      </w:r>
      <w:r>
        <w:rPr/>
        <w:t>项目配套全资子公司；</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月，公司于四川省泸州市投资建设自主创新</w:t>
      </w:r>
      <w:r>
        <w:rPr>
          <w:w w:val="100"/>
        </w:rPr>
        <w:t> </w:t>
      </w:r>
      <w:r>
        <w:rPr/>
        <w:t>产业化基地并设立项目配套全资子公司。</w:t>
      </w:r>
    </w:p>
    <w:p>
      <w:pPr>
        <w:pStyle w:val="Heading5"/>
        <w:tabs>
          <w:tab w:pos="1397" w:val="left" w:leader="none"/>
        </w:tabs>
        <w:spacing w:line="240" w:lineRule="auto" w:before="30"/>
        <w:ind w:left="846" w:right="3683"/>
        <w:jc w:val="left"/>
        <w:rPr>
          <w:b w:val="0"/>
          <w:bCs w:val="0"/>
        </w:rPr>
      </w:pPr>
      <w:r>
        <w:rPr>
          <w:rFonts w:ascii="Times New Roman" w:hAnsi="Times New Roman" w:cs="Times New Roman" w:eastAsia="Times New Roman" w:hint="default"/>
        </w:rPr>
        <w:t>5</w:t>
      </w:r>
      <w:r>
        <w:rPr/>
        <w:t>、</w:t>
        <w:tab/>
        <w:t>董事变更</w:t>
      </w:r>
      <w:r>
        <w:rPr>
          <w:b w:val="0"/>
          <w:bCs w:val="0"/>
        </w:rPr>
      </w:r>
    </w:p>
    <w:p>
      <w:pPr>
        <w:pStyle w:val="BodyText"/>
        <w:spacing w:line="302" w:lineRule="auto" w:before="69"/>
        <w:ind w:right="1786"/>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2"/>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spacing w:val="-4"/>
        </w:rPr>
        <w:t>日，因工作调整变动原因，李峻先生辞去公司董事职务，不再</w:t>
      </w:r>
      <w:r>
        <w:rPr>
          <w:spacing w:val="-101"/>
        </w:rPr>
        <w:t> </w:t>
      </w:r>
      <w:r>
        <w:rPr>
          <w:spacing w:val="-101"/>
        </w:rPr>
      </w:r>
      <w:r>
        <w:rPr>
          <w:spacing w:val="-5"/>
        </w:rPr>
        <w:t>担任公司任何职务；同日，经公司第七届董事会第三十二次会议审议，提名郭</w:t>
      </w:r>
      <w:r>
        <w:rPr>
          <w:spacing w:val="-45"/>
        </w:rPr>
        <w:t> </w:t>
      </w:r>
      <w:r>
        <w:rPr>
          <w:spacing w:val="-45"/>
        </w:rPr>
      </w:r>
      <w:r>
        <w:rPr/>
        <w:t>涵冰先生为公司第七届董事会董事候选人。经</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日公司</w:t>
      </w:r>
      <w:r>
        <w:rPr>
          <w:spacing w:val="-52"/>
        </w:rPr>
        <w:t> </w:t>
      </w:r>
      <w:r>
        <w:rPr>
          <w:rFonts w:ascii="Times New Roman" w:hAnsi="Times New Roman" w:cs="Times New Roman" w:eastAsia="Times New Roman" w:hint="default"/>
        </w:rPr>
        <w:t>2020 </w:t>
      </w:r>
      <w:r>
        <w:rPr/>
        <w:t>年</w:t>
      </w:r>
      <w:r>
        <w:rPr>
          <w:w w:val="100"/>
        </w:rPr>
        <w:t> </w:t>
      </w:r>
      <w:r>
        <w:rPr/>
        <w:t>度第一次临时股东大会审议，选举郭涵冰先生为公司第七届董事会董事。</w:t>
      </w:r>
    </w:p>
    <w:p>
      <w:pPr>
        <w:pStyle w:val="Heading5"/>
        <w:tabs>
          <w:tab w:pos="1397" w:val="left" w:leader="none"/>
        </w:tabs>
        <w:spacing w:line="240" w:lineRule="auto" w:before="30"/>
        <w:ind w:left="846" w:right="3683"/>
        <w:jc w:val="left"/>
        <w:rPr>
          <w:b w:val="0"/>
          <w:bCs w:val="0"/>
        </w:rPr>
      </w:pPr>
      <w:r>
        <w:rPr>
          <w:rFonts w:ascii="Times New Roman" w:hAnsi="Times New Roman" w:cs="Times New Roman" w:eastAsia="Times New Roman" w:hint="default"/>
        </w:rPr>
        <w:t>6</w:t>
      </w:r>
      <w:r>
        <w:rPr/>
        <w:t>、</w:t>
        <w:tab/>
        <w:t>高级管理人员变更</w:t>
      </w:r>
      <w:r>
        <w:rPr>
          <w:b w:val="0"/>
          <w:bCs w:val="0"/>
        </w:rPr>
      </w:r>
    </w:p>
    <w:p>
      <w:pPr>
        <w:pStyle w:val="BodyText"/>
        <w:spacing w:line="309" w:lineRule="auto" w:before="70"/>
        <w:ind w:right="1468"/>
        <w:jc w:val="left"/>
      </w:pPr>
      <w:r>
        <w:rPr>
          <w:w w:val="100"/>
        </w:rPr>
        <w:t>经</w:t>
      </w:r>
      <w:r>
        <w:rPr>
          <w:spacing w:val="-52"/>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1"/>
          <w:w w:val="100"/>
        </w:rPr>
        <w:t> </w:t>
      </w:r>
      <w:r>
        <w:rPr>
          <w:w w:val="100"/>
        </w:rPr>
        <w:t>年</w:t>
      </w:r>
      <w:r>
        <w:rPr>
          <w:spacing w:val="-5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w w:val="100"/>
        </w:rPr>
        <w:t>月</w:t>
      </w:r>
      <w:r>
        <w:rPr>
          <w:spacing w:val="-54"/>
          <w:w w:val="10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
          <w:w w:val="100"/>
        </w:rPr>
        <w:t> </w:t>
      </w:r>
      <w:r>
        <w:rPr>
          <w:spacing w:val="-6"/>
          <w:w w:val="100"/>
        </w:rPr>
        <w:t>日公司第七届董事会第三十二次会议审议，聘任许海东先生</w:t>
      </w:r>
      <w:r>
        <w:rPr>
          <w:spacing w:val="-101"/>
          <w:w w:val="100"/>
        </w:rPr>
        <w:t> </w:t>
      </w:r>
      <w:r>
        <w:rPr>
          <w:spacing w:val="-101"/>
          <w:w w:val="100"/>
        </w:rPr>
      </w:r>
      <w:r>
        <w:rPr>
          <w:spacing w:val="-8"/>
          <w:w w:val="100"/>
        </w:rPr>
        <w:t>为公司财务总监（总会计师）、聘任于吉永先生和李璇先生为公司高级副总裁、</w:t>
      </w:r>
      <w:r>
        <w:rPr>
          <w:spacing w:val="-83"/>
          <w:w w:val="100"/>
        </w:rPr>
        <w:t> </w:t>
      </w:r>
      <w:r>
        <w:rPr>
          <w:spacing w:val="-83"/>
          <w:w w:val="100"/>
        </w:rPr>
      </w:r>
      <w:r>
        <w:rPr>
          <w:spacing w:val="-5"/>
          <w:w w:val="100"/>
        </w:rPr>
        <w:t>聘任戴湘桃先生为公司总法律顾问，解聘周庚申先生和刘文彬先生的高级管理</w:t>
      </w:r>
      <w:r>
        <w:rPr>
          <w:spacing w:val="-84"/>
          <w:w w:val="100"/>
        </w:rPr>
        <w:t> </w:t>
      </w:r>
      <w:r>
        <w:rPr>
          <w:spacing w:val="-84"/>
          <w:w w:val="100"/>
        </w:rPr>
      </w:r>
      <w:r>
        <w:rPr/>
        <w:t>人员职务。</w:t>
      </w:r>
    </w:p>
    <w:p>
      <w:pPr>
        <w:pStyle w:val="BodyText"/>
        <w:spacing w:line="304" w:lineRule="auto" w:before="24"/>
        <w:ind w:right="1791"/>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日，因个人原因，郭镇先生不再担任公司董事会秘书及其他职</w:t>
      </w:r>
      <w:r>
        <w:rPr>
          <w:w w:val="100"/>
        </w:rPr>
        <w:t> </w:t>
      </w:r>
      <w:r>
        <w:rPr>
          <w:spacing w:val="-5"/>
        </w:rPr>
        <w:t>务；同日，经公司第七届董事会第三十五次会议审议，聘任王习发先生为公司</w:t>
      </w:r>
      <w:r>
        <w:rPr>
          <w:spacing w:val="-48"/>
        </w:rPr>
        <w:t> </w:t>
      </w:r>
      <w:r>
        <w:rPr>
          <w:spacing w:val="-48"/>
        </w:rPr>
      </w:r>
      <w:r>
        <w:rPr/>
        <w:t>董事会秘书。</w:t>
      </w:r>
    </w:p>
    <w:p>
      <w:pPr>
        <w:pStyle w:val="BodyText"/>
        <w:spacing w:line="240" w:lineRule="auto" w:before="28"/>
        <w:ind w:right="0"/>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日，因工作调动原因，周在龙先生辞去公司高级副总裁职务。</w:t>
      </w:r>
    </w:p>
    <w:p>
      <w:pPr>
        <w:pStyle w:val="BodyText"/>
        <w:tabs>
          <w:tab w:pos="1397" w:val="left" w:leader="none"/>
        </w:tabs>
        <w:spacing w:line="304" w:lineRule="auto" w:before="69"/>
        <w:ind w:right="1791" w:hanging="569"/>
        <w:jc w:val="left"/>
      </w:pPr>
      <w:r>
        <w:rPr>
          <w:rFonts w:ascii="Times New Roman" w:hAnsi="Times New Roman" w:cs="Times New Roman" w:eastAsia="Times New Roman" w:hint="default"/>
          <w:b/>
          <w:bCs/>
        </w:rPr>
        <w:t>7</w:t>
      </w:r>
      <w:r>
        <w:rPr>
          <w:rFonts w:ascii="宋体" w:hAnsi="宋体" w:cs="宋体" w:eastAsia="宋体" w:hint="default"/>
          <w:b/>
          <w:bCs/>
        </w:rPr>
        <w:t>、</w:t>
        <w:tab/>
        <w:t>向国开行申请贷款</w:t>
      </w:r>
      <w:r>
        <w:rPr>
          <w:rFonts w:ascii="宋体" w:hAnsi="宋体" w:cs="宋体" w:eastAsia="宋体" w:hint="default"/>
          <w:b/>
          <w:bCs/>
          <w:spacing w:val="-103"/>
        </w:rPr>
        <w:t> </w:t>
      </w:r>
      <w:r>
        <w:rPr>
          <w:rFonts w:ascii="宋体" w:hAnsi="宋体" w:cs="宋体" w:eastAsia="宋体" w:hint="default"/>
          <w:b/>
          <w:bCs/>
          <w:spacing w:val="-103"/>
        </w:rPr>
      </w:r>
      <w:r>
        <w:rPr>
          <w:spacing w:val="-5"/>
        </w:rPr>
        <w:t>为降低资金成本，拓宽融资渠道，补充受疫情影响单位复工复产所需经营流动</w:t>
      </w:r>
      <w:r>
        <w:rPr>
          <w:w w:val="100"/>
        </w:rPr>
        <w:t> </w:t>
      </w:r>
      <w:r>
        <w:rPr/>
        <w:t>资金，经</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日公司第七届董事会第三十三次会议、</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p>
    <w:p>
      <w:pPr>
        <w:pStyle w:val="BodyText"/>
        <w:spacing w:line="240" w:lineRule="auto" w:before="6"/>
        <w:ind w:right="0"/>
        <w:jc w:val="both"/>
      </w:pPr>
      <w:r>
        <w:rPr>
          <w:rFonts w:ascii="Times New Roman" w:hAnsi="Times New Roman" w:cs="Times New Roman" w:eastAsia="Times New Roman" w:hint="default"/>
        </w:rPr>
        <w:t>12 </w:t>
      </w:r>
      <w:r>
        <w:rPr/>
        <w:t>日公司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spacing w:val="-4"/>
        </w:rPr>
        <w:t>年度第二次临时股东大会审议，同意公司以信用担保方式向国</w:t>
      </w:r>
    </w:p>
    <w:p>
      <w:pPr>
        <w:pStyle w:val="BodyText"/>
        <w:spacing w:line="297" w:lineRule="auto" w:before="69"/>
        <w:ind w:right="1789"/>
        <w:jc w:val="both"/>
      </w:pPr>
      <w:r>
        <w:rPr/>
        <w:t>家开发银行湖南省分行申请流动资金专项贷款人民币</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亿元，期限不超过三</w:t>
      </w:r>
      <w:r>
        <w:rPr>
          <w:w w:val="100"/>
        </w:rPr>
        <w:t> </w:t>
      </w:r>
      <w:r>
        <w:rPr/>
        <w:t>年，贷款利率较人民银行公布的同期贷款基准利率下浮。</w:t>
      </w:r>
    </w:p>
    <w:p>
      <w:pPr>
        <w:tabs>
          <w:tab w:pos="1397" w:val="left" w:leader="none"/>
        </w:tabs>
        <w:spacing w:line="304" w:lineRule="auto" w:before="34"/>
        <w:ind w:left="1414" w:right="178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w:t>
        <w:tab/>
      </w:r>
      <w:r>
        <w:rPr>
          <w:rFonts w:ascii="宋体" w:hAnsi="宋体" w:cs="宋体" w:eastAsia="宋体" w:hint="default"/>
          <w:b/>
          <w:bCs/>
          <w:spacing w:val="-1"/>
          <w:sz w:val="21"/>
          <w:szCs w:val="21"/>
        </w:rPr>
        <w:t>向控股股东申请委托贷款并涉及房产抵押担保暨关联交易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pacing w:val="-5"/>
          <w:sz w:val="21"/>
          <w:szCs w:val="21"/>
        </w:rPr>
        <w:t>为加大重点项目投入，降低资金成本，拓宽融资渠道，以及补充受疫情影响单</w:t>
      </w:r>
      <w:r>
        <w:rPr>
          <w:rFonts w:ascii="宋体" w:hAnsi="宋体" w:cs="宋体" w:eastAsia="宋体" w:hint="default"/>
          <w:w w:val="100"/>
          <w:sz w:val="21"/>
          <w:szCs w:val="21"/>
        </w:rPr>
        <w:t> </w:t>
      </w:r>
      <w:r>
        <w:rPr>
          <w:rFonts w:ascii="宋体" w:hAnsi="宋体" w:cs="宋体" w:eastAsia="宋体" w:hint="default"/>
          <w:spacing w:val="-8"/>
          <w:w w:val="100"/>
          <w:sz w:val="21"/>
          <w:szCs w:val="21"/>
        </w:rPr>
        <w:t>位复工复产所需经营流动资金，经</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2020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日公司第七届董事会第三十</w:t>
      </w:r>
    </w:p>
    <w:p>
      <w:pPr>
        <w:pStyle w:val="BodyText"/>
        <w:spacing w:line="302" w:lineRule="auto" w:before="6"/>
        <w:ind w:right="1788"/>
        <w:jc w:val="both"/>
      </w:pPr>
      <w:r>
        <w:rPr/>
        <w:t>三次会议、</w:t>
      </w:r>
      <w:r>
        <w:rPr>
          <w:rFonts w:ascii="Times New Roman" w:hAnsi="Times New Roman" w:cs="Times New Roman" w:eastAsia="Times New Roman" w:hint="default"/>
        </w:rPr>
        <w:t>2020 </w:t>
      </w:r>
      <w:r>
        <w:rPr/>
        <w:t>年</w:t>
      </w:r>
      <w:r>
        <w:rPr>
          <w:spacing w:val="-55"/>
        </w:rPr>
        <w:t> </w:t>
      </w: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rPr>
        <w:t>12 </w:t>
      </w:r>
      <w:r>
        <w:rPr/>
        <w:t>日公司</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年度第二次临时股东大会审议，同意</w:t>
      </w:r>
      <w:r>
        <w:rPr>
          <w:w w:val="100"/>
        </w:rPr>
        <w:t> </w:t>
      </w:r>
      <w:r>
        <w:rPr/>
        <w:t>公司以自有房产抵押担保的方式向控股股东及实际控制人中国电子申请委托</w:t>
      </w:r>
      <w:r>
        <w:rPr>
          <w:w w:val="100"/>
        </w:rPr>
        <w:t> </w:t>
      </w:r>
      <w:r>
        <w:rPr/>
        <w:t>贷款人民币</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亿元。中国电子委托中电财务向公司发放委托贷款，贷款期限</w:t>
      </w:r>
      <w:r>
        <w:rPr>
          <w:w w:val="100"/>
        </w:rPr>
        <w:t> </w:t>
      </w:r>
      <w:r>
        <w:rPr/>
        <w:t>不超过三年，委托贷款利率不高于</w:t>
      </w:r>
      <w:r>
        <w:rPr>
          <w:spacing w:val="-55"/>
        </w:rPr>
        <w:t> </w:t>
      </w:r>
      <w:r>
        <w:rPr>
          <w:rFonts w:ascii="Times New Roman" w:hAnsi="Times New Roman" w:cs="Times New Roman" w:eastAsia="Times New Roman" w:hint="default"/>
        </w:rPr>
        <w:t>4.18%</w:t>
      </w:r>
      <w:r>
        <w:rPr/>
        <w:t>。</w:t>
      </w:r>
    </w:p>
    <w:p>
      <w:pPr>
        <w:pStyle w:val="Heading5"/>
        <w:tabs>
          <w:tab w:pos="1397" w:val="left" w:leader="none"/>
        </w:tabs>
        <w:spacing w:line="240" w:lineRule="auto" w:before="9"/>
        <w:ind w:left="846" w:right="3683"/>
        <w:jc w:val="left"/>
        <w:rPr>
          <w:b w:val="0"/>
          <w:bCs w:val="0"/>
        </w:rPr>
      </w:pPr>
      <w:r>
        <w:rPr>
          <w:rFonts w:ascii="Times New Roman" w:hAnsi="Times New Roman" w:cs="Times New Roman" w:eastAsia="Times New Roman" w:hint="default"/>
        </w:rPr>
        <w:t>9</w:t>
      </w:r>
      <w:r>
        <w:rPr/>
        <w:t>、</w:t>
        <w:tab/>
      </w:r>
      <w:r>
        <w:rPr>
          <w:spacing w:val="-1"/>
        </w:rPr>
        <w:t>股票期权激励计划调整</w:t>
      </w:r>
      <w:r>
        <w:rPr>
          <w:b w:val="0"/>
          <w:bCs w:val="0"/>
          <w:spacing w:val="-1"/>
        </w:rPr>
      </w:r>
    </w:p>
    <w:p>
      <w:pPr>
        <w:pStyle w:val="BodyText"/>
        <w:spacing w:line="297" w:lineRule="auto" w:before="69"/>
        <w:ind w:right="1789"/>
        <w:jc w:val="both"/>
      </w:pPr>
      <w:r>
        <w:rPr>
          <w:spacing w:val="-2"/>
        </w:rPr>
        <w:t>（</w:t>
      </w:r>
      <w:r>
        <w:rPr>
          <w:rFonts w:ascii="Times New Roman" w:hAnsi="Times New Roman" w:cs="Times New Roman" w:eastAsia="Times New Roman" w:hint="default"/>
          <w:spacing w:val="-2"/>
        </w:rPr>
        <w:t>1</w:t>
      </w:r>
      <w:r>
        <w:rPr>
          <w:spacing w:val="-2"/>
        </w:rPr>
        <w:t>）调整股票期权激励计划激励对象名单、期权数量和行权价格及注销部分</w:t>
      </w:r>
      <w:r>
        <w:rPr>
          <w:spacing w:val="-42"/>
        </w:rPr>
        <w:t> </w:t>
      </w:r>
      <w:r>
        <w:rPr>
          <w:spacing w:val="-42"/>
        </w:rPr>
      </w:r>
      <w:r>
        <w:rPr/>
        <w:t>期权</w:t>
      </w:r>
    </w:p>
    <w:p>
      <w:pPr>
        <w:pStyle w:val="BodyText"/>
        <w:spacing w:line="297" w:lineRule="auto" w:before="34"/>
        <w:ind w:right="1786"/>
        <w:jc w:val="both"/>
      </w:pPr>
      <w:r>
        <w:rPr>
          <w:w w:val="100"/>
        </w:rPr>
        <w:t>经</w:t>
      </w:r>
      <w:r>
        <w:rPr>
          <w:spacing w:val="-51"/>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2"/>
          <w:w w:val="100"/>
        </w:rPr>
        <w:t> </w:t>
      </w:r>
      <w:r>
        <w:rPr>
          <w:spacing w:val="-6"/>
          <w:w w:val="100"/>
        </w:rPr>
        <w:t>日公司第七届董事会第三十四次会议、第七届监事会第十二</w:t>
      </w:r>
      <w:r>
        <w:rPr>
          <w:w w:val="100"/>
        </w:rPr>
        <w:t> </w:t>
      </w:r>
      <w:r>
        <w:rPr>
          <w:spacing w:val="-5"/>
        </w:rPr>
        <w:t>次会议审议，因激励对象离职、离世原因，对股票期权激励计划激励对象及期</w:t>
      </w:r>
    </w:p>
    <w:p>
      <w:pPr>
        <w:spacing w:after="0" w:line="297" w:lineRule="auto"/>
        <w:jc w:val="both"/>
        <w:sectPr>
          <w:pgSz w:w="11910" w:h="16840"/>
          <w:pgMar w:header="753" w:footer="997" w:top="1500" w:bottom="1180" w:left="1660" w:right="0"/>
        </w:sectPr>
      </w:pPr>
    </w:p>
    <w:p>
      <w:pPr>
        <w:spacing w:line="240" w:lineRule="auto" w:before="13"/>
        <w:rPr>
          <w:rFonts w:ascii="宋体" w:hAnsi="宋体" w:cs="宋体" w:eastAsia="宋体" w:hint="default"/>
          <w:sz w:val="19"/>
          <w:szCs w:val="19"/>
        </w:rPr>
      </w:pPr>
    </w:p>
    <w:p>
      <w:pPr>
        <w:pStyle w:val="BodyText"/>
        <w:spacing w:line="240" w:lineRule="auto"/>
        <w:ind w:right="0"/>
        <w:jc w:val="both"/>
      </w:pPr>
      <w:r>
        <w:rPr/>
        <w:t>权数量进行相应调整，激励对象由原</w:t>
      </w:r>
      <w:r>
        <w:rPr>
          <w:spacing w:val="-53"/>
        </w:rPr>
        <w:t> </w:t>
      </w:r>
      <w:r>
        <w:rPr>
          <w:rFonts w:ascii="Times New Roman" w:hAnsi="Times New Roman" w:cs="Times New Roman" w:eastAsia="Times New Roman" w:hint="default"/>
        </w:rPr>
        <w:t>570</w:t>
      </w:r>
      <w:r>
        <w:rPr>
          <w:rFonts w:ascii="Times New Roman" w:hAnsi="Times New Roman" w:cs="Times New Roman" w:eastAsia="Times New Roman" w:hint="default"/>
          <w:spacing w:val="-4"/>
        </w:rPr>
        <w:t> </w:t>
      </w:r>
      <w:r>
        <w:rPr/>
        <w:t>人调整为</w:t>
      </w:r>
      <w:r>
        <w:rPr>
          <w:spacing w:val="-56"/>
        </w:rPr>
        <w:t> </w:t>
      </w:r>
      <w:r>
        <w:rPr>
          <w:rFonts w:ascii="Times New Roman" w:hAnsi="Times New Roman" w:cs="Times New Roman" w:eastAsia="Times New Roman" w:hint="default"/>
        </w:rPr>
        <w:t>540</w:t>
      </w:r>
      <w:r>
        <w:rPr>
          <w:rFonts w:ascii="Times New Roman" w:hAnsi="Times New Roman" w:cs="Times New Roman" w:eastAsia="Times New Roman" w:hint="default"/>
          <w:spacing w:val="-1"/>
        </w:rPr>
        <w:t> </w:t>
      </w:r>
      <w:r>
        <w:rPr/>
        <w:t>人，期权数量由原</w:t>
      </w:r>
    </w:p>
    <w:p>
      <w:pPr>
        <w:pStyle w:val="BodyText"/>
        <w:spacing w:line="240" w:lineRule="auto" w:before="69"/>
        <w:ind w:right="0"/>
        <w:jc w:val="both"/>
      </w:pPr>
      <w:r>
        <w:rPr>
          <w:rFonts w:ascii="Times New Roman" w:hAnsi="Times New Roman" w:cs="Times New Roman" w:eastAsia="Times New Roman" w:hint="default"/>
        </w:rPr>
        <w:t>4,275.80</w:t>
      </w:r>
      <w:r>
        <w:rPr>
          <w:rFonts w:ascii="Times New Roman" w:hAnsi="Times New Roman" w:cs="Times New Roman" w:eastAsia="Times New Roman" w:hint="default"/>
          <w:spacing w:val="-1"/>
        </w:rPr>
        <w:t> </w:t>
      </w:r>
      <w:r>
        <w:rPr/>
        <w:t>万份调整为</w:t>
      </w:r>
      <w:r>
        <w:rPr>
          <w:spacing w:val="-56"/>
        </w:rPr>
        <w:t> </w:t>
      </w:r>
      <w:r>
        <w:rPr>
          <w:rFonts w:ascii="Times New Roman" w:hAnsi="Times New Roman" w:cs="Times New Roman" w:eastAsia="Times New Roman" w:hint="default"/>
        </w:rPr>
        <w:t>4,023.50</w:t>
      </w:r>
      <w:r>
        <w:rPr>
          <w:rFonts w:ascii="Times New Roman" w:hAnsi="Times New Roman" w:cs="Times New Roman" w:eastAsia="Times New Roman" w:hint="default"/>
          <w:spacing w:val="-1"/>
        </w:rPr>
        <w:t> </w:t>
      </w:r>
      <w:r>
        <w:rPr/>
        <w:t>万份，注销</w:t>
      </w:r>
      <w:r>
        <w:rPr>
          <w:spacing w:val="-53"/>
        </w:rPr>
        <w:t> </w:t>
      </w:r>
      <w:r>
        <w:rPr>
          <w:rFonts w:ascii="Times New Roman" w:hAnsi="Times New Roman" w:cs="Times New Roman" w:eastAsia="Times New Roman" w:hint="default"/>
        </w:rPr>
        <w:t>252.30</w:t>
      </w:r>
      <w:r>
        <w:rPr>
          <w:rFonts w:ascii="Times New Roman" w:hAnsi="Times New Roman" w:cs="Times New Roman" w:eastAsia="Times New Roman" w:hint="default"/>
          <w:spacing w:val="-1"/>
        </w:rPr>
        <w:t> </w:t>
      </w:r>
      <w:r>
        <w:rPr/>
        <w:t>万份；因公司实施</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w:t>
      </w:r>
    </w:p>
    <w:p>
      <w:pPr>
        <w:pStyle w:val="BodyText"/>
        <w:spacing w:line="240" w:lineRule="auto" w:before="69"/>
        <w:ind w:right="0"/>
        <w:jc w:val="both"/>
      </w:pPr>
      <w:r>
        <w:rPr/>
        <w:t>权益分派方案，股票期权激励计划行权价格由</w:t>
      </w:r>
      <w:r>
        <w:rPr>
          <w:spacing w:val="-52"/>
        </w:rPr>
        <w:t> </w:t>
      </w:r>
      <w:r>
        <w:rPr>
          <w:rFonts w:ascii="Times New Roman" w:hAnsi="Times New Roman" w:cs="Times New Roman" w:eastAsia="Times New Roman" w:hint="default"/>
        </w:rPr>
        <w:t>8.21</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份调整为</w:t>
      </w:r>
      <w:r>
        <w:rPr>
          <w:spacing w:val="-55"/>
        </w:rPr>
        <w:t> </w:t>
      </w:r>
      <w:r>
        <w:rPr>
          <w:rFonts w:ascii="Times New Roman" w:hAnsi="Times New Roman" w:cs="Times New Roman" w:eastAsia="Times New Roman" w:hint="default"/>
        </w:rPr>
        <w:t>8.16</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份。</w:t>
      </w:r>
    </w:p>
    <w:p>
      <w:pPr>
        <w:pStyle w:val="BodyText"/>
        <w:spacing w:line="297" w:lineRule="auto" w:before="69"/>
        <w:ind w:right="1786"/>
        <w:jc w:val="both"/>
      </w:pPr>
      <w:r>
        <w:rPr>
          <w:spacing w:val="-2"/>
        </w:rPr>
        <w:t>（</w:t>
      </w:r>
      <w:r>
        <w:rPr>
          <w:rFonts w:ascii="Times New Roman" w:hAnsi="Times New Roman" w:cs="Times New Roman" w:eastAsia="Times New Roman" w:hint="default"/>
          <w:spacing w:val="-2"/>
        </w:rPr>
        <w:t>2</w:t>
      </w:r>
      <w:r>
        <w:rPr>
          <w:spacing w:val="-2"/>
        </w:rPr>
        <w:t>）股票期权激励计划第一个行权期未达行权条件对应的股票期权予以注销</w:t>
      </w:r>
      <w:r>
        <w:rPr>
          <w:spacing w:val="-42"/>
        </w:rPr>
        <w:t> </w:t>
      </w:r>
      <w:r>
        <w:rPr>
          <w:spacing w:val="-42"/>
        </w:rPr>
      </w:r>
      <w:r>
        <w:rPr>
          <w:w w:val="100"/>
        </w:rPr>
        <w:t>经</w:t>
      </w:r>
      <w:r>
        <w:rPr>
          <w:spacing w:val="-51"/>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2"/>
          <w:w w:val="100"/>
        </w:rPr>
        <w:t> </w:t>
      </w:r>
      <w:r>
        <w:rPr>
          <w:spacing w:val="-6"/>
          <w:w w:val="100"/>
        </w:rPr>
        <w:t>日公司第七届董事会第三十六次会议、第七届监事会第十三</w:t>
      </w:r>
    </w:p>
    <w:p>
      <w:pPr>
        <w:pStyle w:val="BodyText"/>
        <w:spacing w:line="240" w:lineRule="auto" w:before="13"/>
        <w:ind w:right="0"/>
        <w:jc w:val="both"/>
        <w:rPr>
          <w:rFonts w:ascii="Times New Roman" w:hAnsi="Times New Roman" w:cs="Times New Roman" w:eastAsia="Times New Roman" w:hint="default"/>
        </w:rPr>
      </w:pPr>
      <w:r>
        <w:rPr>
          <w:spacing w:val="-3"/>
        </w:rPr>
        <w:t>次会议审议，因公司股票期权激励计划第一个行权期未达行权条件，所有</w:t>
      </w:r>
      <w:r>
        <w:rPr>
          <w:spacing w:val="-11"/>
        </w:rPr>
        <w:t> </w:t>
      </w:r>
      <w:r>
        <w:rPr>
          <w:rFonts w:ascii="Times New Roman" w:hAnsi="Times New Roman" w:cs="Times New Roman" w:eastAsia="Times New Roman" w:hint="default"/>
        </w:rPr>
        <w:t>540</w:t>
      </w:r>
    </w:p>
    <w:p>
      <w:pPr>
        <w:pStyle w:val="BodyText"/>
        <w:spacing w:line="304" w:lineRule="auto" w:before="69"/>
        <w:ind w:right="1786"/>
        <w:jc w:val="both"/>
      </w:pPr>
      <w:r>
        <w:rPr/>
        <w:t>名激励对象对应</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年度可行权的股票期权</w:t>
      </w:r>
      <w:r>
        <w:rPr>
          <w:spacing w:val="-55"/>
        </w:rPr>
        <w:t> </w:t>
      </w:r>
      <w:r>
        <w:rPr>
          <w:rFonts w:ascii="Times New Roman" w:hAnsi="Times New Roman" w:cs="Times New Roman" w:eastAsia="Times New Roman" w:hint="default"/>
        </w:rPr>
        <w:t>1,341.1769</w:t>
      </w:r>
      <w:r>
        <w:rPr>
          <w:rFonts w:ascii="Times New Roman" w:hAnsi="Times New Roman" w:cs="Times New Roman" w:eastAsia="Times New Roman" w:hint="default"/>
          <w:spacing w:val="-2"/>
        </w:rPr>
        <w:t> </w:t>
      </w:r>
      <w:r>
        <w:rPr/>
        <w:t>万份均不得行权，由</w:t>
      </w:r>
      <w:r>
        <w:rPr>
          <w:w w:val="100"/>
        </w:rPr>
        <w:t> </w:t>
      </w:r>
      <w:r>
        <w:rPr>
          <w:spacing w:val="-5"/>
        </w:rPr>
        <w:t>公司注销，注销完成后，公司股票期权激励计划已授予但尚未行权的股票期权</w:t>
      </w:r>
      <w:r>
        <w:rPr>
          <w:spacing w:val="-43"/>
        </w:rPr>
        <w:t> </w:t>
      </w:r>
      <w:r>
        <w:rPr>
          <w:spacing w:val="-43"/>
        </w:rPr>
      </w:r>
      <w:r>
        <w:rPr/>
        <w:t>数量为</w:t>
      </w:r>
      <w:r>
        <w:rPr>
          <w:spacing w:val="-53"/>
        </w:rPr>
        <w:t> </w:t>
      </w:r>
      <w:r>
        <w:rPr>
          <w:rFonts w:ascii="Times New Roman" w:hAnsi="Times New Roman" w:cs="Times New Roman" w:eastAsia="Times New Roman" w:hint="default"/>
        </w:rPr>
        <w:t>2,682.3231 </w:t>
      </w:r>
      <w:r>
        <w:rPr/>
        <w:t>万份。</w:t>
      </w:r>
    </w:p>
    <w:p>
      <w:pPr>
        <w:pStyle w:val="BodyText"/>
        <w:spacing w:line="240" w:lineRule="auto" w:before="6"/>
        <w:ind w:right="0"/>
        <w:jc w:val="both"/>
      </w:pPr>
      <w:r>
        <w:rPr/>
        <w:t>（</w:t>
      </w:r>
      <w:r>
        <w:rPr>
          <w:rFonts w:ascii="Times New Roman" w:hAnsi="Times New Roman" w:cs="Times New Roman" w:eastAsia="Times New Roman" w:hint="default"/>
        </w:rPr>
        <w:t>3</w:t>
      </w:r>
      <w:r>
        <w:rPr/>
        <w:t>）调整股票期权激励计划对标企业</w:t>
      </w:r>
    </w:p>
    <w:p>
      <w:pPr>
        <w:pStyle w:val="BodyText"/>
        <w:spacing w:line="307" w:lineRule="auto" w:before="69"/>
        <w:ind w:right="1786"/>
        <w:jc w:val="both"/>
      </w:pPr>
      <w:r>
        <w:rPr>
          <w:w w:val="100"/>
        </w:rPr>
        <w:t>经</w:t>
      </w:r>
      <w:r>
        <w:rPr>
          <w:spacing w:val="-51"/>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2"/>
          <w:w w:val="100"/>
        </w:rPr>
        <w:t> </w:t>
      </w:r>
      <w:r>
        <w:rPr>
          <w:spacing w:val="-6"/>
          <w:w w:val="100"/>
        </w:rPr>
        <w:t>日公司第七届董事会第三十六次会议、第七届监事会第十三</w:t>
      </w:r>
      <w:r>
        <w:rPr>
          <w:w w:val="100"/>
        </w:rPr>
        <w:t> </w:t>
      </w:r>
      <w:r>
        <w:rPr>
          <w:spacing w:val="-5"/>
        </w:rPr>
        <w:t>次会议审议，为保证对标业绩的合理性，保持一定的样本量，公司董事会建议</w:t>
      </w:r>
      <w:r>
        <w:rPr>
          <w:spacing w:val="-49"/>
        </w:rPr>
        <w:t> </w:t>
      </w:r>
      <w:r>
        <w:rPr>
          <w:spacing w:val="-49"/>
        </w:rPr>
      </w:r>
      <w:r>
        <w:rPr>
          <w:spacing w:val="-5"/>
          <w:w w:val="100"/>
        </w:rPr>
        <w:t>从现有主业出发，考虑对标企业主营业务的相似性及其营业收入与净利润规模</w:t>
      </w:r>
      <w:r>
        <w:rPr>
          <w:spacing w:val="-85"/>
          <w:w w:val="100"/>
        </w:rPr>
        <w:t> </w:t>
      </w:r>
      <w:r>
        <w:rPr>
          <w:spacing w:val="-85"/>
          <w:w w:val="100"/>
        </w:rPr>
      </w:r>
      <w:r>
        <w:rPr>
          <w:spacing w:val="-5"/>
          <w:w w:val="100"/>
        </w:rPr>
        <w:t>的行业水平，通过剔除存在特殊情况的企业及补充选取主营业务契合度高的企</w:t>
      </w:r>
      <w:r>
        <w:rPr>
          <w:spacing w:val="-85"/>
          <w:w w:val="100"/>
        </w:rPr>
        <w:t> </w:t>
      </w:r>
      <w:r>
        <w:rPr>
          <w:spacing w:val="-85"/>
          <w:w w:val="100"/>
        </w:rPr>
      </w:r>
      <w:r>
        <w:rPr>
          <w:spacing w:val="-4"/>
        </w:rPr>
        <w:t>业调整股票期权激励计划对标企业名单，对标企业总数将由原</w:t>
      </w:r>
      <w:r>
        <w:rPr>
          <w:spacing w:val="-36"/>
        </w:rPr>
        <w:t> </w:t>
      </w:r>
      <w:r>
        <w:rPr>
          <w:rFonts w:ascii="Times New Roman" w:hAnsi="Times New Roman" w:cs="Times New Roman" w:eastAsia="Times New Roman" w:hint="default"/>
        </w:rPr>
        <w:t>14</w:t>
      </w:r>
      <w:r>
        <w:rPr>
          <w:rFonts w:ascii="Times New Roman" w:hAnsi="Times New Roman" w:cs="Times New Roman" w:eastAsia="Times New Roman" w:hint="default"/>
          <w:spacing w:val="13"/>
        </w:rPr>
        <w:t> </w:t>
      </w:r>
      <w:r>
        <w:rPr/>
        <w:t>家调整至</w:t>
      </w:r>
      <w:r>
        <w:rPr>
          <w:spacing w:val="-39"/>
        </w:rPr>
        <w:t> </w:t>
      </w:r>
      <w:r>
        <w:rPr>
          <w:rFonts w:ascii="Times New Roman" w:hAnsi="Times New Roman" w:cs="Times New Roman" w:eastAsia="Times New Roman" w:hint="default"/>
          <w:spacing w:val="-3"/>
        </w:rPr>
        <w:t>23</w:t>
      </w:r>
      <w:r>
        <w:rPr>
          <w:rFonts w:ascii="Times New Roman" w:hAnsi="Times New Roman" w:cs="Times New Roman" w:eastAsia="Times New Roman" w:hint="default"/>
          <w:spacing w:val="-45"/>
        </w:rPr>
        <w:t> </w:t>
      </w:r>
      <w:r>
        <w:rPr/>
        <w:t>家。该事项尚需公司股东大会审议。</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5"/>
        <w:spacing w:line="240" w:lineRule="auto" w:before="0"/>
        <w:ind w:right="3683"/>
        <w:jc w:val="left"/>
        <w:rPr>
          <w:b w:val="0"/>
          <w:bCs w:val="0"/>
        </w:rPr>
      </w:pPr>
      <w:r>
        <w:rPr/>
        <w:t>十四、</w:t>
      </w:r>
      <w:r>
        <w:rPr>
          <w:spacing w:val="-24"/>
        </w:rPr>
        <w:t> </w:t>
      </w:r>
      <w:r>
        <w:rPr/>
        <w:t>其他重要事项</w:t>
      </w:r>
      <w:r>
        <w:rPr>
          <w:b w:val="0"/>
          <w:bCs w:val="0"/>
        </w:rPr>
      </w:r>
    </w:p>
    <w:p>
      <w:pPr>
        <w:tabs>
          <w:tab w:pos="850" w:val="left" w:leader="none"/>
        </w:tabs>
        <w:spacing w:line="328" w:lineRule="auto" w:before="126"/>
        <w:ind w:left="850" w:right="6028"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前期会计差错更正</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本报告期公司无前期差错更正事项。</w:t>
      </w:r>
    </w:p>
    <w:p>
      <w:pPr>
        <w:tabs>
          <w:tab w:pos="850" w:val="left" w:leader="none"/>
        </w:tabs>
        <w:spacing w:line="331" w:lineRule="auto" w:before="48"/>
        <w:ind w:left="850" w:right="6448"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债务重组</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本报告期公司无债务重组事项。</w:t>
      </w:r>
    </w:p>
    <w:p>
      <w:pPr>
        <w:tabs>
          <w:tab w:pos="850" w:val="left" w:leader="none"/>
        </w:tabs>
        <w:spacing w:line="331" w:lineRule="auto" w:before="43"/>
        <w:ind w:left="850" w:right="6870"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资产置换</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本报告期公司无资产置换。</w:t>
      </w:r>
    </w:p>
    <w:p>
      <w:pPr>
        <w:pStyle w:val="Heading5"/>
        <w:tabs>
          <w:tab w:pos="850" w:val="left" w:leader="none"/>
        </w:tabs>
        <w:spacing w:line="240" w:lineRule="auto" w:before="46"/>
        <w:ind w:right="3683"/>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年金计划</w:t>
      </w:r>
      <w:r>
        <w:rPr>
          <w:b w:val="0"/>
          <w:bCs w:val="0"/>
        </w:rPr>
      </w:r>
    </w:p>
    <w:p>
      <w:pPr>
        <w:pStyle w:val="BodyText"/>
        <w:spacing w:line="240" w:lineRule="auto" w:before="107"/>
        <w:ind w:left="850" w:right="1468"/>
        <w:jc w:val="left"/>
      </w:pPr>
      <w:r>
        <w:rPr/>
        <w:t>公司自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spacing w:val="-4"/>
        </w:rPr>
        <w:t>年开始实施企业年金计划，其企业年金计划实施范围限于：试用期满且</w:t>
      </w:r>
    </w:p>
    <w:p>
      <w:pPr>
        <w:pStyle w:val="BodyText"/>
        <w:spacing w:line="348" w:lineRule="auto" w:before="110"/>
        <w:ind w:left="850" w:right="1818"/>
        <w:jc w:val="left"/>
      </w:pPr>
      <w:r>
        <w:rPr/>
        <w:t>为本企业连续服务超过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年并与本企业签订了正式劳动合同的在岗文职类员工；同</w:t>
      </w:r>
      <w:r>
        <w:rPr>
          <w:w w:val="100"/>
        </w:rPr>
        <w:t> </w:t>
      </w:r>
      <w:r>
        <w:rPr>
          <w:spacing w:val="-2"/>
        </w:rPr>
        <w:t>时参加了基本养老保险；已退休职工（含内退人员）不参加本企业年金计划。本公</w:t>
      </w:r>
      <w:r>
        <w:rPr>
          <w:spacing w:val="-35"/>
        </w:rPr>
        <w:t> </w:t>
      </w:r>
      <w:r>
        <w:rPr>
          <w:spacing w:val="-35"/>
        </w:rPr>
      </w:r>
      <w:r>
        <w:rPr>
          <w:spacing w:val="-2"/>
        </w:rPr>
        <w:t>司年金同时设有企业账户和个人账户，不设共济基金，全部由公司及个人（自愿）</w:t>
      </w:r>
      <w:r>
        <w:rPr>
          <w:spacing w:val="-35"/>
        </w:rPr>
        <w:t> </w:t>
      </w:r>
      <w:r>
        <w:rPr>
          <w:spacing w:val="-35"/>
        </w:rPr>
      </w:r>
      <w:r>
        <w:rPr>
          <w:spacing w:val="-2"/>
        </w:rPr>
        <w:t>共同缴纳。其中，企业账户以公司名义开立，由公司缴纳，用于记录暂时未分配至</w:t>
      </w:r>
      <w:r>
        <w:rPr>
          <w:spacing w:val="-35"/>
        </w:rPr>
        <w:t> </w:t>
      </w:r>
      <w:r>
        <w:rPr>
          <w:spacing w:val="-35"/>
        </w:rPr>
      </w:r>
      <w:r>
        <w:rPr>
          <w:spacing w:val="-2"/>
        </w:rPr>
        <w:t>职工个人账户的单位缴费及其投资收益；个人账户以职工个人名义开立的账户，用</w:t>
      </w:r>
      <w:r>
        <w:rPr>
          <w:spacing w:val="-35"/>
        </w:rPr>
        <w:t> </w:t>
      </w:r>
      <w:r>
        <w:rPr>
          <w:spacing w:val="-35"/>
        </w:rPr>
      </w:r>
      <w:r>
        <w:rPr>
          <w:spacing w:val="-2"/>
        </w:rPr>
        <w:t>于记录分配给职工个人的单位缴费、职工个人缴费及其投资收益。年金以转账方式</w:t>
      </w:r>
      <w:r>
        <w:rPr>
          <w:spacing w:val="-35"/>
        </w:rPr>
        <w:t> </w:t>
      </w:r>
      <w:r>
        <w:rPr>
          <w:spacing w:val="-35"/>
        </w:rPr>
      </w:r>
      <w:r>
        <w:rPr>
          <w:spacing w:val="-2"/>
        </w:rPr>
        <w:t>向账户管理人（中国银行股份有限公司）缴纳，每月缴纳一次，效益性企业年金和</w:t>
      </w:r>
      <w:r>
        <w:rPr>
          <w:spacing w:val="-35"/>
        </w:rPr>
        <w:t> </w:t>
      </w:r>
      <w:r>
        <w:rPr>
          <w:spacing w:val="-35"/>
        </w:rPr>
      </w:r>
      <w:r>
        <w:rPr/>
        <w:t>奖励性企业年金根据企业效益情况在年初或年底一次性缴纳。</w:t>
      </w:r>
      <w:r>
        <w:rPr>
          <w:w w:val="100"/>
        </w:rPr>
        <w:t> </w:t>
      </w:r>
      <w:r>
        <w:rPr/>
        <w:t>本期本公司已缴纳企业年金</w:t>
      </w:r>
      <w:r>
        <w:rPr>
          <w:spacing w:val="-55"/>
        </w:rPr>
        <w:t> </w:t>
      </w:r>
      <w:r>
        <w:rPr>
          <w:rFonts w:ascii="Times New Roman" w:hAnsi="Times New Roman" w:cs="Times New Roman" w:eastAsia="Times New Roman" w:hint="default"/>
        </w:rPr>
        <w:t>23,970,232.12</w:t>
      </w:r>
      <w:r>
        <w:rPr>
          <w:rFonts w:ascii="Times New Roman" w:hAnsi="Times New Roman" w:cs="Times New Roman" w:eastAsia="Times New Roman" w:hint="default"/>
          <w:spacing w:val="-3"/>
        </w:rPr>
        <w:t> </w:t>
      </w:r>
      <w:r>
        <w:rPr/>
        <w:t>元，全部计入当年相关成本费用。</w:t>
      </w:r>
    </w:p>
    <w:p>
      <w:pPr>
        <w:spacing w:after="0" w:line="348" w:lineRule="auto"/>
        <w:jc w:val="left"/>
        <w:sectPr>
          <w:pgSz w:w="11910" w:h="16840"/>
          <w:pgMar w:header="753" w:footer="997" w:top="1500" w:bottom="1180" w:left="1660" w:right="0"/>
        </w:sectPr>
      </w:pPr>
    </w:p>
    <w:p>
      <w:pPr>
        <w:spacing w:line="240" w:lineRule="auto" w:before="12"/>
        <w:rPr>
          <w:rFonts w:ascii="宋体" w:hAnsi="宋体" w:cs="宋体" w:eastAsia="宋体" w:hint="default"/>
          <w:sz w:val="22"/>
          <w:szCs w:val="22"/>
        </w:rPr>
      </w:pPr>
    </w:p>
    <w:p>
      <w:pPr>
        <w:tabs>
          <w:tab w:pos="1710" w:val="left" w:leader="none"/>
        </w:tabs>
        <w:spacing w:line="331" w:lineRule="auto" w:before="36"/>
        <w:ind w:left="1710" w:right="6870"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终止经营</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本报告期公司无终止经营。</w:t>
      </w:r>
    </w:p>
    <w:p>
      <w:pPr>
        <w:pStyle w:val="Heading5"/>
        <w:tabs>
          <w:tab w:pos="1710" w:val="left" w:leader="none"/>
        </w:tabs>
        <w:spacing w:line="240" w:lineRule="auto" w:before="46"/>
        <w:ind w:left="998" w:right="6870"/>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分部信息</w:t>
      </w:r>
      <w:r>
        <w:rPr>
          <w:b w:val="0"/>
          <w:bCs w:val="0"/>
        </w:rPr>
      </w:r>
    </w:p>
    <w:p>
      <w:pPr>
        <w:pStyle w:val="BodyText"/>
        <w:tabs>
          <w:tab w:pos="2257" w:val="left" w:leader="none"/>
        </w:tabs>
        <w:spacing w:line="309" w:lineRule="auto" w:before="107"/>
        <w:ind w:left="2274" w:right="1786" w:hanging="569"/>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报告分部的确定依据与会计政策</w:t>
      </w:r>
      <w:r>
        <w:rPr>
          <w:rFonts w:ascii="宋体" w:hAnsi="宋体" w:cs="宋体" w:eastAsia="宋体" w:hint="default"/>
          <w:b/>
          <w:bCs/>
          <w:spacing w:val="-93"/>
        </w:rPr>
        <w:t> </w:t>
      </w:r>
      <w:r>
        <w:rPr>
          <w:rFonts w:ascii="宋体" w:hAnsi="宋体" w:cs="宋体" w:eastAsia="宋体" w:hint="default"/>
          <w:b/>
          <w:bCs/>
          <w:spacing w:val="-93"/>
        </w:rPr>
      </w:r>
      <w:r>
        <w:rPr>
          <w:spacing w:val="-5"/>
        </w:rPr>
        <w:t>根据本公司的内部组织结构、管理要求及内部报告制度，本公司的经营业务划</w:t>
      </w:r>
      <w:r>
        <w:rPr>
          <w:w w:val="100"/>
        </w:rPr>
        <w:t> </w:t>
      </w:r>
      <w:r>
        <w:rPr/>
        <w:t>分为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spacing w:val="-5"/>
        </w:rPr>
        <w:t>个报告分部，这些报告分部是以主要产品类型为基础确定的。本公司的</w:t>
      </w:r>
      <w:r>
        <w:rPr>
          <w:w w:val="100"/>
        </w:rPr>
        <w:t> </w:t>
      </w:r>
      <w:r>
        <w:rPr/>
        <w:t>管理层定期评价这些报告分部的经营成果，以决定向其分配资源及评价其业</w:t>
      </w:r>
      <w:r>
        <w:rPr>
          <w:w w:val="100"/>
        </w:rPr>
        <w:t> </w:t>
      </w:r>
      <w:r>
        <w:rPr>
          <w:spacing w:val="-5"/>
        </w:rPr>
        <w:t>绩。本公司各个报告分部提供的主要产品及劳务分别为高新电子、信息安全整</w:t>
      </w:r>
      <w:r>
        <w:rPr>
          <w:w w:val="100"/>
        </w:rPr>
        <w:t> </w:t>
      </w:r>
      <w:r>
        <w:rPr/>
        <w:t>机及解决方案、电源产品、园区及物业服务、其他。</w:t>
      </w:r>
      <w:r>
        <w:rPr>
          <w:w w:val="100"/>
        </w:rPr>
        <w:t> </w:t>
      </w:r>
      <w:r>
        <w:rPr>
          <w:spacing w:val="-5"/>
          <w:w w:val="100"/>
        </w:rPr>
        <w:t>分部报告信息根据各分部向管理层报告时采用的会计政策及计量标准披露，这</w:t>
      </w:r>
      <w:r>
        <w:rPr>
          <w:w w:val="100"/>
        </w:rPr>
        <w:t> </w:t>
      </w:r>
      <w:r>
        <w:rPr/>
        <w:t>些计量基础与编制财务报表时的会计与计量基础保持一致。</w:t>
      </w:r>
    </w:p>
    <w:p>
      <w:pPr>
        <w:pStyle w:val="Heading5"/>
        <w:tabs>
          <w:tab w:pos="2257" w:val="left" w:leader="none"/>
        </w:tabs>
        <w:spacing w:line="240" w:lineRule="auto" w:before="65"/>
        <w:ind w:left="1706" w:right="6870"/>
        <w:jc w:val="left"/>
        <w:rPr>
          <w:b w:val="0"/>
          <w:bCs w:val="0"/>
        </w:rPr>
      </w:pPr>
      <w:r>
        <w:rPr>
          <w:rFonts w:ascii="Times New Roman" w:hAnsi="Times New Roman" w:cs="Times New Roman" w:eastAsia="Times New Roman" w:hint="default"/>
        </w:rPr>
        <w:t>2</w:t>
      </w:r>
      <w:r>
        <w:rPr/>
        <w:t>、</w:t>
        <w:tab/>
        <w:t>报告分部的财务信息</w:t>
      </w:r>
      <w:r>
        <w:rPr>
          <w:b w:val="0"/>
          <w:bCs w:val="0"/>
        </w:rPr>
      </w:r>
    </w:p>
    <w:tbl>
      <w:tblPr>
        <w:tblW w:w="0" w:type="auto"/>
        <w:jc w:val="left"/>
        <w:tblInd w:w="116" w:type="dxa"/>
        <w:tblLayout w:type="fixed"/>
        <w:tblCellMar>
          <w:top w:w="0" w:type="dxa"/>
          <w:left w:w="0" w:type="dxa"/>
          <w:bottom w:w="0" w:type="dxa"/>
          <w:right w:w="0" w:type="dxa"/>
        </w:tblCellMar>
        <w:tblLook w:val="01E0"/>
      </w:tblPr>
      <w:tblGrid>
        <w:gridCol w:w="920"/>
        <w:gridCol w:w="1337"/>
        <w:gridCol w:w="1419"/>
        <w:gridCol w:w="1337"/>
        <w:gridCol w:w="1340"/>
        <w:gridCol w:w="1214"/>
        <w:gridCol w:w="1390"/>
        <w:gridCol w:w="1416"/>
      </w:tblGrid>
      <w:tr>
        <w:trPr>
          <w:trHeight w:val="492" w:hRule="exact"/>
        </w:trPr>
        <w:tc>
          <w:tcPr>
            <w:tcW w:w="92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8"/>
              <w:ind w:left="307" w:right="0"/>
              <w:jc w:val="left"/>
              <w:rPr>
                <w:rFonts w:ascii="宋体" w:hAnsi="宋体" w:cs="宋体" w:eastAsia="宋体" w:hint="default"/>
                <w:sz w:val="16"/>
                <w:szCs w:val="16"/>
              </w:rPr>
            </w:pPr>
            <w:r>
              <w:rPr>
                <w:rFonts w:ascii="宋体" w:hAnsi="宋体" w:cs="宋体" w:eastAsia="宋体" w:hint="default"/>
                <w:sz w:val="16"/>
                <w:szCs w:val="16"/>
              </w:rPr>
              <w:t>项目</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left="343" w:right="0"/>
              <w:jc w:val="left"/>
              <w:rPr>
                <w:rFonts w:ascii="宋体" w:hAnsi="宋体" w:cs="宋体" w:eastAsia="宋体" w:hint="default"/>
                <w:sz w:val="16"/>
                <w:szCs w:val="16"/>
              </w:rPr>
            </w:pPr>
            <w:r>
              <w:rPr>
                <w:rFonts w:ascii="宋体" w:hAnsi="宋体" w:cs="宋体" w:eastAsia="宋体" w:hint="default"/>
                <w:sz w:val="16"/>
                <w:szCs w:val="16"/>
              </w:rPr>
              <w:t>高新电子</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381" w:right="142" w:hanging="240"/>
              <w:jc w:val="left"/>
              <w:rPr>
                <w:rFonts w:ascii="宋体" w:hAnsi="宋体" w:cs="宋体" w:eastAsia="宋体" w:hint="default"/>
                <w:sz w:val="16"/>
                <w:szCs w:val="16"/>
              </w:rPr>
            </w:pPr>
            <w:r>
              <w:rPr>
                <w:rFonts w:ascii="宋体" w:hAnsi="宋体" w:cs="宋体" w:eastAsia="宋体" w:hint="default"/>
                <w:sz w:val="16"/>
                <w:szCs w:val="16"/>
              </w:rPr>
              <w:t>信息安全整机及</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解决方案</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left="340" w:right="0"/>
              <w:jc w:val="left"/>
              <w:rPr>
                <w:rFonts w:ascii="宋体" w:hAnsi="宋体" w:cs="宋体" w:eastAsia="宋体" w:hint="default"/>
                <w:sz w:val="16"/>
                <w:szCs w:val="16"/>
              </w:rPr>
            </w:pPr>
            <w:r>
              <w:rPr>
                <w:rFonts w:ascii="宋体" w:hAnsi="宋体" w:cs="宋体" w:eastAsia="宋体" w:hint="default"/>
                <w:sz w:val="16"/>
                <w:szCs w:val="16"/>
              </w:rPr>
              <w:t>电源产品</w:t>
            </w:r>
          </w:p>
        </w:tc>
        <w:tc>
          <w:tcPr>
            <w:tcW w:w="13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right="101"/>
              <w:jc w:val="right"/>
              <w:rPr>
                <w:rFonts w:ascii="宋体" w:hAnsi="宋体" w:cs="宋体" w:eastAsia="宋体" w:hint="default"/>
                <w:sz w:val="16"/>
                <w:szCs w:val="16"/>
              </w:rPr>
            </w:pPr>
            <w:r>
              <w:rPr>
                <w:rFonts w:ascii="宋体" w:hAnsi="宋体" w:cs="宋体" w:eastAsia="宋体" w:hint="default"/>
                <w:spacing w:val="-1"/>
                <w:sz w:val="16"/>
                <w:szCs w:val="16"/>
              </w:rPr>
              <w:t>园区及物业服务</w:t>
            </w:r>
          </w:p>
        </w:tc>
        <w:tc>
          <w:tcPr>
            <w:tcW w:w="1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3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left="290" w:right="0"/>
              <w:jc w:val="left"/>
              <w:rPr>
                <w:rFonts w:ascii="宋体" w:hAnsi="宋体" w:cs="宋体" w:eastAsia="宋体" w:hint="default"/>
                <w:sz w:val="16"/>
                <w:szCs w:val="16"/>
              </w:rPr>
            </w:pPr>
            <w:r>
              <w:rPr>
                <w:rFonts w:ascii="宋体" w:hAnsi="宋体" w:cs="宋体" w:eastAsia="宋体" w:hint="default"/>
                <w:sz w:val="16"/>
                <w:szCs w:val="16"/>
              </w:rPr>
              <w:t>分部间抵销</w:t>
            </w:r>
          </w:p>
        </w:tc>
        <w:tc>
          <w:tcPr>
            <w:tcW w:w="141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8"/>
              <w:ind w:right="2"/>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293" w:hRule="exact"/>
        </w:trPr>
        <w:tc>
          <w:tcPr>
            <w:tcW w:w="9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spacing w:val="-1"/>
                <w:sz w:val="16"/>
              </w:rPr>
              <w:t>4,473,454,090.15</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4"/>
              <w:jc w:val="right"/>
              <w:rPr>
                <w:rFonts w:ascii="Times New Roman" w:hAnsi="Times New Roman" w:cs="Times New Roman" w:eastAsia="Times New Roman" w:hint="default"/>
                <w:sz w:val="16"/>
                <w:szCs w:val="16"/>
              </w:rPr>
            </w:pPr>
            <w:r>
              <w:rPr>
                <w:rFonts w:ascii="Times New Roman"/>
                <w:spacing w:val="-1"/>
                <w:sz w:val="16"/>
              </w:rPr>
              <w:t>3,902,089,833.70</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2,947,934,658.92</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305,964,240.75</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1"/>
                <w:sz w:val="16"/>
              </w:rPr>
              <w:t>742,729,247.85</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-1,528,387,494.66</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6"/>
                <w:szCs w:val="16"/>
              </w:rPr>
            </w:pPr>
            <w:r>
              <w:rPr>
                <w:rFonts w:ascii="Times New Roman"/>
                <w:spacing w:val="-2"/>
                <w:sz w:val="16"/>
              </w:rPr>
              <w:t>10,843,784,576.71</w:t>
            </w:r>
          </w:p>
        </w:tc>
      </w:tr>
      <w:tr>
        <w:trPr>
          <w:trHeight w:val="293" w:hRule="exact"/>
        </w:trPr>
        <w:tc>
          <w:tcPr>
            <w:tcW w:w="9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折旧费</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2"/>
                <w:sz w:val="16"/>
              </w:rPr>
              <w:t>98,392,765.40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2"/>
                <w:sz w:val="16"/>
              </w:rPr>
              <w:t>19,846,487.89</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2"/>
                <w:sz w:val="16"/>
              </w:rPr>
              <w:t>33,501,036.61</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2"/>
                <w:sz w:val="16"/>
              </w:rPr>
              <w:t>21,062,825.86</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1"/>
                <w:sz w:val="16"/>
              </w:rPr>
              <w:t>9,596,432.80</w:t>
            </w:r>
          </w:p>
        </w:tc>
        <w:tc>
          <w:tcPr>
            <w:tcW w:w="1390"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6"/>
                <w:szCs w:val="16"/>
              </w:rPr>
            </w:pPr>
            <w:r>
              <w:rPr>
                <w:rFonts w:ascii="Times New Roman"/>
                <w:spacing w:val="-1"/>
                <w:sz w:val="16"/>
              </w:rPr>
              <w:t>182,399,548.56</w:t>
            </w:r>
          </w:p>
        </w:tc>
      </w:tr>
      <w:tr>
        <w:trPr>
          <w:trHeight w:val="293" w:hRule="exact"/>
        </w:trPr>
        <w:tc>
          <w:tcPr>
            <w:tcW w:w="9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摊销费</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2"/>
                <w:sz w:val="16"/>
              </w:rPr>
              <w:t>29,903,592.49</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2"/>
                <w:sz w:val="16"/>
              </w:rPr>
              <w:t>14,641,108.86</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1"/>
                <w:sz w:val="16"/>
              </w:rPr>
              <w:t>2,928,785.43</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4,382,448.24</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1"/>
                <w:sz w:val="16"/>
              </w:rPr>
              <w:t>995,096.99</w:t>
            </w:r>
          </w:p>
        </w:tc>
        <w:tc>
          <w:tcPr>
            <w:tcW w:w="1390"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6"/>
                <w:szCs w:val="16"/>
              </w:rPr>
            </w:pPr>
            <w:r>
              <w:rPr>
                <w:rFonts w:ascii="Times New Roman"/>
                <w:spacing w:val="-2"/>
                <w:sz w:val="16"/>
              </w:rPr>
              <w:t>52,851,032.01</w:t>
            </w:r>
          </w:p>
        </w:tc>
      </w:tr>
      <w:tr>
        <w:trPr>
          <w:trHeight w:val="293" w:hRule="exact"/>
        </w:trPr>
        <w:tc>
          <w:tcPr>
            <w:tcW w:w="9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利润总额</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0"/>
              <w:jc w:val="right"/>
              <w:rPr>
                <w:rFonts w:ascii="Times New Roman" w:hAnsi="Times New Roman" w:cs="Times New Roman" w:eastAsia="Times New Roman" w:hint="default"/>
                <w:sz w:val="16"/>
                <w:szCs w:val="16"/>
              </w:rPr>
            </w:pPr>
            <w:r>
              <w:rPr>
                <w:rFonts w:ascii="Times New Roman"/>
                <w:spacing w:val="-1"/>
                <w:sz w:val="16"/>
              </w:rPr>
              <w:t>483,936,170.70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507,731,774.58</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0"/>
              <w:jc w:val="right"/>
              <w:rPr>
                <w:rFonts w:ascii="Times New Roman" w:hAnsi="Times New Roman" w:cs="Times New Roman" w:eastAsia="Times New Roman" w:hint="default"/>
                <w:sz w:val="16"/>
                <w:szCs w:val="16"/>
              </w:rPr>
            </w:pPr>
            <w:r>
              <w:rPr>
                <w:rFonts w:ascii="Times New Roman"/>
                <w:spacing w:val="-1"/>
                <w:sz w:val="16"/>
              </w:rPr>
              <w:t>128,717,669.92</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1"/>
              <w:jc w:val="right"/>
              <w:rPr>
                <w:rFonts w:ascii="Times New Roman" w:hAnsi="Times New Roman" w:cs="Times New Roman" w:eastAsia="Times New Roman" w:hint="default"/>
                <w:sz w:val="16"/>
                <w:szCs w:val="16"/>
              </w:rPr>
            </w:pPr>
            <w:r>
              <w:rPr>
                <w:rFonts w:ascii="Times New Roman"/>
                <w:spacing w:val="-1"/>
                <w:sz w:val="16"/>
              </w:rPr>
              <w:t>313,173,238.85</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0"/>
              <w:jc w:val="right"/>
              <w:rPr>
                <w:rFonts w:ascii="Times New Roman" w:hAnsi="Times New Roman" w:cs="Times New Roman" w:eastAsia="Times New Roman" w:hint="default"/>
                <w:sz w:val="16"/>
                <w:szCs w:val="16"/>
              </w:rPr>
            </w:pPr>
            <w:r>
              <w:rPr>
                <w:rFonts w:ascii="Times New Roman"/>
                <w:spacing w:val="-1"/>
                <w:sz w:val="16"/>
              </w:rPr>
              <w:t>-12,862,056.14</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1"/>
              <w:jc w:val="right"/>
              <w:rPr>
                <w:rFonts w:ascii="Times New Roman" w:hAnsi="Times New Roman" w:cs="Times New Roman" w:eastAsia="Times New Roman" w:hint="default"/>
                <w:sz w:val="16"/>
                <w:szCs w:val="16"/>
              </w:rPr>
            </w:pPr>
            <w:r>
              <w:rPr>
                <w:rFonts w:ascii="Times New Roman"/>
                <w:spacing w:val="-1"/>
                <w:sz w:val="16"/>
              </w:rPr>
              <w:t>-70,415,499.87</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1"/>
                <w:sz w:val="16"/>
              </w:rPr>
              <w:t>1,350,281,298.04</w:t>
            </w:r>
          </w:p>
        </w:tc>
      </w:tr>
      <w:tr>
        <w:trPr>
          <w:trHeight w:val="293" w:hRule="exact"/>
        </w:trPr>
        <w:tc>
          <w:tcPr>
            <w:tcW w:w="9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资产总额</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2"/>
              <w:jc w:val="right"/>
              <w:rPr>
                <w:rFonts w:ascii="Times New Roman" w:hAnsi="Times New Roman" w:cs="Times New Roman" w:eastAsia="Times New Roman" w:hint="default"/>
                <w:sz w:val="16"/>
                <w:szCs w:val="16"/>
              </w:rPr>
            </w:pPr>
            <w:r>
              <w:rPr>
                <w:rFonts w:ascii="Times New Roman"/>
                <w:spacing w:val="-1"/>
                <w:sz w:val="16"/>
              </w:rPr>
              <w:t>8,330,587,728.94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2"/>
                <w:sz w:val="16"/>
              </w:rPr>
              <w:t>10,916,793,577.32</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1"/>
              <w:jc w:val="right"/>
              <w:rPr>
                <w:rFonts w:ascii="Times New Roman" w:hAnsi="Times New Roman" w:cs="Times New Roman" w:eastAsia="Times New Roman" w:hint="default"/>
                <w:sz w:val="16"/>
                <w:szCs w:val="16"/>
              </w:rPr>
            </w:pPr>
            <w:r>
              <w:rPr>
                <w:rFonts w:ascii="Times New Roman"/>
                <w:spacing w:val="-1"/>
                <w:sz w:val="16"/>
              </w:rPr>
              <w:t>1,769,160,590.45</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1"/>
              <w:jc w:val="right"/>
              <w:rPr>
                <w:rFonts w:ascii="Times New Roman" w:hAnsi="Times New Roman" w:cs="Times New Roman" w:eastAsia="Times New Roman" w:hint="default"/>
                <w:sz w:val="16"/>
                <w:szCs w:val="16"/>
              </w:rPr>
            </w:pPr>
            <w:r>
              <w:rPr>
                <w:rFonts w:ascii="Times New Roman"/>
                <w:spacing w:val="-1"/>
                <w:sz w:val="16"/>
              </w:rPr>
              <w:t>4,560,618,713.05</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0"/>
              <w:jc w:val="right"/>
              <w:rPr>
                <w:rFonts w:ascii="Times New Roman" w:hAnsi="Times New Roman" w:cs="Times New Roman" w:eastAsia="Times New Roman" w:hint="default"/>
                <w:sz w:val="16"/>
                <w:szCs w:val="16"/>
              </w:rPr>
            </w:pPr>
            <w:r>
              <w:rPr>
                <w:rFonts w:ascii="Times New Roman"/>
                <w:spacing w:val="-1"/>
                <w:sz w:val="16"/>
              </w:rPr>
              <w:t>585,342,648.16</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1"/>
              <w:jc w:val="right"/>
              <w:rPr>
                <w:rFonts w:ascii="Times New Roman" w:hAnsi="Times New Roman" w:cs="Times New Roman" w:eastAsia="Times New Roman" w:hint="default"/>
                <w:sz w:val="16"/>
                <w:szCs w:val="16"/>
              </w:rPr>
            </w:pPr>
            <w:r>
              <w:rPr>
                <w:rFonts w:ascii="Times New Roman"/>
                <w:spacing w:val="-1"/>
                <w:sz w:val="16"/>
              </w:rPr>
              <w:t>-4,491,790,608.38</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2"/>
                <w:sz w:val="16"/>
              </w:rPr>
              <w:t>21,670,712,649.54</w:t>
            </w:r>
          </w:p>
        </w:tc>
      </w:tr>
      <w:tr>
        <w:trPr>
          <w:trHeight w:val="305" w:hRule="exact"/>
        </w:trPr>
        <w:tc>
          <w:tcPr>
            <w:tcW w:w="9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负债总额</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9"/>
              <w:ind w:right="102"/>
              <w:jc w:val="right"/>
              <w:rPr>
                <w:rFonts w:ascii="Times New Roman" w:hAnsi="Times New Roman" w:cs="Times New Roman" w:eastAsia="Times New Roman" w:hint="default"/>
                <w:sz w:val="16"/>
                <w:szCs w:val="16"/>
              </w:rPr>
            </w:pPr>
            <w:r>
              <w:rPr>
                <w:rFonts w:ascii="Times New Roman"/>
                <w:spacing w:val="-1"/>
                <w:sz w:val="16"/>
              </w:rPr>
              <w:t>3,903,756,572.70</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9"/>
              <w:ind w:right="104"/>
              <w:jc w:val="right"/>
              <w:rPr>
                <w:rFonts w:ascii="Times New Roman" w:hAnsi="Times New Roman" w:cs="Times New Roman" w:eastAsia="Times New Roman" w:hint="default"/>
                <w:sz w:val="16"/>
                <w:szCs w:val="16"/>
              </w:rPr>
            </w:pPr>
            <w:r>
              <w:rPr>
                <w:rFonts w:ascii="Times New Roman"/>
                <w:spacing w:val="-1"/>
                <w:sz w:val="16"/>
              </w:rPr>
              <w:t>6,563,310,215.68</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9"/>
              <w:ind w:right="101"/>
              <w:jc w:val="right"/>
              <w:rPr>
                <w:rFonts w:ascii="Times New Roman" w:hAnsi="Times New Roman" w:cs="Times New Roman" w:eastAsia="Times New Roman" w:hint="default"/>
                <w:sz w:val="16"/>
                <w:szCs w:val="16"/>
              </w:rPr>
            </w:pPr>
            <w:r>
              <w:rPr>
                <w:rFonts w:ascii="Times New Roman"/>
                <w:spacing w:val="-1"/>
                <w:sz w:val="16"/>
              </w:rPr>
              <w:t>1,225,670,603.70</w:t>
            </w:r>
          </w:p>
        </w:tc>
        <w:tc>
          <w:tcPr>
            <w:tcW w:w="13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9"/>
              <w:ind w:right="101"/>
              <w:jc w:val="right"/>
              <w:rPr>
                <w:rFonts w:ascii="Times New Roman" w:hAnsi="Times New Roman" w:cs="Times New Roman" w:eastAsia="Times New Roman" w:hint="default"/>
                <w:sz w:val="16"/>
                <w:szCs w:val="16"/>
              </w:rPr>
            </w:pPr>
            <w:r>
              <w:rPr>
                <w:rFonts w:ascii="Times New Roman"/>
                <w:spacing w:val="-1"/>
                <w:sz w:val="16"/>
              </w:rPr>
              <w:t>2,100,355,405.43</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9"/>
              <w:ind w:right="100"/>
              <w:jc w:val="right"/>
              <w:rPr>
                <w:rFonts w:ascii="Times New Roman" w:hAnsi="Times New Roman" w:cs="Times New Roman" w:eastAsia="Times New Roman" w:hint="default"/>
                <w:sz w:val="16"/>
                <w:szCs w:val="16"/>
              </w:rPr>
            </w:pPr>
            <w:r>
              <w:rPr>
                <w:rFonts w:ascii="Times New Roman"/>
                <w:spacing w:val="-1"/>
                <w:sz w:val="16"/>
              </w:rPr>
              <w:t>333,732,167.66</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9"/>
              <w:ind w:right="101"/>
              <w:jc w:val="right"/>
              <w:rPr>
                <w:rFonts w:ascii="Times New Roman" w:hAnsi="Times New Roman" w:cs="Times New Roman" w:eastAsia="Times New Roman" w:hint="default"/>
                <w:sz w:val="16"/>
                <w:szCs w:val="16"/>
              </w:rPr>
            </w:pPr>
            <w:r>
              <w:rPr>
                <w:rFonts w:ascii="Times New Roman"/>
                <w:spacing w:val="-1"/>
                <w:sz w:val="16"/>
              </w:rPr>
              <w:t>-1,106,856,067.27</w:t>
            </w:r>
          </w:p>
        </w:tc>
        <w:tc>
          <w:tcPr>
            <w:tcW w:w="14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2"/>
                <w:sz w:val="16"/>
              </w:rPr>
              <w:t>13,019,968,897.89</w:t>
            </w:r>
          </w:p>
        </w:tc>
      </w:tr>
    </w:tbl>
    <w:p>
      <w:pPr>
        <w:spacing w:line="240" w:lineRule="auto" w:before="6"/>
        <w:rPr>
          <w:rFonts w:ascii="宋体" w:hAnsi="宋体" w:cs="宋体" w:eastAsia="宋体" w:hint="default"/>
          <w:b/>
          <w:bCs/>
          <w:sz w:val="27"/>
          <w:szCs w:val="27"/>
        </w:rPr>
      </w:pPr>
    </w:p>
    <w:p>
      <w:pPr>
        <w:pStyle w:val="BodyText"/>
        <w:tabs>
          <w:tab w:pos="1710" w:val="left" w:leader="none"/>
        </w:tabs>
        <w:spacing w:line="302" w:lineRule="auto"/>
        <w:ind w:left="1710" w:right="1597" w:hanging="713"/>
        <w:jc w:val="left"/>
      </w:pPr>
      <w:r>
        <w:rPr>
          <w:rFonts w:ascii="Times New Roman" w:hAnsi="Times New Roman" w:cs="Times New Roman" w:eastAsia="Times New Roman" w:hint="default"/>
          <w:b/>
          <w:bCs/>
        </w:rPr>
        <w:t>(</w:t>
      </w:r>
      <w:r>
        <w:rPr>
          <w:rFonts w:ascii="宋体" w:hAnsi="宋体" w:cs="宋体" w:eastAsia="宋体" w:hint="default"/>
          <w:b/>
          <w:bCs/>
        </w:rPr>
        <w:t>七</w:t>
      </w:r>
      <w:r>
        <w:rPr>
          <w:rFonts w:ascii="Times New Roman" w:hAnsi="Times New Roman" w:cs="Times New Roman" w:eastAsia="Times New Roman" w:hint="default"/>
          <w:b/>
          <w:bCs/>
        </w:rPr>
        <w:t>)</w:t>
        <w:tab/>
      </w:r>
      <w:r>
        <w:rPr>
          <w:rFonts w:ascii="宋体" w:hAnsi="宋体" w:cs="宋体" w:eastAsia="宋体" w:hint="default"/>
          <w:b/>
          <w:bCs/>
        </w:rPr>
        <w:t>其他</w:t>
      </w:r>
      <w:r>
        <w:rPr>
          <w:rFonts w:ascii="宋体" w:hAnsi="宋体" w:cs="宋体" w:eastAsia="宋体" w:hint="default"/>
          <w:b/>
          <w:bCs/>
          <w:w w:val="100"/>
        </w:rPr>
        <w:t> </w:t>
      </w:r>
      <w:r>
        <w:rPr>
          <w:spacing w:val="-2"/>
        </w:rPr>
        <w:t>本报告期本公司子公司北京圣非凡电子系统技术开发有限公司自中国电子信息产业集</w:t>
      </w:r>
      <w:r>
        <w:rPr>
          <w:w w:val="100"/>
        </w:rPr>
        <w:t> </w:t>
      </w:r>
      <w:r>
        <w:rPr>
          <w:spacing w:val="-2"/>
          <w:w w:val="100"/>
        </w:rPr>
        <w:t>团有限公司第六研究所取得郑州轨道交通信息技术研究院</w:t>
      </w:r>
      <w:r>
        <w:rPr>
          <w:spacing w:val="-37"/>
          <w:w w:val="100"/>
        </w:rPr>
        <w:t> </w:t>
      </w:r>
      <w:r>
        <w:rPr>
          <w:rFonts w:ascii="Times New Roman" w:hAnsi="Times New Roman" w:cs="Times New Roman" w:eastAsia="Times New Roman" w:hint="default"/>
          <w:spacing w:val="-9"/>
          <w:w w:val="100"/>
        </w:rPr>
        <w:t>100%</w:t>
      </w:r>
      <w:r>
        <w:rPr>
          <w:spacing w:val="-9"/>
          <w:w w:val="100"/>
        </w:rPr>
        <w:t>股权，形成同一控制下</w:t>
      </w:r>
      <w:r>
        <w:rPr>
          <w:w w:val="100"/>
        </w:rPr>
        <w:t> </w:t>
      </w:r>
      <w:r>
        <w:rPr/>
        <w:t>企业合并。截至本报告披露日，郑州轨道交通信息技术研究院尚未完成企业改制。</w:t>
      </w:r>
    </w:p>
    <w:p>
      <w:pPr>
        <w:spacing w:line="240" w:lineRule="auto" w:before="4"/>
        <w:rPr>
          <w:rFonts w:ascii="宋体" w:hAnsi="宋体" w:cs="宋体" w:eastAsia="宋体" w:hint="default"/>
          <w:sz w:val="27"/>
          <w:szCs w:val="27"/>
        </w:rPr>
      </w:pPr>
    </w:p>
    <w:p>
      <w:pPr>
        <w:pStyle w:val="Heading5"/>
        <w:spacing w:line="240" w:lineRule="auto" w:before="0"/>
        <w:ind w:left="998" w:right="0"/>
        <w:jc w:val="left"/>
        <w:rPr>
          <w:b w:val="0"/>
          <w:bCs w:val="0"/>
        </w:rPr>
      </w:pPr>
      <w:r>
        <w:rPr/>
        <w:t>十五、</w:t>
      </w:r>
      <w:r>
        <w:rPr>
          <w:spacing w:val="-27"/>
        </w:rPr>
        <w:t> </w:t>
      </w:r>
      <w:r>
        <w:rPr/>
        <w:t>母公司财务报表主要项目注释</w:t>
      </w:r>
      <w:r>
        <w:rPr>
          <w:b w:val="0"/>
          <w:bCs w:val="0"/>
        </w:rPr>
      </w:r>
    </w:p>
    <w:p>
      <w:pPr>
        <w:pStyle w:val="Heading5"/>
        <w:tabs>
          <w:tab w:pos="1710" w:val="left" w:leader="none"/>
        </w:tabs>
        <w:spacing w:line="240" w:lineRule="auto" w:before="126"/>
        <w:ind w:left="998" w:right="687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应收票据</w:t>
      </w:r>
      <w:r>
        <w:rPr>
          <w:b w:val="0"/>
          <w:bCs w:val="0"/>
        </w:rPr>
      </w:r>
    </w:p>
    <w:p>
      <w:pPr>
        <w:pStyle w:val="Heading5"/>
        <w:tabs>
          <w:tab w:pos="2257" w:val="left" w:leader="none"/>
        </w:tabs>
        <w:spacing w:line="240" w:lineRule="auto" w:before="110"/>
        <w:ind w:left="1706" w:right="6870"/>
        <w:jc w:val="left"/>
        <w:rPr>
          <w:b w:val="0"/>
          <w:bCs w:val="0"/>
        </w:rPr>
      </w:pPr>
      <w:r>
        <w:rPr>
          <w:rFonts w:ascii="Times New Roman" w:hAnsi="Times New Roman" w:cs="Times New Roman" w:eastAsia="Times New Roman" w:hint="default"/>
        </w:rPr>
        <w:t>1</w:t>
      </w:r>
      <w:r>
        <w:rPr/>
        <w:t>、</w:t>
        <w:tab/>
        <w:t>应收票据分类列示</w:t>
      </w:r>
      <w:r>
        <w:rPr>
          <w:b w:val="0"/>
          <w:bCs w:val="0"/>
        </w:rPr>
      </w:r>
    </w:p>
    <w:tbl>
      <w:tblPr>
        <w:tblW w:w="0" w:type="auto"/>
        <w:jc w:val="left"/>
        <w:tblInd w:w="1581" w:type="dxa"/>
        <w:tblLayout w:type="fixed"/>
        <w:tblCellMar>
          <w:top w:w="0" w:type="dxa"/>
          <w:left w:w="0" w:type="dxa"/>
          <w:bottom w:w="0" w:type="dxa"/>
          <w:right w:w="0" w:type="dxa"/>
        </w:tblCellMar>
        <w:tblLook w:val="01E0"/>
      </w:tblPr>
      <w:tblGrid>
        <w:gridCol w:w="3149"/>
        <w:gridCol w:w="2528"/>
        <w:gridCol w:w="2528"/>
      </w:tblGrid>
      <w:tr>
        <w:trPr>
          <w:trHeight w:val="283" w:hRule="exact"/>
        </w:trPr>
        <w:tc>
          <w:tcPr>
            <w:tcW w:w="314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400"/>
              <w:jc w:val="right"/>
              <w:rPr>
                <w:rFonts w:ascii="宋体" w:hAnsi="宋体" w:cs="宋体" w:eastAsia="宋体" w:hint="default"/>
                <w:sz w:val="16"/>
                <w:szCs w:val="16"/>
              </w:rPr>
            </w:pPr>
            <w:r>
              <w:rPr>
                <w:rFonts w:ascii="宋体" w:hAnsi="宋体" w:cs="宋体" w:eastAsia="宋体" w:hint="default"/>
                <w:sz w:val="16"/>
                <w:szCs w:val="16"/>
              </w:rPr>
              <w:t>项目</w:t>
            </w:r>
          </w:p>
        </w:tc>
        <w:tc>
          <w:tcPr>
            <w:tcW w:w="25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5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7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银行承兑汇票</w:t>
            </w:r>
          </w:p>
        </w:tc>
        <w:tc>
          <w:tcPr>
            <w:tcW w:w="25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50,574,137.02</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113,362,902.91</w:t>
            </w:r>
          </w:p>
        </w:tc>
      </w:tr>
      <w:tr>
        <w:trPr>
          <w:trHeight w:val="274" w:hRule="exact"/>
        </w:trPr>
        <w:tc>
          <w:tcPr>
            <w:tcW w:w="3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商业承兑汇票</w:t>
            </w:r>
          </w:p>
        </w:tc>
        <w:tc>
          <w:tcPr>
            <w:tcW w:w="25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168,488,362.20</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94,440,807.81</w:t>
            </w:r>
          </w:p>
        </w:tc>
      </w:tr>
      <w:tr>
        <w:trPr>
          <w:trHeight w:val="274" w:hRule="exact"/>
        </w:trPr>
        <w:tc>
          <w:tcPr>
            <w:tcW w:w="3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减：坏账准备</w:t>
            </w:r>
          </w:p>
        </w:tc>
        <w:tc>
          <w:tcPr>
            <w:tcW w:w="25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252,387.42</w:t>
            </w:r>
          </w:p>
        </w:tc>
        <w:tc>
          <w:tcPr>
            <w:tcW w:w="2528" w:type="dxa"/>
            <w:tcBorders>
              <w:top w:val="dotted" w:sz="4" w:space="0" w:color="000000"/>
              <w:left w:val="dotted" w:sz="4" w:space="0" w:color="000000"/>
              <w:bottom w:val="dotted" w:sz="4" w:space="0" w:color="000000"/>
              <w:right w:val="nil" w:sz="6" w:space="0" w:color="auto"/>
            </w:tcBorders>
          </w:tcPr>
          <w:p>
            <w:pPr/>
          </w:p>
        </w:tc>
      </w:tr>
      <w:tr>
        <w:trPr>
          <w:trHeight w:val="284" w:hRule="exact"/>
        </w:trPr>
        <w:tc>
          <w:tcPr>
            <w:tcW w:w="31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400"/>
              <w:jc w:val="right"/>
              <w:rPr>
                <w:rFonts w:ascii="宋体" w:hAnsi="宋体" w:cs="宋体" w:eastAsia="宋体" w:hint="default"/>
                <w:sz w:val="16"/>
                <w:szCs w:val="16"/>
              </w:rPr>
            </w:pPr>
            <w:r>
              <w:rPr>
                <w:rFonts w:ascii="宋体" w:hAnsi="宋体" w:cs="宋体" w:eastAsia="宋体" w:hint="default"/>
                <w:sz w:val="16"/>
                <w:szCs w:val="16"/>
              </w:rPr>
              <w:t>合计</w:t>
            </w:r>
          </w:p>
        </w:tc>
        <w:tc>
          <w:tcPr>
            <w:tcW w:w="25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218,810,111.80</w:t>
            </w:r>
          </w:p>
        </w:tc>
        <w:tc>
          <w:tcPr>
            <w:tcW w:w="25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207,803,710.72</w:t>
            </w:r>
          </w:p>
        </w:tc>
      </w:tr>
    </w:tbl>
    <w:p>
      <w:pPr>
        <w:spacing w:line="240" w:lineRule="auto" w:before="9"/>
        <w:rPr>
          <w:rFonts w:ascii="宋体" w:hAnsi="宋体" w:cs="宋体" w:eastAsia="宋体" w:hint="default"/>
          <w:b/>
          <w:bCs/>
          <w:sz w:val="27"/>
          <w:szCs w:val="27"/>
        </w:rPr>
      </w:pPr>
    </w:p>
    <w:p>
      <w:pPr>
        <w:pStyle w:val="Heading5"/>
        <w:tabs>
          <w:tab w:pos="1717" w:val="left" w:leader="none"/>
        </w:tabs>
        <w:spacing w:line="240" w:lineRule="auto"/>
        <w:ind w:left="1151" w:right="0"/>
        <w:jc w:val="left"/>
        <w:rPr>
          <w:b w:val="0"/>
          <w:bCs w:val="0"/>
        </w:rPr>
      </w:pPr>
      <w:r>
        <w:rPr>
          <w:rFonts w:ascii="Times New Roman" w:hAnsi="Times New Roman" w:cs="Times New Roman" w:eastAsia="Times New Roman" w:hint="default"/>
          <w:spacing w:val="-1"/>
        </w:rPr>
        <w:t>2</w:t>
      </w:r>
      <w:r>
        <w:rPr>
          <w:spacing w:val="-1"/>
        </w:rPr>
        <w:t>、</w:t>
        <w:tab/>
        <w:t>期末公司已背书或贴现且在资产负债表日尚未到期的应收票据</w:t>
      </w:r>
      <w:r>
        <w:rPr>
          <w:b w:val="0"/>
          <w:bCs w:val="0"/>
          <w:spacing w:val="-1"/>
        </w:rPr>
      </w:r>
    </w:p>
    <w:tbl>
      <w:tblPr>
        <w:tblW w:w="0" w:type="auto"/>
        <w:jc w:val="left"/>
        <w:tblInd w:w="1581" w:type="dxa"/>
        <w:tblLayout w:type="fixed"/>
        <w:tblCellMar>
          <w:top w:w="0" w:type="dxa"/>
          <w:left w:w="0" w:type="dxa"/>
          <w:bottom w:w="0" w:type="dxa"/>
          <w:right w:w="0" w:type="dxa"/>
        </w:tblCellMar>
        <w:tblLook w:val="01E0"/>
      </w:tblPr>
      <w:tblGrid>
        <w:gridCol w:w="3149"/>
        <w:gridCol w:w="2528"/>
        <w:gridCol w:w="2528"/>
      </w:tblGrid>
      <w:tr>
        <w:trPr>
          <w:trHeight w:val="283" w:hRule="exact"/>
        </w:trPr>
        <w:tc>
          <w:tcPr>
            <w:tcW w:w="314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400"/>
              <w:jc w:val="right"/>
              <w:rPr>
                <w:rFonts w:ascii="宋体" w:hAnsi="宋体" w:cs="宋体" w:eastAsia="宋体" w:hint="default"/>
                <w:sz w:val="16"/>
                <w:szCs w:val="16"/>
              </w:rPr>
            </w:pPr>
            <w:r>
              <w:rPr>
                <w:rFonts w:ascii="宋体" w:hAnsi="宋体" w:cs="宋体" w:eastAsia="宋体" w:hint="default"/>
                <w:sz w:val="16"/>
                <w:szCs w:val="16"/>
              </w:rPr>
              <w:t>项目</w:t>
            </w:r>
          </w:p>
        </w:tc>
        <w:tc>
          <w:tcPr>
            <w:tcW w:w="25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619" w:right="0"/>
              <w:jc w:val="left"/>
              <w:rPr>
                <w:rFonts w:ascii="宋体" w:hAnsi="宋体" w:cs="宋体" w:eastAsia="宋体" w:hint="default"/>
                <w:sz w:val="16"/>
                <w:szCs w:val="16"/>
              </w:rPr>
            </w:pPr>
            <w:r>
              <w:rPr>
                <w:rFonts w:ascii="宋体" w:hAnsi="宋体" w:cs="宋体" w:eastAsia="宋体" w:hint="default"/>
                <w:sz w:val="16"/>
                <w:szCs w:val="16"/>
              </w:rPr>
              <w:t>期末终止确认金额</w:t>
            </w:r>
          </w:p>
        </w:tc>
        <w:tc>
          <w:tcPr>
            <w:tcW w:w="25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535" w:right="0"/>
              <w:jc w:val="left"/>
              <w:rPr>
                <w:rFonts w:ascii="宋体" w:hAnsi="宋体" w:cs="宋体" w:eastAsia="宋体" w:hint="default"/>
                <w:sz w:val="16"/>
                <w:szCs w:val="16"/>
              </w:rPr>
            </w:pPr>
            <w:r>
              <w:rPr>
                <w:rFonts w:ascii="宋体" w:hAnsi="宋体" w:cs="宋体" w:eastAsia="宋体" w:hint="default"/>
                <w:sz w:val="16"/>
                <w:szCs w:val="16"/>
              </w:rPr>
              <w:t>期末未终止确认金额</w:t>
            </w:r>
          </w:p>
        </w:tc>
      </w:tr>
      <w:tr>
        <w:trPr>
          <w:trHeight w:val="274" w:hRule="exact"/>
        </w:trPr>
        <w:tc>
          <w:tcPr>
            <w:tcW w:w="3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银行承兑汇票</w:t>
            </w:r>
          </w:p>
        </w:tc>
        <w:tc>
          <w:tcPr>
            <w:tcW w:w="25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43,899,331.24</w:t>
            </w:r>
          </w:p>
        </w:tc>
        <w:tc>
          <w:tcPr>
            <w:tcW w:w="2528"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商业承兑汇票</w:t>
            </w:r>
          </w:p>
        </w:tc>
        <w:tc>
          <w:tcPr>
            <w:tcW w:w="2528" w:type="dxa"/>
            <w:tcBorders>
              <w:top w:val="dotted" w:sz="4" w:space="0" w:color="000000"/>
              <w:left w:val="dotted" w:sz="4" w:space="0" w:color="000000"/>
              <w:bottom w:val="dotted" w:sz="4" w:space="0" w:color="000000"/>
              <w:right w:val="dotted" w:sz="4" w:space="0" w:color="000000"/>
            </w:tcBorders>
          </w:tcPr>
          <w:p>
            <w:pP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108,481.80</w:t>
            </w:r>
          </w:p>
        </w:tc>
      </w:tr>
      <w:tr>
        <w:trPr>
          <w:trHeight w:val="283" w:hRule="exact"/>
        </w:trPr>
        <w:tc>
          <w:tcPr>
            <w:tcW w:w="31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400"/>
              <w:jc w:val="right"/>
              <w:rPr>
                <w:rFonts w:ascii="宋体" w:hAnsi="宋体" w:cs="宋体" w:eastAsia="宋体" w:hint="default"/>
                <w:sz w:val="16"/>
                <w:szCs w:val="16"/>
              </w:rPr>
            </w:pPr>
            <w:r>
              <w:rPr>
                <w:rFonts w:ascii="宋体" w:hAnsi="宋体" w:cs="宋体" w:eastAsia="宋体" w:hint="default"/>
                <w:sz w:val="16"/>
                <w:szCs w:val="16"/>
              </w:rPr>
              <w:t>合计</w:t>
            </w:r>
          </w:p>
        </w:tc>
        <w:tc>
          <w:tcPr>
            <w:tcW w:w="25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43,899,331.24</w:t>
            </w:r>
          </w:p>
        </w:tc>
        <w:tc>
          <w:tcPr>
            <w:tcW w:w="25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108,481.80</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800" w:right="0"/>
        </w:sectPr>
      </w:pPr>
    </w:p>
    <w:p>
      <w:pPr>
        <w:spacing w:line="240" w:lineRule="auto" w:before="12"/>
        <w:rPr>
          <w:rFonts w:ascii="宋体" w:hAnsi="宋体" w:cs="宋体" w:eastAsia="宋体" w:hint="default"/>
          <w:b/>
          <w:bCs/>
          <w:sz w:val="22"/>
          <w:szCs w:val="22"/>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应收账款</w:t>
      </w:r>
      <w:r>
        <w:rPr>
          <w:b w:val="0"/>
          <w:bCs w:val="0"/>
        </w:rPr>
      </w:r>
    </w:p>
    <w:p>
      <w:pPr>
        <w:pStyle w:val="Heading5"/>
        <w:tabs>
          <w:tab w:pos="1397" w:val="left" w:leader="none"/>
        </w:tabs>
        <w:spacing w:line="240" w:lineRule="auto" w:before="110"/>
        <w:ind w:left="846" w:right="3683"/>
        <w:jc w:val="left"/>
        <w:rPr>
          <w:b w:val="0"/>
          <w:bCs w:val="0"/>
        </w:rPr>
      </w:pPr>
      <w:r>
        <w:rPr>
          <w:rFonts w:ascii="Times New Roman" w:hAnsi="Times New Roman" w:cs="Times New Roman" w:eastAsia="Times New Roman" w:hint="default"/>
        </w:rPr>
        <w:t>1</w:t>
      </w:r>
      <w:r>
        <w:rPr/>
        <w:t>、</w:t>
        <w:tab/>
        <w:t>应收账款按账龄披露</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159"/>
        <w:gridCol w:w="2523"/>
        <w:gridCol w:w="2523"/>
      </w:tblGrid>
      <w:tr>
        <w:trPr>
          <w:trHeight w:val="283" w:hRule="exact"/>
        </w:trPr>
        <w:tc>
          <w:tcPr>
            <w:tcW w:w="31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1406"/>
              <w:jc w:val="right"/>
              <w:rPr>
                <w:rFonts w:ascii="宋体" w:hAnsi="宋体" w:cs="宋体" w:eastAsia="宋体" w:hint="default"/>
                <w:sz w:val="16"/>
                <w:szCs w:val="16"/>
              </w:rPr>
            </w:pPr>
            <w:r>
              <w:rPr>
                <w:rFonts w:ascii="宋体" w:hAnsi="宋体" w:cs="宋体" w:eastAsia="宋体" w:hint="default"/>
                <w:sz w:val="16"/>
                <w:szCs w:val="16"/>
              </w:rPr>
              <w:t>账龄</w:t>
            </w:r>
          </w:p>
        </w:tc>
        <w:tc>
          <w:tcPr>
            <w:tcW w:w="25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52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7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330,158,657.54</w:t>
            </w:r>
          </w:p>
        </w:tc>
        <w:tc>
          <w:tcPr>
            <w:tcW w:w="25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288,600,991.83</w:t>
            </w:r>
          </w:p>
        </w:tc>
      </w:tr>
      <w:tr>
        <w:trPr>
          <w:trHeight w:val="482"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147"/>
              <w:jc w:val="left"/>
              <w:rPr>
                <w:rFonts w:ascii="宋体" w:hAnsi="宋体" w:cs="宋体" w:eastAsia="宋体" w:hint="default"/>
                <w:sz w:val="16"/>
                <w:szCs w:val="16"/>
              </w:rPr>
            </w:pPr>
            <w:r>
              <w:rPr>
                <w:rFonts w:ascii="宋体" w:hAnsi="宋体" w:cs="宋体" w:eastAsia="宋体" w:hint="default"/>
                <w:spacing w:val="-1"/>
                <w:sz w:val="16"/>
                <w:szCs w:val="16"/>
              </w:rPr>
              <w:t>其中：在合同规定的收款账期内的应收款</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项组合</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215,622,750.14</w:t>
            </w:r>
          </w:p>
        </w:tc>
        <w:tc>
          <w:tcPr>
            <w:tcW w:w="25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271,235,377.19</w:t>
            </w:r>
          </w:p>
        </w:tc>
      </w:tr>
      <w:tr>
        <w:trPr>
          <w:trHeight w:val="274"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114,535,907.40</w:t>
            </w:r>
          </w:p>
        </w:tc>
        <w:tc>
          <w:tcPr>
            <w:tcW w:w="25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17,365,614.64</w:t>
            </w:r>
          </w:p>
        </w:tc>
      </w:tr>
      <w:tr>
        <w:trPr>
          <w:trHeight w:val="274"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 </w:t>
            </w:r>
            <w:r>
              <w:rPr>
                <w:rFonts w:ascii="宋体" w:hAnsi="宋体" w:cs="宋体" w:eastAsia="宋体" w:hint="default"/>
                <w:sz w:val="16"/>
                <w:szCs w:val="16"/>
              </w:rPr>
              <w:t>年以内小计</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330,158,657.54</w:t>
            </w:r>
          </w:p>
        </w:tc>
        <w:tc>
          <w:tcPr>
            <w:tcW w:w="25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288,600,991.83</w:t>
            </w:r>
          </w:p>
        </w:tc>
      </w:tr>
      <w:tr>
        <w:trPr>
          <w:trHeight w:val="274"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7,501,065.90</w:t>
            </w:r>
          </w:p>
        </w:tc>
        <w:tc>
          <w:tcPr>
            <w:tcW w:w="25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2,518,613.77</w:t>
            </w:r>
          </w:p>
        </w:tc>
      </w:tr>
      <w:tr>
        <w:trPr>
          <w:trHeight w:val="274"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2,237,214.00</w:t>
            </w:r>
          </w:p>
        </w:tc>
        <w:tc>
          <w:tcPr>
            <w:tcW w:w="25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617,152.18</w:t>
            </w:r>
          </w:p>
        </w:tc>
      </w:tr>
      <w:tr>
        <w:trPr>
          <w:trHeight w:val="274"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151,581.21</w:t>
            </w:r>
          </w:p>
        </w:tc>
        <w:tc>
          <w:tcPr>
            <w:tcW w:w="25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559,009.52</w:t>
            </w:r>
          </w:p>
        </w:tc>
      </w:tr>
      <w:tr>
        <w:trPr>
          <w:trHeight w:val="274"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545,056.40</w:t>
            </w:r>
          </w:p>
        </w:tc>
        <w:tc>
          <w:tcPr>
            <w:tcW w:w="25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7,523,800.33</w:t>
            </w:r>
          </w:p>
        </w:tc>
      </w:tr>
      <w:tr>
        <w:trPr>
          <w:trHeight w:val="271"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48,759,669.37</w:t>
            </w:r>
          </w:p>
        </w:tc>
        <w:tc>
          <w:tcPr>
            <w:tcW w:w="25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47,269,745.74</w:t>
            </w:r>
          </w:p>
        </w:tc>
      </w:tr>
      <w:tr>
        <w:trPr>
          <w:trHeight w:val="274"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389,353,244.42</w:t>
            </w:r>
          </w:p>
        </w:tc>
        <w:tc>
          <w:tcPr>
            <w:tcW w:w="25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347,089,313.37</w:t>
            </w:r>
          </w:p>
        </w:tc>
      </w:tr>
      <w:tr>
        <w:trPr>
          <w:trHeight w:val="274"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减：坏账准备</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55,676,182.58</w:t>
            </w:r>
          </w:p>
        </w:tc>
        <w:tc>
          <w:tcPr>
            <w:tcW w:w="25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55,629,601.03</w:t>
            </w:r>
          </w:p>
        </w:tc>
      </w:tr>
      <w:tr>
        <w:trPr>
          <w:trHeight w:val="286" w:hRule="exact"/>
        </w:trPr>
        <w:tc>
          <w:tcPr>
            <w:tcW w:w="31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1406"/>
              <w:jc w:val="right"/>
              <w:rPr>
                <w:rFonts w:ascii="宋体" w:hAnsi="宋体" w:cs="宋体" w:eastAsia="宋体" w:hint="default"/>
                <w:sz w:val="16"/>
                <w:szCs w:val="16"/>
              </w:rPr>
            </w:pPr>
            <w:r>
              <w:rPr>
                <w:rFonts w:ascii="宋体" w:hAnsi="宋体" w:cs="宋体" w:eastAsia="宋体" w:hint="default"/>
                <w:sz w:val="16"/>
                <w:szCs w:val="16"/>
              </w:rPr>
              <w:t>合计</w:t>
            </w:r>
          </w:p>
        </w:tc>
        <w:tc>
          <w:tcPr>
            <w:tcW w:w="25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333,677,061.84</w:t>
            </w:r>
          </w:p>
        </w:tc>
        <w:tc>
          <w:tcPr>
            <w:tcW w:w="252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291,459,712.34</w:t>
            </w:r>
          </w:p>
        </w:tc>
      </w:tr>
    </w:tbl>
    <w:p>
      <w:pPr>
        <w:spacing w:line="240" w:lineRule="auto" w:before="6"/>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r>
      <w:r>
        <w:rPr>
          <w:spacing w:val="-1"/>
        </w:rPr>
        <w:t>应收账款按坏账计提方法分类披露</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1717"/>
        <w:gridCol w:w="1606"/>
        <w:gridCol w:w="1032"/>
        <w:gridCol w:w="1332"/>
        <w:gridCol w:w="1165"/>
        <w:gridCol w:w="1406"/>
      </w:tblGrid>
      <w:tr>
        <w:trPr>
          <w:trHeight w:val="283" w:hRule="exact"/>
        </w:trPr>
        <w:tc>
          <w:tcPr>
            <w:tcW w:w="1717"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6541"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1717" w:type="dxa"/>
            <w:vMerge/>
            <w:tcBorders>
              <w:left w:val="nil" w:sz="6" w:space="0" w:color="auto"/>
              <w:right w:val="dotted" w:sz="4" w:space="0" w:color="000000"/>
            </w:tcBorders>
          </w:tcPr>
          <w:p>
            <w:pPr/>
          </w:p>
        </w:tc>
        <w:tc>
          <w:tcPr>
            <w:tcW w:w="263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49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406" w:type="dxa"/>
            <w:vMerge w:val="restart"/>
            <w:tcBorders>
              <w:top w:val="dotted" w:sz="4" w:space="0" w:color="000000"/>
              <w:left w:val="dotted" w:sz="4" w:space="0" w:color="000000"/>
              <w:right w:val="nil" w:sz="6" w:space="0" w:color="auto"/>
            </w:tcBorders>
          </w:tcPr>
          <w:p>
            <w:pPr>
              <w:pStyle w:val="TableParagraph"/>
              <w:spacing w:line="240" w:lineRule="auto" w:before="139"/>
              <w:ind w:left="376"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74" w:hRule="exact"/>
        </w:trPr>
        <w:tc>
          <w:tcPr>
            <w:tcW w:w="1717" w:type="dxa"/>
            <w:vMerge/>
            <w:tcBorders>
              <w:left w:val="nil" w:sz="6" w:space="0" w:color="auto"/>
              <w:bottom w:val="dotted" w:sz="4" w:space="0" w:color="000000"/>
              <w:right w:val="dotted" w:sz="4" w:space="0" w:color="000000"/>
            </w:tcBorders>
          </w:tcPr>
          <w:p>
            <w:pP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20"/>
              <w:jc w:val="right"/>
              <w:rPr>
                <w:rFonts w:ascii="宋体" w:hAnsi="宋体" w:cs="宋体" w:eastAsia="宋体"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1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9"/>
              <w:jc w:val="right"/>
              <w:rPr>
                <w:rFonts w:ascii="宋体" w:hAnsi="宋体" w:cs="宋体" w:eastAsia="宋体" w:hint="default"/>
                <w:sz w:val="16"/>
                <w:szCs w:val="16"/>
              </w:rPr>
            </w:pPr>
            <w:r>
              <w:rPr>
                <w:rFonts w:ascii="宋体" w:hAnsi="宋体" w:cs="宋体" w:eastAsia="宋体" w:hint="default"/>
                <w:w w:val="100"/>
                <w:sz w:val="16"/>
                <w:szCs w:val="16"/>
              </w:rPr>
              <w:t>计提比</w:t>
            </w:r>
            <w:r>
              <w:rPr>
                <w:rFonts w:ascii="宋体" w:hAnsi="宋体" w:cs="宋体" w:eastAsia="宋体" w:hint="default"/>
                <w:spacing w:val="-65"/>
                <w:w w:val="100"/>
                <w:sz w:val="16"/>
                <w:szCs w:val="16"/>
              </w:rPr>
              <w:t>例</w:t>
            </w:r>
            <w:r>
              <w:rPr>
                <w:rFonts w:ascii="宋体" w:hAnsi="宋体" w:cs="宋体" w:eastAsia="宋体" w:hint="default"/>
                <w:w w:val="100"/>
                <w:sz w:val="16"/>
                <w:szCs w:val="16"/>
              </w:rPr>
              <w:t>（</w:t>
            </w:r>
            <w:r>
              <w:rPr>
                <w:rFonts w:ascii="Times New Roman" w:hAnsi="Times New Roman" w:cs="Times New Roman" w:eastAsia="Times New Roman" w:hint="default"/>
                <w:spacing w:val="-2"/>
                <w:w w:val="100"/>
                <w:sz w:val="16"/>
                <w:szCs w:val="16"/>
              </w:rPr>
              <w:t>%</w:t>
            </w:r>
            <w:r>
              <w:rPr>
                <w:rFonts w:ascii="宋体" w:hAnsi="宋体" w:cs="宋体" w:eastAsia="宋体" w:hint="default"/>
                <w:w w:val="100"/>
                <w:sz w:val="16"/>
                <w:szCs w:val="16"/>
              </w:rPr>
              <w:t>）</w:t>
            </w:r>
          </w:p>
        </w:tc>
        <w:tc>
          <w:tcPr>
            <w:tcW w:w="1406" w:type="dxa"/>
            <w:vMerge/>
            <w:tcBorders>
              <w:left w:val="dotted" w:sz="4" w:space="0" w:color="000000"/>
              <w:bottom w:val="dotted" w:sz="4" w:space="0" w:color="000000"/>
              <w:right w:val="nil" w:sz="6" w:space="0" w:color="auto"/>
            </w:tcBorders>
          </w:tcPr>
          <w:p>
            <w:pPr/>
          </w:p>
        </w:tc>
      </w:tr>
      <w:tr>
        <w:trPr>
          <w:trHeight w:val="274"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按单项计提坏账准备</w:t>
            </w: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48,759,669.37</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12.52</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48,001,122.57</w:t>
            </w:r>
          </w:p>
        </w:tc>
        <w:tc>
          <w:tcPr>
            <w:tcW w:w="11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98.44</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758,546.80</w:t>
            </w:r>
          </w:p>
        </w:tc>
      </w:tr>
      <w:tr>
        <w:trPr>
          <w:trHeight w:val="274"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按组合计提坏账准备</w:t>
            </w: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340,593,575.05</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87.48</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7,675,060.01</w:t>
            </w:r>
          </w:p>
        </w:tc>
        <w:tc>
          <w:tcPr>
            <w:tcW w:w="11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2.25</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332,918,515.04</w:t>
            </w:r>
          </w:p>
        </w:tc>
      </w:tr>
      <w:tr>
        <w:trPr>
          <w:trHeight w:val="274"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w:t>
            </w:r>
          </w:p>
        </w:tc>
        <w:tc>
          <w:tcPr>
            <w:tcW w:w="1606" w:type="dxa"/>
            <w:tcBorders>
              <w:top w:val="dotted" w:sz="4" w:space="0" w:color="000000"/>
              <w:left w:val="dotted" w:sz="4" w:space="0" w:color="000000"/>
              <w:bottom w:val="dotted" w:sz="4" w:space="0" w:color="000000"/>
              <w:right w:val="dotted" w:sz="4" w:space="0" w:color="000000"/>
            </w:tcBorders>
          </w:tcPr>
          <w:p>
            <w:pPr/>
          </w:p>
        </w:tc>
        <w:tc>
          <w:tcPr>
            <w:tcW w:w="1032" w:type="dxa"/>
            <w:tcBorders>
              <w:top w:val="dotted" w:sz="4" w:space="0" w:color="000000"/>
              <w:left w:val="dotted" w:sz="4" w:space="0" w:color="000000"/>
              <w:bottom w:val="dotted" w:sz="4" w:space="0" w:color="000000"/>
              <w:right w:val="dotted" w:sz="4" w:space="0" w:color="000000"/>
            </w:tcBorders>
          </w:tcPr>
          <w:p>
            <w:pPr/>
          </w:p>
        </w:tc>
        <w:tc>
          <w:tcPr>
            <w:tcW w:w="1332" w:type="dxa"/>
            <w:tcBorders>
              <w:top w:val="dotted" w:sz="4" w:space="0" w:color="000000"/>
              <w:left w:val="dotted" w:sz="4" w:space="0" w:color="000000"/>
              <w:bottom w:val="dotted" w:sz="4" w:space="0" w:color="000000"/>
              <w:right w:val="dotted" w:sz="4" w:space="0" w:color="000000"/>
            </w:tcBorders>
          </w:tcPr>
          <w:p>
            <w:pPr/>
          </w:p>
        </w:tc>
        <w:tc>
          <w:tcPr>
            <w:tcW w:w="1165" w:type="dxa"/>
            <w:tcBorders>
              <w:top w:val="dotted" w:sz="4" w:space="0" w:color="000000"/>
              <w:left w:val="dotted" w:sz="4" w:space="0" w:color="000000"/>
              <w:bottom w:val="dotted" w:sz="4" w:space="0" w:color="000000"/>
              <w:right w:val="dotted" w:sz="4" w:space="0" w:color="000000"/>
            </w:tcBorders>
          </w:tcPr>
          <w:p>
            <w:pPr/>
          </w:p>
        </w:tc>
        <w:tc>
          <w:tcPr>
            <w:tcW w:w="1406" w:type="dxa"/>
            <w:tcBorders>
              <w:top w:val="dotted" w:sz="4" w:space="0" w:color="000000"/>
              <w:left w:val="dotted" w:sz="4" w:space="0" w:color="000000"/>
              <w:bottom w:val="dotted" w:sz="4" w:space="0" w:color="000000"/>
              <w:right w:val="nil" w:sz="6" w:space="0" w:color="auto"/>
            </w:tcBorders>
          </w:tcPr>
          <w:p>
            <w:pPr/>
          </w:p>
        </w:tc>
      </w:tr>
      <w:tr>
        <w:trPr>
          <w:trHeight w:val="482"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45"/>
              <w:jc w:val="left"/>
              <w:rPr>
                <w:rFonts w:ascii="宋体" w:hAnsi="宋体" w:cs="宋体" w:eastAsia="宋体" w:hint="default"/>
                <w:sz w:val="16"/>
                <w:szCs w:val="16"/>
              </w:rPr>
            </w:pPr>
            <w:r>
              <w:rPr>
                <w:rFonts w:ascii="宋体" w:hAnsi="宋体" w:cs="宋体" w:eastAsia="宋体" w:hint="default"/>
                <w:spacing w:val="-1"/>
                <w:sz w:val="16"/>
                <w:szCs w:val="16"/>
              </w:rPr>
              <w:t>在合同规定的收款账</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
                <w:sz w:val="16"/>
                <w:szCs w:val="16"/>
              </w:rPr>
              <w:t>期内的应收款项组合</w:t>
            </w: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215,622,750.14</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63.31</w:t>
            </w:r>
          </w:p>
        </w:tc>
        <w:tc>
          <w:tcPr>
            <w:tcW w:w="1332" w:type="dxa"/>
            <w:tcBorders>
              <w:top w:val="dotted" w:sz="4" w:space="0" w:color="000000"/>
              <w:left w:val="dotted" w:sz="4" w:space="0" w:color="000000"/>
              <w:bottom w:val="dotted" w:sz="4" w:space="0" w:color="000000"/>
              <w:right w:val="dotted" w:sz="4" w:space="0" w:color="000000"/>
            </w:tcBorders>
          </w:tcPr>
          <w:p>
            <w:pPr/>
          </w:p>
        </w:tc>
        <w:tc>
          <w:tcPr>
            <w:tcW w:w="1165" w:type="dxa"/>
            <w:tcBorders>
              <w:top w:val="dotted" w:sz="4" w:space="0" w:color="000000"/>
              <w:left w:val="dotted" w:sz="4" w:space="0" w:color="000000"/>
              <w:bottom w:val="dotted" w:sz="4" w:space="0" w:color="000000"/>
              <w:right w:val="dotted" w:sz="4" w:space="0" w:color="000000"/>
            </w:tcBorders>
          </w:tcPr>
          <w:p>
            <w:pP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215,622,750.14</w:t>
            </w:r>
          </w:p>
        </w:tc>
      </w:tr>
      <w:tr>
        <w:trPr>
          <w:trHeight w:val="274"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124,970,824.91</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36.69</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7,675,060.01</w:t>
            </w:r>
          </w:p>
        </w:tc>
        <w:tc>
          <w:tcPr>
            <w:tcW w:w="11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6.14</w:t>
            </w:r>
          </w:p>
        </w:tc>
        <w:tc>
          <w:tcPr>
            <w:tcW w:w="1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117,295,764.90</w:t>
            </w:r>
          </w:p>
        </w:tc>
      </w:tr>
      <w:tr>
        <w:trPr>
          <w:trHeight w:val="283" w:hRule="exact"/>
        </w:trPr>
        <w:tc>
          <w:tcPr>
            <w:tcW w:w="1717"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6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389,353,244.42</w:t>
            </w:r>
          </w:p>
        </w:tc>
        <w:tc>
          <w:tcPr>
            <w:tcW w:w="10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3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55,676,182.58</w:t>
            </w:r>
          </w:p>
        </w:tc>
        <w:tc>
          <w:tcPr>
            <w:tcW w:w="1165" w:type="dxa"/>
            <w:tcBorders>
              <w:top w:val="dotted" w:sz="4" w:space="0" w:color="000000"/>
              <w:left w:val="dotted" w:sz="4" w:space="0" w:color="000000"/>
              <w:bottom w:val="single" w:sz="12" w:space="0" w:color="000000"/>
              <w:right w:val="dotted" w:sz="4" w:space="0" w:color="000000"/>
            </w:tcBorders>
          </w:tcPr>
          <w:p>
            <w:pPr/>
          </w:p>
        </w:tc>
        <w:tc>
          <w:tcPr>
            <w:tcW w:w="14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333,677,061.84</w:t>
            </w:r>
          </w:p>
        </w:tc>
      </w:tr>
    </w:tbl>
    <w:p>
      <w:pPr>
        <w:spacing w:line="240" w:lineRule="auto" w:before="2"/>
        <w:rPr>
          <w:rFonts w:ascii="宋体" w:hAnsi="宋体" w:cs="宋体" w:eastAsia="宋体" w:hint="default"/>
          <w:b/>
          <w:bCs/>
          <w:sz w:val="23"/>
          <w:szCs w:val="23"/>
        </w:rPr>
      </w:pPr>
    </w:p>
    <w:tbl>
      <w:tblPr>
        <w:tblW w:w="0" w:type="auto"/>
        <w:jc w:val="left"/>
        <w:tblInd w:w="721" w:type="dxa"/>
        <w:tblLayout w:type="fixed"/>
        <w:tblCellMar>
          <w:top w:w="0" w:type="dxa"/>
          <w:left w:w="0" w:type="dxa"/>
          <w:bottom w:w="0" w:type="dxa"/>
          <w:right w:w="0" w:type="dxa"/>
        </w:tblCellMar>
        <w:tblLook w:val="01E0"/>
      </w:tblPr>
      <w:tblGrid>
        <w:gridCol w:w="2000"/>
        <w:gridCol w:w="1634"/>
        <w:gridCol w:w="1044"/>
        <w:gridCol w:w="1339"/>
        <w:gridCol w:w="1198"/>
        <w:gridCol w:w="1231"/>
      </w:tblGrid>
      <w:tr>
        <w:trPr>
          <w:trHeight w:val="283" w:hRule="exact"/>
        </w:trPr>
        <w:tc>
          <w:tcPr>
            <w:tcW w:w="2000"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6447"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2000" w:type="dxa"/>
            <w:vMerge/>
            <w:tcBorders>
              <w:left w:val="nil" w:sz="6" w:space="0" w:color="auto"/>
              <w:right w:val="dotted" w:sz="4" w:space="0" w:color="000000"/>
            </w:tcBorders>
          </w:tcPr>
          <w:p>
            <w:pPr/>
          </w:p>
        </w:tc>
        <w:tc>
          <w:tcPr>
            <w:tcW w:w="267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53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231" w:type="dxa"/>
            <w:vMerge w:val="restart"/>
            <w:tcBorders>
              <w:top w:val="dotted" w:sz="4" w:space="0" w:color="000000"/>
              <w:left w:val="dotted" w:sz="4" w:space="0" w:color="000000"/>
              <w:right w:val="nil" w:sz="6" w:space="0" w:color="auto"/>
            </w:tcBorders>
          </w:tcPr>
          <w:p>
            <w:pPr>
              <w:pStyle w:val="TableParagraph"/>
              <w:spacing w:line="240" w:lineRule="auto" w:before="139"/>
              <w:ind w:left="290"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74" w:hRule="exact"/>
        </w:trPr>
        <w:tc>
          <w:tcPr>
            <w:tcW w:w="2000" w:type="dxa"/>
            <w:vMerge/>
            <w:tcBorders>
              <w:left w:val="nil" w:sz="6" w:space="0" w:color="auto"/>
              <w:bottom w:val="dotted" w:sz="4" w:space="0" w:color="000000"/>
              <w:right w:val="dotted" w:sz="4" w:space="0" w:color="000000"/>
            </w:tcBorders>
          </w:tcPr>
          <w:p>
            <w:pP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27"/>
              <w:jc w:val="right"/>
              <w:rPr>
                <w:rFonts w:ascii="宋体" w:hAnsi="宋体" w:cs="宋体" w:eastAsia="宋体"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9"/>
              <w:jc w:val="right"/>
              <w:rPr>
                <w:rFonts w:ascii="宋体" w:hAnsi="宋体" w:cs="宋体" w:eastAsia="宋体" w:hint="default"/>
                <w:sz w:val="16"/>
                <w:szCs w:val="16"/>
              </w:rPr>
            </w:pPr>
            <w:r>
              <w:rPr>
                <w:rFonts w:ascii="宋体" w:hAnsi="宋体" w:cs="宋体" w:eastAsia="宋体" w:hint="default"/>
                <w:spacing w:val="-6"/>
                <w:sz w:val="16"/>
                <w:szCs w:val="16"/>
              </w:rPr>
              <w:t>计提比例（</w:t>
            </w:r>
            <w:r>
              <w:rPr>
                <w:rFonts w:ascii="Times New Roman" w:hAnsi="Times New Roman" w:cs="Times New Roman" w:eastAsia="Times New Roman" w:hint="default"/>
                <w:spacing w:val="-6"/>
                <w:sz w:val="16"/>
                <w:szCs w:val="16"/>
              </w:rPr>
              <w:t>%</w:t>
            </w:r>
            <w:r>
              <w:rPr>
                <w:rFonts w:ascii="宋体" w:hAnsi="宋体" w:cs="宋体" w:eastAsia="宋体" w:hint="default"/>
                <w:spacing w:val="-6"/>
                <w:sz w:val="16"/>
                <w:szCs w:val="16"/>
              </w:rPr>
              <w:t>）</w:t>
            </w:r>
          </w:p>
        </w:tc>
        <w:tc>
          <w:tcPr>
            <w:tcW w:w="1231" w:type="dxa"/>
            <w:vMerge/>
            <w:tcBorders>
              <w:left w:val="dotted" w:sz="4" w:space="0" w:color="000000"/>
              <w:bottom w:val="dotted" w:sz="4" w:space="0" w:color="000000"/>
              <w:right w:val="nil" w:sz="6" w:space="0" w:color="auto"/>
            </w:tcBorders>
          </w:tcPr>
          <w:p>
            <w:pPr/>
          </w:p>
        </w:tc>
      </w:tr>
      <w:tr>
        <w:trPr>
          <w:trHeight w:val="48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09"/>
              <w:jc w:val="left"/>
              <w:rPr>
                <w:rFonts w:ascii="宋体" w:hAnsi="宋体" w:cs="宋体" w:eastAsia="宋体" w:hint="default"/>
                <w:sz w:val="16"/>
                <w:szCs w:val="16"/>
              </w:rPr>
            </w:pPr>
            <w:r>
              <w:rPr>
                <w:rFonts w:ascii="宋体" w:hAnsi="宋体" w:cs="宋体" w:eastAsia="宋体" w:hint="default"/>
                <w:spacing w:val="-1"/>
                <w:sz w:val="16"/>
                <w:szCs w:val="16"/>
              </w:rPr>
              <w:t>单项金额重大并单独计提</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坏账准备的应收账款</w:t>
            </w: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38,495,294.94</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11.09</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38,495,294.94</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231" w:type="dxa"/>
            <w:tcBorders>
              <w:top w:val="dotted" w:sz="4" w:space="0" w:color="000000"/>
              <w:left w:val="dotted" w:sz="4" w:space="0" w:color="000000"/>
              <w:bottom w:val="dotted" w:sz="4" w:space="0" w:color="000000"/>
              <w:right w:val="nil" w:sz="6" w:space="0" w:color="auto"/>
            </w:tcBorders>
          </w:tcPr>
          <w:p>
            <w:pPr/>
          </w:p>
        </w:tc>
      </w:tr>
      <w:tr>
        <w:trPr>
          <w:trHeight w:val="482"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09"/>
              <w:jc w:val="left"/>
              <w:rPr>
                <w:rFonts w:ascii="宋体" w:hAnsi="宋体" w:cs="宋体" w:eastAsia="宋体" w:hint="default"/>
                <w:sz w:val="16"/>
                <w:szCs w:val="16"/>
              </w:rPr>
            </w:pPr>
            <w:r>
              <w:rPr>
                <w:rFonts w:ascii="宋体" w:hAnsi="宋体" w:cs="宋体" w:eastAsia="宋体" w:hint="default"/>
                <w:spacing w:val="-1"/>
                <w:sz w:val="16"/>
                <w:szCs w:val="16"/>
              </w:rPr>
              <w:t>按信用风险特征组合计提</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坏账准备的应收账款</w:t>
            </w: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292,524,717.30</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84.28</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1,823,853.47</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0.62</w:t>
            </w:r>
          </w:p>
        </w:tc>
        <w:tc>
          <w:tcPr>
            <w:tcW w:w="12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290,700,863.83</w:t>
            </w:r>
          </w:p>
        </w:tc>
      </w:tr>
      <w:tr>
        <w:trPr>
          <w:trHeight w:val="48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109"/>
              <w:jc w:val="left"/>
              <w:rPr>
                <w:rFonts w:ascii="宋体" w:hAnsi="宋体" w:cs="宋体" w:eastAsia="宋体" w:hint="default"/>
                <w:sz w:val="16"/>
                <w:szCs w:val="16"/>
              </w:rPr>
            </w:pPr>
            <w:r>
              <w:rPr>
                <w:rFonts w:ascii="宋体" w:hAnsi="宋体" w:cs="宋体" w:eastAsia="宋体" w:hint="default"/>
                <w:spacing w:val="-1"/>
                <w:sz w:val="16"/>
                <w:szCs w:val="16"/>
              </w:rPr>
              <w:t>单项金额不重大但单独计</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提坏账准备的应收账款</w:t>
            </w: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16,069,301.13</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4.63</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15,310,452.62</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95.28</w:t>
            </w:r>
          </w:p>
        </w:tc>
        <w:tc>
          <w:tcPr>
            <w:tcW w:w="12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758,848.51</w:t>
            </w:r>
          </w:p>
        </w:tc>
      </w:tr>
      <w:tr>
        <w:trPr>
          <w:trHeight w:val="283" w:hRule="exact"/>
        </w:trPr>
        <w:tc>
          <w:tcPr>
            <w:tcW w:w="20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6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347,089,313.37</w:t>
            </w:r>
          </w:p>
        </w:tc>
        <w:tc>
          <w:tcPr>
            <w:tcW w:w="10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3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55,629,601.03</w:t>
            </w:r>
          </w:p>
        </w:tc>
        <w:tc>
          <w:tcPr>
            <w:tcW w:w="1198" w:type="dxa"/>
            <w:tcBorders>
              <w:top w:val="dotted" w:sz="4" w:space="0" w:color="000000"/>
              <w:left w:val="dotted" w:sz="4" w:space="0" w:color="000000"/>
              <w:bottom w:val="single" w:sz="12" w:space="0" w:color="000000"/>
              <w:right w:val="dotted" w:sz="4" w:space="0" w:color="000000"/>
            </w:tcBorders>
          </w:tcPr>
          <w:p>
            <w:pPr/>
          </w:p>
        </w:tc>
        <w:tc>
          <w:tcPr>
            <w:tcW w:w="123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291,459,712.34</w:t>
            </w:r>
          </w:p>
        </w:tc>
      </w:tr>
    </w:tbl>
    <w:p>
      <w:pPr>
        <w:spacing w:line="240" w:lineRule="auto" w:before="8"/>
        <w:rPr>
          <w:rFonts w:ascii="宋体" w:hAnsi="宋体" w:cs="宋体" w:eastAsia="宋体" w:hint="default"/>
          <w:b/>
          <w:bCs/>
          <w:sz w:val="26"/>
          <w:szCs w:val="26"/>
        </w:rPr>
      </w:pPr>
    </w:p>
    <w:p>
      <w:pPr>
        <w:pStyle w:val="BodyText"/>
        <w:spacing w:line="240" w:lineRule="auto"/>
        <w:ind w:right="3683"/>
        <w:jc w:val="left"/>
      </w:pPr>
      <w:r>
        <w:rPr/>
        <w:t>按单项计提坏账准备：</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681"/>
        <w:gridCol w:w="1366"/>
        <w:gridCol w:w="1368"/>
        <w:gridCol w:w="1378"/>
        <w:gridCol w:w="1418"/>
      </w:tblGrid>
      <w:tr>
        <w:trPr>
          <w:trHeight w:val="283" w:hRule="exact"/>
        </w:trPr>
        <w:tc>
          <w:tcPr>
            <w:tcW w:w="2681" w:type="dxa"/>
            <w:vMerge w:val="restart"/>
            <w:tcBorders>
              <w:top w:val="single" w:sz="12" w:space="0" w:color="000000"/>
              <w:left w:val="nil" w:sz="6" w:space="0" w:color="auto"/>
              <w:right w:val="dotted" w:sz="4" w:space="0" w:color="000000"/>
            </w:tcBorders>
          </w:tcPr>
          <w:p>
            <w:pPr>
              <w:pStyle w:val="TableParagraph"/>
              <w:spacing w:line="240" w:lineRule="auto" w:before="139"/>
              <w:ind w:left="21"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5531"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2681" w:type="dxa"/>
            <w:vMerge/>
            <w:tcBorders>
              <w:left w:val="nil" w:sz="6" w:space="0" w:color="auto"/>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57"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57"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35"/>
              <w:jc w:val="right"/>
              <w:rPr>
                <w:rFonts w:ascii="宋体" w:hAnsi="宋体" w:cs="宋体" w:eastAsia="宋体" w:hint="default"/>
                <w:sz w:val="16"/>
                <w:szCs w:val="16"/>
              </w:rPr>
            </w:pPr>
            <w:r>
              <w:rPr>
                <w:rFonts w:ascii="宋体" w:hAnsi="宋体" w:cs="宋体" w:eastAsia="宋体" w:hint="default"/>
                <w:spacing w:val="-1"/>
                <w:sz w:val="16"/>
                <w:szCs w:val="16"/>
              </w:rPr>
              <w:t>计提比例（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计提理由</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长信数码信息文化发展有限公司</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2"/>
                <w:sz w:val="16"/>
              </w:rPr>
              <w:t>11,861,278.00</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341" w:right="0"/>
              <w:jc w:val="left"/>
              <w:rPr>
                <w:rFonts w:ascii="Times New Roman" w:hAnsi="Times New Roman" w:cs="Times New Roman" w:eastAsia="Times New Roman" w:hint="default"/>
                <w:sz w:val="16"/>
                <w:szCs w:val="16"/>
              </w:rPr>
            </w:pPr>
            <w:r>
              <w:rPr>
                <w:rFonts w:ascii="Times New Roman"/>
                <w:sz w:val="16"/>
              </w:rPr>
              <w:t>11,861,278.00</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122" w:right="0"/>
              <w:jc w:val="left"/>
              <w:rPr>
                <w:rFonts w:ascii="Times New Roman" w:hAnsi="Times New Roman" w:cs="Times New Roman" w:eastAsia="Times New Roman" w:hint="default"/>
                <w:sz w:val="16"/>
                <w:szCs w:val="16"/>
              </w:rPr>
            </w:pPr>
            <w:r>
              <w:rPr>
                <w:rFonts w:ascii="Times New Roman"/>
                <w:sz w:val="16"/>
              </w:rPr>
              <w:t>Big Lots,</w:t>
            </w:r>
            <w:r>
              <w:rPr>
                <w:rFonts w:ascii="Times New Roman"/>
                <w:spacing w:val="-6"/>
                <w:sz w:val="16"/>
              </w:rPr>
              <w:t> </w:t>
            </w:r>
            <w:r>
              <w:rPr>
                <w:rFonts w:ascii="Times New Roman"/>
                <w:sz w:val="16"/>
              </w:rPr>
              <w:t>Inc.</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2"/>
                <w:sz w:val="16"/>
              </w:rPr>
              <w:t>10,811,055.86</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341" w:right="0"/>
              <w:jc w:val="left"/>
              <w:rPr>
                <w:rFonts w:ascii="Times New Roman" w:hAnsi="Times New Roman" w:cs="Times New Roman" w:eastAsia="Times New Roman" w:hint="default"/>
                <w:sz w:val="16"/>
                <w:szCs w:val="16"/>
              </w:rPr>
            </w:pPr>
            <w:r>
              <w:rPr>
                <w:rFonts w:ascii="Times New Roman"/>
                <w:sz w:val="16"/>
              </w:rPr>
              <w:t>10,811,055.86</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深圳市广鑫融进出口贸易有限公司</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6,288,540.00</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415" w:right="0"/>
              <w:jc w:val="left"/>
              <w:rPr>
                <w:rFonts w:ascii="Times New Roman" w:hAnsi="Times New Roman" w:cs="Times New Roman" w:eastAsia="Times New Roman" w:hint="default"/>
                <w:sz w:val="16"/>
                <w:szCs w:val="16"/>
              </w:rPr>
            </w:pPr>
            <w:r>
              <w:rPr>
                <w:rFonts w:ascii="Times New Roman"/>
                <w:sz w:val="16"/>
              </w:rPr>
              <w:t>6,288,540.00</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122" w:right="0"/>
              <w:jc w:val="left"/>
              <w:rPr>
                <w:rFonts w:ascii="Times New Roman" w:hAnsi="Times New Roman" w:cs="Times New Roman" w:eastAsia="Times New Roman" w:hint="default"/>
                <w:sz w:val="16"/>
                <w:szCs w:val="16"/>
              </w:rPr>
            </w:pPr>
            <w:r>
              <w:rPr>
                <w:rFonts w:ascii="Times New Roman"/>
                <w:sz w:val="16"/>
              </w:rPr>
              <w:t>Best Buy Company</w:t>
            </w:r>
            <w:r>
              <w:rPr>
                <w:rFonts w:ascii="Times New Roman"/>
                <w:spacing w:val="-9"/>
                <w:sz w:val="16"/>
              </w:rPr>
              <w:t> </w:t>
            </w:r>
            <w:r>
              <w:rPr>
                <w:rFonts w:ascii="Times New Roman"/>
                <w:sz w:val="16"/>
              </w:rPr>
              <w:t>Inc.</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2,691,384.47</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415" w:right="0"/>
              <w:jc w:val="left"/>
              <w:rPr>
                <w:rFonts w:ascii="Times New Roman" w:hAnsi="Times New Roman" w:cs="Times New Roman" w:eastAsia="Times New Roman" w:hint="default"/>
                <w:sz w:val="16"/>
                <w:szCs w:val="16"/>
              </w:rPr>
            </w:pPr>
            <w:r>
              <w:rPr>
                <w:rFonts w:ascii="Times New Roman"/>
                <w:sz w:val="16"/>
              </w:rPr>
              <w:t>2,691,384.47</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83" w:hRule="exact"/>
        </w:trPr>
        <w:tc>
          <w:tcPr>
            <w:tcW w:w="26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7"/>
              <w:ind w:left="122" w:right="0"/>
              <w:jc w:val="left"/>
              <w:rPr>
                <w:rFonts w:ascii="Times New Roman" w:hAnsi="Times New Roman" w:cs="Times New Roman" w:eastAsia="Times New Roman" w:hint="default"/>
                <w:sz w:val="16"/>
                <w:szCs w:val="16"/>
              </w:rPr>
            </w:pPr>
            <w:r>
              <w:rPr>
                <w:rFonts w:ascii="Times New Roman"/>
                <w:sz w:val="16"/>
              </w:rPr>
              <w:t>PRO COM PRODUCTS</w:t>
            </w:r>
            <w:r>
              <w:rPr>
                <w:rFonts w:ascii="Times New Roman"/>
                <w:spacing w:val="-9"/>
                <w:sz w:val="16"/>
              </w:rPr>
              <w:t> </w:t>
            </w:r>
            <w:r>
              <w:rPr>
                <w:rFonts w:ascii="Times New Roman"/>
                <w:sz w:val="16"/>
              </w:rPr>
              <w:t>INC</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2,439,535.28</w:t>
            </w:r>
          </w:p>
        </w:tc>
        <w:tc>
          <w:tcPr>
            <w:tcW w:w="13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415" w:right="0"/>
              <w:jc w:val="left"/>
              <w:rPr>
                <w:rFonts w:ascii="Times New Roman" w:hAnsi="Times New Roman" w:cs="Times New Roman" w:eastAsia="Times New Roman" w:hint="default"/>
                <w:sz w:val="16"/>
                <w:szCs w:val="16"/>
              </w:rPr>
            </w:pPr>
            <w:r>
              <w:rPr>
                <w:rFonts w:ascii="Times New Roman"/>
                <w:sz w:val="16"/>
              </w:rPr>
              <w:t>2,439,535.28</w:t>
            </w:r>
          </w:p>
        </w:tc>
        <w:tc>
          <w:tcPr>
            <w:tcW w:w="13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bl>
    <w:p>
      <w:pPr>
        <w:spacing w:after="0" w:line="240" w:lineRule="auto"/>
        <w:jc w:val="center"/>
        <w:rPr>
          <w:rFonts w:ascii="宋体" w:hAnsi="宋体" w:cs="宋体" w:eastAsia="宋体" w:hint="default"/>
          <w:sz w:val="16"/>
          <w:szCs w:val="16"/>
        </w:rPr>
        <w:sectPr>
          <w:footerReference w:type="default" r:id="rId75"/>
          <w:pgSz w:w="11910" w:h="16840"/>
          <w:pgMar w:footer="997" w:header="753" w:top="1500" w:bottom="1180" w:left="1660" w:right="0"/>
          <w:pgNumType w:start="130"/>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2681"/>
        <w:gridCol w:w="1366"/>
        <w:gridCol w:w="1368"/>
        <w:gridCol w:w="1378"/>
        <w:gridCol w:w="1418"/>
      </w:tblGrid>
      <w:tr>
        <w:trPr>
          <w:trHeight w:val="284" w:hRule="exact"/>
        </w:trPr>
        <w:tc>
          <w:tcPr>
            <w:tcW w:w="2681" w:type="dxa"/>
            <w:vMerge w:val="restart"/>
            <w:tcBorders>
              <w:top w:val="single" w:sz="12" w:space="0" w:color="000000"/>
              <w:left w:val="nil" w:sz="6" w:space="0" w:color="auto"/>
              <w:right w:val="dotted" w:sz="4" w:space="0" w:color="000000"/>
            </w:tcBorders>
          </w:tcPr>
          <w:p>
            <w:pPr>
              <w:pStyle w:val="TableParagraph"/>
              <w:spacing w:line="240" w:lineRule="auto" w:before="140"/>
              <w:ind w:left="21"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5531"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2681" w:type="dxa"/>
            <w:vMerge/>
            <w:tcBorders>
              <w:left w:val="nil" w:sz="6" w:space="0" w:color="auto"/>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57"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57"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35"/>
              <w:jc w:val="right"/>
              <w:rPr>
                <w:rFonts w:ascii="宋体" w:hAnsi="宋体" w:cs="宋体" w:eastAsia="宋体" w:hint="default"/>
                <w:sz w:val="16"/>
                <w:szCs w:val="16"/>
              </w:rPr>
            </w:pPr>
            <w:r>
              <w:rPr>
                <w:rFonts w:ascii="宋体" w:hAnsi="宋体" w:cs="宋体" w:eastAsia="宋体" w:hint="default"/>
                <w:spacing w:val="-1"/>
                <w:sz w:val="16"/>
                <w:szCs w:val="16"/>
              </w:rPr>
              <w:t>计提比例（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计提理由</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蠡县教育局</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1,808,569.71</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1,808,569.71</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河北玉田县银河中学</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1,767,456.75</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1,181,429.95</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66.84</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河北容城中学</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1,153,494.52</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1,153,494.52</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长春市朝阳技工学校</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1,149,335.06</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1,103,335.06</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96.00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湖南中电天恒信息科技有限公司</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1,009,005.00</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1,009,005.00</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吉林省计算机信息工程学校</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629,501.89</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593,501.89</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94.28</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榆树市第一小学</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550,019.93</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459,499.93</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83.54</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122" w:right="0"/>
              <w:jc w:val="left"/>
              <w:rPr>
                <w:rFonts w:ascii="Times New Roman" w:hAnsi="Times New Roman" w:cs="Times New Roman" w:eastAsia="Times New Roman" w:hint="default"/>
                <w:sz w:val="16"/>
                <w:szCs w:val="16"/>
              </w:rPr>
            </w:pPr>
            <w:r>
              <w:rPr>
                <w:rFonts w:ascii="Times New Roman"/>
                <w:sz w:val="16"/>
              </w:rPr>
              <w:t>OCZ TECHNOLOGY</w:t>
            </w:r>
            <w:r>
              <w:rPr>
                <w:rFonts w:ascii="Times New Roman"/>
                <w:spacing w:val="-13"/>
                <w:sz w:val="16"/>
              </w:rPr>
              <w:t> </w:t>
            </w:r>
            <w:r>
              <w:rPr>
                <w:rFonts w:ascii="Times New Roman"/>
                <w:sz w:val="16"/>
              </w:rPr>
              <w:t>GROUP</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392,251.79</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392,251.79</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河南省焦作第二十二中学</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336,920.63</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336,920.63</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河南省焦作修武城镇职业高中</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303,522.04</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303,522.04</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喀什市善水科技有限公司</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268,625.00</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268,625.00</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沁阳第四中学</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220,600.80</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220,600.80</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2"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left="122" w:right="0"/>
              <w:jc w:val="left"/>
              <w:rPr>
                <w:rFonts w:ascii="宋体" w:hAnsi="宋体" w:cs="宋体" w:eastAsia="宋体" w:hint="default"/>
                <w:sz w:val="16"/>
                <w:szCs w:val="16"/>
              </w:rPr>
            </w:pPr>
            <w:r>
              <w:rPr>
                <w:rFonts w:ascii="宋体" w:hAnsi="宋体" w:cs="宋体" w:eastAsia="宋体" w:hint="default"/>
                <w:sz w:val="16"/>
                <w:szCs w:val="16"/>
              </w:rPr>
              <w:t>河南省焦作第十五中学</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6"/>
                <w:szCs w:val="16"/>
              </w:rPr>
            </w:pPr>
            <w:r>
              <w:rPr>
                <w:rFonts w:ascii="Times New Roman"/>
                <w:spacing w:val="-1"/>
                <w:sz w:val="16"/>
              </w:rPr>
              <w:t>220,541.86</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6"/>
                <w:szCs w:val="16"/>
              </w:rPr>
            </w:pPr>
            <w:r>
              <w:rPr>
                <w:rFonts w:ascii="Times New Roman"/>
                <w:spacing w:val="-1"/>
                <w:sz w:val="16"/>
              </w:rPr>
              <w:t>220,541.86</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74"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其他小额单位款项</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98"/>
              <w:jc w:val="right"/>
              <w:rPr>
                <w:rFonts w:ascii="Times New Roman" w:hAnsi="Times New Roman" w:cs="Times New Roman" w:eastAsia="Times New Roman" w:hint="default"/>
                <w:sz w:val="16"/>
                <w:szCs w:val="16"/>
              </w:rPr>
            </w:pPr>
            <w:r>
              <w:rPr>
                <w:rFonts w:ascii="Times New Roman"/>
                <w:spacing w:val="-1"/>
                <w:sz w:val="16"/>
              </w:rPr>
              <w:t>4,858,030.78</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4,858,030.78</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100.00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收回可能性极小</w:t>
            </w:r>
          </w:p>
        </w:tc>
      </w:tr>
      <w:tr>
        <w:trPr>
          <w:trHeight w:val="286" w:hRule="exact"/>
        </w:trPr>
        <w:tc>
          <w:tcPr>
            <w:tcW w:w="26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98"/>
              <w:jc w:val="right"/>
              <w:rPr>
                <w:rFonts w:ascii="Times New Roman" w:hAnsi="Times New Roman" w:cs="Times New Roman" w:eastAsia="Times New Roman" w:hint="default"/>
                <w:sz w:val="16"/>
                <w:szCs w:val="16"/>
              </w:rPr>
            </w:pPr>
            <w:r>
              <w:rPr>
                <w:rFonts w:ascii="Times New Roman"/>
                <w:spacing w:val="-2"/>
                <w:sz w:val="16"/>
              </w:rPr>
              <w:t>48,759,669.37</w:t>
            </w:r>
          </w:p>
        </w:tc>
        <w:tc>
          <w:tcPr>
            <w:tcW w:w="13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48,001,122.57</w:t>
            </w:r>
          </w:p>
        </w:tc>
        <w:tc>
          <w:tcPr>
            <w:tcW w:w="1378" w:type="dxa"/>
            <w:tcBorders>
              <w:top w:val="dotted" w:sz="4" w:space="0" w:color="000000"/>
              <w:left w:val="dotted" w:sz="4" w:space="0" w:color="000000"/>
              <w:bottom w:val="single" w:sz="12" w:space="0" w:color="000000"/>
              <w:right w:val="dotted" w:sz="4" w:space="0" w:color="000000"/>
            </w:tcBorders>
          </w:tcPr>
          <w:p>
            <w:pPr/>
          </w:p>
        </w:tc>
        <w:tc>
          <w:tcPr>
            <w:tcW w:w="1418" w:type="dxa"/>
            <w:tcBorders>
              <w:top w:val="dotted" w:sz="4" w:space="0" w:color="000000"/>
              <w:left w:val="dotted" w:sz="4" w:space="0" w:color="000000"/>
              <w:bottom w:val="single" w:sz="12" w:space="0" w:color="000000"/>
              <w:right w:val="nil" w:sz="6" w:space="0" w:color="auto"/>
            </w:tcBorders>
          </w:tcPr>
          <w:p>
            <w:pPr/>
          </w:p>
        </w:tc>
      </w:tr>
    </w:tbl>
    <w:p>
      <w:pPr>
        <w:pStyle w:val="BodyText"/>
        <w:spacing w:line="348" w:lineRule="auto" w:before="95"/>
        <w:ind w:right="6448"/>
        <w:jc w:val="left"/>
      </w:pPr>
      <w:r>
        <w:rPr/>
        <w:pict>
          <v:shape style="position:absolute;margin-left:119.059998pt;margin-top:39.933662pt;width:412.4pt;height:153.050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1"/>
                    <w:gridCol w:w="1656"/>
                    <w:gridCol w:w="1658"/>
                    <w:gridCol w:w="1659"/>
                  </w:tblGrid>
                  <w:tr>
                    <w:trPr>
                      <w:trHeight w:val="286" w:hRule="exact"/>
                    </w:trPr>
                    <w:tc>
                      <w:tcPr>
                        <w:tcW w:w="3231" w:type="dxa"/>
                        <w:vMerge w:val="restart"/>
                        <w:tcBorders>
                          <w:top w:val="single" w:sz="12" w:space="0" w:color="000000"/>
                          <w:left w:val="nil" w:sz="6" w:space="0" w:color="auto"/>
                          <w:right w:val="dotted" w:sz="4" w:space="0" w:color="000000"/>
                        </w:tcBorders>
                      </w:tcPr>
                      <w:p>
                        <w:pPr>
                          <w:pStyle w:val="TableParagraph"/>
                          <w:spacing w:line="240" w:lineRule="auto" w:before="139"/>
                          <w:ind w:left="18"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4974"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1" w:hRule="exact"/>
                    </w:trPr>
                    <w:tc>
                      <w:tcPr>
                        <w:tcW w:w="3231" w:type="dxa"/>
                        <w:vMerge/>
                        <w:tcBorders>
                          <w:left w:val="nil" w:sz="6" w:space="0" w:color="auto"/>
                          <w:bottom w:val="dotted" w:sz="4" w:space="0" w:color="000000"/>
                          <w:right w:val="dotted" w:sz="4" w:space="0" w:color="000000"/>
                        </w:tcBorders>
                      </w:tcPr>
                      <w:p>
                        <w:pP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501"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501"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65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left="276" w:right="0"/>
                          <w:jc w:val="left"/>
                          <w:rPr>
                            <w:rFonts w:ascii="宋体" w:hAnsi="宋体" w:cs="宋体" w:eastAsia="宋体" w:hint="default"/>
                            <w:sz w:val="16"/>
                            <w:szCs w:val="16"/>
                          </w:rPr>
                        </w:pPr>
                        <w:r>
                          <w:rPr>
                            <w:rFonts w:ascii="宋体" w:hAnsi="宋体" w:cs="宋体" w:eastAsia="宋体" w:hint="default"/>
                            <w:sz w:val="16"/>
                            <w:szCs w:val="16"/>
                          </w:rPr>
                          <w:t>计提比例（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274" w:hRule="exact"/>
                    </w:trPr>
                    <w:tc>
                      <w:tcPr>
                        <w:tcW w:w="32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在合同规定的收款账期内的应收款项组合</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215,622,750.14</w:t>
                        </w:r>
                      </w:p>
                    </w:tc>
                    <w:tc>
                      <w:tcPr>
                        <w:tcW w:w="1658" w:type="dxa"/>
                        <w:tcBorders>
                          <w:top w:val="dotted" w:sz="4" w:space="0" w:color="000000"/>
                          <w:left w:val="dotted" w:sz="4" w:space="0" w:color="000000"/>
                          <w:bottom w:val="dotted" w:sz="4" w:space="0" w:color="000000"/>
                          <w:right w:val="dotted" w:sz="4" w:space="0" w:color="000000"/>
                        </w:tcBorders>
                      </w:tcPr>
                      <w:p>
                        <w:pPr/>
                      </w:p>
                    </w:tc>
                    <w:tc>
                      <w:tcPr>
                        <w:tcW w:w="165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2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124,970,824.91</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7,675,060.01</w:t>
                        </w:r>
                      </w:p>
                    </w:tc>
                    <w:tc>
                      <w:tcPr>
                        <w:tcW w:w="16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6.14</w:t>
                        </w:r>
                      </w:p>
                    </w:tc>
                  </w:tr>
                  <w:tr>
                    <w:trPr>
                      <w:trHeight w:val="274" w:hRule="exact"/>
                    </w:trPr>
                    <w:tc>
                      <w:tcPr>
                        <w:tcW w:w="32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114,535,907.40</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5,726,795.37</w:t>
                        </w:r>
                      </w:p>
                    </w:tc>
                    <w:tc>
                      <w:tcPr>
                        <w:tcW w:w="16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5.00</w:t>
                        </w:r>
                      </w:p>
                    </w:tc>
                  </w:tr>
                  <w:tr>
                    <w:trPr>
                      <w:trHeight w:val="274" w:hRule="exact"/>
                    </w:trPr>
                    <w:tc>
                      <w:tcPr>
                        <w:tcW w:w="32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7,501,065.90</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750,106.59</w:t>
                        </w:r>
                      </w:p>
                    </w:tc>
                    <w:tc>
                      <w:tcPr>
                        <w:tcW w:w="16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10.00</w:t>
                        </w:r>
                      </w:p>
                    </w:tc>
                  </w:tr>
                  <w:tr>
                    <w:trPr>
                      <w:trHeight w:val="274" w:hRule="exact"/>
                    </w:trPr>
                    <w:tc>
                      <w:tcPr>
                        <w:tcW w:w="32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2,237,214.00</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671,164.20</w:t>
                        </w:r>
                      </w:p>
                    </w:tc>
                    <w:tc>
                      <w:tcPr>
                        <w:tcW w:w="16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30.00</w:t>
                        </w:r>
                      </w:p>
                    </w:tc>
                  </w:tr>
                  <w:tr>
                    <w:trPr>
                      <w:trHeight w:val="274" w:hRule="exact"/>
                    </w:trPr>
                    <w:tc>
                      <w:tcPr>
                        <w:tcW w:w="32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151,581.21</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90,948.73</w:t>
                        </w:r>
                      </w:p>
                    </w:tc>
                    <w:tc>
                      <w:tcPr>
                        <w:tcW w:w="16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60.00</w:t>
                        </w:r>
                      </w:p>
                    </w:tc>
                  </w:tr>
                  <w:tr>
                    <w:trPr>
                      <w:trHeight w:val="274" w:hRule="exact"/>
                    </w:trPr>
                    <w:tc>
                      <w:tcPr>
                        <w:tcW w:w="32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545,056.40</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2"/>
                          <w:jc w:val="right"/>
                          <w:rPr>
                            <w:rFonts w:ascii="Times New Roman" w:hAnsi="Times New Roman" w:cs="Times New Roman" w:eastAsia="Times New Roman" w:hint="default"/>
                            <w:sz w:val="16"/>
                            <w:szCs w:val="16"/>
                          </w:rPr>
                        </w:pPr>
                        <w:r>
                          <w:rPr>
                            <w:rFonts w:ascii="Times New Roman"/>
                            <w:spacing w:val="-1"/>
                            <w:sz w:val="16"/>
                          </w:rPr>
                          <w:t>436,045.12</w:t>
                        </w:r>
                      </w:p>
                    </w:tc>
                    <w:tc>
                      <w:tcPr>
                        <w:tcW w:w="16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80.00</w:t>
                        </w:r>
                      </w:p>
                    </w:tc>
                  </w:tr>
                  <w:tr>
                    <w:trPr>
                      <w:trHeight w:val="274" w:hRule="exact"/>
                    </w:trPr>
                    <w:tc>
                      <w:tcPr>
                        <w:tcW w:w="32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1656" w:type="dxa"/>
                        <w:tcBorders>
                          <w:top w:val="dotted" w:sz="4" w:space="0" w:color="000000"/>
                          <w:left w:val="dotted" w:sz="4" w:space="0" w:color="000000"/>
                          <w:bottom w:val="dotted" w:sz="4" w:space="0" w:color="000000"/>
                          <w:right w:val="dotted" w:sz="4" w:space="0" w:color="000000"/>
                        </w:tcBorders>
                      </w:tcPr>
                      <w:p>
                        <w:pPr/>
                      </w:p>
                    </w:tc>
                    <w:tc>
                      <w:tcPr>
                        <w:tcW w:w="1658" w:type="dxa"/>
                        <w:tcBorders>
                          <w:top w:val="dotted" w:sz="4" w:space="0" w:color="000000"/>
                          <w:left w:val="dotted" w:sz="4" w:space="0" w:color="000000"/>
                          <w:bottom w:val="dotted" w:sz="4" w:space="0" w:color="000000"/>
                          <w:right w:val="dotted" w:sz="4" w:space="0" w:color="000000"/>
                        </w:tcBorders>
                      </w:tcPr>
                      <w:p>
                        <w:pPr/>
                      </w:p>
                    </w:tc>
                    <w:tc>
                      <w:tcPr>
                        <w:tcW w:w="1659"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32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6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340,593,575.05</w:t>
                        </w:r>
                      </w:p>
                    </w:tc>
                    <w:tc>
                      <w:tcPr>
                        <w:tcW w:w="16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7,675,060.01</w:t>
                        </w:r>
                      </w:p>
                    </w:tc>
                    <w:tc>
                      <w:tcPr>
                        <w:tcW w:w="1659"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spacing w:val="-2"/>
        </w:rPr>
        <w:t>按组合计提坏账准备：</w:t>
      </w:r>
      <w:r>
        <w:rPr>
          <w:spacing w:val="-85"/>
        </w:rPr>
        <w:t> </w:t>
      </w:r>
      <w:r>
        <w:rPr>
          <w:spacing w:val="-85"/>
        </w:rPr>
      </w:r>
      <w:r>
        <w:rPr/>
        <w:t>组合计提项目：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43" w:lineRule="auto" w:before="0"/>
        <w:ind w:right="1786"/>
        <w:jc w:val="both"/>
      </w:pPr>
      <w:r>
        <w:rPr/>
        <w:pict>
          <v:shape style="position:absolute;margin-left:119.059998pt;margin-top:75.263672pt;width:412.4pt;height:126.3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6"/>
                    <w:gridCol w:w="4369"/>
                  </w:tblGrid>
                  <w:tr>
                    <w:trPr>
                      <w:trHeight w:val="365" w:hRule="exact"/>
                    </w:trPr>
                    <w:tc>
                      <w:tcPr>
                        <w:tcW w:w="383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账龄</w:t>
                        </w:r>
                      </w:p>
                    </w:tc>
                    <w:tc>
                      <w:tcPr>
                        <w:tcW w:w="43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1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应收账款计提比例</w:t>
                        </w:r>
                        <w:r>
                          <w:rPr>
                            <w:rFonts w:ascii="Times New Roman" w:hAnsi="Times New Roman" w:cs="Times New Roman" w:eastAsia="Times New Roman" w:hint="default"/>
                            <w:sz w:val="16"/>
                            <w:szCs w:val="16"/>
                          </w:rPr>
                          <w:t>(%)</w:t>
                        </w:r>
                      </w:p>
                    </w:tc>
                  </w:tr>
                  <w:tr>
                    <w:trPr>
                      <w:trHeight w:val="353" w:hRule="exact"/>
                    </w:trPr>
                    <w:tc>
                      <w:tcPr>
                        <w:tcW w:w="38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年以内（含</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r>
                      </w:p>
                    </w:tc>
                    <w:tc>
                      <w:tcPr>
                        <w:tcW w:w="4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5.00</w:t>
                        </w:r>
                      </w:p>
                    </w:tc>
                  </w:tr>
                  <w:tr>
                    <w:trPr>
                      <w:trHeight w:val="353" w:hRule="exact"/>
                    </w:trPr>
                    <w:tc>
                      <w:tcPr>
                        <w:tcW w:w="38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10.00</w:t>
                        </w:r>
                      </w:p>
                    </w:tc>
                  </w:tr>
                  <w:tr>
                    <w:trPr>
                      <w:trHeight w:val="356" w:hRule="exact"/>
                    </w:trPr>
                    <w:tc>
                      <w:tcPr>
                        <w:tcW w:w="38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6"/>
                            <w:szCs w:val="16"/>
                          </w:rPr>
                        </w:pPr>
                        <w:r>
                          <w:rPr>
                            <w:rFonts w:ascii="Times New Roman"/>
                            <w:spacing w:val="-1"/>
                            <w:sz w:val="16"/>
                          </w:rPr>
                          <w:t>30.00</w:t>
                        </w:r>
                      </w:p>
                    </w:tc>
                  </w:tr>
                  <w:tr>
                    <w:trPr>
                      <w:trHeight w:val="353" w:hRule="exact"/>
                    </w:trPr>
                    <w:tc>
                      <w:tcPr>
                        <w:tcW w:w="38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60.00</w:t>
                        </w:r>
                      </w:p>
                    </w:tc>
                  </w:tr>
                  <w:tr>
                    <w:trPr>
                      <w:trHeight w:val="353" w:hRule="exact"/>
                    </w:trPr>
                    <w:tc>
                      <w:tcPr>
                        <w:tcW w:w="38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6"/>
                            <w:szCs w:val="16"/>
                          </w:rPr>
                        </w:pPr>
                        <w:r>
                          <w:rPr>
                            <w:rFonts w:ascii="Times New Roman"/>
                            <w:spacing w:val="-1"/>
                            <w:sz w:val="16"/>
                          </w:rPr>
                          <w:t>80.00</w:t>
                        </w:r>
                      </w:p>
                    </w:tc>
                  </w:tr>
                  <w:tr>
                    <w:trPr>
                      <w:trHeight w:val="365" w:hRule="exact"/>
                    </w:trPr>
                    <w:tc>
                      <w:tcPr>
                        <w:tcW w:w="383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43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6"/>
                            <w:szCs w:val="16"/>
                          </w:rPr>
                        </w:pPr>
                        <w:r>
                          <w:rPr>
                            <w:rFonts w:ascii="Times New Roman"/>
                            <w:spacing w:val="-1"/>
                            <w:sz w:val="16"/>
                          </w:rPr>
                          <w:t>100.00</w:t>
                        </w:r>
                      </w:p>
                    </w:tc>
                  </w:tr>
                </w:tbl>
                <w:p>
                  <w:pPr/>
                </w:p>
              </w:txbxContent>
            </v:textbox>
            <w10:wrap type="none"/>
          </v:shape>
        </w:pict>
      </w:r>
      <w:r>
        <w:rPr>
          <w:spacing w:val="-5"/>
        </w:rPr>
        <w:t>说明：公司将应收账款按类似信用风险特征进行组合，划分为在合同规定的收</w:t>
      </w:r>
      <w:r>
        <w:rPr>
          <w:spacing w:val="-45"/>
        </w:rPr>
        <w:t> </w:t>
      </w:r>
      <w:r>
        <w:rPr>
          <w:spacing w:val="-45"/>
        </w:rPr>
      </w:r>
      <w:r>
        <w:rPr>
          <w:spacing w:val="-5"/>
          <w:w w:val="100"/>
        </w:rPr>
        <w:t>款账期内的应收款项组合和账龄组合。在合同规定的收款账期内的应收款项组</w:t>
      </w:r>
      <w:r>
        <w:rPr>
          <w:spacing w:val="-85"/>
          <w:w w:val="100"/>
        </w:rPr>
        <w:t> </w:t>
      </w:r>
      <w:r>
        <w:rPr>
          <w:spacing w:val="-85"/>
          <w:w w:val="100"/>
        </w:rPr>
      </w:r>
      <w:r>
        <w:rPr>
          <w:spacing w:val="-3"/>
        </w:rPr>
        <w:t>合预期发生减值损失的风险很低，坏账计提比例为</w:t>
      </w:r>
      <w:r>
        <w:rPr>
          <w:spacing w:val="-14"/>
        </w:rPr>
        <w:t> </w:t>
      </w:r>
      <w:r>
        <w:rPr>
          <w:rFonts w:ascii="Times New Roman" w:hAnsi="Times New Roman" w:cs="Times New Roman" w:eastAsia="Times New Roman" w:hint="default"/>
          <w:spacing w:val="-4"/>
        </w:rPr>
        <w:t>0.00%</w:t>
      </w:r>
      <w:r>
        <w:rPr>
          <w:spacing w:val="-4"/>
        </w:rPr>
        <w:t>；账龄组合按以下比</w:t>
      </w:r>
      <w:r>
        <w:rPr>
          <w:spacing w:val="-94"/>
        </w:rPr>
        <w:t> </w:t>
      </w:r>
      <w:r>
        <w:rPr>
          <w:spacing w:val="-94"/>
        </w:rPr>
      </w:r>
      <w:r>
        <w:rPr/>
        <w:t>例计提坏账准备：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3</w:t>
      </w:r>
      <w:r>
        <w:rPr/>
        <w:t>、</w:t>
        <w:tab/>
      </w:r>
      <w:r>
        <w:rPr>
          <w:spacing w:val="-1"/>
        </w:rPr>
        <w:t>本期计提、转回或收回的坏账准备情况</w:t>
      </w:r>
      <w:r>
        <w:rPr>
          <w:b w:val="0"/>
          <w:bCs w:val="0"/>
          <w:spacing w:val="-1"/>
        </w:rPr>
      </w:r>
    </w:p>
    <w:p>
      <w:pPr>
        <w:spacing w:after="0" w:line="240" w:lineRule="auto"/>
        <w:jc w:val="left"/>
        <w:sectPr>
          <w:pgSz w:w="11910" w:h="16840"/>
          <w:pgMar w:header="753" w:footer="997" w:top="1500" w:bottom="1180" w:left="1660" w:right="0"/>
        </w:sectPr>
      </w:pPr>
    </w:p>
    <w:p>
      <w:pPr>
        <w:spacing w:line="240" w:lineRule="auto" w:before="7"/>
        <w:rPr>
          <w:rFonts w:ascii="宋体" w:hAnsi="宋体" w:cs="宋体" w:eastAsia="宋体" w:hint="default"/>
          <w:b/>
          <w:bCs/>
          <w:sz w:val="18"/>
          <w:szCs w:val="18"/>
        </w:rPr>
      </w:pPr>
    </w:p>
    <w:tbl>
      <w:tblPr>
        <w:tblW w:w="0" w:type="auto"/>
        <w:jc w:val="left"/>
        <w:tblInd w:w="721" w:type="dxa"/>
        <w:tblLayout w:type="fixed"/>
        <w:tblCellMar>
          <w:top w:w="0" w:type="dxa"/>
          <w:left w:w="0" w:type="dxa"/>
          <w:bottom w:w="0" w:type="dxa"/>
          <w:right w:w="0" w:type="dxa"/>
        </w:tblCellMar>
        <w:tblLook w:val="01E0"/>
      </w:tblPr>
      <w:tblGrid>
        <w:gridCol w:w="1717"/>
        <w:gridCol w:w="1195"/>
        <w:gridCol w:w="1277"/>
        <w:gridCol w:w="1133"/>
        <w:gridCol w:w="1073"/>
        <w:gridCol w:w="1172"/>
        <w:gridCol w:w="1169"/>
      </w:tblGrid>
      <w:tr>
        <w:trPr>
          <w:trHeight w:val="284" w:hRule="exact"/>
        </w:trPr>
        <w:tc>
          <w:tcPr>
            <w:tcW w:w="1717" w:type="dxa"/>
            <w:vMerge w:val="restart"/>
            <w:tcBorders>
              <w:top w:val="single" w:sz="12" w:space="0" w:color="000000"/>
              <w:left w:val="nil" w:sz="6" w:space="0" w:color="auto"/>
              <w:right w:val="dotted" w:sz="4" w:space="0" w:color="000000"/>
            </w:tcBorders>
          </w:tcPr>
          <w:p>
            <w:pPr>
              <w:pStyle w:val="TableParagraph"/>
              <w:spacing w:line="240" w:lineRule="auto" w:before="140"/>
              <w:ind w:left="21"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1195" w:type="dxa"/>
            <w:vMerge w:val="restart"/>
            <w:tcBorders>
              <w:top w:val="single" w:sz="12" w:space="0" w:color="000000"/>
              <w:left w:val="dotted" w:sz="4" w:space="0" w:color="000000"/>
              <w:right w:val="dotted" w:sz="4" w:space="0" w:color="000000"/>
            </w:tcBorders>
          </w:tcPr>
          <w:p>
            <w:pPr>
              <w:pStyle w:val="TableParagraph"/>
              <w:spacing w:line="240" w:lineRule="auto" w:before="140"/>
              <w:ind w:left="110"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277" w:type="dxa"/>
            <w:vMerge w:val="restart"/>
            <w:tcBorders>
              <w:top w:val="single" w:sz="12" w:space="0" w:color="000000"/>
              <w:left w:val="dotted" w:sz="4" w:space="0" w:color="000000"/>
              <w:right w:val="dotted" w:sz="4" w:space="0" w:color="000000"/>
            </w:tcBorders>
          </w:tcPr>
          <w:p>
            <w:pPr>
              <w:pStyle w:val="TableParagraph"/>
              <w:spacing w:line="240" w:lineRule="auto" w:before="140"/>
              <w:ind w:left="311"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3377"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center"/>
              <w:rPr>
                <w:rFonts w:ascii="宋体" w:hAnsi="宋体" w:cs="宋体" w:eastAsia="宋体" w:hint="default"/>
                <w:sz w:val="16"/>
                <w:szCs w:val="16"/>
              </w:rPr>
            </w:pPr>
            <w:r>
              <w:rPr>
                <w:rFonts w:ascii="宋体" w:hAnsi="宋体" w:cs="宋体" w:eastAsia="宋体" w:hint="default"/>
                <w:sz w:val="16"/>
                <w:szCs w:val="16"/>
              </w:rPr>
              <w:t>本期变动金额</w:t>
            </w:r>
          </w:p>
        </w:tc>
        <w:tc>
          <w:tcPr>
            <w:tcW w:w="1169" w:type="dxa"/>
            <w:vMerge w:val="restart"/>
            <w:tcBorders>
              <w:top w:val="single" w:sz="12" w:space="0" w:color="000000"/>
              <w:left w:val="dotted" w:sz="4" w:space="0" w:color="000000"/>
              <w:right w:val="nil" w:sz="6" w:space="0" w:color="auto"/>
            </w:tcBorders>
          </w:tcPr>
          <w:p>
            <w:pPr>
              <w:pStyle w:val="TableParagraph"/>
              <w:spacing w:line="240" w:lineRule="auto" w:before="140"/>
              <w:ind w:left="259"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1717" w:type="dxa"/>
            <w:vMerge/>
            <w:tcBorders>
              <w:left w:val="nil" w:sz="6" w:space="0" w:color="auto"/>
              <w:bottom w:val="dotted" w:sz="4" w:space="0" w:color="000000"/>
              <w:right w:val="dotted" w:sz="4" w:space="0" w:color="000000"/>
            </w:tcBorders>
          </w:tcPr>
          <w:p>
            <w:pPr/>
          </w:p>
        </w:tc>
        <w:tc>
          <w:tcPr>
            <w:tcW w:w="1195" w:type="dxa"/>
            <w:vMerge/>
            <w:tcBorders>
              <w:left w:val="dotted" w:sz="4" w:space="0" w:color="000000"/>
              <w:bottom w:val="dotted" w:sz="4" w:space="0" w:color="000000"/>
              <w:right w:val="dotted" w:sz="4" w:space="0" w:color="000000"/>
            </w:tcBorders>
          </w:tcPr>
          <w:p>
            <w:pPr/>
          </w:p>
        </w:tc>
        <w:tc>
          <w:tcPr>
            <w:tcW w:w="1277" w:type="dxa"/>
            <w:vMerge/>
            <w:tcBorders>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计提</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27"/>
              <w:jc w:val="right"/>
              <w:rPr>
                <w:rFonts w:ascii="宋体" w:hAnsi="宋体" w:cs="宋体" w:eastAsia="宋体" w:hint="default"/>
                <w:sz w:val="16"/>
                <w:szCs w:val="16"/>
              </w:rPr>
            </w:pPr>
            <w:r>
              <w:rPr>
                <w:rFonts w:ascii="宋体" w:hAnsi="宋体" w:cs="宋体" w:eastAsia="宋体" w:hint="default"/>
                <w:spacing w:val="-1"/>
                <w:sz w:val="16"/>
                <w:szCs w:val="16"/>
              </w:rPr>
              <w:t>收回或转回</w:t>
            </w:r>
          </w:p>
        </w:tc>
        <w:tc>
          <w:tcPr>
            <w:tcW w:w="1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转销或核销</w:t>
            </w:r>
          </w:p>
        </w:tc>
        <w:tc>
          <w:tcPr>
            <w:tcW w:w="1169" w:type="dxa"/>
            <w:vMerge/>
            <w:tcBorders>
              <w:left w:val="dotted" w:sz="4" w:space="0" w:color="000000"/>
              <w:bottom w:val="dotted" w:sz="4" w:space="0" w:color="000000"/>
              <w:right w:val="nil" w:sz="6" w:space="0" w:color="auto"/>
            </w:tcBorders>
          </w:tcPr>
          <w:p>
            <w:pPr/>
          </w:p>
        </w:tc>
      </w:tr>
      <w:tr>
        <w:trPr>
          <w:trHeight w:val="274"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22"/>
              <w:jc w:val="center"/>
              <w:rPr>
                <w:rFonts w:ascii="宋体" w:hAnsi="宋体" w:cs="宋体" w:eastAsia="宋体" w:hint="default"/>
                <w:sz w:val="16"/>
                <w:szCs w:val="16"/>
              </w:rPr>
            </w:pPr>
            <w:r>
              <w:rPr>
                <w:rFonts w:ascii="宋体" w:hAnsi="宋体" w:cs="宋体" w:eastAsia="宋体" w:hint="default"/>
                <w:sz w:val="16"/>
                <w:szCs w:val="16"/>
              </w:rPr>
              <w:t>按单项计提坏账准备</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53,805,747.56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53,805,747.56</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273,122.68</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920,708.13</w:t>
            </w:r>
          </w:p>
        </w:tc>
        <w:tc>
          <w:tcPr>
            <w:tcW w:w="1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110" w:right="0"/>
              <w:jc w:val="center"/>
              <w:rPr>
                <w:rFonts w:ascii="Times New Roman" w:hAnsi="Times New Roman" w:cs="Times New Roman" w:eastAsia="Times New Roman" w:hint="default"/>
                <w:sz w:val="16"/>
                <w:szCs w:val="16"/>
              </w:rPr>
            </w:pPr>
            <w:r>
              <w:rPr>
                <w:rFonts w:ascii="Times New Roman"/>
                <w:sz w:val="16"/>
              </w:rPr>
              <w:t>5,157,039.54</w:t>
            </w:r>
          </w:p>
        </w:tc>
        <w:tc>
          <w:tcPr>
            <w:tcW w:w="11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left="29" w:right="0"/>
              <w:jc w:val="center"/>
              <w:rPr>
                <w:rFonts w:ascii="Times New Roman" w:hAnsi="Times New Roman" w:cs="Times New Roman" w:eastAsia="Times New Roman" w:hint="default"/>
                <w:sz w:val="16"/>
                <w:szCs w:val="16"/>
              </w:rPr>
            </w:pPr>
            <w:r>
              <w:rPr>
                <w:rFonts w:ascii="Times New Roman"/>
                <w:sz w:val="16"/>
              </w:rPr>
              <w:t>48,001,122.57</w:t>
            </w:r>
          </w:p>
        </w:tc>
      </w:tr>
      <w:tr>
        <w:trPr>
          <w:trHeight w:val="274"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22"/>
              <w:jc w:val="center"/>
              <w:rPr>
                <w:rFonts w:ascii="宋体" w:hAnsi="宋体" w:cs="宋体" w:eastAsia="宋体" w:hint="default"/>
                <w:sz w:val="16"/>
                <w:szCs w:val="16"/>
              </w:rPr>
            </w:pPr>
            <w:r>
              <w:rPr>
                <w:rFonts w:ascii="宋体" w:hAnsi="宋体" w:cs="宋体" w:eastAsia="宋体" w:hint="default"/>
                <w:sz w:val="16"/>
                <w:szCs w:val="16"/>
              </w:rPr>
              <w:t>按组合计提坏账准备</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1,823,853.47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1,823,853.47</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5,851,206.54</w:t>
            </w:r>
          </w:p>
        </w:tc>
        <w:tc>
          <w:tcPr>
            <w:tcW w:w="1073" w:type="dxa"/>
            <w:tcBorders>
              <w:top w:val="dotted" w:sz="4" w:space="0" w:color="000000"/>
              <w:left w:val="dotted" w:sz="4" w:space="0" w:color="000000"/>
              <w:bottom w:val="dotted" w:sz="4" w:space="0" w:color="000000"/>
              <w:right w:val="dotted" w:sz="4" w:space="0" w:color="000000"/>
            </w:tcBorders>
          </w:tcPr>
          <w:p>
            <w:pPr/>
          </w:p>
        </w:tc>
        <w:tc>
          <w:tcPr>
            <w:tcW w:w="1172"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left="108" w:right="0"/>
              <w:jc w:val="center"/>
              <w:rPr>
                <w:rFonts w:ascii="Times New Roman" w:hAnsi="Times New Roman" w:cs="Times New Roman" w:eastAsia="Times New Roman" w:hint="default"/>
                <w:sz w:val="16"/>
                <w:szCs w:val="16"/>
              </w:rPr>
            </w:pPr>
            <w:r>
              <w:rPr>
                <w:rFonts w:ascii="Times New Roman"/>
                <w:sz w:val="16"/>
              </w:rPr>
              <w:t>7,675,060.01</w:t>
            </w:r>
          </w:p>
        </w:tc>
      </w:tr>
      <w:tr>
        <w:trPr>
          <w:trHeight w:val="283" w:hRule="exact"/>
        </w:trPr>
        <w:tc>
          <w:tcPr>
            <w:tcW w:w="17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1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55,629,601.03</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55,629,601.03</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6,124,329.22</w:t>
            </w:r>
          </w:p>
        </w:tc>
        <w:tc>
          <w:tcPr>
            <w:tcW w:w="10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920,708.13</w:t>
            </w:r>
          </w:p>
        </w:tc>
        <w:tc>
          <w:tcPr>
            <w:tcW w:w="11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110" w:right="0"/>
              <w:jc w:val="center"/>
              <w:rPr>
                <w:rFonts w:ascii="Times New Roman" w:hAnsi="Times New Roman" w:cs="Times New Roman" w:eastAsia="Times New Roman" w:hint="default"/>
                <w:sz w:val="16"/>
                <w:szCs w:val="16"/>
              </w:rPr>
            </w:pPr>
            <w:r>
              <w:rPr>
                <w:rFonts w:ascii="Times New Roman"/>
                <w:sz w:val="16"/>
              </w:rPr>
              <w:t>5,157,039.54</w:t>
            </w:r>
          </w:p>
        </w:tc>
        <w:tc>
          <w:tcPr>
            <w:tcW w:w="11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left="29" w:right="0"/>
              <w:jc w:val="center"/>
              <w:rPr>
                <w:rFonts w:ascii="Times New Roman" w:hAnsi="Times New Roman" w:cs="Times New Roman" w:eastAsia="Times New Roman" w:hint="default"/>
                <w:sz w:val="16"/>
                <w:szCs w:val="16"/>
              </w:rPr>
            </w:pPr>
            <w:r>
              <w:rPr>
                <w:rFonts w:ascii="Times New Roman"/>
                <w:sz w:val="16"/>
              </w:rPr>
              <w:t>55,676,182.58</w:t>
            </w:r>
          </w:p>
        </w:tc>
      </w:tr>
    </w:tbl>
    <w:p>
      <w:pPr>
        <w:spacing w:line="240" w:lineRule="auto" w:before="7"/>
        <w:rPr>
          <w:rFonts w:ascii="宋体" w:hAnsi="宋体" w:cs="宋体" w:eastAsia="宋体" w:hint="default"/>
          <w:b/>
          <w:bCs/>
          <w:sz w:val="26"/>
          <w:szCs w:val="26"/>
        </w:rPr>
      </w:pPr>
    </w:p>
    <w:p>
      <w:pPr>
        <w:pStyle w:val="BodyText"/>
        <w:spacing w:line="240" w:lineRule="auto"/>
        <w:ind w:right="3683"/>
        <w:jc w:val="left"/>
      </w:pPr>
      <w:r>
        <w:rPr/>
        <w:t>其中本期坏账准备收回或转回金额重要的：</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948"/>
        <w:gridCol w:w="1700"/>
        <w:gridCol w:w="1560"/>
        <w:gridCol w:w="994"/>
        <w:gridCol w:w="1003"/>
      </w:tblGrid>
      <w:tr>
        <w:trPr>
          <w:trHeight w:val="490" w:hRule="exact"/>
        </w:trPr>
        <w:tc>
          <w:tcPr>
            <w:tcW w:w="29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6"/>
              <w:ind w:left="18"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7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283" w:right="0"/>
              <w:jc w:val="left"/>
              <w:rPr>
                <w:rFonts w:ascii="宋体" w:hAnsi="宋体" w:cs="宋体" w:eastAsia="宋体" w:hint="default"/>
                <w:sz w:val="16"/>
                <w:szCs w:val="16"/>
              </w:rPr>
            </w:pPr>
            <w:r>
              <w:rPr>
                <w:rFonts w:ascii="宋体" w:hAnsi="宋体" w:cs="宋体" w:eastAsia="宋体" w:hint="default"/>
                <w:sz w:val="16"/>
                <w:szCs w:val="16"/>
              </w:rPr>
              <w:t>转回或收回金额</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24"/>
              <w:ind w:left="213" w:right="132" w:hanging="80"/>
              <w:jc w:val="left"/>
              <w:rPr>
                <w:rFonts w:ascii="宋体" w:hAnsi="宋体" w:cs="宋体" w:eastAsia="宋体" w:hint="default"/>
                <w:sz w:val="16"/>
                <w:szCs w:val="16"/>
              </w:rPr>
            </w:pPr>
            <w:r>
              <w:rPr>
                <w:rFonts w:ascii="宋体" w:hAnsi="宋体" w:cs="宋体" w:eastAsia="宋体" w:hint="default"/>
                <w:sz w:val="16"/>
                <w:szCs w:val="16"/>
              </w:rPr>
              <w:t>确定原坏账准备的</w:t>
            </w:r>
            <w:r>
              <w:rPr>
                <w:rFonts w:ascii="宋体" w:hAnsi="宋体" w:cs="宋体" w:eastAsia="宋体" w:hint="default"/>
                <w:w w:val="100"/>
                <w:sz w:val="16"/>
                <w:szCs w:val="16"/>
              </w:rPr>
              <w:t> </w:t>
            </w:r>
            <w:r>
              <w:rPr>
                <w:rFonts w:ascii="宋体" w:hAnsi="宋体" w:cs="宋体" w:eastAsia="宋体" w:hint="default"/>
                <w:sz w:val="16"/>
                <w:szCs w:val="16"/>
              </w:rPr>
              <w:t>依据及其合理性</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24"/>
              <w:ind w:left="252" w:right="170" w:hanging="82"/>
              <w:jc w:val="left"/>
              <w:rPr>
                <w:rFonts w:ascii="宋体" w:hAnsi="宋体" w:cs="宋体" w:eastAsia="宋体" w:hint="default"/>
                <w:sz w:val="16"/>
                <w:szCs w:val="16"/>
              </w:rPr>
            </w:pPr>
            <w:r>
              <w:rPr>
                <w:rFonts w:ascii="宋体" w:hAnsi="宋体" w:cs="宋体" w:eastAsia="宋体" w:hint="default"/>
                <w:sz w:val="16"/>
                <w:szCs w:val="16"/>
              </w:rPr>
              <w:t>转回或收</w:t>
            </w:r>
            <w:r>
              <w:rPr>
                <w:rFonts w:ascii="宋体" w:hAnsi="宋体" w:cs="宋体" w:eastAsia="宋体" w:hint="default"/>
                <w:spacing w:val="-77"/>
                <w:sz w:val="16"/>
                <w:szCs w:val="16"/>
              </w:rPr>
              <w:t> </w:t>
            </w:r>
            <w:r>
              <w:rPr>
                <w:rFonts w:ascii="宋体" w:hAnsi="宋体" w:cs="宋体" w:eastAsia="宋体" w:hint="default"/>
                <w:sz w:val="16"/>
                <w:szCs w:val="16"/>
              </w:rPr>
              <w:t>回原因</w:t>
            </w:r>
          </w:p>
        </w:tc>
        <w:tc>
          <w:tcPr>
            <w:tcW w:w="100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16"/>
                <w:szCs w:val="16"/>
              </w:rPr>
            </w:pPr>
            <w:r>
              <w:rPr>
                <w:rFonts w:ascii="宋体" w:hAnsi="宋体" w:cs="宋体" w:eastAsia="宋体" w:hint="default"/>
                <w:sz w:val="16"/>
                <w:szCs w:val="16"/>
              </w:rPr>
              <w:t>收回方式</w:t>
            </w:r>
          </w:p>
        </w:tc>
      </w:tr>
      <w:tr>
        <w:trPr>
          <w:trHeight w:val="274"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齐齐哈尔市富拉尔基区教育局</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386,136.45</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可收回性</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收到款项</w:t>
            </w:r>
          </w:p>
        </w:tc>
        <w:tc>
          <w:tcPr>
            <w:tcW w:w="10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75" w:right="0"/>
              <w:jc w:val="left"/>
              <w:rPr>
                <w:rFonts w:ascii="宋体" w:hAnsi="宋体" w:cs="宋体" w:eastAsia="宋体" w:hint="default"/>
                <w:sz w:val="16"/>
                <w:szCs w:val="16"/>
              </w:rPr>
            </w:pPr>
            <w:r>
              <w:rPr>
                <w:rFonts w:ascii="宋体" w:hAnsi="宋体" w:cs="宋体" w:eastAsia="宋体" w:hint="default"/>
                <w:sz w:val="16"/>
                <w:szCs w:val="16"/>
              </w:rPr>
              <w:t>货币回款</w:t>
            </w:r>
          </w:p>
        </w:tc>
      </w:tr>
      <w:tr>
        <w:trPr>
          <w:trHeight w:val="274"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四平市铁东区教育技术装备办公室</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324,571.68</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可收回性</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收到款项</w:t>
            </w:r>
          </w:p>
        </w:tc>
        <w:tc>
          <w:tcPr>
            <w:tcW w:w="10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75" w:right="0"/>
              <w:jc w:val="left"/>
              <w:rPr>
                <w:rFonts w:ascii="宋体" w:hAnsi="宋体" w:cs="宋体" w:eastAsia="宋体" w:hint="default"/>
                <w:sz w:val="16"/>
                <w:szCs w:val="16"/>
              </w:rPr>
            </w:pPr>
            <w:r>
              <w:rPr>
                <w:rFonts w:ascii="宋体" w:hAnsi="宋体" w:cs="宋体" w:eastAsia="宋体" w:hint="default"/>
                <w:sz w:val="16"/>
                <w:szCs w:val="16"/>
              </w:rPr>
              <w:t>货币回款</w:t>
            </w:r>
          </w:p>
        </w:tc>
      </w:tr>
      <w:tr>
        <w:trPr>
          <w:trHeight w:val="274"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河北省唐县第二中学</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210,000.00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可收回性</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收到款项</w:t>
            </w:r>
          </w:p>
        </w:tc>
        <w:tc>
          <w:tcPr>
            <w:tcW w:w="10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175" w:right="0"/>
              <w:jc w:val="left"/>
              <w:rPr>
                <w:rFonts w:ascii="宋体" w:hAnsi="宋体" w:cs="宋体" w:eastAsia="宋体" w:hint="default"/>
                <w:sz w:val="16"/>
                <w:szCs w:val="16"/>
              </w:rPr>
            </w:pPr>
            <w:r>
              <w:rPr>
                <w:rFonts w:ascii="宋体" w:hAnsi="宋体" w:cs="宋体" w:eastAsia="宋体" w:hint="default"/>
                <w:sz w:val="16"/>
                <w:szCs w:val="16"/>
              </w:rPr>
              <w:t>货币回款</w:t>
            </w:r>
          </w:p>
        </w:tc>
      </w:tr>
      <w:tr>
        <w:trPr>
          <w:trHeight w:val="286" w:hRule="exact"/>
        </w:trPr>
        <w:tc>
          <w:tcPr>
            <w:tcW w:w="29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920,708.13</w:t>
            </w:r>
          </w:p>
        </w:tc>
        <w:tc>
          <w:tcPr>
            <w:tcW w:w="1560"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100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6"/>
          <w:szCs w:val="26"/>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4</w:t>
      </w:r>
      <w:r>
        <w:rPr/>
        <w:t>、</w:t>
        <w:tab/>
      </w:r>
      <w:r>
        <w:rPr>
          <w:spacing w:val="-1"/>
        </w:rPr>
        <w:t>本期实际核销的应收账款情况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4712"/>
        <w:gridCol w:w="3493"/>
      </w:tblGrid>
      <w:tr>
        <w:trPr>
          <w:trHeight w:val="283" w:hRule="exact"/>
        </w:trPr>
        <w:tc>
          <w:tcPr>
            <w:tcW w:w="471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4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核销金额</w:t>
            </w:r>
          </w:p>
        </w:tc>
      </w:tr>
      <w:tr>
        <w:trPr>
          <w:trHeight w:val="286" w:hRule="exact"/>
        </w:trPr>
        <w:tc>
          <w:tcPr>
            <w:tcW w:w="47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实际核销的应收账款</w:t>
            </w:r>
          </w:p>
        </w:tc>
        <w:tc>
          <w:tcPr>
            <w:tcW w:w="34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5,157,039.54</w:t>
            </w:r>
          </w:p>
        </w:tc>
      </w:tr>
    </w:tbl>
    <w:p>
      <w:pPr>
        <w:spacing w:line="240" w:lineRule="auto" w:before="6"/>
        <w:rPr>
          <w:rFonts w:ascii="宋体" w:hAnsi="宋体" w:cs="宋体" w:eastAsia="宋体" w:hint="default"/>
          <w:b/>
          <w:bCs/>
          <w:sz w:val="27"/>
          <w:szCs w:val="27"/>
        </w:rPr>
      </w:pPr>
    </w:p>
    <w:p>
      <w:pPr>
        <w:pStyle w:val="BodyText"/>
        <w:spacing w:line="240" w:lineRule="auto"/>
        <w:ind w:right="3683"/>
        <w:jc w:val="left"/>
      </w:pPr>
      <w:r>
        <w:rPr/>
        <w:t>其中重要的应收账款核销情况：</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2607"/>
        <w:gridCol w:w="1032"/>
        <w:gridCol w:w="1320"/>
        <w:gridCol w:w="1162"/>
        <w:gridCol w:w="1049"/>
        <w:gridCol w:w="1190"/>
      </w:tblGrid>
      <w:tr>
        <w:trPr>
          <w:trHeight w:val="492" w:hRule="exact"/>
        </w:trPr>
        <w:tc>
          <w:tcPr>
            <w:tcW w:w="260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6"/>
              <w:ind w:left="18"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0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27" w:right="110" w:hanging="320"/>
              <w:jc w:val="left"/>
              <w:rPr>
                <w:rFonts w:ascii="宋体" w:hAnsi="宋体" w:cs="宋体" w:eastAsia="宋体" w:hint="default"/>
                <w:sz w:val="16"/>
                <w:szCs w:val="16"/>
              </w:rPr>
            </w:pPr>
            <w:r>
              <w:rPr>
                <w:rFonts w:ascii="宋体" w:hAnsi="宋体" w:cs="宋体" w:eastAsia="宋体" w:hint="default"/>
                <w:sz w:val="16"/>
                <w:szCs w:val="16"/>
              </w:rPr>
              <w:t>应收账款性</w:t>
            </w:r>
            <w:r>
              <w:rPr>
                <w:rFonts w:ascii="宋体" w:hAnsi="宋体" w:cs="宋体" w:eastAsia="宋体" w:hint="default"/>
                <w:w w:val="100"/>
                <w:sz w:val="16"/>
                <w:szCs w:val="16"/>
              </w:rPr>
              <w:t> </w:t>
            </w:r>
            <w:r>
              <w:rPr>
                <w:rFonts w:ascii="宋体" w:hAnsi="宋体" w:cs="宋体" w:eastAsia="宋体" w:hint="default"/>
                <w:sz w:val="16"/>
                <w:szCs w:val="16"/>
              </w:rPr>
              <w:t>质</w:t>
            </w:r>
          </w:p>
        </w:tc>
        <w:tc>
          <w:tcPr>
            <w:tcW w:w="13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333" w:right="0"/>
              <w:jc w:val="left"/>
              <w:rPr>
                <w:rFonts w:ascii="宋体" w:hAnsi="宋体" w:cs="宋体" w:eastAsia="宋体" w:hint="default"/>
                <w:sz w:val="16"/>
                <w:szCs w:val="16"/>
              </w:rPr>
            </w:pPr>
            <w:r>
              <w:rPr>
                <w:rFonts w:ascii="宋体" w:hAnsi="宋体" w:cs="宋体" w:eastAsia="宋体" w:hint="default"/>
                <w:sz w:val="16"/>
                <w:szCs w:val="16"/>
              </w:rPr>
              <w:t>核销金额</w:t>
            </w:r>
          </w:p>
        </w:tc>
        <w:tc>
          <w:tcPr>
            <w:tcW w:w="11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sz w:val="16"/>
                <w:szCs w:val="16"/>
              </w:rPr>
              <w:t>核销原因</w:t>
            </w:r>
          </w:p>
        </w:tc>
        <w:tc>
          <w:tcPr>
            <w:tcW w:w="10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360" w:right="116" w:hanging="240"/>
              <w:jc w:val="left"/>
              <w:rPr>
                <w:rFonts w:ascii="宋体" w:hAnsi="宋体" w:cs="宋体" w:eastAsia="宋体" w:hint="default"/>
                <w:sz w:val="16"/>
                <w:szCs w:val="16"/>
              </w:rPr>
            </w:pPr>
            <w:r>
              <w:rPr>
                <w:rFonts w:ascii="宋体" w:hAnsi="宋体" w:cs="宋体" w:eastAsia="宋体" w:hint="default"/>
                <w:sz w:val="16"/>
                <w:szCs w:val="16"/>
              </w:rPr>
              <w:t>履行的核销</w:t>
            </w:r>
            <w:r>
              <w:rPr>
                <w:rFonts w:ascii="宋体" w:hAnsi="宋体" w:cs="宋体" w:eastAsia="宋体" w:hint="default"/>
                <w:w w:val="100"/>
                <w:sz w:val="16"/>
                <w:szCs w:val="16"/>
              </w:rPr>
              <w:t> </w:t>
            </w:r>
            <w:r>
              <w:rPr>
                <w:rFonts w:ascii="宋体" w:hAnsi="宋体" w:cs="宋体" w:eastAsia="宋体" w:hint="default"/>
                <w:sz w:val="16"/>
                <w:szCs w:val="16"/>
              </w:rPr>
              <w:t>程序</w:t>
            </w:r>
          </w:p>
        </w:tc>
        <w:tc>
          <w:tcPr>
            <w:tcW w:w="119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189" w:right="110" w:hanging="80"/>
              <w:jc w:val="left"/>
              <w:rPr>
                <w:rFonts w:ascii="宋体" w:hAnsi="宋体" w:cs="宋体" w:eastAsia="宋体" w:hint="default"/>
                <w:sz w:val="16"/>
                <w:szCs w:val="16"/>
              </w:rPr>
            </w:pPr>
            <w:r>
              <w:rPr>
                <w:rFonts w:ascii="宋体" w:hAnsi="宋体" w:cs="宋体" w:eastAsia="宋体" w:hint="default"/>
                <w:sz w:val="16"/>
                <w:szCs w:val="16"/>
              </w:rPr>
              <w:t>款项是否因关</w:t>
            </w:r>
            <w:r>
              <w:rPr>
                <w:rFonts w:ascii="宋体" w:hAnsi="宋体" w:cs="宋体" w:eastAsia="宋体" w:hint="default"/>
                <w:w w:val="100"/>
                <w:sz w:val="16"/>
                <w:szCs w:val="16"/>
              </w:rPr>
              <w:t> </w:t>
            </w:r>
            <w:r>
              <w:rPr>
                <w:rFonts w:ascii="宋体" w:hAnsi="宋体" w:cs="宋体" w:eastAsia="宋体" w:hint="default"/>
                <w:sz w:val="16"/>
                <w:szCs w:val="16"/>
              </w:rPr>
              <w:t>联交易产生</w:t>
            </w:r>
          </w:p>
        </w:tc>
      </w:tr>
      <w:tr>
        <w:trPr>
          <w:trHeight w:val="274" w:hRule="exact"/>
        </w:trPr>
        <w:tc>
          <w:tcPr>
            <w:tcW w:w="2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122" w:right="0"/>
              <w:jc w:val="left"/>
              <w:rPr>
                <w:rFonts w:ascii="Times New Roman" w:hAnsi="Times New Roman" w:cs="Times New Roman" w:eastAsia="Times New Roman" w:hint="default"/>
                <w:sz w:val="16"/>
                <w:szCs w:val="16"/>
              </w:rPr>
            </w:pPr>
            <w:r>
              <w:rPr>
                <w:rFonts w:ascii="Times New Roman"/>
                <w:sz w:val="16"/>
              </w:rPr>
              <w:t>Diablotek International</w:t>
            </w:r>
            <w:r>
              <w:rPr>
                <w:rFonts w:ascii="Times New Roman"/>
                <w:spacing w:val="-16"/>
                <w:sz w:val="16"/>
              </w:rPr>
              <w:t> </w:t>
            </w:r>
            <w:r>
              <w:rPr>
                <w:rFonts w:ascii="Times New Roman"/>
                <w:sz w:val="16"/>
              </w:rPr>
              <w:t>Inc.</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0" w:right="0"/>
              <w:jc w:val="left"/>
              <w:rPr>
                <w:rFonts w:ascii="宋体" w:hAnsi="宋体" w:cs="宋体" w:eastAsia="宋体" w:hint="default"/>
                <w:sz w:val="16"/>
                <w:szCs w:val="16"/>
              </w:rPr>
            </w:pPr>
            <w:r>
              <w:rPr>
                <w:rFonts w:ascii="宋体" w:hAnsi="宋体" w:cs="宋体" w:eastAsia="宋体" w:hint="default"/>
                <w:sz w:val="16"/>
                <w:szCs w:val="16"/>
              </w:rPr>
              <w:t>货款</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4,669,539.54</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公司注销</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29"/>
              <w:jc w:val="center"/>
              <w:rPr>
                <w:rFonts w:ascii="宋体" w:hAnsi="宋体" w:cs="宋体" w:eastAsia="宋体" w:hint="default"/>
                <w:sz w:val="16"/>
                <w:szCs w:val="16"/>
              </w:rPr>
            </w:pPr>
            <w:r>
              <w:rPr>
                <w:rFonts w:ascii="宋体" w:hAnsi="宋体" w:cs="宋体" w:eastAsia="宋体" w:hint="default"/>
                <w:sz w:val="16"/>
                <w:szCs w:val="16"/>
              </w:rPr>
              <w:t>董事会决议</w:t>
            </w:r>
          </w:p>
        </w:tc>
        <w:tc>
          <w:tcPr>
            <w:tcW w:w="11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274" w:hRule="exact"/>
        </w:trPr>
        <w:tc>
          <w:tcPr>
            <w:tcW w:w="260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长沙长远电子信息技术有限公司</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货款</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470,000.00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公司注销</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29"/>
              <w:jc w:val="center"/>
              <w:rPr>
                <w:rFonts w:ascii="宋体" w:hAnsi="宋体" w:cs="宋体" w:eastAsia="宋体" w:hint="default"/>
                <w:sz w:val="16"/>
                <w:szCs w:val="16"/>
              </w:rPr>
            </w:pPr>
            <w:r>
              <w:rPr>
                <w:rFonts w:ascii="宋体" w:hAnsi="宋体" w:cs="宋体" w:eastAsia="宋体" w:hint="default"/>
                <w:sz w:val="16"/>
                <w:szCs w:val="16"/>
              </w:rPr>
              <w:t>董事会决议</w:t>
            </w:r>
          </w:p>
        </w:tc>
        <w:tc>
          <w:tcPr>
            <w:tcW w:w="119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274" w:hRule="exact"/>
        </w:trPr>
        <w:tc>
          <w:tcPr>
            <w:tcW w:w="260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光量照明（上海）有限公司</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货款</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17,500.00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公司注销</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29"/>
              <w:jc w:val="center"/>
              <w:rPr>
                <w:rFonts w:ascii="宋体" w:hAnsi="宋体" w:cs="宋体" w:eastAsia="宋体" w:hint="default"/>
                <w:sz w:val="16"/>
                <w:szCs w:val="16"/>
              </w:rPr>
            </w:pPr>
            <w:r>
              <w:rPr>
                <w:rFonts w:ascii="宋体" w:hAnsi="宋体" w:cs="宋体" w:eastAsia="宋体" w:hint="default"/>
                <w:sz w:val="16"/>
                <w:szCs w:val="16"/>
              </w:rPr>
              <w:t>董事会决议</w:t>
            </w:r>
          </w:p>
        </w:tc>
        <w:tc>
          <w:tcPr>
            <w:tcW w:w="119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283" w:hRule="exact"/>
        </w:trPr>
        <w:tc>
          <w:tcPr>
            <w:tcW w:w="2607"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032" w:type="dxa"/>
            <w:tcBorders>
              <w:top w:val="dotted" w:sz="4" w:space="0" w:color="000000"/>
              <w:left w:val="dotted" w:sz="4" w:space="0" w:color="000000"/>
              <w:bottom w:val="single" w:sz="12" w:space="0" w:color="000000"/>
              <w:right w:val="dotted" w:sz="4" w:space="0" w:color="000000"/>
            </w:tcBorders>
          </w:tcPr>
          <w:p>
            <w:pPr/>
          </w:p>
        </w:tc>
        <w:tc>
          <w:tcPr>
            <w:tcW w:w="13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5,157,039.54</w:t>
            </w:r>
          </w:p>
        </w:tc>
        <w:tc>
          <w:tcPr>
            <w:tcW w:w="1162" w:type="dxa"/>
            <w:tcBorders>
              <w:top w:val="dotted" w:sz="4" w:space="0" w:color="000000"/>
              <w:left w:val="dotted" w:sz="4" w:space="0" w:color="000000"/>
              <w:bottom w:val="single" w:sz="12" w:space="0" w:color="000000"/>
              <w:right w:val="dotted" w:sz="4" w:space="0" w:color="000000"/>
            </w:tcBorders>
          </w:tcPr>
          <w:p>
            <w:pPr/>
          </w:p>
        </w:tc>
        <w:tc>
          <w:tcPr>
            <w:tcW w:w="1049" w:type="dxa"/>
            <w:tcBorders>
              <w:top w:val="dotted" w:sz="4" w:space="0" w:color="000000"/>
              <w:left w:val="dotted" w:sz="4" w:space="0" w:color="000000"/>
              <w:bottom w:val="single" w:sz="12" w:space="0" w:color="000000"/>
              <w:right w:val="dotted" w:sz="4" w:space="0" w:color="000000"/>
            </w:tcBorders>
          </w:tcPr>
          <w:p>
            <w:pPr/>
          </w:p>
        </w:tc>
        <w:tc>
          <w:tcPr>
            <w:tcW w:w="119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6"/>
          <w:szCs w:val="26"/>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5</w:t>
      </w:r>
      <w:r>
        <w:rPr/>
        <w:t>、</w:t>
        <w:tab/>
      </w:r>
      <w:r>
        <w:rPr>
          <w:spacing w:val="-1"/>
        </w:rPr>
        <w:t>按欠款方归集的期末余额前五名的应收账款情况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526"/>
        <w:gridCol w:w="1676"/>
        <w:gridCol w:w="1505"/>
        <w:gridCol w:w="1498"/>
      </w:tblGrid>
      <w:tr>
        <w:trPr>
          <w:trHeight w:val="286" w:hRule="exact"/>
        </w:trPr>
        <w:tc>
          <w:tcPr>
            <w:tcW w:w="3526" w:type="dxa"/>
            <w:vMerge w:val="restart"/>
            <w:tcBorders>
              <w:top w:val="single" w:sz="12" w:space="0" w:color="000000"/>
              <w:left w:val="nil" w:sz="6" w:space="0" w:color="auto"/>
              <w:right w:val="dotted"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6"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467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480" w:hRule="exact"/>
        </w:trPr>
        <w:tc>
          <w:tcPr>
            <w:tcW w:w="3526" w:type="dxa"/>
            <w:vMerge/>
            <w:tcBorders>
              <w:left w:val="nil" w:sz="6" w:space="0" w:color="auto"/>
              <w:bottom w:val="dotted" w:sz="4" w:space="0" w:color="000000"/>
              <w:right w:val="dotted" w:sz="4" w:space="0" w:color="000000"/>
            </w:tcBorders>
          </w:tcPr>
          <w:p>
            <w:pP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508"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386" w:right="104" w:hanging="279"/>
              <w:jc w:val="left"/>
              <w:rPr>
                <w:rFonts w:ascii="Times New Roman" w:hAnsi="Times New Roman" w:cs="Times New Roman" w:eastAsia="Times New Roman" w:hint="default"/>
                <w:sz w:val="16"/>
                <w:szCs w:val="16"/>
              </w:rPr>
            </w:pPr>
            <w:r>
              <w:rPr>
                <w:rFonts w:ascii="宋体" w:hAnsi="宋体" w:cs="宋体" w:eastAsia="宋体" w:hint="default"/>
                <w:sz w:val="16"/>
                <w:szCs w:val="16"/>
              </w:rPr>
              <w:t>占应收账款合计数</w:t>
            </w:r>
            <w:r>
              <w:rPr>
                <w:rFonts w:ascii="宋体" w:hAnsi="宋体" w:cs="宋体" w:eastAsia="宋体" w:hint="default"/>
                <w:w w:val="100"/>
                <w:sz w:val="16"/>
                <w:szCs w:val="16"/>
              </w:rPr>
              <w:t> </w:t>
            </w:r>
            <w:r>
              <w:rPr>
                <w:rFonts w:ascii="宋体" w:hAnsi="宋体" w:cs="宋体" w:eastAsia="宋体" w:hint="default"/>
                <w:sz w:val="16"/>
                <w:szCs w:val="16"/>
              </w:rPr>
              <w:t>的比例</w:t>
            </w:r>
            <w:r>
              <w:rPr>
                <w:rFonts w:ascii="Times New Roman" w:hAnsi="Times New Roman" w:cs="Times New Roman" w:eastAsia="Times New Roman" w:hint="default"/>
                <w:sz w:val="16"/>
                <w:szCs w:val="16"/>
              </w:rPr>
              <w:t>(%)</w:t>
            </w:r>
          </w:p>
        </w:tc>
        <w:tc>
          <w:tcPr>
            <w:tcW w:w="14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left="420"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274"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浪潮电子信息产业股份有限公司</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35,297,282.48</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9.07</w:t>
            </w:r>
          </w:p>
        </w:tc>
        <w:tc>
          <w:tcPr>
            <w:tcW w:w="1498" w:type="dxa"/>
            <w:tcBorders>
              <w:top w:val="dotted" w:sz="4" w:space="0" w:color="000000"/>
              <w:left w:val="dotted" w:sz="4" w:space="0" w:color="000000"/>
              <w:bottom w:val="dotted" w:sz="4" w:space="0" w:color="000000"/>
              <w:right w:val="nil" w:sz="6" w:space="0" w:color="auto"/>
            </w:tcBorders>
          </w:tcPr>
          <w:p>
            <w:pPr/>
          </w:p>
        </w:tc>
      </w:tr>
      <w:tr>
        <w:trPr>
          <w:trHeight w:val="266"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5"/>
              <w:ind w:left="122" w:right="0"/>
              <w:jc w:val="left"/>
              <w:rPr>
                <w:rFonts w:ascii="Times New Roman" w:hAnsi="Times New Roman" w:cs="Times New Roman" w:eastAsia="Times New Roman" w:hint="default"/>
                <w:sz w:val="16"/>
                <w:szCs w:val="16"/>
              </w:rPr>
            </w:pPr>
            <w:r>
              <w:rPr>
                <w:rFonts w:ascii="Times New Roman"/>
                <w:sz w:val="16"/>
              </w:rPr>
              <w:t>Corsair (Hong Kong)</w:t>
            </w:r>
            <w:r>
              <w:rPr>
                <w:rFonts w:ascii="Times New Roman"/>
                <w:spacing w:val="-13"/>
                <w:sz w:val="16"/>
              </w:rPr>
              <w:t> </w:t>
            </w:r>
            <w:r>
              <w:rPr>
                <w:rFonts w:ascii="Times New Roman"/>
                <w:sz w:val="16"/>
              </w:rPr>
              <w:t>Limited</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6"/>
                <w:szCs w:val="16"/>
              </w:rPr>
            </w:pPr>
            <w:r>
              <w:rPr>
                <w:rFonts w:ascii="Times New Roman"/>
                <w:spacing w:val="-2"/>
                <w:sz w:val="16"/>
              </w:rPr>
              <w:t>33,946,193.32</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6"/>
                <w:szCs w:val="16"/>
              </w:rPr>
            </w:pPr>
            <w:r>
              <w:rPr>
                <w:rFonts w:ascii="Times New Roman"/>
                <w:spacing w:val="-1"/>
                <w:sz w:val="16"/>
              </w:rPr>
              <w:t>8.72</w:t>
            </w:r>
          </w:p>
        </w:tc>
        <w:tc>
          <w:tcPr>
            <w:tcW w:w="1498"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深圳市菲菱科思通信技术股份有限公司</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23,557,515.29</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6.05</w:t>
            </w:r>
          </w:p>
        </w:tc>
        <w:tc>
          <w:tcPr>
            <w:tcW w:w="14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1,131,548.59</w:t>
            </w:r>
          </w:p>
        </w:tc>
      </w:tr>
      <w:tr>
        <w:trPr>
          <w:trHeight w:val="266"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5"/>
              <w:ind w:left="122" w:right="0"/>
              <w:jc w:val="left"/>
              <w:rPr>
                <w:rFonts w:ascii="Times New Roman" w:hAnsi="Times New Roman" w:cs="Times New Roman" w:eastAsia="Times New Roman" w:hint="default"/>
                <w:sz w:val="16"/>
                <w:szCs w:val="16"/>
              </w:rPr>
            </w:pPr>
            <w:r>
              <w:rPr>
                <w:rFonts w:ascii="Times New Roman"/>
                <w:sz w:val="16"/>
              </w:rPr>
              <w:t>Lenovo Systems </w:t>
            </w:r>
            <w:r>
              <w:rPr>
                <w:rFonts w:ascii="Times New Roman"/>
                <w:spacing w:val="-3"/>
                <w:sz w:val="16"/>
              </w:rPr>
              <w:t>Technology </w:t>
            </w:r>
            <w:r>
              <w:rPr>
                <w:rFonts w:ascii="Times New Roman"/>
                <w:sz w:val="16"/>
              </w:rPr>
              <w:t>Company</w:t>
            </w:r>
            <w:r>
              <w:rPr>
                <w:rFonts w:ascii="Times New Roman"/>
                <w:spacing w:val="1"/>
                <w:sz w:val="16"/>
              </w:rPr>
              <w:t> </w:t>
            </w:r>
            <w:r>
              <w:rPr>
                <w:rFonts w:ascii="Times New Roman"/>
                <w:sz w:val="16"/>
              </w:rPr>
              <w:t>L</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6"/>
                <w:szCs w:val="16"/>
              </w:rPr>
            </w:pPr>
            <w:r>
              <w:rPr>
                <w:rFonts w:ascii="Times New Roman"/>
                <w:spacing w:val="-2"/>
                <w:sz w:val="16"/>
              </w:rPr>
              <w:t>22,867,647.21</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6"/>
                <w:szCs w:val="16"/>
              </w:rPr>
            </w:pPr>
            <w:r>
              <w:rPr>
                <w:rFonts w:ascii="Times New Roman"/>
                <w:spacing w:val="-1"/>
                <w:sz w:val="16"/>
              </w:rPr>
              <w:t>5.87</w:t>
            </w:r>
          </w:p>
        </w:tc>
        <w:tc>
          <w:tcPr>
            <w:tcW w:w="1498"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中国移动通信集团终端有限公司</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21,990,000.00</w:t>
            </w:r>
          </w:p>
        </w:tc>
        <w:tc>
          <w:tcPr>
            <w:tcW w:w="15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5.65</w:t>
            </w:r>
          </w:p>
        </w:tc>
        <w:tc>
          <w:tcPr>
            <w:tcW w:w="1498" w:type="dxa"/>
            <w:tcBorders>
              <w:top w:val="dotted" w:sz="4" w:space="0" w:color="000000"/>
              <w:left w:val="dotted" w:sz="4" w:space="0" w:color="000000"/>
              <w:bottom w:val="dotted" w:sz="4" w:space="0" w:color="000000"/>
              <w:right w:val="nil" w:sz="6" w:space="0" w:color="auto"/>
            </w:tcBorders>
          </w:tcPr>
          <w:p>
            <w:pPr/>
          </w:p>
        </w:tc>
      </w:tr>
      <w:tr>
        <w:trPr>
          <w:trHeight w:val="283" w:hRule="exact"/>
        </w:trPr>
        <w:tc>
          <w:tcPr>
            <w:tcW w:w="3526"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6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137,658,638.30</w:t>
            </w:r>
          </w:p>
        </w:tc>
        <w:tc>
          <w:tcPr>
            <w:tcW w:w="15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35.36</w:t>
            </w:r>
          </w:p>
        </w:tc>
        <w:tc>
          <w:tcPr>
            <w:tcW w:w="149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1,131,548.59</w:t>
            </w:r>
          </w:p>
        </w:tc>
      </w:tr>
    </w:tbl>
    <w:p>
      <w:pPr>
        <w:spacing w:line="240" w:lineRule="auto" w:before="5"/>
        <w:rPr>
          <w:rFonts w:ascii="宋体" w:hAnsi="宋体" w:cs="宋体" w:eastAsia="宋体" w:hint="default"/>
          <w:b/>
          <w:bCs/>
          <w:sz w:val="21"/>
          <w:szCs w:val="21"/>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其他应收款</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975"/>
        <w:gridCol w:w="2165"/>
        <w:gridCol w:w="2065"/>
      </w:tblGrid>
      <w:tr>
        <w:trPr>
          <w:trHeight w:val="362" w:hRule="exact"/>
        </w:trPr>
        <w:tc>
          <w:tcPr>
            <w:tcW w:w="39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3"/>
              <w:ind w:right="1812"/>
              <w:jc w:val="right"/>
              <w:rPr>
                <w:rFonts w:ascii="宋体" w:hAnsi="宋体" w:cs="宋体" w:eastAsia="宋体" w:hint="default"/>
                <w:sz w:val="16"/>
                <w:szCs w:val="16"/>
              </w:rPr>
            </w:pPr>
            <w:r>
              <w:rPr>
                <w:rFonts w:ascii="宋体" w:hAnsi="宋体" w:cs="宋体" w:eastAsia="宋体" w:hint="default"/>
                <w:sz w:val="16"/>
                <w:szCs w:val="16"/>
              </w:rPr>
              <w:t>项目</w:t>
            </w:r>
          </w:p>
        </w:tc>
        <w:tc>
          <w:tcPr>
            <w:tcW w:w="21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3"/>
              <w:ind w:right="2"/>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0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3"/>
              <w:ind w:left="54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356" w:hRule="exact"/>
        </w:trPr>
        <w:tc>
          <w:tcPr>
            <w:tcW w:w="39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4"/>
              <w:ind w:left="122"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2165"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
        </w:tc>
      </w:tr>
      <w:tr>
        <w:trPr>
          <w:trHeight w:val="353" w:hRule="exact"/>
        </w:trPr>
        <w:tc>
          <w:tcPr>
            <w:tcW w:w="39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应收股利</w:t>
            </w:r>
          </w:p>
        </w:tc>
        <w:tc>
          <w:tcPr>
            <w:tcW w:w="21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2"/>
                <w:sz w:val="16"/>
              </w:rPr>
              <w:t>14,000,000.00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6"/>
                <w:szCs w:val="16"/>
              </w:rPr>
            </w:pPr>
            <w:r>
              <w:rPr>
                <w:rFonts w:ascii="Times New Roman"/>
                <w:spacing w:val="-2"/>
                <w:sz w:val="16"/>
              </w:rPr>
              <w:t>14,000,000.00</w:t>
            </w:r>
          </w:p>
        </w:tc>
      </w:tr>
      <w:tr>
        <w:trPr>
          <w:trHeight w:val="353" w:hRule="exact"/>
        </w:trPr>
        <w:tc>
          <w:tcPr>
            <w:tcW w:w="39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16"/>
                <w:szCs w:val="16"/>
              </w:rPr>
            </w:pPr>
            <w:r>
              <w:rPr>
                <w:rFonts w:ascii="宋体" w:hAnsi="宋体" w:cs="宋体" w:eastAsia="宋体" w:hint="default"/>
                <w:sz w:val="16"/>
                <w:szCs w:val="16"/>
              </w:rPr>
              <w:t>其他应收款项</w:t>
            </w:r>
          </w:p>
        </w:tc>
        <w:tc>
          <w:tcPr>
            <w:tcW w:w="21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6"/>
                <w:szCs w:val="16"/>
              </w:rPr>
            </w:pPr>
            <w:r>
              <w:rPr>
                <w:rFonts w:ascii="Times New Roman"/>
                <w:spacing w:val="-1"/>
                <w:sz w:val="16"/>
              </w:rPr>
              <w:t>1,067,392,070.05</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6"/>
                <w:szCs w:val="16"/>
              </w:rPr>
            </w:pPr>
            <w:r>
              <w:rPr>
                <w:rFonts w:ascii="Times New Roman"/>
                <w:spacing w:val="-1"/>
                <w:sz w:val="16"/>
              </w:rPr>
              <w:t>423,181,743.46</w:t>
            </w:r>
          </w:p>
        </w:tc>
      </w:tr>
      <w:tr>
        <w:trPr>
          <w:trHeight w:val="365" w:hRule="exact"/>
        </w:trPr>
        <w:tc>
          <w:tcPr>
            <w:tcW w:w="39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3"/>
              <w:ind w:right="1812"/>
              <w:jc w:val="right"/>
              <w:rPr>
                <w:rFonts w:ascii="宋体" w:hAnsi="宋体" w:cs="宋体" w:eastAsia="宋体" w:hint="default"/>
                <w:sz w:val="16"/>
                <w:szCs w:val="16"/>
              </w:rPr>
            </w:pPr>
            <w:r>
              <w:rPr>
                <w:rFonts w:ascii="宋体" w:hAnsi="宋体" w:cs="宋体" w:eastAsia="宋体" w:hint="default"/>
                <w:sz w:val="16"/>
                <w:szCs w:val="16"/>
              </w:rPr>
              <w:t>合计</w:t>
            </w:r>
          </w:p>
        </w:tc>
        <w:tc>
          <w:tcPr>
            <w:tcW w:w="21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03"/>
              <w:jc w:val="right"/>
              <w:rPr>
                <w:rFonts w:ascii="Times New Roman" w:hAnsi="Times New Roman" w:cs="Times New Roman" w:eastAsia="Times New Roman" w:hint="default"/>
                <w:sz w:val="16"/>
                <w:szCs w:val="16"/>
              </w:rPr>
            </w:pPr>
            <w:r>
              <w:rPr>
                <w:rFonts w:ascii="Times New Roman"/>
                <w:spacing w:val="-1"/>
                <w:sz w:val="16"/>
              </w:rPr>
              <w:t>1,081,392,070.05</w:t>
            </w:r>
          </w:p>
        </w:tc>
        <w:tc>
          <w:tcPr>
            <w:tcW w:w="20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6"/>
                <w:szCs w:val="16"/>
              </w:rPr>
            </w:pPr>
            <w:r>
              <w:rPr>
                <w:rFonts w:ascii="Times New Roman"/>
                <w:spacing w:val="-1"/>
                <w:sz w:val="16"/>
              </w:rPr>
              <w:t>437,181,743.46</w:t>
            </w:r>
          </w:p>
        </w:tc>
      </w:tr>
    </w:tbl>
    <w:p>
      <w:pPr>
        <w:spacing w:line="240" w:lineRule="auto" w:before="6"/>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1</w:t>
      </w:r>
      <w:r>
        <w:rPr/>
        <w:t>、</w:t>
        <w:tab/>
        <w:t>应收股利</w:t>
      </w:r>
      <w:r>
        <w:rPr>
          <w:b w:val="0"/>
          <w:bCs w:val="0"/>
        </w:rPr>
      </w:r>
    </w:p>
    <w:p>
      <w:pPr>
        <w:spacing w:after="0" w:line="240" w:lineRule="auto"/>
        <w:jc w:val="left"/>
        <w:sectPr>
          <w:pgSz w:w="11910" w:h="16840"/>
          <w:pgMar w:header="753" w:footer="997" w:top="1500" w:bottom="1180" w:left="1660" w:right="0"/>
        </w:sectPr>
      </w:pPr>
    </w:p>
    <w:p>
      <w:pPr>
        <w:spacing w:line="240" w:lineRule="auto" w:before="12"/>
        <w:rPr>
          <w:rFonts w:ascii="宋体" w:hAnsi="宋体" w:cs="宋体" w:eastAsia="宋体" w:hint="default"/>
          <w:b/>
          <w:bCs/>
          <w:sz w:val="22"/>
          <w:szCs w:val="22"/>
        </w:rPr>
      </w:pPr>
    </w:p>
    <w:p>
      <w:pPr>
        <w:pStyle w:val="BodyText"/>
        <w:spacing w:line="240" w:lineRule="auto"/>
        <w:ind w:right="3683"/>
        <w:jc w:val="left"/>
      </w:pPr>
      <w:r>
        <w:rPr/>
        <w:t>（</w:t>
      </w:r>
      <w:r>
        <w:rPr>
          <w:rFonts w:ascii="Times New Roman" w:hAnsi="Times New Roman" w:cs="Times New Roman" w:eastAsia="Times New Roman" w:hint="default"/>
        </w:rPr>
        <w:t>1</w:t>
      </w:r>
      <w:r>
        <w:rPr/>
        <w:t>）应收股利明细</w:t>
      </w:r>
    </w:p>
    <w:tbl>
      <w:tblPr>
        <w:tblW w:w="0" w:type="auto"/>
        <w:jc w:val="left"/>
        <w:tblInd w:w="721" w:type="dxa"/>
        <w:tblLayout w:type="fixed"/>
        <w:tblCellMar>
          <w:top w:w="0" w:type="dxa"/>
          <w:left w:w="0" w:type="dxa"/>
          <w:bottom w:w="0" w:type="dxa"/>
          <w:right w:w="0" w:type="dxa"/>
        </w:tblCellMar>
        <w:tblLook w:val="01E0"/>
      </w:tblPr>
      <w:tblGrid>
        <w:gridCol w:w="3322"/>
        <w:gridCol w:w="2441"/>
        <w:gridCol w:w="2441"/>
      </w:tblGrid>
      <w:tr>
        <w:trPr>
          <w:trHeight w:val="286" w:hRule="exact"/>
        </w:trPr>
        <w:tc>
          <w:tcPr>
            <w:tcW w:w="332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866" w:right="0"/>
              <w:jc w:val="left"/>
              <w:rPr>
                <w:rFonts w:ascii="宋体" w:hAnsi="宋体" w:cs="宋体" w:eastAsia="宋体" w:hint="default"/>
                <w:sz w:val="16"/>
                <w:szCs w:val="16"/>
              </w:rPr>
            </w:pPr>
            <w:r>
              <w:rPr>
                <w:rFonts w:ascii="宋体" w:hAnsi="宋体" w:cs="宋体" w:eastAsia="宋体" w:hint="default"/>
                <w:sz w:val="16"/>
                <w:szCs w:val="16"/>
              </w:rPr>
              <w:t>项目（或被投资单位）</w:t>
            </w:r>
          </w:p>
        </w:tc>
        <w:tc>
          <w:tcPr>
            <w:tcW w:w="24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73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东方证券股份有限公司</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14,000,000.00</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14,000,000.00</w:t>
            </w:r>
          </w:p>
        </w:tc>
      </w:tr>
      <w:tr>
        <w:trPr>
          <w:trHeight w:val="274" w:hRule="exact"/>
        </w:trPr>
        <w:tc>
          <w:tcPr>
            <w:tcW w:w="3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14,000,000.00</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14,000,000.00</w:t>
            </w:r>
          </w:p>
        </w:tc>
      </w:tr>
      <w:tr>
        <w:trPr>
          <w:trHeight w:val="274" w:hRule="exact"/>
        </w:trPr>
        <w:tc>
          <w:tcPr>
            <w:tcW w:w="332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减：坏账准备</w:t>
            </w:r>
          </w:p>
        </w:tc>
        <w:tc>
          <w:tcPr>
            <w:tcW w:w="2441" w:type="dxa"/>
            <w:tcBorders>
              <w:top w:val="dotted" w:sz="4" w:space="0" w:color="000000"/>
              <w:left w:val="dotted" w:sz="4" w:space="0" w:color="000000"/>
              <w:bottom w:val="dotted" w:sz="4" w:space="0" w:color="000000"/>
              <w:right w:val="dotted" w:sz="4" w:space="0" w:color="000000"/>
            </w:tcBorders>
          </w:tcPr>
          <w:p>
            <w:pPr/>
          </w:p>
        </w:tc>
        <w:tc>
          <w:tcPr>
            <w:tcW w:w="2441" w:type="dxa"/>
            <w:tcBorders>
              <w:top w:val="dotted" w:sz="4" w:space="0" w:color="000000"/>
              <w:left w:val="dotted" w:sz="4" w:space="0" w:color="000000"/>
              <w:bottom w:val="dotted" w:sz="4" w:space="0" w:color="000000"/>
              <w:right w:val="nil" w:sz="6" w:space="0" w:color="auto"/>
            </w:tcBorders>
          </w:tcPr>
          <w:p>
            <w:pPr/>
          </w:p>
        </w:tc>
      </w:tr>
      <w:tr>
        <w:trPr>
          <w:trHeight w:val="283" w:hRule="exact"/>
        </w:trPr>
        <w:tc>
          <w:tcPr>
            <w:tcW w:w="3322"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4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2"/>
                <w:sz w:val="16"/>
              </w:rPr>
              <w:t>14,000,000.00</w:t>
            </w:r>
          </w:p>
        </w:tc>
        <w:tc>
          <w:tcPr>
            <w:tcW w:w="24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14,000,000.00</w:t>
            </w:r>
          </w:p>
        </w:tc>
      </w:tr>
    </w:tbl>
    <w:p>
      <w:pPr>
        <w:spacing w:line="240" w:lineRule="auto" w:before="6"/>
        <w:rPr>
          <w:rFonts w:ascii="宋体" w:hAnsi="宋体" w:cs="宋体" w:eastAsia="宋体" w:hint="default"/>
          <w:sz w:val="27"/>
          <w:szCs w:val="27"/>
        </w:rPr>
      </w:pPr>
    </w:p>
    <w:p>
      <w:pPr>
        <w:pStyle w:val="BodyText"/>
        <w:spacing w:line="240" w:lineRule="auto"/>
        <w:ind w:right="3683"/>
        <w:jc w:val="left"/>
      </w:pPr>
      <w:r>
        <w:rPr/>
        <w:t>（</w:t>
      </w:r>
      <w:r>
        <w:rPr>
          <w:rFonts w:ascii="Times New Roman" w:hAnsi="Times New Roman" w:cs="Times New Roman" w:eastAsia="Times New Roman" w:hint="default"/>
        </w:rPr>
        <w:t>2</w:t>
      </w:r>
      <w:r>
        <w:rPr/>
        <w:t>）重要的账龄超过一年的应收股利</w:t>
      </w:r>
    </w:p>
    <w:tbl>
      <w:tblPr>
        <w:tblW w:w="0" w:type="auto"/>
        <w:jc w:val="left"/>
        <w:tblInd w:w="721" w:type="dxa"/>
        <w:tblLayout w:type="fixed"/>
        <w:tblCellMar>
          <w:top w:w="0" w:type="dxa"/>
          <w:left w:w="0" w:type="dxa"/>
          <w:bottom w:w="0" w:type="dxa"/>
          <w:right w:w="0" w:type="dxa"/>
        </w:tblCellMar>
        <w:tblLook w:val="01E0"/>
      </w:tblPr>
      <w:tblGrid>
        <w:gridCol w:w="2048"/>
        <w:gridCol w:w="1471"/>
        <w:gridCol w:w="1128"/>
        <w:gridCol w:w="1418"/>
        <w:gridCol w:w="2139"/>
      </w:tblGrid>
      <w:tr>
        <w:trPr>
          <w:trHeight w:val="286" w:hRule="exact"/>
        </w:trPr>
        <w:tc>
          <w:tcPr>
            <w:tcW w:w="20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314"/>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项目</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或被投资单位</w:t>
            </w:r>
            <w:r>
              <w:rPr>
                <w:rFonts w:ascii="Times New Roman" w:hAnsi="Times New Roman" w:cs="Times New Roman" w:eastAsia="Times New Roman" w:hint="default"/>
                <w:spacing w:val="-1"/>
                <w:sz w:val="16"/>
                <w:szCs w:val="16"/>
              </w:rPr>
              <w:t>)</w:t>
            </w:r>
          </w:p>
        </w:tc>
        <w:tc>
          <w:tcPr>
            <w:tcW w:w="14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10"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1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14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未收回的原因</w:t>
            </w:r>
          </w:p>
        </w:tc>
        <w:tc>
          <w:tcPr>
            <w:tcW w:w="213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3"/>
              <w:jc w:val="center"/>
              <w:rPr>
                <w:rFonts w:ascii="宋体" w:hAnsi="宋体" w:cs="宋体" w:eastAsia="宋体" w:hint="default"/>
                <w:sz w:val="16"/>
                <w:szCs w:val="16"/>
              </w:rPr>
            </w:pPr>
            <w:r>
              <w:rPr>
                <w:rFonts w:ascii="宋体" w:hAnsi="宋体" w:cs="宋体" w:eastAsia="宋体" w:hint="default"/>
                <w:sz w:val="16"/>
                <w:szCs w:val="16"/>
              </w:rPr>
              <w:t>是否发生减值及其判断依据</w:t>
            </w:r>
          </w:p>
        </w:tc>
      </w:tr>
      <w:tr>
        <w:trPr>
          <w:trHeight w:val="274" w:hRule="exact"/>
        </w:trPr>
        <w:tc>
          <w:tcPr>
            <w:tcW w:w="204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315"/>
              <w:jc w:val="right"/>
              <w:rPr>
                <w:rFonts w:ascii="宋体" w:hAnsi="宋体" w:cs="宋体" w:eastAsia="宋体" w:hint="default"/>
                <w:sz w:val="16"/>
                <w:szCs w:val="16"/>
              </w:rPr>
            </w:pPr>
            <w:r>
              <w:rPr>
                <w:rFonts w:ascii="宋体" w:hAnsi="宋体" w:cs="宋体" w:eastAsia="宋体" w:hint="default"/>
                <w:spacing w:val="-1"/>
                <w:sz w:val="16"/>
                <w:szCs w:val="16"/>
              </w:rPr>
              <w:t>东方证券股份有限公司</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439" w:right="0"/>
              <w:jc w:val="left"/>
              <w:rPr>
                <w:rFonts w:ascii="Times New Roman" w:hAnsi="Times New Roman" w:cs="Times New Roman" w:eastAsia="Times New Roman" w:hint="default"/>
                <w:sz w:val="16"/>
                <w:szCs w:val="16"/>
              </w:rPr>
            </w:pPr>
            <w:r>
              <w:rPr>
                <w:rFonts w:ascii="Times New Roman"/>
                <w:sz w:val="16"/>
              </w:rPr>
              <w:t>14,000,000.00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证券账户变更</w:t>
            </w:r>
          </w:p>
        </w:tc>
        <w:tc>
          <w:tcPr>
            <w:tcW w:w="21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8"/>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283" w:hRule="exact"/>
        </w:trPr>
        <w:tc>
          <w:tcPr>
            <w:tcW w:w="2048"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439" w:right="0"/>
              <w:jc w:val="left"/>
              <w:rPr>
                <w:rFonts w:ascii="Times New Roman" w:hAnsi="Times New Roman" w:cs="Times New Roman" w:eastAsia="Times New Roman" w:hint="default"/>
                <w:sz w:val="16"/>
                <w:szCs w:val="16"/>
              </w:rPr>
            </w:pPr>
            <w:r>
              <w:rPr>
                <w:rFonts w:ascii="Times New Roman"/>
                <w:sz w:val="16"/>
              </w:rPr>
              <w:t>14,000,000.00</w:t>
            </w:r>
          </w:p>
        </w:tc>
        <w:tc>
          <w:tcPr>
            <w:tcW w:w="1128" w:type="dxa"/>
            <w:tcBorders>
              <w:top w:val="dotted" w:sz="4" w:space="0" w:color="000000"/>
              <w:left w:val="dotted" w:sz="4" w:space="0" w:color="000000"/>
              <w:bottom w:val="single" w:sz="12" w:space="0" w:color="000000"/>
              <w:right w:val="dotted" w:sz="4" w:space="0" w:color="000000"/>
            </w:tcBorders>
          </w:tcPr>
          <w:p>
            <w:pPr/>
          </w:p>
        </w:tc>
        <w:tc>
          <w:tcPr>
            <w:tcW w:w="1418" w:type="dxa"/>
            <w:tcBorders>
              <w:top w:val="dotted" w:sz="4" w:space="0" w:color="000000"/>
              <w:left w:val="dotted" w:sz="4" w:space="0" w:color="000000"/>
              <w:bottom w:val="single" w:sz="12" w:space="0" w:color="000000"/>
              <w:right w:val="dotted" w:sz="4" w:space="0" w:color="000000"/>
            </w:tcBorders>
          </w:tcPr>
          <w:p>
            <w:pPr/>
          </w:p>
        </w:tc>
        <w:tc>
          <w:tcPr>
            <w:tcW w:w="213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2</w:t>
      </w:r>
      <w:r>
        <w:rPr/>
        <w:t>、</w:t>
        <w:tab/>
        <w:t>其他应收款项</w:t>
      </w:r>
      <w:r>
        <w:rPr>
          <w:b w:val="0"/>
          <w:bCs w:val="0"/>
        </w:rPr>
      </w:r>
    </w:p>
    <w:p>
      <w:pPr>
        <w:pStyle w:val="BodyText"/>
        <w:spacing w:line="240" w:lineRule="auto" w:before="110"/>
        <w:ind w:right="3683"/>
        <w:jc w:val="left"/>
      </w:pPr>
      <w:r>
        <w:rPr/>
        <w:t>（</w:t>
      </w:r>
      <w:r>
        <w:rPr>
          <w:rFonts w:ascii="Times New Roman" w:hAnsi="Times New Roman" w:cs="Times New Roman" w:eastAsia="Times New Roman" w:hint="default"/>
        </w:rPr>
        <w:t>1</w:t>
      </w:r>
      <w:r>
        <w:rPr/>
        <w:t>）按账龄披露</w:t>
      </w:r>
    </w:p>
    <w:tbl>
      <w:tblPr>
        <w:tblW w:w="0" w:type="auto"/>
        <w:jc w:val="left"/>
        <w:tblInd w:w="721" w:type="dxa"/>
        <w:tblLayout w:type="fixed"/>
        <w:tblCellMar>
          <w:top w:w="0" w:type="dxa"/>
          <w:left w:w="0" w:type="dxa"/>
          <w:bottom w:w="0" w:type="dxa"/>
          <w:right w:w="0" w:type="dxa"/>
        </w:tblCellMar>
        <w:tblLook w:val="01E0"/>
      </w:tblPr>
      <w:tblGrid>
        <w:gridCol w:w="3622"/>
        <w:gridCol w:w="2292"/>
        <w:gridCol w:w="2290"/>
      </w:tblGrid>
      <w:tr>
        <w:trPr>
          <w:trHeight w:val="283" w:hRule="exact"/>
        </w:trPr>
        <w:tc>
          <w:tcPr>
            <w:tcW w:w="362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2"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22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29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657" w:right="0"/>
              <w:jc w:val="left"/>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1,066,545,879.47</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156,662,218.20</w:t>
            </w:r>
          </w:p>
        </w:tc>
      </w:tr>
      <w:tr>
        <w:trPr>
          <w:trHeight w:val="274"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其中：在合同规定的收款账期内的应收款项组合</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1,063,878,112.85</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152,331,213.20</w:t>
            </w:r>
          </w:p>
        </w:tc>
      </w:tr>
      <w:tr>
        <w:trPr>
          <w:trHeight w:val="274"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2,667,766.62</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1"/>
                <w:sz w:val="16"/>
              </w:rPr>
              <w:t>4,331,005.00</w:t>
            </w:r>
          </w:p>
        </w:tc>
      </w:tr>
      <w:tr>
        <w:trPr>
          <w:trHeight w:val="274"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 </w:t>
            </w:r>
            <w:r>
              <w:rPr>
                <w:rFonts w:ascii="宋体" w:hAnsi="宋体" w:cs="宋体" w:eastAsia="宋体" w:hint="default"/>
                <w:sz w:val="16"/>
                <w:szCs w:val="16"/>
              </w:rPr>
              <w:t>年以内小计</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1,066,545,879.47</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156,662,218.20</w:t>
            </w:r>
          </w:p>
        </w:tc>
      </w:tr>
      <w:tr>
        <w:trPr>
          <w:trHeight w:val="274"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609,304.85</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201,908,341.61</w:t>
            </w:r>
          </w:p>
        </w:tc>
      </w:tr>
      <w:tr>
        <w:trPr>
          <w:trHeight w:val="274"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512,766.71</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116,415,227.00</w:t>
            </w:r>
          </w:p>
        </w:tc>
      </w:tr>
      <w:tr>
        <w:trPr>
          <w:trHeight w:val="274"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2"/>
                <w:sz w:val="16"/>
              </w:rPr>
              <w:t>116,048.99</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8,786,845.19</w:t>
            </w:r>
          </w:p>
        </w:tc>
      </w:tr>
      <w:tr>
        <w:trPr>
          <w:trHeight w:val="274"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129,241.26</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65,855.39</w:t>
            </w:r>
          </w:p>
        </w:tc>
      </w:tr>
      <w:tr>
        <w:trPr>
          <w:trHeight w:val="274"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7,621,443.69</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7,555,592.75</w:t>
            </w:r>
          </w:p>
        </w:tc>
      </w:tr>
      <w:tr>
        <w:trPr>
          <w:trHeight w:val="274"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1,075,534,684.97</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491,394,080.14</w:t>
            </w:r>
          </w:p>
        </w:tc>
      </w:tr>
      <w:tr>
        <w:trPr>
          <w:trHeight w:val="274" w:hRule="exact"/>
        </w:trPr>
        <w:tc>
          <w:tcPr>
            <w:tcW w:w="36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减：坏账准备</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6"/>
                <w:szCs w:val="16"/>
              </w:rPr>
            </w:pPr>
            <w:r>
              <w:rPr>
                <w:rFonts w:ascii="Times New Roman"/>
                <w:spacing w:val="-1"/>
                <w:sz w:val="16"/>
              </w:rPr>
              <w:t>8,142,614.92</w:t>
            </w:r>
          </w:p>
        </w:tc>
        <w:tc>
          <w:tcPr>
            <w:tcW w:w="22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6"/>
                <w:szCs w:val="16"/>
              </w:rPr>
            </w:pPr>
            <w:r>
              <w:rPr>
                <w:rFonts w:ascii="Times New Roman"/>
                <w:spacing w:val="-2"/>
                <w:sz w:val="16"/>
              </w:rPr>
              <w:t>68,212,336.68</w:t>
            </w:r>
          </w:p>
        </w:tc>
      </w:tr>
      <w:tr>
        <w:trPr>
          <w:trHeight w:val="283" w:hRule="exact"/>
        </w:trPr>
        <w:tc>
          <w:tcPr>
            <w:tcW w:w="36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2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1,067,392,070.05</w:t>
            </w:r>
          </w:p>
        </w:tc>
        <w:tc>
          <w:tcPr>
            <w:tcW w:w="229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423,181,743.46</w:t>
            </w:r>
          </w:p>
        </w:tc>
      </w:tr>
    </w:tbl>
    <w:p>
      <w:pPr>
        <w:spacing w:line="240" w:lineRule="auto" w:before="6"/>
        <w:rPr>
          <w:rFonts w:ascii="宋体" w:hAnsi="宋体" w:cs="宋体" w:eastAsia="宋体" w:hint="default"/>
          <w:sz w:val="27"/>
          <w:szCs w:val="27"/>
        </w:rPr>
      </w:pPr>
    </w:p>
    <w:p>
      <w:pPr>
        <w:pStyle w:val="BodyText"/>
        <w:spacing w:line="240" w:lineRule="auto"/>
        <w:ind w:right="3683"/>
        <w:jc w:val="left"/>
      </w:pPr>
      <w:r>
        <w:rPr/>
        <w:t>（</w:t>
      </w:r>
      <w:r>
        <w:rPr>
          <w:rFonts w:ascii="Times New Roman" w:hAnsi="Times New Roman" w:cs="Times New Roman" w:eastAsia="Times New Roman" w:hint="default"/>
        </w:rPr>
        <w:t>2</w:t>
      </w:r>
      <w:r>
        <w:rPr/>
        <w:t>）按分类披露</w:t>
      </w:r>
    </w:p>
    <w:tbl>
      <w:tblPr>
        <w:tblW w:w="0" w:type="auto"/>
        <w:jc w:val="left"/>
        <w:tblInd w:w="720" w:type="dxa"/>
        <w:tblLayout w:type="fixed"/>
        <w:tblCellMar>
          <w:top w:w="0" w:type="dxa"/>
          <w:left w:w="0" w:type="dxa"/>
          <w:bottom w:w="0" w:type="dxa"/>
          <w:right w:w="0" w:type="dxa"/>
        </w:tblCellMar>
        <w:tblLook w:val="01E0"/>
      </w:tblPr>
      <w:tblGrid>
        <w:gridCol w:w="1671"/>
        <w:gridCol w:w="1478"/>
        <w:gridCol w:w="1054"/>
        <w:gridCol w:w="1219"/>
        <w:gridCol w:w="1234"/>
        <w:gridCol w:w="1548"/>
      </w:tblGrid>
      <w:tr>
        <w:trPr>
          <w:trHeight w:val="286" w:hRule="exact"/>
        </w:trPr>
        <w:tc>
          <w:tcPr>
            <w:tcW w:w="1671"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6534"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1671" w:type="dxa"/>
            <w:vMerge/>
            <w:tcBorders>
              <w:left w:val="nil" w:sz="6" w:space="0" w:color="auto"/>
              <w:right w:val="dotted" w:sz="4" w:space="0" w:color="000000"/>
            </w:tcBorders>
          </w:tcPr>
          <w:p>
            <w:pPr/>
          </w:p>
        </w:tc>
        <w:tc>
          <w:tcPr>
            <w:tcW w:w="25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45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548" w:type="dxa"/>
            <w:vMerge w:val="restart"/>
            <w:tcBorders>
              <w:top w:val="dotted" w:sz="4" w:space="0" w:color="000000"/>
              <w:left w:val="dotted" w:sz="4" w:space="0" w:color="000000"/>
              <w:right w:val="nil" w:sz="6" w:space="0" w:color="auto"/>
            </w:tcBorders>
          </w:tcPr>
          <w:p>
            <w:pPr>
              <w:pStyle w:val="TableParagraph"/>
              <w:spacing w:line="240" w:lineRule="auto" w:before="139"/>
              <w:ind w:left="448"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74" w:hRule="exact"/>
        </w:trPr>
        <w:tc>
          <w:tcPr>
            <w:tcW w:w="1671" w:type="dxa"/>
            <w:vMerge/>
            <w:tcBorders>
              <w:left w:val="nil" w:sz="6" w:space="0" w:color="auto"/>
              <w:bottom w:val="dotted" w:sz="4" w:space="0" w:color="000000"/>
              <w:right w:val="dotted" w:sz="4" w:space="0" w:color="000000"/>
            </w:tcBorders>
          </w:tcPr>
          <w:p>
            <w:pPr/>
          </w:p>
        </w:tc>
        <w:tc>
          <w:tcPr>
            <w:tcW w:w="1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0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30"/>
              <w:jc w:val="right"/>
              <w:rPr>
                <w:rFonts w:ascii="宋体" w:hAnsi="宋体" w:cs="宋体" w:eastAsia="宋体"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26"/>
              <w:jc w:val="right"/>
              <w:rPr>
                <w:rFonts w:ascii="宋体" w:hAnsi="宋体" w:cs="宋体" w:eastAsia="宋体" w:hint="default"/>
                <w:sz w:val="16"/>
                <w:szCs w:val="16"/>
              </w:rPr>
            </w:pPr>
            <w:r>
              <w:rPr>
                <w:rFonts w:ascii="宋体" w:hAnsi="宋体" w:cs="宋体" w:eastAsia="宋体" w:hint="default"/>
                <w:spacing w:val="-1"/>
                <w:sz w:val="16"/>
                <w:szCs w:val="16"/>
              </w:rPr>
              <w:t>计提比例（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548" w:type="dxa"/>
            <w:vMerge/>
            <w:tcBorders>
              <w:left w:val="dotted" w:sz="4" w:space="0" w:color="000000"/>
              <w:bottom w:val="dotted" w:sz="4" w:space="0" w:color="000000"/>
              <w:right w:val="nil" w:sz="6" w:space="0" w:color="auto"/>
            </w:tcBorders>
          </w:tcPr>
          <w:p>
            <w:pPr/>
          </w:p>
        </w:tc>
      </w:tr>
      <w:tr>
        <w:trPr>
          <w:trHeight w:val="274" w:hRule="exact"/>
        </w:trPr>
        <w:tc>
          <w:tcPr>
            <w:tcW w:w="167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按单项计提坏账准备</w:t>
            </w:r>
          </w:p>
        </w:tc>
        <w:tc>
          <w:tcPr>
            <w:tcW w:w="1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5,707,592.63</w:t>
            </w:r>
          </w:p>
        </w:tc>
        <w:tc>
          <w:tcPr>
            <w:tcW w:w="10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0.53</w:t>
            </w: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5,707,592.63</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167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按组合计提坏账准备</w:t>
            </w:r>
          </w:p>
        </w:tc>
        <w:tc>
          <w:tcPr>
            <w:tcW w:w="1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1,069,827,092.34</w:t>
            </w:r>
          </w:p>
        </w:tc>
        <w:tc>
          <w:tcPr>
            <w:tcW w:w="10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99.47</w:t>
            </w: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2,435,022.29</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0.23</w:t>
            </w: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1,067,392,070.05</w:t>
            </w:r>
          </w:p>
        </w:tc>
      </w:tr>
      <w:tr>
        <w:trPr>
          <w:trHeight w:val="274" w:hRule="exact"/>
        </w:trPr>
        <w:tc>
          <w:tcPr>
            <w:tcW w:w="167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其中：</w:t>
            </w:r>
          </w:p>
        </w:tc>
        <w:tc>
          <w:tcPr>
            <w:tcW w:w="1478"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219" w:type="dxa"/>
            <w:tcBorders>
              <w:top w:val="dotted" w:sz="4" w:space="0" w:color="000000"/>
              <w:left w:val="dotted" w:sz="4" w:space="0" w:color="000000"/>
              <w:bottom w:val="dotted" w:sz="4" w:space="0" w:color="000000"/>
              <w:right w:val="dotted" w:sz="4" w:space="0" w:color="000000"/>
            </w:tcBorders>
          </w:tcPr>
          <w:p>
            <w:pPr/>
          </w:p>
        </w:tc>
        <w:tc>
          <w:tcPr>
            <w:tcW w:w="1234"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167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99"/>
              <w:jc w:val="left"/>
              <w:rPr>
                <w:rFonts w:ascii="宋体" w:hAnsi="宋体" w:cs="宋体" w:eastAsia="宋体" w:hint="default"/>
                <w:sz w:val="16"/>
                <w:szCs w:val="16"/>
              </w:rPr>
            </w:pPr>
            <w:r>
              <w:rPr>
                <w:rFonts w:ascii="宋体" w:hAnsi="宋体" w:cs="宋体" w:eastAsia="宋体" w:hint="default"/>
                <w:spacing w:val="-1"/>
                <w:sz w:val="16"/>
                <w:szCs w:val="16"/>
              </w:rPr>
              <w:t>在合同规定的收款账</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
                <w:sz w:val="16"/>
                <w:szCs w:val="16"/>
              </w:rPr>
              <w:t>期内的应收款项组合</w:t>
            </w:r>
          </w:p>
        </w:tc>
        <w:tc>
          <w:tcPr>
            <w:tcW w:w="1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1,063,878,112.85</w:t>
            </w:r>
          </w:p>
        </w:tc>
        <w:tc>
          <w:tcPr>
            <w:tcW w:w="10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99.44</w:t>
            </w:r>
          </w:p>
        </w:tc>
        <w:tc>
          <w:tcPr>
            <w:tcW w:w="1219" w:type="dxa"/>
            <w:tcBorders>
              <w:top w:val="dotted" w:sz="4" w:space="0" w:color="000000"/>
              <w:left w:val="dotted" w:sz="4" w:space="0" w:color="000000"/>
              <w:bottom w:val="dotted" w:sz="4" w:space="0" w:color="000000"/>
              <w:right w:val="dotted" w:sz="4" w:space="0" w:color="000000"/>
            </w:tcBorders>
          </w:tcPr>
          <w:p>
            <w:pPr/>
          </w:p>
        </w:tc>
        <w:tc>
          <w:tcPr>
            <w:tcW w:w="1234"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1,063,878,112.85</w:t>
            </w:r>
          </w:p>
        </w:tc>
      </w:tr>
      <w:tr>
        <w:trPr>
          <w:trHeight w:val="274" w:hRule="exact"/>
        </w:trPr>
        <w:tc>
          <w:tcPr>
            <w:tcW w:w="16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1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5,948,979.49</w:t>
            </w:r>
          </w:p>
        </w:tc>
        <w:tc>
          <w:tcPr>
            <w:tcW w:w="10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0.56</w:t>
            </w: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2,435,022.29</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40.93</w:t>
            </w: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3,513,957.20</w:t>
            </w:r>
          </w:p>
        </w:tc>
      </w:tr>
      <w:tr>
        <w:trPr>
          <w:trHeight w:val="284" w:hRule="exact"/>
        </w:trPr>
        <w:tc>
          <w:tcPr>
            <w:tcW w:w="16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1,075,534,684.97</w:t>
            </w:r>
          </w:p>
        </w:tc>
        <w:tc>
          <w:tcPr>
            <w:tcW w:w="10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100.00</w:t>
            </w:r>
          </w:p>
        </w:tc>
        <w:tc>
          <w:tcPr>
            <w:tcW w:w="12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8,142,614.92</w:t>
            </w:r>
          </w:p>
        </w:tc>
        <w:tc>
          <w:tcPr>
            <w:tcW w:w="1234" w:type="dxa"/>
            <w:tcBorders>
              <w:top w:val="dotted" w:sz="4" w:space="0" w:color="000000"/>
              <w:left w:val="dotted" w:sz="4" w:space="0" w:color="000000"/>
              <w:bottom w:val="single" w:sz="12" w:space="0" w:color="000000"/>
              <w:right w:val="dotted" w:sz="4" w:space="0" w:color="000000"/>
            </w:tcBorders>
          </w:tcPr>
          <w:p>
            <w:pPr/>
          </w:p>
        </w:tc>
        <w:tc>
          <w:tcPr>
            <w:tcW w:w="154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1,067,392,070.05</w:t>
            </w:r>
          </w:p>
        </w:tc>
      </w:tr>
    </w:tbl>
    <w:p>
      <w:pPr>
        <w:spacing w:line="240" w:lineRule="auto" w:before="2"/>
        <w:rPr>
          <w:rFonts w:ascii="宋体" w:hAnsi="宋体" w:cs="宋体" w:eastAsia="宋体" w:hint="default"/>
          <w:sz w:val="23"/>
          <w:szCs w:val="23"/>
        </w:rPr>
      </w:pPr>
    </w:p>
    <w:tbl>
      <w:tblPr>
        <w:tblW w:w="0" w:type="auto"/>
        <w:jc w:val="left"/>
        <w:tblInd w:w="721" w:type="dxa"/>
        <w:tblLayout w:type="fixed"/>
        <w:tblCellMar>
          <w:top w:w="0" w:type="dxa"/>
          <w:left w:w="0" w:type="dxa"/>
          <w:bottom w:w="0" w:type="dxa"/>
          <w:right w:w="0" w:type="dxa"/>
        </w:tblCellMar>
        <w:tblLook w:val="01E0"/>
      </w:tblPr>
      <w:tblGrid>
        <w:gridCol w:w="2170"/>
        <w:gridCol w:w="1435"/>
        <w:gridCol w:w="984"/>
        <w:gridCol w:w="1310"/>
        <w:gridCol w:w="1313"/>
        <w:gridCol w:w="1404"/>
      </w:tblGrid>
      <w:tr>
        <w:trPr>
          <w:trHeight w:val="283" w:hRule="exact"/>
        </w:trPr>
        <w:tc>
          <w:tcPr>
            <w:tcW w:w="2170"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6447"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2170" w:type="dxa"/>
            <w:vMerge/>
            <w:tcBorders>
              <w:left w:val="nil" w:sz="6" w:space="0" w:color="auto"/>
              <w:right w:val="dotted" w:sz="4" w:space="0" w:color="000000"/>
            </w:tcBorders>
          </w:tcPr>
          <w:p>
            <w:pPr/>
          </w:p>
        </w:tc>
        <w:tc>
          <w:tcPr>
            <w:tcW w:w="242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62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404" w:type="dxa"/>
            <w:vMerge w:val="restart"/>
            <w:tcBorders>
              <w:top w:val="dotted" w:sz="4" w:space="0" w:color="000000"/>
              <w:left w:val="dotted" w:sz="4" w:space="0" w:color="000000"/>
              <w:right w:val="nil" w:sz="6" w:space="0" w:color="auto"/>
            </w:tcBorders>
          </w:tcPr>
          <w:p>
            <w:pPr>
              <w:pStyle w:val="TableParagraph"/>
              <w:spacing w:line="240" w:lineRule="auto" w:before="139"/>
              <w:ind w:left="376"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74" w:hRule="exact"/>
        </w:trPr>
        <w:tc>
          <w:tcPr>
            <w:tcW w:w="2170" w:type="dxa"/>
            <w:vMerge/>
            <w:tcBorders>
              <w:left w:val="nil" w:sz="6" w:space="0" w:color="auto"/>
              <w:bottom w:val="dotted" w:sz="4" w:space="0" w:color="000000"/>
              <w:right w:val="dotted" w:sz="4" w:space="0" w:color="000000"/>
            </w:tcBorders>
          </w:tcPr>
          <w:p>
            <w:pPr/>
          </w:p>
        </w:tc>
        <w:tc>
          <w:tcPr>
            <w:tcW w:w="14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9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5"/>
              <w:jc w:val="right"/>
              <w:rPr>
                <w:rFonts w:ascii="宋体" w:hAnsi="宋体" w:cs="宋体" w:eastAsia="宋体"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03"/>
              <w:jc w:val="right"/>
              <w:rPr>
                <w:rFonts w:ascii="宋体" w:hAnsi="宋体" w:cs="宋体" w:eastAsia="宋体" w:hint="default"/>
                <w:sz w:val="16"/>
                <w:szCs w:val="16"/>
              </w:rPr>
            </w:pPr>
            <w:r>
              <w:rPr>
                <w:rFonts w:ascii="宋体" w:hAnsi="宋体" w:cs="宋体" w:eastAsia="宋体" w:hint="default"/>
                <w:spacing w:val="-1"/>
                <w:sz w:val="16"/>
                <w:szCs w:val="16"/>
              </w:rPr>
              <w:t>计提比例（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404" w:type="dxa"/>
            <w:vMerge/>
            <w:tcBorders>
              <w:left w:val="dotted" w:sz="4" w:space="0" w:color="000000"/>
              <w:bottom w:val="dotted" w:sz="4" w:space="0" w:color="000000"/>
              <w:right w:val="nil" w:sz="6" w:space="0" w:color="auto"/>
            </w:tcBorders>
          </w:tcPr>
          <w:p>
            <w:pPr/>
          </w:p>
        </w:tc>
      </w:tr>
      <w:tr>
        <w:trPr>
          <w:trHeight w:val="482"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18"/>
              <w:jc w:val="left"/>
              <w:rPr>
                <w:rFonts w:ascii="宋体" w:hAnsi="宋体" w:cs="宋体" w:eastAsia="宋体" w:hint="default"/>
                <w:sz w:val="16"/>
                <w:szCs w:val="16"/>
              </w:rPr>
            </w:pPr>
            <w:r>
              <w:rPr>
                <w:rFonts w:ascii="宋体" w:hAnsi="宋体" w:cs="宋体" w:eastAsia="宋体" w:hint="default"/>
                <w:spacing w:val="-1"/>
                <w:sz w:val="16"/>
                <w:szCs w:val="16"/>
              </w:rPr>
              <w:t>单项金额重大并单独计提坏</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账准备的其他应收款项</w:t>
            </w:r>
          </w:p>
        </w:tc>
        <w:tc>
          <w:tcPr>
            <w:tcW w:w="14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4,583,849.40</w:t>
            </w:r>
          </w:p>
        </w:tc>
        <w:tc>
          <w:tcPr>
            <w:tcW w:w="9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0.93</w:t>
            </w: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4,583,849.40</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40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17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122" w:right="118"/>
              <w:jc w:val="left"/>
              <w:rPr>
                <w:rFonts w:ascii="宋体" w:hAnsi="宋体" w:cs="宋体" w:eastAsia="宋体" w:hint="default"/>
                <w:sz w:val="16"/>
                <w:szCs w:val="16"/>
              </w:rPr>
            </w:pPr>
            <w:r>
              <w:rPr>
                <w:rFonts w:ascii="宋体" w:hAnsi="宋体" w:cs="宋体" w:eastAsia="宋体" w:hint="default"/>
                <w:spacing w:val="-1"/>
                <w:sz w:val="16"/>
                <w:szCs w:val="16"/>
              </w:rPr>
              <w:t>按信用风险特征组合计提坏</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账准备的其他应收款项</w:t>
            </w:r>
          </w:p>
        </w:tc>
        <w:tc>
          <w:tcPr>
            <w:tcW w:w="14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485,686,487.51</w:t>
            </w:r>
          </w:p>
        </w:tc>
        <w:tc>
          <w:tcPr>
            <w:tcW w:w="9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98.84</w:t>
            </w:r>
          </w:p>
        </w:tc>
        <w:tc>
          <w:tcPr>
            <w:tcW w:w="13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62,504,744.05</w:t>
            </w:r>
          </w:p>
        </w:tc>
        <w:tc>
          <w:tcPr>
            <w:tcW w:w="13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12.87</w:t>
            </w:r>
          </w:p>
        </w:tc>
        <w:tc>
          <w:tcPr>
            <w:tcW w:w="14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90" w:right="0"/>
              <w:jc w:val="left"/>
              <w:rPr>
                <w:rFonts w:ascii="Times New Roman" w:hAnsi="Times New Roman" w:cs="Times New Roman" w:eastAsia="Times New Roman" w:hint="default"/>
                <w:sz w:val="16"/>
                <w:szCs w:val="16"/>
              </w:rPr>
            </w:pPr>
            <w:r>
              <w:rPr>
                <w:rFonts w:ascii="Times New Roman"/>
                <w:sz w:val="16"/>
              </w:rPr>
              <w:t>423,181,743.46</w:t>
            </w:r>
          </w:p>
        </w:tc>
      </w:tr>
    </w:tbl>
    <w:p>
      <w:pPr>
        <w:spacing w:after="0" w:line="240" w:lineRule="auto"/>
        <w:jc w:val="lef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7"/>
        <w:rPr>
          <w:rFonts w:ascii="宋体" w:hAnsi="宋体" w:cs="宋体" w:eastAsia="宋体" w:hint="default"/>
          <w:sz w:val="18"/>
          <w:szCs w:val="18"/>
        </w:rPr>
      </w:pPr>
    </w:p>
    <w:tbl>
      <w:tblPr>
        <w:tblW w:w="0" w:type="auto"/>
        <w:jc w:val="left"/>
        <w:tblInd w:w="721" w:type="dxa"/>
        <w:tblLayout w:type="fixed"/>
        <w:tblCellMar>
          <w:top w:w="0" w:type="dxa"/>
          <w:left w:w="0" w:type="dxa"/>
          <w:bottom w:w="0" w:type="dxa"/>
          <w:right w:w="0" w:type="dxa"/>
        </w:tblCellMar>
        <w:tblLook w:val="01E0"/>
      </w:tblPr>
      <w:tblGrid>
        <w:gridCol w:w="2170"/>
        <w:gridCol w:w="1435"/>
        <w:gridCol w:w="984"/>
        <w:gridCol w:w="1310"/>
        <w:gridCol w:w="1313"/>
        <w:gridCol w:w="1404"/>
      </w:tblGrid>
      <w:tr>
        <w:trPr>
          <w:trHeight w:val="284" w:hRule="exact"/>
        </w:trPr>
        <w:tc>
          <w:tcPr>
            <w:tcW w:w="2170"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6447"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2170" w:type="dxa"/>
            <w:vMerge/>
            <w:tcBorders>
              <w:left w:val="nil" w:sz="6" w:space="0" w:color="auto"/>
              <w:right w:val="dotted" w:sz="4" w:space="0" w:color="000000"/>
            </w:tcBorders>
          </w:tcPr>
          <w:p>
            <w:pPr/>
          </w:p>
        </w:tc>
        <w:tc>
          <w:tcPr>
            <w:tcW w:w="242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62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404" w:type="dxa"/>
            <w:vMerge w:val="restart"/>
            <w:tcBorders>
              <w:top w:val="dotted" w:sz="4" w:space="0" w:color="000000"/>
              <w:left w:val="dotted" w:sz="4" w:space="0" w:color="000000"/>
              <w:right w:val="nil" w:sz="6" w:space="0" w:color="auto"/>
            </w:tcBorders>
          </w:tcPr>
          <w:p>
            <w:pPr>
              <w:pStyle w:val="TableParagraph"/>
              <w:spacing w:line="240" w:lineRule="auto" w:before="139"/>
              <w:ind w:left="376"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74" w:hRule="exact"/>
        </w:trPr>
        <w:tc>
          <w:tcPr>
            <w:tcW w:w="2170" w:type="dxa"/>
            <w:vMerge/>
            <w:tcBorders>
              <w:left w:val="nil" w:sz="6" w:space="0" w:color="auto"/>
              <w:bottom w:val="dotted" w:sz="4" w:space="0" w:color="000000"/>
              <w:right w:val="dotted" w:sz="4" w:space="0" w:color="000000"/>
            </w:tcBorders>
          </w:tcPr>
          <w:p>
            <w:pPr/>
          </w:p>
        </w:tc>
        <w:tc>
          <w:tcPr>
            <w:tcW w:w="14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9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5"/>
              <w:jc w:val="right"/>
              <w:rPr>
                <w:rFonts w:ascii="宋体" w:hAnsi="宋体" w:cs="宋体" w:eastAsia="宋体"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03"/>
              <w:jc w:val="right"/>
              <w:rPr>
                <w:rFonts w:ascii="宋体" w:hAnsi="宋体" w:cs="宋体" w:eastAsia="宋体" w:hint="default"/>
                <w:sz w:val="16"/>
                <w:szCs w:val="16"/>
              </w:rPr>
            </w:pPr>
            <w:r>
              <w:rPr>
                <w:rFonts w:ascii="宋体" w:hAnsi="宋体" w:cs="宋体" w:eastAsia="宋体" w:hint="default"/>
                <w:spacing w:val="-1"/>
                <w:sz w:val="16"/>
                <w:szCs w:val="16"/>
              </w:rPr>
              <w:t>计提比例（</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p>
        </w:tc>
        <w:tc>
          <w:tcPr>
            <w:tcW w:w="1404" w:type="dxa"/>
            <w:vMerge/>
            <w:tcBorders>
              <w:left w:val="dotted" w:sz="4" w:space="0" w:color="000000"/>
              <w:bottom w:val="dotted" w:sz="4" w:space="0" w:color="000000"/>
              <w:right w:val="nil" w:sz="6" w:space="0" w:color="auto"/>
            </w:tcBorders>
          </w:tcPr>
          <w:p>
            <w:pPr/>
          </w:p>
        </w:tc>
      </w:tr>
      <w:tr>
        <w:trPr>
          <w:trHeight w:val="480"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18"/>
              <w:jc w:val="left"/>
              <w:rPr>
                <w:rFonts w:ascii="宋体" w:hAnsi="宋体" w:cs="宋体" w:eastAsia="宋体" w:hint="default"/>
                <w:sz w:val="16"/>
                <w:szCs w:val="16"/>
              </w:rPr>
            </w:pPr>
            <w:r>
              <w:rPr>
                <w:rFonts w:ascii="宋体" w:hAnsi="宋体" w:cs="宋体" w:eastAsia="宋体" w:hint="default"/>
                <w:spacing w:val="-1"/>
                <w:sz w:val="16"/>
                <w:szCs w:val="16"/>
              </w:rPr>
              <w:t>单项金额不重大但单独计提</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坏账准备的其他应收款项</w:t>
            </w:r>
          </w:p>
        </w:tc>
        <w:tc>
          <w:tcPr>
            <w:tcW w:w="14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1,123,743.23</w:t>
            </w:r>
          </w:p>
        </w:tc>
        <w:tc>
          <w:tcPr>
            <w:tcW w:w="9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0.23</w:t>
            </w: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1,123,743.23</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404"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21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491,394,080.14</w:t>
            </w:r>
          </w:p>
        </w:tc>
        <w:tc>
          <w:tcPr>
            <w:tcW w:w="9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3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2"/>
                <w:sz w:val="16"/>
              </w:rPr>
              <w:t>68,212,336.68</w:t>
            </w:r>
          </w:p>
        </w:tc>
        <w:tc>
          <w:tcPr>
            <w:tcW w:w="1313" w:type="dxa"/>
            <w:tcBorders>
              <w:top w:val="dotted" w:sz="4" w:space="0" w:color="000000"/>
              <w:left w:val="dotted" w:sz="4" w:space="0" w:color="000000"/>
              <w:bottom w:val="single" w:sz="12" w:space="0" w:color="000000"/>
              <w:right w:val="dotted" w:sz="4" w:space="0" w:color="000000"/>
            </w:tcBorders>
          </w:tcPr>
          <w:p>
            <w:pPr/>
          </w:p>
        </w:tc>
        <w:tc>
          <w:tcPr>
            <w:tcW w:w="14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left="290" w:right="0"/>
              <w:jc w:val="left"/>
              <w:rPr>
                <w:rFonts w:ascii="Times New Roman" w:hAnsi="Times New Roman" w:cs="Times New Roman" w:eastAsia="Times New Roman" w:hint="default"/>
                <w:sz w:val="16"/>
                <w:szCs w:val="16"/>
              </w:rPr>
            </w:pPr>
            <w:r>
              <w:rPr>
                <w:rFonts w:ascii="Times New Roman"/>
                <w:sz w:val="16"/>
              </w:rPr>
              <w:t>423,181,743.46</w:t>
            </w:r>
          </w:p>
        </w:tc>
      </w:tr>
    </w:tbl>
    <w:p>
      <w:pPr>
        <w:spacing w:line="240" w:lineRule="auto" w:before="5"/>
        <w:rPr>
          <w:rFonts w:ascii="宋体" w:hAnsi="宋体" w:cs="宋体" w:eastAsia="宋体" w:hint="default"/>
          <w:sz w:val="26"/>
          <w:szCs w:val="26"/>
        </w:rPr>
      </w:pPr>
    </w:p>
    <w:p>
      <w:pPr>
        <w:pStyle w:val="BodyText"/>
        <w:spacing w:line="240" w:lineRule="auto"/>
        <w:ind w:right="3683"/>
        <w:jc w:val="left"/>
      </w:pPr>
      <w:r>
        <w:rPr/>
        <w:t>按单项计提坏账准备：</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1757"/>
        <w:gridCol w:w="1270"/>
        <w:gridCol w:w="1721"/>
        <w:gridCol w:w="1733"/>
        <w:gridCol w:w="1724"/>
      </w:tblGrid>
      <w:tr>
        <w:trPr>
          <w:trHeight w:val="305" w:hRule="exact"/>
        </w:trPr>
        <w:tc>
          <w:tcPr>
            <w:tcW w:w="1757"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644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4"/>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293" w:hRule="exact"/>
        </w:trPr>
        <w:tc>
          <w:tcPr>
            <w:tcW w:w="1757" w:type="dxa"/>
            <w:vMerge/>
            <w:tcBorders>
              <w:left w:val="nil" w:sz="6" w:space="0" w:color="auto"/>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309"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32"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311" w:right="0"/>
              <w:jc w:val="left"/>
              <w:rPr>
                <w:rFonts w:ascii="宋体" w:hAnsi="宋体" w:cs="宋体" w:eastAsia="宋体" w:hint="default"/>
                <w:sz w:val="16"/>
                <w:szCs w:val="16"/>
              </w:rPr>
            </w:pPr>
            <w:r>
              <w:rPr>
                <w:rFonts w:ascii="宋体" w:hAnsi="宋体" w:cs="宋体" w:eastAsia="宋体" w:hint="default"/>
                <w:sz w:val="16"/>
                <w:szCs w:val="16"/>
              </w:rPr>
              <w:t>计提比例（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7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539"/>
              <w:jc w:val="right"/>
              <w:rPr>
                <w:rFonts w:ascii="宋体" w:hAnsi="宋体" w:cs="宋体" w:eastAsia="宋体" w:hint="default"/>
                <w:sz w:val="16"/>
                <w:szCs w:val="16"/>
              </w:rPr>
            </w:pPr>
            <w:r>
              <w:rPr>
                <w:rFonts w:ascii="宋体" w:hAnsi="宋体" w:cs="宋体" w:eastAsia="宋体" w:hint="default"/>
                <w:sz w:val="16"/>
                <w:szCs w:val="16"/>
              </w:rPr>
              <w:t>计提理由</w:t>
            </w:r>
          </w:p>
        </w:tc>
      </w:tr>
      <w:tr>
        <w:trPr>
          <w:trHeight w:val="48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185"/>
              <w:jc w:val="left"/>
              <w:rPr>
                <w:rFonts w:ascii="宋体" w:hAnsi="宋体" w:cs="宋体" w:eastAsia="宋体" w:hint="default"/>
                <w:sz w:val="16"/>
                <w:szCs w:val="16"/>
              </w:rPr>
            </w:pPr>
            <w:r>
              <w:rPr>
                <w:rFonts w:ascii="宋体" w:hAnsi="宋体" w:cs="宋体" w:eastAsia="宋体" w:hint="default"/>
                <w:sz w:val="16"/>
                <w:szCs w:val="16"/>
              </w:rPr>
              <w:t>北京科迪迅通科技有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4,583,849.40</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4,583,849.40</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7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90"/>
              <w:jc w:val="right"/>
              <w:rPr>
                <w:rFonts w:ascii="宋体" w:hAnsi="宋体" w:cs="宋体" w:eastAsia="宋体" w:hint="default"/>
                <w:sz w:val="16"/>
                <w:szCs w:val="16"/>
              </w:rPr>
            </w:pPr>
            <w:r>
              <w:rPr>
                <w:rFonts w:ascii="宋体" w:hAnsi="宋体" w:cs="宋体" w:eastAsia="宋体" w:hint="default"/>
                <w:spacing w:val="-1"/>
                <w:sz w:val="16"/>
                <w:szCs w:val="16"/>
              </w:rPr>
              <w:t>收回可能性极小</w:t>
            </w:r>
          </w:p>
        </w:tc>
      </w:tr>
      <w:tr>
        <w:trPr>
          <w:trHeight w:val="48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25"/>
              <w:jc w:val="left"/>
              <w:rPr>
                <w:rFonts w:ascii="宋体" w:hAnsi="宋体" w:cs="宋体" w:eastAsia="宋体" w:hint="default"/>
                <w:sz w:val="16"/>
                <w:szCs w:val="16"/>
              </w:rPr>
            </w:pPr>
            <w:r>
              <w:rPr>
                <w:rFonts w:ascii="宋体" w:hAnsi="宋体" w:cs="宋体" w:eastAsia="宋体" w:hint="default"/>
                <w:spacing w:val="-1"/>
                <w:sz w:val="16"/>
                <w:szCs w:val="16"/>
              </w:rPr>
              <w:t>瀚斯宝丽商贸（上海）</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有限公司</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649,592.77</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649,592.77</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7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90"/>
              <w:jc w:val="right"/>
              <w:rPr>
                <w:rFonts w:ascii="宋体" w:hAnsi="宋体" w:cs="宋体" w:eastAsia="宋体" w:hint="default"/>
                <w:sz w:val="16"/>
                <w:szCs w:val="16"/>
              </w:rPr>
            </w:pPr>
            <w:r>
              <w:rPr>
                <w:rFonts w:ascii="宋体" w:hAnsi="宋体" w:cs="宋体" w:eastAsia="宋体" w:hint="default"/>
                <w:spacing w:val="-1"/>
                <w:sz w:val="16"/>
                <w:szCs w:val="16"/>
              </w:rPr>
              <w:t>收回可能性极小</w:t>
            </w:r>
          </w:p>
        </w:tc>
      </w:tr>
      <w:tr>
        <w:trPr>
          <w:trHeight w:val="483"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185"/>
              <w:jc w:val="left"/>
              <w:rPr>
                <w:rFonts w:ascii="宋体" w:hAnsi="宋体" w:cs="宋体" w:eastAsia="宋体" w:hint="default"/>
                <w:sz w:val="16"/>
                <w:szCs w:val="16"/>
              </w:rPr>
            </w:pPr>
            <w:r>
              <w:rPr>
                <w:rFonts w:ascii="宋体" w:hAnsi="宋体" w:cs="宋体" w:eastAsia="宋体" w:hint="default"/>
                <w:sz w:val="16"/>
                <w:szCs w:val="16"/>
              </w:rPr>
              <w:t>深圳市华鹏飞运输有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249,737.00</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249,737.00</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7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490"/>
              <w:jc w:val="right"/>
              <w:rPr>
                <w:rFonts w:ascii="宋体" w:hAnsi="宋体" w:cs="宋体" w:eastAsia="宋体" w:hint="default"/>
                <w:sz w:val="16"/>
                <w:szCs w:val="16"/>
              </w:rPr>
            </w:pPr>
            <w:r>
              <w:rPr>
                <w:rFonts w:ascii="宋体" w:hAnsi="宋体" w:cs="宋体" w:eastAsia="宋体" w:hint="default"/>
                <w:spacing w:val="-1"/>
                <w:sz w:val="16"/>
                <w:szCs w:val="16"/>
              </w:rPr>
              <w:t>收回可能性极小</w:t>
            </w:r>
          </w:p>
        </w:tc>
      </w:tr>
      <w:tr>
        <w:trPr>
          <w:trHeight w:val="293"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其他小额单位款项</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1"/>
                <w:sz w:val="16"/>
              </w:rPr>
              <w:t>224,413.46</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224,413.46</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7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490"/>
              <w:jc w:val="right"/>
              <w:rPr>
                <w:rFonts w:ascii="宋体" w:hAnsi="宋体" w:cs="宋体" w:eastAsia="宋体" w:hint="default"/>
                <w:sz w:val="16"/>
                <w:szCs w:val="16"/>
              </w:rPr>
            </w:pPr>
            <w:r>
              <w:rPr>
                <w:rFonts w:ascii="宋体" w:hAnsi="宋体" w:cs="宋体" w:eastAsia="宋体" w:hint="default"/>
                <w:spacing w:val="-1"/>
                <w:sz w:val="16"/>
                <w:szCs w:val="16"/>
              </w:rPr>
              <w:t>收回可能性极小</w:t>
            </w:r>
          </w:p>
        </w:tc>
      </w:tr>
      <w:tr>
        <w:trPr>
          <w:trHeight w:val="305" w:hRule="exact"/>
        </w:trPr>
        <w:tc>
          <w:tcPr>
            <w:tcW w:w="17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1"/>
                <w:sz w:val="16"/>
              </w:rPr>
              <w:t>5,707,592.63</w:t>
            </w:r>
          </w:p>
        </w:tc>
        <w:tc>
          <w:tcPr>
            <w:tcW w:w="17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5,707,592.63</w:t>
            </w:r>
          </w:p>
        </w:tc>
        <w:tc>
          <w:tcPr>
            <w:tcW w:w="1733" w:type="dxa"/>
            <w:tcBorders>
              <w:top w:val="dotted" w:sz="4" w:space="0" w:color="000000"/>
              <w:left w:val="dotted" w:sz="4" w:space="0" w:color="000000"/>
              <w:bottom w:val="single" w:sz="12" w:space="0" w:color="000000"/>
              <w:right w:val="dotted" w:sz="4" w:space="0" w:color="000000"/>
            </w:tcBorders>
          </w:tcPr>
          <w:p>
            <w:pPr/>
          </w:p>
        </w:tc>
        <w:tc>
          <w:tcPr>
            <w:tcW w:w="172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6"/>
          <w:szCs w:val="26"/>
        </w:rPr>
      </w:pPr>
    </w:p>
    <w:p>
      <w:pPr>
        <w:pStyle w:val="BodyText"/>
        <w:spacing w:line="348" w:lineRule="auto"/>
        <w:ind w:right="6448"/>
        <w:jc w:val="left"/>
      </w:pPr>
      <w:r>
        <w:rPr/>
        <w:pict>
          <v:shape style="position:absolute;margin-left:119.059998pt;margin-top:36.983681pt;width:412.4pt;height:173.1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9"/>
                    <w:gridCol w:w="2014"/>
                    <w:gridCol w:w="2016"/>
                    <w:gridCol w:w="2026"/>
                  </w:tblGrid>
                  <w:tr>
                    <w:trPr>
                      <w:trHeight w:val="305" w:hRule="exact"/>
                    </w:trPr>
                    <w:tc>
                      <w:tcPr>
                        <w:tcW w:w="2149"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6056"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4"/>
                          <w:ind w:right="5"/>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293" w:hRule="exact"/>
                    </w:trPr>
                    <w:tc>
                      <w:tcPr>
                        <w:tcW w:w="2149" w:type="dxa"/>
                        <w:vMerge/>
                        <w:tcBorders>
                          <w:left w:val="nil" w:sz="6" w:space="0" w:color="auto"/>
                          <w:bottom w:val="dotted" w:sz="4" w:space="0" w:color="000000"/>
                          <w:right w:val="dotted" w:sz="4" w:space="0" w:color="000000"/>
                        </w:tcBorders>
                      </w:tcPr>
                      <w:p>
                        <w:pP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left="520" w:right="0"/>
                          <w:jc w:val="left"/>
                          <w:rPr>
                            <w:rFonts w:ascii="宋体" w:hAnsi="宋体" w:cs="宋体" w:eastAsia="宋体" w:hint="default"/>
                            <w:sz w:val="16"/>
                            <w:szCs w:val="16"/>
                          </w:rPr>
                        </w:pPr>
                        <w:r>
                          <w:rPr>
                            <w:rFonts w:ascii="宋体" w:hAnsi="宋体" w:cs="宋体" w:eastAsia="宋体" w:hint="default"/>
                            <w:sz w:val="16"/>
                            <w:szCs w:val="16"/>
                          </w:rPr>
                          <w:t>其他应收款项</w:t>
                        </w:r>
                      </w:p>
                    </w:tc>
                    <w:tc>
                      <w:tcPr>
                        <w:tcW w:w="2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458" w:right="0"/>
                          <w:jc w:val="left"/>
                          <w:rPr>
                            <w:rFonts w:ascii="宋体" w:hAnsi="宋体" w:cs="宋体" w:eastAsia="宋体" w:hint="default"/>
                            <w:sz w:val="16"/>
                            <w:szCs w:val="16"/>
                          </w:rPr>
                        </w:pPr>
                        <w:r>
                          <w:rPr>
                            <w:rFonts w:ascii="宋体" w:hAnsi="宋体" w:cs="宋体" w:eastAsia="宋体" w:hint="default"/>
                            <w:sz w:val="16"/>
                            <w:szCs w:val="16"/>
                          </w:rPr>
                          <w:t>计提比例（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480" w:hRule="exact"/>
                    </w:trPr>
                    <w:tc>
                      <w:tcPr>
                        <w:tcW w:w="2149"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257"/>
                          <w:jc w:val="left"/>
                          <w:rPr>
                            <w:rFonts w:ascii="宋体" w:hAnsi="宋体" w:cs="宋体" w:eastAsia="宋体" w:hint="default"/>
                            <w:sz w:val="16"/>
                            <w:szCs w:val="16"/>
                          </w:rPr>
                        </w:pPr>
                        <w:r>
                          <w:rPr>
                            <w:rFonts w:ascii="宋体" w:hAnsi="宋体" w:cs="宋体" w:eastAsia="宋体" w:hint="default"/>
                            <w:spacing w:val="-1"/>
                            <w:sz w:val="16"/>
                            <w:szCs w:val="16"/>
                          </w:rPr>
                          <w:t>在合同规定的收款账期内</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的应收款项组合</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1,063,878,112.85</w:t>
                        </w:r>
                      </w:p>
                    </w:tc>
                    <w:tc>
                      <w:tcPr>
                        <w:tcW w:w="2016" w:type="dxa"/>
                        <w:tcBorders>
                          <w:top w:val="dotted" w:sz="4" w:space="0" w:color="000000"/>
                          <w:left w:val="dotted" w:sz="4" w:space="0" w:color="000000"/>
                          <w:bottom w:val="dotted" w:sz="4" w:space="0" w:color="000000"/>
                          <w:right w:val="dotted" w:sz="4" w:space="0" w:color="000000"/>
                        </w:tcBorders>
                      </w:tcPr>
                      <w:p>
                        <w:pPr/>
                      </w:p>
                    </w:tc>
                    <w:tc>
                      <w:tcPr>
                        <w:tcW w:w="2026"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2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1"/>
                          <w:jc w:val="right"/>
                          <w:rPr>
                            <w:rFonts w:ascii="Times New Roman" w:hAnsi="Times New Roman" w:cs="Times New Roman" w:eastAsia="Times New Roman" w:hint="default"/>
                            <w:sz w:val="16"/>
                            <w:szCs w:val="16"/>
                          </w:rPr>
                        </w:pPr>
                        <w:r>
                          <w:rPr>
                            <w:rFonts w:ascii="Times New Roman"/>
                            <w:spacing w:val="-1"/>
                            <w:sz w:val="16"/>
                          </w:rPr>
                          <w:t>5,948,979.49</w:t>
                        </w:r>
                      </w:p>
                    </w:tc>
                    <w:tc>
                      <w:tcPr>
                        <w:tcW w:w="2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2,435,022.29</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6"/>
                            <w:szCs w:val="16"/>
                          </w:rPr>
                        </w:pPr>
                        <w:r>
                          <w:rPr>
                            <w:rFonts w:ascii="Times New Roman"/>
                            <w:spacing w:val="-1"/>
                            <w:sz w:val="16"/>
                          </w:rPr>
                          <w:t>40.93</w:t>
                        </w:r>
                      </w:p>
                    </w:tc>
                  </w:tr>
                  <w:tr>
                    <w:trPr>
                      <w:trHeight w:val="293" w:hRule="exact"/>
                    </w:trPr>
                    <w:tc>
                      <w:tcPr>
                        <w:tcW w:w="2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其中：</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1"/>
                          <w:jc w:val="right"/>
                          <w:rPr>
                            <w:rFonts w:ascii="Times New Roman" w:hAnsi="Times New Roman" w:cs="Times New Roman" w:eastAsia="Times New Roman" w:hint="default"/>
                            <w:sz w:val="16"/>
                            <w:szCs w:val="16"/>
                          </w:rPr>
                        </w:pPr>
                        <w:r>
                          <w:rPr>
                            <w:rFonts w:ascii="Times New Roman"/>
                            <w:spacing w:val="-1"/>
                            <w:sz w:val="16"/>
                          </w:rPr>
                          <w:t>2,667,766.62</w:t>
                        </w:r>
                      </w:p>
                    </w:tc>
                    <w:tc>
                      <w:tcPr>
                        <w:tcW w:w="2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2"/>
                          <w:jc w:val="right"/>
                          <w:rPr>
                            <w:rFonts w:ascii="Times New Roman" w:hAnsi="Times New Roman" w:cs="Times New Roman" w:eastAsia="Times New Roman" w:hint="default"/>
                            <w:sz w:val="16"/>
                            <w:szCs w:val="16"/>
                          </w:rPr>
                        </w:pPr>
                        <w:r>
                          <w:rPr>
                            <w:rFonts w:ascii="Times New Roman"/>
                            <w:spacing w:val="-1"/>
                            <w:sz w:val="16"/>
                          </w:rPr>
                          <w:t>133,388.33</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6"/>
                            <w:szCs w:val="16"/>
                          </w:rPr>
                        </w:pPr>
                        <w:r>
                          <w:rPr>
                            <w:rFonts w:ascii="Times New Roman"/>
                            <w:spacing w:val="-1"/>
                            <w:sz w:val="16"/>
                          </w:rPr>
                          <w:t>5.00</w:t>
                        </w:r>
                      </w:p>
                    </w:tc>
                  </w:tr>
                  <w:tr>
                    <w:trPr>
                      <w:trHeight w:val="295" w:hRule="exact"/>
                    </w:trPr>
                    <w:tc>
                      <w:tcPr>
                        <w:tcW w:w="2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938"/>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0"/>
                          <w:jc w:val="right"/>
                          <w:rPr>
                            <w:rFonts w:ascii="Times New Roman" w:hAnsi="Times New Roman" w:cs="Times New Roman" w:eastAsia="Times New Roman" w:hint="default"/>
                            <w:sz w:val="16"/>
                            <w:szCs w:val="16"/>
                          </w:rPr>
                        </w:pPr>
                        <w:r>
                          <w:rPr>
                            <w:rFonts w:ascii="Times New Roman"/>
                            <w:spacing w:val="-1"/>
                            <w:sz w:val="16"/>
                          </w:rPr>
                          <w:t>609,304.85</w:t>
                        </w:r>
                      </w:p>
                    </w:tc>
                    <w:tc>
                      <w:tcPr>
                        <w:tcW w:w="2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2"/>
                          <w:jc w:val="right"/>
                          <w:rPr>
                            <w:rFonts w:ascii="Times New Roman" w:hAnsi="Times New Roman" w:cs="Times New Roman" w:eastAsia="Times New Roman" w:hint="default"/>
                            <w:sz w:val="16"/>
                            <w:szCs w:val="16"/>
                          </w:rPr>
                        </w:pPr>
                        <w:r>
                          <w:rPr>
                            <w:rFonts w:ascii="Times New Roman"/>
                            <w:spacing w:val="-1"/>
                            <w:sz w:val="16"/>
                          </w:rPr>
                          <w:t>60,930.49</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6"/>
                            <w:szCs w:val="16"/>
                          </w:rPr>
                        </w:pPr>
                        <w:r>
                          <w:rPr>
                            <w:rFonts w:ascii="Times New Roman"/>
                            <w:spacing w:val="-1"/>
                            <w:sz w:val="16"/>
                          </w:rPr>
                          <w:t>10.00</w:t>
                        </w:r>
                      </w:p>
                    </w:tc>
                  </w:tr>
                  <w:tr>
                    <w:trPr>
                      <w:trHeight w:val="293" w:hRule="exact"/>
                    </w:trPr>
                    <w:tc>
                      <w:tcPr>
                        <w:tcW w:w="2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938"/>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1"/>
                            <w:sz w:val="16"/>
                          </w:rPr>
                          <w:t>512,766.71</w:t>
                        </w:r>
                      </w:p>
                    </w:tc>
                    <w:tc>
                      <w:tcPr>
                        <w:tcW w:w="2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spacing w:val="-1"/>
                            <w:sz w:val="16"/>
                          </w:rPr>
                          <w:t>153,830.01</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6"/>
                            <w:szCs w:val="16"/>
                          </w:rPr>
                        </w:pPr>
                        <w:r>
                          <w:rPr>
                            <w:rFonts w:ascii="Times New Roman"/>
                            <w:spacing w:val="-1"/>
                            <w:sz w:val="16"/>
                          </w:rPr>
                          <w:t>30.00</w:t>
                        </w:r>
                      </w:p>
                    </w:tc>
                  </w:tr>
                  <w:tr>
                    <w:trPr>
                      <w:trHeight w:val="293" w:hRule="exact"/>
                    </w:trPr>
                    <w:tc>
                      <w:tcPr>
                        <w:tcW w:w="2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938"/>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2"/>
                            <w:sz w:val="16"/>
                          </w:rPr>
                          <w:t>116,048.99</w:t>
                        </w:r>
                      </w:p>
                    </w:tc>
                    <w:tc>
                      <w:tcPr>
                        <w:tcW w:w="2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spacing w:val="-1"/>
                            <w:sz w:val="16"/>
                          </w:rPr>
                          <w:t>69,629.39</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6"/>
                            <w:szCs w:val="16"/>
                          </w:rPr>
                        </w:pPr>
                        <w:r>
                          <w:rPr>
                            <w:rFonts w:ascii="Times New Roman"/>
                            <w:spacing w:val="-1"/>
                            <w:sz w:val="16"/>
                          </w:rPr>
                          <w:t>60.00</w:t>
                        </w:r>
                      </w:p>
                    </w:tc>
                  </w:tr>
                  <w:tr>
                    <w:trPr>
                      <w:trHeight w:val="293" w:hRule="exact"/>
                    </w:trPr>
                    <w:tc>
                      <w:tcPr>
                        <w:tcW w:w="2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938"/>
                          <w:jc w:val="righ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1"/>
                            <w:sz w:val="16"/>
                          </w:rPr>
                          <w:t>129,241.26</w:t>
                        </w:r>
                      </w:p>
                    </w:tc>
                    <w:tc>
                      <w:tcPr>
                        <w:tcW w:w="2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spacing w:val="-1"/>
                            <w:sz w:val="16"/>
                          </w:rPr>
                          <w:t>103,393.01</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6"/>
                            <w:szCs w:val="16"/>
                          </w:rPr>
                        </w:pPr>
                        <w:r>
                          <w:rPr>
                            <w:rFonts w:ascii="Times New Roman"/>
                            <w:spacing w:val="-1"/>
                            <w:sz w:val="16"/>
                          </w:rPr>
                          <w:t>80.00</w:t>
                        </w:r>
                      </w:p>
                    </w:tc>
                  </w:tr>
                  <w:tr>
                    <w:trPr>
                      <w:trHeight w:val="293" w:hRule="exact"/>
                    </w:trPr>
                    <w:tc>
                      <w:tcPr>
                        <w:tcW w:w="2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937"/>
                          <w:jc w:val="righ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20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1,913,851.06</w:t>
                        </w:r>
                      </w:p>
                    </w:tc>
                    <w:tc>
                      <w:tcPr>
                        <w:tcW w:w="2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1,913,851.06</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6"/>
                            <w:szCs w:val="16"/>
                          </w:rPr>
                        </w:pPr>
                        <w:r>
                          <w:rPr>
                            <w:rFonts w:ascii="Times New Roman"/>
                            <w:spacing w:val="-1"/>
                            <w:sz w:val="16"/>
                          </w:rPr>
                          <w:t>100.00</w:t>
                        </w:r>
                      </w:p>
                    </w:tc>
                  </w:tr>
                  <w:tr>
                    <w:trPr>
                      <w:trHeight w:val="302" w:hRule="exact"/>
                    </w:trPr>
                    <w:tc>
                      <w:tcPr>
                        <w:tcW w:w="21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898"/>
                          <w:jc w:val="right"/>
                          <w:rPr>
                            <w:rFonts w:ascii="宋体" w:hAnsi="宋体" w:cs="宋体" w:eastAsia="宋体" w:hint="default"/>
                            <w:sz w:val="16"/>
                            <w:szCs w:val="16"/>
                          </w:rPr>
                        </w:pPr>
                        <w:r>
                          <w:rPr>
                            <w:rFonts w:ascii="宋体" w:hAnsi="宋体" w:cs="宋体" w:eastAsia="宋体" w:hint="default"/>
                            <w:sz w:val="16"/>
                            <w:szCs w:val="16"/>
                          </w:rPr>
                          <w:t>合计</w:t>
                        </w:r>
                      </w:p>
                    </w:tc>
                    <w:tc>
                      <w:tcPr>
                        <w:tcW w:w="20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1,069,827,092.34</w:t>
                        </w:r>
                      </w:p>
                    </w:tc>
                    <w:tc>
                      <w:tcPr>
                        <w:tcW w:w="20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2,435,022.29</w:t>
                        </w:r>
                      </w:p>
                    </w:tc>
                    <w:tc>
                      <w:tcPr>
                        <w:tcW w:w="2026"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spacing w:val="-2"/>
        </w:rPr>
        <w:t>按组合计提坏账准备：</w:t>
      </w:r>
      <w:r>
        <w:rPr>
          <w:spacing w:val="-85"/>
        </w:rPr>
        <w:t> </w:t>
      </w:r>
      <w:r>
        <w:rPr>
          <w:spacing w:val="-85"/>
        </w:rPr>
      </w:r>
      <w:r>
        <w:rPr/>
        <w:t>组合计提项目：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line="367" w:lineRule="auto" w:before="44"/>
        <w:ind w:left="1414" w:right="1792" w:firstLine="0"/>
        <w:jc w:val="both"/>
        <w:rPr>
          <w:rFonts w:ascii="宋体" w:hAnsi="宋体" w:cs="宋体" w:eastAsia="宋体" w:hint="default"/>
          <w:sz w:val="18"/>
          <w:szCs w:val="18"/>
        </w:rPr>
      </w:pPr>
      <w:r>
        <w:rPr>
          <w:rFonts w:ascii="宋体" w:hAnsi="宋体" w:cs="宋体" w:eastAsia="宋体" w:hint="default"/>
          <w:sz w:val="18"/>
          <w:szCs w:val="18"/>
        </w:rPr>
        <w:t>说明：公司将其他应收款按类似信用风险特征进行组合，划分为在合同规定的收款账期内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的其他应收款组合和账龄组合。在合同规定的收款账期内的其他应收款组合预期发生减值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损失的风险很低，坏账计提比例为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；账龄组合按以下比例计提坏账准备：</w:t>
      </w:r>
    </w:p>
    <w:p>
      <w:pPr>
        <w:spacing w:line="240" w:lineRule="auto" w:before="11"/>
        <w:rPr>
          <w:rFonts w:ascii="宋体" w:hAnsi="宋体" w:cs="宋体" w:eastAsia="宋体" w:hint="default"/>
          <w:sz w:val="14"/>
          <w:szCs w:val="14"/>
        </w:rPr>
      </w:pPr>
    </w:p>
    <w:tbl>
      <w:tblPr>
        <w:tblW w:w="0" w:type="auto"/>
        <w:jc w:val="left"/>
        <w:tblInd w:w="721" w:type="dxa"/>
        <w:tblLayout w:type="fixed"/>
        <w:tblCellMar>
          <w:top w:w="0" w:type="dxa"/>
          <w:left w:w="0" w:type="dxa"/>
          <w:bottom w:w="0" w:type="dxa"/>
          <w:right w:w="0" w:type="dxa"/>
        </w:tblCellMar>
        <w:tblLook w:val="01E0"/>
      </w:tblPr>
      <w:tblGrid>
        <w:gridCol w:w="4079"/>
        <w:gridCol w:w="4126"/>
      </w:tblGrid>
      <w:tr>
        <w:trPr>
          <w:trHeight w:val="302" w:hRule="exact"/>
        </w:trPr>
        <w:tc>
          <w:tcPr>
            <w:tcW w:w="40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left="21"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41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left="1216"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其他应收款计提比例</w:t>
            </w:r>
            <w:r>
              <w:rPr>
                <w:rFonts w:ascii="Times New Roman" w:hAnsi="Times New Roman" w:cs="Times New Roman" w:eastAsia="Times New Roman" w:hint="default"/>
                <w:sz w:val="16"/>
                <w:szCs w:val="16"/>
              </w:rPr>
              <w:t>(%)</w:t>
            </w:r>
          </w:p>
        </w:tc>
      </w:tr>
      <w:tr>
        <w:trPr>
          <w:trHeight w:val="293" w:hRule="exact"/>
        </w:trPr>
        <w:tc>
          <w:tcPr>
            <w:tcW w:w="4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年以内（含</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r>
          </w:p>
        </w:tc>
        <w:tc>
          <w:tcPr>
            <w:tcW w:w="41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6"/>
                <w:szCs w:val="16"/>
              </w:rPr>
            </w:pPr>
            <w:r>
              <w:rPr>
                <w:rFonts w:ascii="Times New Roman"/>
                <w:spacing w:val="-1"/>
                <w:sz w:val="16"/>
              </w:rPr>
              <w:t>5.00</w:t>
            </w:r>
          </w:p>
        </w:tc>
      </w:tr>
      <w:tr>
        <w:trPr>
          <w:trHeight w:val="293" w:hRule="exact"/>
        </w:trPr>
        <w:tc>
          <w:tcPr>
            <w:tcW w:w="4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1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1"/>
                <w:sz w:val="16"/>
              </w:rPr>
              <w:t>10.00</w:t>
            </w:r>
          </w:p>
        </w:tc>
      </w:tr>
      <w:tr>
        <w:trPr>
          <w:trHeight w:val="293" w:hRule="exact"/>
        </w:trPr>
        <w:tc>
          <w:tcPr>
            <w:tcW w:w="4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1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1"/>
                <w:sz w:val="16"/>
              </w:rPr>
              <w:t>30.00</w:t>
            </w:r>
          </w:p>
        </w:tc>
      </w:tr>
      <w:tr>
        <w:trPr>
          <w:trHeight w:val="293" w:hRule="exact"/>
        </w:trPr>
        <w:tc>
          <w:tcPr>
            <w:tcW w:w="4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1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1"/>
                <w:sz w:val="16"/>
              </w:rPr>
              <w:t>60.00</w:t>
            </w:r>
          </w:p>
        </w:tc>
      </w:tr>
      <w:tr>
        <w:trPr>
          <w:trHeight w:val="295" w:hRule="exact"/>
        </w:trPr>
        <w:tc>
          <w:tcPr>
            <w:tcW w:w="4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41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1"/>
                <w:sz w:val="16"/>
              </w:rPr>
              <w:t>80.00</w:t>
            </w:r>
          </w:p>
        </w:tc>
      </w:tr>
      <w:tr>
        <w:trPr>
          <w:trHeight w:val="302" w:hRule="exact"/>
        </w:trPr>
        <w:tc>
          <w:tcPr>
            <w:tcW w:w="40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41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6"/>
                <w:szCs w:val="16"/>
              </w:rPr>
            </w:pPr>
            <w:r>
              <w:rPr>
                <w:rFonts w:ascii="Times New Roman"/>
                <w:spacing w:val="-1"/>
                <w:sz w:val="16"/>
              </w:rPr>
              <w:t>100.00</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2"/>
        <w:rPr>
          <w:rFonts w:ascii="宋体" w:hAnsi="宋体" w:cs="宋体" w:eastAsia="宋体" w:hint="default"/>
          <w:sz w:val="22"/>
          <w:szCs w:val="22"/>
        </w:rPr>
      </w:pPr>
    </w:p>
    <w:p>
      <w:pPr>
        <w:pStyle w:val="BodyText"/>
        <w:spacing w:line="240" w:lineRule="auto"/>
        <w:ind w:right="3683"/>
        <w:jc w:val="left"/>
      </w:pPr>
      <w:r>
        <w:rPr/>
        <w:t>（</w:t>
      </w:r>
      <w:r>
        <w:rPr>
          <w:rFonts w:ascii="Times New Roman" w:hAnsi="Times New Roman" w:cs="Times New Roman" w:eastAsia="Times New Roman" w:hint="default"/>
        </w:rPr>
        <w:t>3</w:t>
      </w:r>
      <w:r>
        <w:rPr/>
        <w:t>）坏账准备计提情况</w:t>
      </w:r>
    </w:p>
    <w:tbl>
      <w:tblPr>
        <w:tblW w:w="0" w:type="auto"/>
        <w:jc w:val="left"/>
        <w:tblInd w:w="721" w:type="dxa"/>
        <w:tblLayout w:type="fixed"/>
        <w:tblCellMar>
          <w:top w:w="0" w:type="dxa"/>
          <w:left w:w="0" w:type="dxa"/>
          <w:bottom w:w="0" w:type="dxa"/>
          <w:right w:w="0" w:type="dxa"/>
        </w:tblCellMar>
        <w:tblLook w:val="01E0"/>
      </w:tblPr>
      <w:tblGrid>
        <w:gridCol w:w="1529"/>
        <w:gridCol w:w="1418"/>
        <w:gridCol w:w="1844"/>
        <w:gridCol w:w="1940"/>
        <w:gridCol w:w="1474"/>
      </w:tblGrid>
      <w:tr>
        <w:trPr>
          <w:trHeight w:val="305" w:hRule="exact"/>
        </w:trPr>
        <w:tc>
          <w:tcPr>
            <w:tcW w:w="1529"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4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left="381" w:right="0"/>
              <w:jc w:val="left"/>
              <w:rPr>
                <w:rFonts w:ascii="宋体" w:hAnsi="宋体" w:cs="宋体" w:eastAsia="宋体" w:hint="default"/>
                <w:sz w:val="16"/>
                <w:szCs w:val="16"/>
              </w:rPr>
            </w:pPr>
            <w:r>
              <w:rPr>
                <w:rFonts w:ascii="宋体" w:hAnsi="宋体" w:cs="宋体" w:eastAsia="宋体" w:hint="default"/>
                <w:sz w:val="16"/>
                <w:szCs w:val="16"/>
              </w:rPr>
              <w:t>第一阶段</w:t>
            </w:r>
          </w:p>
        </w:tc>
        <w:tc>
          <w:tcPr>
            <w:tcW w:w="18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left="592" w:right="0"/>
              <w:jc w:val="left"/>
              <w:rPr>
                <w:rFonts w:ascii="宋体" w:hAnsi="宋体" w:cs="宋体" w:eastAsia="宋体" w:hint="default"/>
                <w:sz w:val="16"/>
                <w:szCs w:val="16"/>
              </w:rPr>
            </w:pPr>
            <w:r>
              <w:rPr>
                <w:rFonts w:ascii="宋体" w:hAnsi="宋体" w:cs="宋体" w:eastAsia="宋体" w:hint="default"/>
                <w:sz w:val="16"/>
                <w:szCs w:val="16"/>
              </w:rPr>
              <w:t>第二阶段</w:t>
            </w:r>
          </w:p>
        </w:tc>
        <w:tc>
          <w:tcPr>
            <w:tcW w:w="19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left="640" w:right="0"/>
              <w:jc w:val="left"/>
              <w:rPr>
                <w:rFonts w:ascii="宋体" w:hAnsi="宋体" w:cs="宋体" w:eastAsia="宋体" w:hint="default"/>
                <w:sz w:val="16"/>
                <w:szCs w:val="16"/>
              </w:rPr>
            </w:pPr>
            <w:r>
              <w:rPr>
                <w:rFonts w:ascii="宋体" w:hAnsi="宋体" w:cs="宋体" w:eastAsia="宋体" w:hint="default"/>
                <w:sz w:val="16"/>
                <w:szCs w:val="16"/>
              </w:rPr>
              <w:t>第三阶段</w:t>
            </w:r>
          </w:p>
        </w:tc>
        <w:tc>
          <w:tcPr>
            <w:tcW w:w="1474" w:type="dxa"/>
            <w:vMerge w:val="restart"/>
            <w:tcBorders>
              <w:top w:val="single" w:sz="12" w:space="0" w:color="000000"/>
              <w:left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480" w:hRule="exact"/>
        </w:trPr>
        <w:tc>
          <w:tcPr>
            <w:tcW w:w="1529" w:type="dxa"/>
            <w:vMerge/>
            <w:tcBorders>
              <w:left w:val="nil" w:sz="6" w:space="0" w:color="auto"/>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381" w:right="101" w:hanging="279"/>
              <w:jc w:val="left"/>
              <w:rPr>
                <w:rFonts w:ascii="宋体" w:hAnsi="宋体" w:cs="宋体" w:eastAsia="宋体" w:hint="default"/>
                <w:sz w:val="16"/>
                <w:szCs w:val="16"/>
              </w:rPr>
            </w:pPr>
            <w:r>
              <w:rPr>
                <w:rFonts w:ascii="宋体" w:hAnsi="宋体" w:cs="宋体" w:eastAsia="宋体" w:hint="default"/>
                <w:sz w:val="16"/>
                <w:szCs w:val="16"/>
              </w:rPr>
              <w:t>未来</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个月预期</w:t>
            </w:r>
            <w:r>
              <w:rPr>
                <w:rFonts w:ascii="宋体" w:hAnsi="宋体" w:cs="宋体" w:eastAsia="宋体" w:hint="default"/>
                <w:w w:val="100"/>
                <w:sz w:val="16"/>
                <w:szCs w:val="16"/>
              </w:rPr>
              <w:t> </w:t>
            </w:r>
            <w:r>
              <w:rPr>
                <w:rFonts w:ascii="宋体" w:hAnsi="宋体" w:cs="宋体" w:eastAsia="宋体" w:hint="default"/>
                <w:sz w:val="16"/>
                <w:szCs w:val="16"/>
              </w:rPr>
              <w:t>信用损失</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220" w:right="116" w:hanging="108"/>
              <w:jc w:val="left"/>
              <w:rPr>
                <w:rFonts w:ascii="Times New Roman" w:hAnsi="Times New Roman" w:cs="Times New Roman" w:eastAsia="Times New Roman" w:hint="default"/>
                <w:sz w:val="16"/>
                <w:szCs w:val="16"/>
              </w:rPr>
            </w:pPr>
            <w:r>
              <w:rPr>
                <w:rFonts w:ascii="宋体" w:hAnsi="宋体" w:cs="宋体" w:eastAsia="宋体" w:hint="default"/>
                <w:sz w:val="16"/>
                <w:szCs w:val="16"/>
              </w:rPr>
              <w:t>整个存续期预期信用损</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失</w:t>
            </w:r>
            <w:r>
              <w:rPr>
                <w:rFonts w:ascii="Times New Roman" w:hAnsi="Times New Roman" w:cs="Times New Roman" w:eastAsia="Times New Roman" w:hint="default"/>
                <w:sz w:val="16"/>
                <w:szCs w:val="16"/>
              </w:rPr>
              <w:t>(</w:t>
            </w:r>
            <w:r>
              <w:rPr>
                <w:rFonts w:ascii="宋体" w:hAnsi="宋体" w:cs="宋体" w:eastAsia="宋体" w:hint="default"/>
                <w:sz w:val="16"/>
                <w:szCs w:val="16"/>
              </w:rPr>
              <w:t>未发生信用减值</w:t>
            </w:r>
            <w:r>
              <w:rPr>
                <w:rFonts w:ascii="Times New Roman" w:hAnsi="Times New Roman" w:cs="Times New Roman" w:eastAsia="Times New Roman" w:hint="default"/>
                <w:sz w:val="16"/>
                <w:szCs w:val="16"/>
              </w:rPr>
              <w:t>)</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24"/>
              <w:ind w:left="268" w:right="164" w:hanging="108"/>
              <w:jc w:val="left"/>
              <w:rPr>
                <w:rFonts w:ascii="Times New Roman" w:hAnsi="Times New Roman" w:cs="Times New Roman" w:eastAsia="Times New Roman" w:hint="default"/>
                <w:sz w:val="16"/>
                <w:szCs w:val="16"/>
              </w:rPr>
            </w:pPr>
            <w:r>
              <w:rPr>
                <w:rFonts w:ascii="宋体" w:hAnsi="宋体" w:cs="宋体" w:eastAsia="宋体" w:hint="default"/>
                <w:sz w:val="16"/>
                <w:szCs w:val="16"/>
              </w:rPr>
              <w:t>整个存续期预期信用损</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失</w:t>
            </w:r>
            <w:r>
              <w:rPr>
                <w:rFonts w:ascii="Times New Roman" w:hAnsi="Times New Roman" w:cs="Times New Roman" w:eastAsia="Times New Roman" w:hint="default"/>
                <w:sz w:val="16"/>
                <w:szCs w:val="16"/>
              </w:rPr>
              <w:t>(</w:t>
            </w:r>
            <w:r>
              <w:rPr>
                <w:rFonts w:ascii="宋体" w:hAnsi="宋体" w:cs="宋体" w:eastAsia="宋体" w:hint="default"/>
                <w:sz w:val="16"/>
                <w:szCs w:val="16"/>
              </w:rPr>
              <w:t>已发生信用减值</w:t>
            </w:r>
            <w:r>
              <w:rPr>
                <w:rFonts w:ascii="Times New Roman" w:hAnsi="Times New Roman" w:cs="Times New Roman" w:eastAsia="Times New Roman" w:hint="default"/>
                <w:sz w:val="16"/>
                <w:szCs w:val="16"/>
              </w:rPr>
              <w:t>)</w:t>
            </w:r>
          </w:p>
        </w:tc>
        <w:tc>
          <w:tcPr>
            <w:tcW w:w="1474" w:type="dxa"/>
            <w:vMerge/>
            <w:tcBorders>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2"/>
                <w:sz w:val="16"/>
              </w:rPr>
              <w:t>62,504,744.05</w:t>
            </w:r>
          </w:p>
        </w:tc>
        <w:tc>
          <w:tcPr>
            <w:tcW w:w="1844"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5,707,592.63</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2"/>
                <w:sz w:val="16"/>
              </w:rPr>
              <w:t>68,212,336.68</w:t>
            </w: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年初余额在本期</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295"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转入第二阶段</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转入第三阶段</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转回第二阶段</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转回第一阶段</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本期计提</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-60,069,721.76</w:t>
            </w:r>
          </w:p>
        </w:tc>
        <w:tc>
          <w:tcPr>
            <w:tcW w:w="1844"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6"/>
                <w:szCs w:val="16"/>
              </w:rPr>
            </w:pPr>
            <w:r>
              <w:rPr>
                <w:rFonts w:ascii="Times New Roman"/>
                <w:spacing w:val="-1"/>
                <w:sz w:val="16"/>
              </w:rPr>
              <w:t>-60,069,721.76</w:t>
            </w: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本期转回</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本期转销</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left="122" w:right="0"/>
              <w:jc w:val="left"/>
              <w:rPr>
                <w:rFonts w:ascii="宋体" w:hAnsi="宋体" w:cs="宋体" w:eastAsia="宋体" w:hint="default"/>
                <w:sz w:val="16"/>
                <w:szCs w:val="16"/>
              </w:rPr>
            </w:pPr>
            <w:r>
              <w:rPr>
                <w:rFonts w:ascii="宋体" w:hAnsi="宋体" w:cs="宋体" w:eastAsia="宋体" w:hint="default"/>
                <w:sz w:val="16"/>
                <w:szCs w:val="16"/>
              </w:rPr>
              <w:t>本期核销</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其他变动</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05" w:hRule="exact"/>
        </w:trPr>
        <w:tc>
          <w:tcPr>
            <w:tcW w:w="15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2,435,022.29</w:t>
            </w:r>
          </w:p>
        </w:tc>
        <w:tc>
          <w:tcPr>
            <w:tcW w:w="1844" w:type="dxa"/>
            <w:tcBorders>
              <w:top w:val="dotted" w:sz="4" w:space="0" w:color="000000"/>
              <w:left w:val="dotted" w:sz="4" w:space="0" w:color="000000"/>
              <w:bottom w:val="single" w:sz="12" w:space="0" w:color="000000"/>
              <w:right w:val="dotted" w:sz="4" w:space="0" w:color="000000"/>
            </w:tcBorders>
          </w:tcPr>
          <w:p>
            <w:pPr/>
          </w:p>
        </w:tc>
        <w:tc>
          <w:tcPr>
            <w:tcW w:w="19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5,707,592.63</w:t>
            </w:r>
          </w:p>
        </w:tc>
        <w:tc>
          <w:tcPr>
            <w:tcW w:w="14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1"/>
                <w:sz w:val="16"/>
              </w:rPr>
              <w:t>8,142,614.92</w:t>
            </w:r>
          </w:p>
        </w:tc>
      </w:tr>
    </w:tbl>
    <w:p>
      <w:pPr>
        <w:spacing w:line="240" w:lineRule="auto" w:before="6"/>
        <w:rPr>
          <w:rFonts w:ascii="宋体" w:hAnsi="宋体" w:cs="宋体" w:eastAsia="宋体" w:hint="default"/>
          <w:sz w:val="27"/>
          <w:szCs w:val="27"/>
        </w:rPr>
      </w:pPr>
    </w:p>
    <w:p>
      <w:pPr>
        <w:pStyle w:val="BodyText"/>
        <w:spacing w:line="240" w:lineRule="auto"/>
        <w:ind w:right="3683"/>
        <w:jc w:val="left"/>
      </w:pPr>
      <w:r>
        <w:rPr/>
        <w:t>其他应收款项账面余额变动如下：</w:t>
      </w:r>
    </w:p>
    <w:p>
      <w:pPr>
        <w:spacing w:line="240" w:lineRule="auto" w:before="4"/>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1529"/>
        <w:gridCol w:w="1418"/>
        <w:gridCol w:w="1844"/>
        <w:gridCol w:w="1865"/>
        <w:gridCol w:w="1548"/>
      </w:tblGrid>
      <w:tr>
        <w:trPr>
          <w:trHeight w:val="302" w:hRule="exact"/>
        </w:trPr>
        <w:tc>
          <w:tcPr>
            <w:tcW w:w="1529"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4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left="381" w:right="0"/>
              <w:jc w:val="left"/>
              <w:rPr>
                <w:rFonts w:ascii="宋体" w:hAnsi="宋体" w:cs="宋体" w:eastAsia="宋体" w:hint="default"/>
                <w:sz w:val="16"/>
                <w:szCs w:val="16"/>
              </w:rPr>
            </w:pPr>
            <w:r>
              <w:rPr>
                <w:rFonts w:ascii="宋体" w:hAnsi="宋体" w:cs="宋体" w:eastAsia="宋体" w:hint="default"/>
                <w:sz w:val="16"/>
                <w:szCs w:val="16"/>
              </w:rPr>
              <w:t>第一阶段</w:t>
            </w:r>
          </w:p>
        </w:tc>
        <w:tc>
          <w:tcPr>
            <w:tcW w:w="18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left="592" w:right="0"/>
              <w:jc w:val="left"/>
              <w:rPr>
                <w:rFonts w:ascii="宋体" w:hAnsi="宋体" w:cs="宋体" w:eastAsia="宋体" w:hint="default"/>
                <w:sz w:val="16"/>
                <w:szCs w:val="16"/>
              </w:rPr>
            </w:pPr>
            <w:r>
              <w:rPr>
                <w:rFonts w:ascii="宋体" w:hAnsi="宋体" w:cs="宋体" w:eastAsia="宋体" w:hint="default"/>
                <w:sz w:val="16"/>
                <w:szCs w:val="16"/>
              </w:rPr>
              <w:t>第二阶段</w:t>
            </w:r>
          </w:p>
        </w:tc>
        <w:tc>
          <w:tcPr>
            <w:tcW w:w="18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left="604" w:right="0"/>
              <w:jc w:val="left"/>
              <w:rPr>
                <w:rFonts w:ascii="宋体" w:hAnsi="宋体" w:cs="宋体" w:eastAsia="宋体" w:hint="default"/>
                <w:sz w:val="16"/>
                <w:szCs w:val="16"/>
              </w:rPr>
            </w:pPr>
            <w:r>
              <w:rPr>
                <w:rFonts w:ascii="宋体" w:hAnsi="宋体" w:cs="宋体" w:eastAsia="宋体" w:hint="default"/>
                <w:sz w:val="16"/>
                <w:szCs w:val="16"/>
              </w:rPr>
              <w:t>第三阶段</w:t>
            </w:r>
          </w:p>
        </w:tc>
        <w:tc>
          <w:tcPr>
            <w:tcW w:w="1548" w:type="dxa"/>
            <w:vMerge w:val="restart"/>
            <w:tcBorders>
              <w:top w:val="single" w:sz="12" w:space="0" w:color="000000"/>
              <w:left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482" w:hRule="exact"/>
        </w:trPr>
        <w:tc>
          <w:tcPr>
            <w:tcW w:w="1529" w:type="dxa"/>
            <w:vMerge/>
            <w:tcBorders>
              <w:left w:val="nil" w:sz="6" w:space="0" w:color="auto"/>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08" w:lineRule="exact" w:before="23"/>
              <w:ind w:left="381" w:right="101" w:hanging="279"/>
              <w:jc w:val="left"/>
              <w:rPr>
                <w:rFonts w:ascii="宋体" w:hAnsi="宋体" w:cs="宋体" w:eastAsia="宋体" w:hint="default"/>
                <w:sz w:val="16"/>
                <w:szCs w:val="16"/>
              </w:rPr>
            </w:pPr>
            <w:r>
              <w:rPr>
                <w:rFonts w:ascii="宋体" w:hAnsi="宋体" w:cs="宋体" w:eastAsia="宋体" w:hint="default"/>
                <w:sz w:val="16"/>
                <w:szCs w:val="16"/>
              </w:rPr>
              <w:t>未来</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个月预期</w:t>
            </w:r>
            <w:r>
              <w:rPr>
                <w:rFonts w:ascii="宋体" w:hAnsi="宋体" w:cs="宋体" w:eastAsia="宋体" w:hint="default"/>
                <w:w w:val="100"/>
                <w:sz w:val="16"/>
                <w:szCs w:val="16"/>
              </w:rPr>
              <w:t> </w:t>
            </w:r>
            <w:r>
              <w:rPr>
                <w:rFonts w:ascii="宋体" w:hAnsi="宋体" w:cs="宋体" w:eastAsia="宋体" w:hint="default"/>
                <w:sz w:val="16"/>
                <w:szCs w:val="16"/>
              </w:rPr>
              <w:t>信用损失</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20" w:right="116" w:hanging="108"/>
              <w:jc w:val="left"/>
              <w:rPr>
                <w:rFonts w:ascii="Times New Roman" w:hAnsi="Times New Roman" w:cs="Times New Roman" w:eastAsia="Times New Roman" w:hint="default"/>
                <w:sz w:val="16"/>
                <w:szCs w:val="16"/>
              </w:rPr>
            </w:pPr>
            <w:r>
              <w:rPr>
                <w:rFonts w:ascii="宋体" w:hAnsi="宋体" w:cs="宋体" w:eastAsia="宋体" w:hint="default"/>
                <w:sz w:val="16"/>
                <w:szCs w:val="16"/>
              </w:rPr>
              <w:t>整个存续期预期信用损</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失</w:t>
            </w:r>
            <w:r>
              <w:rPr>
                <w:rFonts w:ascii="Times New Roman" w:hAnsi="Times New Roman" w:cs="Times New Roman" w:eastAsia="Times New Roman" w:hint="default"/>
                <w:sz w:val="16"/>
                <w:szCs w:val="16"/>
              </w:rPr>
              <w:t>(</w:t>
            </w:r>
            <w:r>
              <w:rPr>
                <w:rFonts w:ascii="宋体" w:hAnsi="宋体" w:cs="宋体" w:eastAsia="宋体" w:hint="default"/>
                <w:sz w:val="16"/>
                <w:szCs w:val="16"/>
              </w:rPr>
              <w:t>未发生信用减值</w:t>
            </w:r>
            <w:r>
              <w:rPr>
                <w:rFonts w:ascii="Times New Roman" w:hAnsi="Times New Roman" w:cs="Times New Roman" w:eastAsia="Times New Roman" w:hint="default"/>
                <w:sz w:val="16"/>
                <w:szCs w:val="16"/>
              </w:rPr>
              <w:t>)</w:t>
            </w:r>
          </w:p>
        </w:tc>
        <w:tc>
          <w:tcPr>
            <w:tcW w:w="18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32" w:right="125" w:hanging="108"/>
              <w:jc w:val="left"/>
              <w:rPr>
                <w:rFonts w:ascii="Times New Roman" w:hAnsi="Times New Roman" w:cs="Times New Roman" w:eastAsia="Times New Roman" w:hint="default"/>
                <w:sz w:val="16"/>
                <w:szCs w:val="16"/>
              </w:rPr>
            </w:pPr>
            <w:r>
              <w:rPr>
                <w:rFonts w:ascii="宋体" w:hAnsi="宋体" w:cs="宋体" w:eastAsia="宋体" w:hint="default"/>
                <w:sz w:val="16"/>
                <w:szCs w:val="16"/>
              </w:rPr>
              <w:t>整个存续期预期信用损</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失</w:t>
            </w:r>
            <w:r>
              <w:rPr>
                <w:rFonts w:ascii="Times New Roman" w:hAnsi="Times New Roman" w:cs="Times New Roman" w:eastAsia="Times New Roman" w:hint="default"/>
                <w:sz w:val="16"/>
                <w:szCs w:val="16"/>
              </w:rPr>
              <w:t>(</w:t>
            </w:r>
            <w:r>
              <w:rPr>
                <w:rFonts w:ascii="宋体" w:hAnsi="宋体" w:cs="宋体" w:eastAsia="宋体" w:hint="default"/>
                <w:sz w:val="16"/>
                <w:szCs w:val="16"/>
              </w:rPr>
              <w:t>已发生信用减值</w:t>
            </w:r>
            <w:r>
              <w:rPr>
                <w:rFonts w:ascii="Times New Roman" w:hAnsi="Times New Roman" w:cs="Times New Roman" w:eastAsia="Times New Roman" w:hint="default"/>
                <w:sz w:val="16"/>
                <w:szCs w:val="16"/>
              </w:rPr>
              <w:t>)</w:t>
            </w:r>
          </w:p>
        </w:tc>
        <w:tc>
          <w:tcPr>
            <w:tcW w:w="1548" w:type="dxa"/>
            <w:vMerge/>
            <w:tcBorders>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485,686,487.51</w:t>
            </w:r>
          </w:p>
        </w:tc>
        <w:tc>
          <w:tcPr>
            <w:tcW w:w="1844"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5,707,592.63</w:t>
            </w: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6"/>
                <w:szCs w:val="16"/>
              </w:rPr>
            </w:pPr>
            <w:r>
              <w:rPr>
                <w:rFonts w:ascii="Times New Roman"/>
                <w:spacing w:val="-1"/>
                <w:sz w:val="16"/>
              </w:rPr>
              <w:t>491,394,080.14</w:t>
            </w: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年初余额在本期</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转入第二阶段</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转入第三阶段</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转回第二阶段</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转回第一阶段</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本期新增</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3"/>
              <w:jc w:val="right"/>
              <w:rPr>
                <w:rFonts w:ascii="Times New Roman" w:hAnsi="Times New Roman" w:cs="Times New Roman" w:eastAsia="Times New Roman" w:hint="default"/>
                <w:sz w:val="16"/>
                <w:szCs w:val="16"/>
              </w:rPr>
            </w:pPr>
            <w:r>
              <w:rPr>
                <w:rFonts w:ascii="Times New Roman"/>
                <w:spacing w:val="-1"/>
                <w:sz w:val="16"/>
              </w:rPr>
              <w:t>584,140,604.83</w:t>
            </w:r>
          </w:p>
        </w:tc>
        <w:tc>
          <w:tcPr>
            <w:tcW w:w="1844"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1"/>
                <w:sz w:val="16"/>
              </w:rPr>
              <w:t>584,140,604.83</w:t>
            </w:r>
          </w:p>
        </w:tc>
      </w:tr>
      <w:tr>
        <w:trPr>
          <w:trHeight w:val="295"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本期直接减记</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6"/>
                <w:szCs w:val="16"/>
              </w:rPr>
            </w:pPr>
            <w:r>
              <w:rPr>
                <w:rFonts w:ascii="宋体" w:hAnsi="宋体" w:cs="宋体" w:eastAsia="宋体" w:hint="default"/>
                <w:sz w:val="16"/>
                <w:szCs w:val="16"/>
              </w:rPr>
              <w:t>本期终止确认</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6"/>
                <w:szCs w:val="16"/>
              </w:rPr>
            </w:pPr>
            <w:r>
              <w:rPr>
                <w:rFonts w:ascii="宋体" w:hAnsi="宋体" w:cs="宋体" w:eastAsia="宋体" w:hint="default"/>
                <w:sz w:val="16"/>
                <w:szCs w:val="16"/>
              </w:rPr>
              <w:t>其他变动</w:t>
            </w:r>
          </w:p>
        </w:tc>
        <w:tc>
          <w:tcPr>
            <w:tcW w:w="1418"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02" w:hRule="exact"/>
        </w:trPr>
        <w:tc>
          <w:tcPr>
            <w:tcW w:w="15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6"/>
                <w:szCs w:val="16"/>
              </w:rPr>
            </w:pPr>
            <w:r>
              <w:rPr>
                <w:rFonts w:ascii="Times New Roman"/>
                <w:spacing w:val="-1"/>
                <w:sz w:val="16"/>
              </w:rPr>
              <w:t>1,069,827,092.34</w:t>
            </w:r>
          </w:p>
        </w:tc>
        <w:tc>
          <w:tcPr>
            <w:tcW w:w="1844" w:type="dxa"/>
            <w:tcBorders>
              <w:top w:val="dotted" w:sz="4" w:space="0" w:color="000000"/>
              <w:left w:val="dotted" w:sz="4" w:space="0" w:color="000000"/>
              <w:bottom w:val="single" w:sz="12" w:space="0" w:color="000000"/>
              <w:right w:val="dotted" w:sz="4" w:space="0" w:color="000000"/>
            </w:tcBorders>
          </w:tcPr>
          <w:p>
            <w:pPr/>
          </w:p>
        </w:tc>
        <w:tc>
          <w:tcPr>
            <w:tcW w:w="18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1"/>
                <w:sz w:val="16"/>
              </w:rPr>
              <w:t>5,707,592.63</w:t>
            </w:r>
          </w:p>
        </w:tc>
        <w:tc>
          <w:tcPr>
            <w:tcW w:w="154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6"/>
                <w:szCs w:val="16"/>
              </w:rPr>
            </w:pPr>
            <w:r>
              <w:rPr>
                <w:rFonts w:ascii="Times New Roman"/>
                <w:spacing w:val="-1"/>
                <w:sz w:val="16"/>
              </w:rPr>
              <w:t>1,075,534,684.97</w:t>
            </w:r>
          </w:p>
        </w:tc>
      </w:tr>
    </w:tbl>
    <w:p>
      <w:pPr>
        <w:spacing w:line="240" w:lineRule="auto" w:before="5"/>
        <w:rPr>
          <w:rFonts w:ascii="宋体" w:hAnsi="宋体" w:cs="宋体" w:eastAsia="宋体" w:hint="default"/>
          <w:sz w:val="26"/>
          <w:szCs w:val="26"/>
        </w:rPr>
      </w:pPr>
    </w:p>
    <w:p>
      <w:pPr>
        <w:pStyle w:val="BodyText"/>
        <w:spacing w:line="240" w:lineRule="auto"/>
        <w:ind w:right="3683"/>
        <w:jc w:val="left"/>
      </w:pPr>
      <w:r>
        <w:rPr/>
        <w:t>（</w:t>
      </w:r>
      <w:r>
        <w:rPr>
          <w:rFonts w:ascii="Times New Roman" w:hAnsi="Times New Roman" w:cs="Times New Roman" w:eastAsia="Times New Roman" w:hint="default"/>
        </w:rPr>
        <w:t>4</w:t>
      </w:r>
      <w:r>
        <w:rPr/>
        <w:t>）本期计提、转回或收回的坏账准备情况</w:t>
      </w:r>
    </w:p>
    <w:tbl>
      <w:tblPr>
        <w:tblW w:w="0" w:type="auto"/>
        <w:jc w:val="left"/>
        <w:tblInd w:w="721" w:type="dxa"/>
        <w:tblLayout w:type="fixed"/>
        <w:tblCellMar>
          <w:top w:w="0" w:type="dxa"/>
          <w:left w:w="0" w:type="dxa"/>
          <w:bottom w:w="0" w:type="dxa"/>
          <w:right w:w="0" w:type="dxa"/>
        </w:tblCellMar>
        <w:tblLook w:val="01E0"/>
      </w:tblPr>
      <w:tblGrid>
        <w:gridCol w:w="1128"/>
        <w:gridCol w:w="1222"/>
        <w:gridCol w:w="1224"/>
        <w:gridCol w:w="1217"/>
        <w:gridCol w:w="1106"/>
        <w:gridCol w:w="1162"/>
        <w:gridCol w:w="1145"/>
      </w:tblGrid>
      <w:tr>
        <w:trPr>
          <w:trHeight w:val="305" w:hRule="exact"/>
        </w:trPr>
        <w:tc>
          <w:tcPr>
            <w:tcW w:w="1128"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1222" w:type="dxa"/>
            <w:vMerge w:val="restart"/>
            <w:tcBorders>
              <w:top w:val="single" w:sz="12" w:space="0" w:color="000000"/>
              <w:left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224" w:type="dxa"/>
            <w:vMerge w:val="restart"/>
            <w:tcBorders>
              <w:top w:val="single" w:sz="12" w:space="0" w:color="000000"/>
              <w:left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3486"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left="2" w:right="0"/>
              <w:jc w:val="center"/>
              <w:rPr>
                <w:rFonts w:ascii="宋体" w:hAnsi="宋体" w:cs="宋体" w:eastAsia="宋体" w:hint="default"/>
                <w:sz w:val="16"/>
                <w:szCs w:val="16"/>
              </w:rPr>
            </w:pPr>
            <w:r>
              <w:rPr>
                <w:rFonts w:ascii="宋体" w:hAnsi="宋体" w:cs="宋体" w:eastAsia="宋体" w:hint="default"/>
                <w:sz w:val="16"/>
                <w:szCs w:val="16"/>
              </w:rPr>
              <w:t>本期变动金额</w:t>
            </w:r>
          </w:p>
        </w:tc>
        <w:tc>
          <w:tcPr>
            <w:tcW w:w="1145" w:type="dxa"/>
            <w:vMerge w:val="restart"/>
            <w:tcBorders>
              <w:top w:val="single" w:sz="12" w:space="0" w:color="000000"/>
              <w:left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93" w:hRule="exact"/>
        </w:trPr>
        <w:tc>
          <w:tcPr>
            <w:tcW w:w="1128" w:type="dxa"/>
            <w:vMerge/>
            <w:tcBorders>
              <w:left w:val="nil" w:sz="6" w:space="0" w:color="auto"/>
              <w:bottom w:val="dotted" w:sz="4" w:space="0" w:color="000000"/>
              <w:right w:val="dotted" w:sz="4" w:space="0" w:color="000000"/>
            </w:tcBorders>
          </w:tcPr>
          <w:p>
            <w:pPr/>
          </w:p>
        </w:tc>
        <w:tc>
          <w:tcPr>
            <w:tcW w:w="1222" w:type="dxa"/>
            <w:vMerge/>
            <w:tcBorders>
              <w:left w:val="dotted" w:sz="4" w:space="0" w:color="000000"/>
              <w:bottom w:val="dotted" w:sz="4" w:space="0" w:color="000000"/>
              <w:right w:val="dotted" w:sz="4" w:space="0" w:color="000000"/>
            </w:tcBorders>
          </w:tcPr>
          <w:p>
            <w:pPr/>
          </w:p>
        </w:tc>
        <w:tc>
          <w:tcPr>
            <w:tcW w:w="1224" w:type="dxa"/>
            <w:vMerge/>
            <w:tcBorders>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left="2" w:right="0"/>
              <w:jc w:val="center"/>
              <w:rPr>
                <w:rFonts w:ascii="宋体" w:hAnsi="宋体" w:cs="宋体" w:eastAsia="宋体" w:hint="default"/>
                <w:sz w:val="16"/>
                <w:szCs w:val="16"/>
              </w:rPr>
            </w:pPr>
            <w:r>
              <w:rPr>
                <w:rFonts w:ascii="宋体" w:hAnsi="宋体" w:cs="宋体" w:eastAsia="宋体" w:hint="default"/>
                <w:sz w:val="16"/>
                <w:szCs w:val="16"/>
              </w:rPr>
              <w:t>计提</w:t>
            </w:r>
          </w:p>
        </w:tc>
        <w:tc>
          <w:tcPr>
            <w:tcW w:w="11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left="146" w:right="0"/>
              <w:jc w:val="left"/>
              <w:rPr>
                <w:rFonts w:ascii="宋体" w:hAnsi="宋体" w:cs="宋体" w:eastAsia="宋体" w:hint="default"/>
                <w:sz w:val="16"/>
                <w:szCs w:val="16"/>
              </w:rPr>
            </w:pPr>
            <w:r>
              <w:rPr>
                <w:rFonts w:ascii="宋体" w:hAnsi="宋体" w:cs="宋体" w:eastAsia="宋体" w:hint="default"/>
                <w:sz w:val="16"/>
                <w:szCs w:val="16"/>
              </w:rPr>
              <w:t>收回或转回</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left="175" w:right="0"/>
              <w:jc w:val="left"/>
              <w:rPr>
                <w:rFonts w:ascii="宋体" w:hAnsi="宋体" w:cs="宋体" w:eastAsia="宋体" w:hint="default"/>
                <w:sz w:val="16"/>
                <w:szCs w:val="16"/>
              </w:rPr>
            </w:pPr>
            <w:r>
              <w:rPr>
                <w:rFonts w:ascii="宋体" w:hAnsi="宋体" w:cs="宋体" w:eastAsia="宋体" w:hint="default"/>
                <w:sz w:val="16"/>
                <w:szCs w:val="16"/>
              </w:rPr>
              <w:t>转销或核销</w:t>
            </w:r>
          </w:p>
        </w:tc>
        <w:tc>
          <w:tcPr>
            <w:tcW w:w="1145" w:type="dxa"/>
            <w:vMerge/>
            <w:tcBorders>
              <w:left w:val="dotted" w:sz="4" w:space="0" w:color="000000"/>
              <w:bottom w:val="dotted" w:sz="4" w:space="0" w:color="000000"/>
              <w:right w:val="nil" w:sz="6" w:space="0" w:color="auto"/>
            </w:tcBorders>
          </w:tcPr>
          <w:p>
            <w:pPr/>
          </w:p>
        </w:tc>
      </w:tr>
      <w:tr>
        <w:trPr>
          <w:trHeight w:val="480" w:hRule="exact"/>
        </w:trPr>
        <w:tc>
          <w:tcPr>
            <w:tcW w:w="1128"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97"/>
              <w:jc w:val="left"/>
              <w:rPr>
                <w:rFonts w:ascii="宋体" w:hAnsi="宋体" w:cs="宋体" w:eastAsia="宋体" w:hint="default"/>
                <w:sz w:val="16"/>
                <w:szCs w:val="16"/>
              </w:rPr>
            </w:pPr>
            <w:r>
              <w:rPr>
                <w:rFonts w:ascii="宋体" w:hAnsi="宋体" w:cs="宋体" w:eastAsia="宋体" w:hint="default"/>
                <w:sz w:val="16"/>
                <w:szCs w:val="16"/>
              </w:rPr>
              <w:t>按单项计提</w:t>
            </w:r>
            <w:r>
              <w:rPr>
                <w:rFonts w:ascii="宋体" w:hAnsi="宋体" w:cs="宋体" w:eastAsia="宋体" w:hint="default"/>
                <w:w w:val="100"/>
                <w:sz w:val="16"/>
                <w:szCs w:val="16"/>
              </w:rPr>
              <w:t> </w:t>
            </w:r>
            <w:r>
              <w:rPr>
                <w:rFonts w:ascii="宋体" w:hAnsi="宋体" w:cs="宋体" w:eastAsia="宋体" w:hint="default"/>
                <w:sz w:val="16"/>
                <w:szCs w:val="16"/>
              </w:rPr>
              <w:t>坏账准备</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5,707,592.63</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5,707,592.63</w:t>
            </w:r>
          </w:p>
        </w:tc>
        <w:tc>
          <w:tcPr>
            <w:tcW w:w="1217" w:type="dxa"/>
            <w:tcBorders>
              <w:top w:val="dotted" w:sz="4" w:space="0" w:color="000000"/>
              <w:left w:val="dotted" w:sz="4" w:space="0" w:color="000000"/>
              <w:bottom w:val="dotted" w:sz="4" w:space="0" w:color="000000"/>
              <w:right w:val="dotted" w:sz="4" w:space="0" w:color="000000"/>
            </w:tcBorders>
          </w:tcPr>
          <w:p>
            <w:pPr/>
          </w:p>
        </w:tc>
        <w:tc>
          <w:tcPr>
            <w:tcW w:w="1106"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5,707,592.63</w:t>
            </w:r>
          </w:p>
        </w:tc>
      </w:tr>
      <w:tr>
        <w:trPr>
          <w:trHeight w:val="483" w:hRule="exact"/>
        </w:trPr>
        <w:tc>
          <w:tcPr>
            <w:tcW w:w="11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197"/>
              <w:jc w:val="left"/>
              <w:rPr>
                <w:rFonts w:ascii="宋体" w:hAnsi="宋体" w:cs="宋体" w:eastAsia="宋体" w:hint="default"/>
                <w:sz w:val="16"/>
                <w:szCs w:val="16"/>
              </w:rPr>
            </w:pPr>
            <w:r>
              <w:rPr>
                <w:rFonts w:ascii="宋体" w:hAnsi="宋体" w:cs="宋体" w:eastAsia="宋体" w:hint="default"/>
                <w:sz w:val="16"/>
                <w:szCs w:val="16"/>
              </w:rPr>
              <w:t>按组合计提</w:t>
            </w:r>
            <w:r>
              <w:rPr>
                <w:rFonts w:ascii="宋体" w:hAnsi="宋体" w:cs="宋体" w:eastAsia="宋体" w:hint="default"/>
                <w:w w:val="100"/>
                <w:sz w:val="16"/>
                <w:szCs w:val="16"/>
              </w:rPr>
              <w:t> </w:t>
            </w:r>
            <w:r>
              <w:rPr>
                <w:rFonts w:ascii="宋体" w:hAnsi="宋体" w:cs="宋体" w:eastAsia="宋体" w:hint="default"/>
                <w:sz w:val="16"/>
                <w:szCs w:val="16"/>
              </w:rPr>
              <w:t>坏账准备</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62,504,744.05</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62,504,744.05</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6" w:right="0"/>
              <w:jc w:val="center"/>
              <w:rPr>
                <w:rFonts w:ascii="Times New Roman" w:hAnsi="Times New Roman" w:cs="Times New Roman" w:eastAsia="Times New Roman" w:hint="default"/>
                <w:sz w:val="16"/>
                <w:szCs w:val="16"/>
              </w:rPr>
            </w:pPr>
            <w:r>
              <w:rPr>
                <w:rFonts w:ascii="Times New Roman"/>
                <w:sz w:val="16"/>
              </w:rPr>
              <w:t>-60,069,721.76</w:t>
            </w:r>
          </w:p>
        </w:tc>
        <w:tc>
          <w:tcPr>
            <w:tcW w:w="1106"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2,435,022.29</w:t>
            </w:r>
          </w:p>
        </w:tc>
      </w:tr>
      <w:tr>
        <w:trPr>
          <w:trHeight w:val="302" w:hRule="exact"/>
        </w:trPr>
        <w:tc>
          <w:tcPr>
            <w:tcW w:w="11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spacing w:val="-2"/>
                <w:sz w:val="16"/>
              </w:rPr>
              <w:t>68,212,336.68</w:t>
            </w:r>
          </w:p>
        </w:tc>
        <w:tc>
          <w:tcPr>
            <w:tcW w:w="12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right="100"/>
              <w:jc w:val="right"/>
              <w:rPr>
                <w:rFonts w:ascii="Times New Roman" w:hAnsi="Times New Roman" w:cs="Times New Roman" w:eastAsia="Times New Roman" w:hint="default"/>
                <w:sz w:val="16"/>
                <w:szCs w:val="16"/>
              </w:rPr>
            </w:pPr>
            <w:r>
              <w:rPr>
                <w:rFonts w:ascii="Times New Roman"/>
                <w:spacing w:val="-2"/>
                <w:sz w:val="16"/>
              </w:rPr>
              <w:t>68,212,336.68</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7"/>
              <w:ind w:left="26" w:right="0"/>
              <w:jc w:val="center"/>
              <w:rPr>
                <w:rFonts w:ascii="Times New Roman" w:hAnsi="Times New Roman" w:cs="Times New Roman" w:eastAsia="Times New Roman" w:hint="default"/>
                <w:sz w:val="16"/>
                <w:szCs w:val="16"/>
              </w:rPr>
            </w:pPr>
            <w:r>
              <w:rPr>
                <w:rFonts w:ascii="Times New Roman"/>
                <w:sz w:val="16"/>
              </w:rPr>
              <w:t>-60,069,721.76</w:t>
            </w:r>
          </w:p>
        </w:tc>
        <w:tc>
          <w:tcPr>
            <w:tcW w:w="1106" w:type="dxa"/>
            <w:tcBorders>
              <w:top w:val="dotted" w:sz="4" w:space="0" w:color="000000"/>
              <w:left w:val="dotted" w:sz="4" w:space="0" w:color="000000"/>
              <w:bottom w:val="single" w:sz="12" w:space="0" w:color="000000"/>
              <w:right w:val="dotted" w:sz="4" w:space="0" w:color="000000"/>
            </w:tcBorders>
          </w:tcPr>
          <w:p>
            <w:pPr/>
          </w:p>
        </w:tc>
        <w:tc>
          <w:tcPr>
            <w:tcW w:w="1162" w:type="dxa"/>
            <w:tcBorders>
              <w:top w:val="dotted" w:sz="4" w:space="0" w:color="000000"/>
              <w:left w:val="dotted" w:sz="4" w:space="0" w:color="000000"/>
              <w:bottom w:val="single" w:sz="12" w:space="0" w:color="000000"/>
              <w:right w:val="dotted" w:sz="4" w:space="0" w:color="000000"/>
            </w:tcBorders>
          </w:tcPr>
          <w:p>
            <w:pPr/>
          </w:p>
        </w:tc>
        <w:tc>
          <w:tcPr>
            <w:tcW w:w="11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6"/>
                <w:szCs w:val="16"/>
              </w:rPr>
            </w:pPr>
            <w:r>
              <w:rPr>
                <w:rFonts w:ascii="Times New Roman"/>
                <w:spacing w:val="-1"/>
                <w:sz w:val="16"/>
              </w:rPr>
              <w:t>8,142,614.92</w:t>
            </w:r>
          </w:p>
        </w:tc>
      </w:tr>
    </w:tbl>
    <w:p>
      <w:pPr>
        <w:spacing w:line="240" w:lineRule="auto" w:before="9"/>
        <w:rPr>
          <w:rFonts w:ascii="宋体" w:hAnsi="宋体" w:cs="宋体" w:eastAsia="宋体" w:hint="default"/>
          <w:sz w:val="27"/>
          <w:szCs w:val="27"/>
        </w:rPr>
      </w:pPr>
    </w:p>
    <w:p>
      <w:pPr>
        <w:pStyle w:val="BodyText"/>
        <w:spacing w:line="240" w:lineRule="auto"/>
        <w:ind w:right="3683"/>
        <w:jc w:val="left"/>
      </w:pPr>
      <w:r>
        <w:rPr/>
        <w:t>（</w:t>
      </w:r>
      <w:r>
        <w:rPr>
          <w:rFonts w:ascii="Times New Roman" w:hAnsi="Times New Roman" w:cs="Times New Roman" w:eastAsia="Times New Roman" w:hint="default"/>
        </w:rPr>
        <w:t>6</w:t>
      </w:r>
      <w:r>
        <w:rPr/>
        <w:t>）按款项性质分类情况</w:t>
      </w:r>
    </w:p>
    <w:tbl>
      <w:tblPr>
        <w:tblW w:w="0" w:type="auto"/>
        <w:jc w:val="left"/>
        <w:tblInd w:w="721" w:type="dxa"/>
        <w:tblLayout w:type="fixed"/>
        <w:tblCellMar>
          <w:top w:w="0" w:type="dxa"/>
          <w:left w:w="0" w:type="dxa"/>
          <w:bottom w:w="0" w:type="dxa"/>
          <w:right w:w="0" w:type="dxa"/>
        </w:tblCellMar>
        <w:tblLook w:val="01E0"/>
      </w:tblPr>
      <w:tblGrid>
        <w:gridCol w:w="2542"/>
        <w:gridCol w:w="2832"/>
        <w:gridCol w:w="2830"/>
      </w:tblGrid>
      <w:tr>
        <w:trPr>
          <w:trHeight w:val="283" w:hRule="exact"/>
        </w:trPr>
        <w:tc>
          <w:tcPr>
            <w:tcW w:w="254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款项性质</w:t>
            </w:r>
          </w:p>
        </w:tc>
        <w:tc>
          <w:tcPr>
            <w:tcW w:w="28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928" w:right="0"/>
              <w:jc w:val="left"/>
              <w:rPr>
                <w:rFonts w:ascii="宋体" w:hAnsi="宋体" w:cs="宋体" w:eastAsia="宋体" w:hint="default"/>
                <w:sz w:val="16"/>
                <w:szCs w:val="16"/>
              </w:rPr>
            </w:pPr>
            <w:r>
              <w:rPr>
                <w:rFonts w:ascii="宋体" w:hAnsi="宋体" w:cs="宋体" w:eastAsia="宋体" w:hint="default"/>
                <w:sz w:val="16"/>
                <w:szCs w:val="16"/>
              </w:rPr>
              <w:t>期末账面余额</w:t>
            </w:r>
          </w:p>
        </w:tc>
        <w:tc>
          <w:tcPr>
            <w:tcW w:w="28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767" w:right="0"/>
              <w:jc w:val="left"/>
              <w:rPr>
                <w:rFonts w:ascii="宋体" w:hAnsi="宋体" w:cs="宋体" w:eastAsia="宋体" w:hint="default"/>
                <w:sz w:val="16"/>
                <w:szCs w:val="16"/>
              </w:rPr>
            </w:pPr>
            <w:r>
              <w:rPr>
                <w:rFonts w:ascii="宋体" w:hAnsi="宋体" w:cs="宋体" w:eastAsia="宋体" w:hint="default"/>
                <w:sz w:val="16"/>
                <w:szCs w:val="16"/>
              </w:rPr>
              <w:t>上年年末账面余额</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1,069,619,138.13</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464,537,646.89</w:t>
            </w:r>
          </w:p>
        </w:tc>
      </w:tr>
      <w:tr>
        <w:trPr>
          <w:trHeight w:val="283" w:hRule="exact"/>
        </w:trPr>
        <w:tc>
          <w:tcPr>
            <w:tcW w:w="25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保证金、押金</w:t>
            </w:r>
          </w:p>
        </w:tc>
        <w:tc>
          <w:tcPr>
            <w:tcW w:w="2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3,199,006.01</w:t>
            </w:r>
          </w:p>
        </w:tc>
        <w:tc>
          <w:tcPr>
            <w:tcW w:w="28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1,852,181.01</w:t>
            </w:r>
          </w:p>
        </w:tc>
      </w:tr>
    </w:tbl>
    <w:p>
      <w:pPr>
        <w:spacing w:after="0" w:line="240" w:lineRule="auto"/>
        <w:jc w:val="right"/>
        <w:rPr>
          <w:rFonts w:ascii="Times New Roman" w:hAnsi="Times New Roman" w:cs="Times New Roman" w:eastAsia="Times New Roman" w:hint="default"/>
          <w:sz w:val="16"/>
          <w:szCs w:val="16"/>
        </w:rPr>
        <w:sectPr>
          <w:pgSz w:w="11910" w:h="16840"/>
          <w:pgMar w:header="753" w:footer="997" w:top="1500" w:bottom="1180" w:left="1660" w:right="0"/>
        </w:sectPr>
      </w:pPr>
    </w:p>
    <w:p>
      <w:pPr>
        <w:spacing w:line="240" w:lineRule="auto" w:before="12"/>
        <w:rPr>
          <w:rFonts w:ascii="宋体" w:hAnsi="宋体" w:cs="宋体" w:eastAsia="宋体" w:hint="default"/>
          <w:sz w:val="7"/>
          <w:szCs w:val="7"/>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7"/>
          <w:szCs w:val="17"/>
        </w:rPr>
      </w:pPr>
    </w:p>
    <w:tbl>
      <w:tblPr>
        <w:tblW w:w="0" w:type="auto"/>
        <w:jc w:val="left"/>
        <w:tblInd w:w="721" w:type="dxa"/>
        <w:tblLayout w:type="fixed"/>
        <w:tblCellMar>
          <w:top w:w="0" w:type="dxa"/>
          <w:left w:w="0" w:type="dxa"/>
          <w:bottom w:w="0" w:type="dxa"/>
          <w:right w:w="0" w:type="dxa"/>
        </w:tblCellMar>
        <w:tblLook w:val="01E0"/>
      </w:tblPr>
      <w:tblGrid>
        <w:gridCol w:w="2542"/>
        <w:gridCol w:w="2832"/>
        <w:gridCol w:w="2830"/>
      </w:tblGrid>
      <w:tr>
        <w:trPr>
          <w:trHeight w:val="284" w:hRule="exact"/>
        </w:trPr>
        <w:tc>
          <w:tcPr>
            <w:tcW w:w="254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left="21" w:right="0"/>
              <w:jc w:val="center"/>
              <w:rPr>
                <w:rFonts w:ascii="宋体" w:hAnsi="宋体" w:cs="宋体" w:eastAsia="宋体" w:hint="default"/>
                <w:sz w:val="16"/>
                <w:szCs w:val="16"/>
              </w:rPr>
            </w:pPr>
            <w:r>
              <w:rPr>
                <w:rFonts w:ascii="宋体" w:hAnsi="宋体" w:cs="宋体" w:eastAsia="宋体" w:hint="default"/>
                <w:sz w:val="16"/>
                <w:szCs w:val="16"/>
              </w:rPr>
              <w:t>款项性质</w:t>
            </w:r>
          </w:p>
        </w:tc>
        <w:tc>
          <w:tcPr>
            <w:tcW w:w="28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left="928" w:right="0"/>
              <w:jc w:val="left"/>
              <w:rPr>
                <w:rFonts w:ascii="宋体" w:hAnsi="宋体" w:cs="宋体" w:eastAsia="宋体" w:hint="default"/>
                <w:sz w:val="16"/>
                <w:szCs w:val="16"/>
              </w:rPr>
            </w:pPr>
            <w:r>
              <w:rPr>
                <w:rFonts w:ascii="宋体" w:hAnsi="宋体" w:cs="宋体" w:eastAsia="宋体" w:hint="default"/>
                <w:sz w:val="16"/>
                <w:szCs w:val="16"/>
              </w:rPr>
              <w:t>期末账面余额</w:t>
            </w:r>
          </w:p>
        </w:tc>
        <w:tc>
          <w:tcPr>
            <w:tcW w:w="28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left="767" w:right="0"/>
              <w:jc w:val="left"/>
              <w:rPr>
                <w:rFonts w:ascii="宋体" w:hAnsi="宋体" w:cs="宋体" w:eastAsia="宋体" w:hint="default"/>
                <w:sz w:val="16"/>
                <w:szCs w:val="16"/>
              </w:rPr>
            </w:pPr>
            <w:r>
              <w:rPr>
                <w:rFonts w:ascii="宋体" w:hAnsi="宋体" w:cs="宋体" w:eastAsia="宋体" w:hint="default"/>
                <w:sz w:val="16"/>
                <w:szCs w:val="16"/>
              </w:rPr>
              <w:t>上年年末账面余额</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备用金</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1,993,333.93</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1,451,908.73</w:t>
            </w: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代垫款</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702,262.28</w:t>
            </w:r>
          </w:p>
        </w:tc>
        <w:tc>
          <w:tcPr>
            <w:tcW w:w="2830"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5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20,944.62</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23,552,343.51</w:t>
            </w:r>
          </w:p>
        </w:tc>
      </w:tr>
      <w:tr>
        <w:trPr>
          <w:trHeight w:val="283" w:hRule="exact"/>
        </w:trPr>
        <w:tc>
          <w:tcPr>
            <w:tcW w:w="25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1,075,534,684.97</w:t>
            </w:r>
          </w:p>
        </w:tc>
        <w:tc>
          <w:tcPr>
            <w:tcW w:w="28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491,394,080.14</w:t>
            </w:r>
          </w:p>
        </w:tc>
      </w:tr>
    </w:tbl>
    <w:p>
      <w:pPr>
        <w:spacing w:line="240" w:lineRule="auto" w:before="7"/>
        <w:rPr>
          <w:rFonts w:ascii="宋体" w:hAnsi="宋体" w:cs="宋体" w:eastAsia="宋体" w:hint="default"/>
          <w:sz w:val="26"/>
          <w:szCs w:val="26"/>
        </w:rPr>
      </w:pPr>
    </w:p>
    <w:p>
      <w:pPr>
        <w:pStyle w:val="BodyText"/>
        <w:spacing w:line="240" w:lineRule="auto"/>
        <w:ind w:right="1468"/>
        <w:jc w:val="left"/>
      </w:pPr>
      <w:r>
        <w:rPr/>
        <w:t>（</w:t>
      </w:r>
      <w:r>
        <w:rPr>
          <w:rFonts w:ascii="Times New Roman" w:hAnsi="Times New Roman" w:cs="Times New Roman" w:eastAsia="Times New Roman" w:hint="default"/>
        </w:rPr>
        <w:t>7</w:t>
      </w:r>
      <w:r>
        <w:rPr/>
        <w:t>）按欠款方归集的期末余额前五名的其他应收款项情况</w:t>
      </w:r>
    </w:p>
    <w:tbl>
      <w:tblPr>
        <w:tblW w:w="0" w:type="auto"/>
        <w:jc w:val="left"/>
        <w:tblInd w:w="721" w:type="dxa"/>
        <w:tblLayout w:type="fixed"/>
        <w:tblCellMar>
          <w:top w:w="0" w:type="dxa"/>
          <w:left w:w="0" w:type="dxa"/>
          <w:bottom w:w="0" w:type="dxa"/>
          <w:right w:w="0" w:type="dxa"/>
        </w:tblCellMar>
        <w:tblLook w:val="01E0"/>
      </w:tblPr>
      <w:tblGrid>
        <w:gridCol w:w="2379"/>
        <w:gridCol w:w="1094"/>
        <w:gridCol w:w="1337"/>
        <w:gridCol w:w="830"/>
        <w:gridCol w:w="1474"/>
        <w:gridCol w:w="1090"/>
      </w:tblGrid>
      <w:tr>
        <w:trPr>
          <w:trHeight w:val="490" w:hRule="exact"/>
        </w:trPr>
        <w:tc>
          <w:tcPr>
            <w:tcW w:w="23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6"/>
              <w:ind w:left="21"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0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220" w:right="0"/>
              <w:jc w:val="left"/>
              <w:rPr>
                <w:rFonts w:ascii="宋体" w:hAnsi="宋体" w:cs="宋体" w:eastAsia="宋体" w:hint="default"/>
                <w:sz w:val="16"/>
                <w:szCs w:val="16"/>
              </w:rPr>
            </w:pPr>
            <w:r>
              <w:rPr>
                <w:rFonts w:ascii="宋体" w:hAnsi="宋体" w:cs="宋体" w:eastAsia="宋体" w:hint="default"/>
                <w:sz w:val="16"/>
                <w:szCs w:val="16"/>
              </w:rPr>
              <w:t>款项性质</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343"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8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1474"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24"/>
              <w:ind w:left="132" w:right="127" w:firstLine="40"/>
              <w:jc w:val="left"/>
              <w:rPr>
                <w:rFonts w:ascii="Times New Roman" w:hAnsi="Times New Roman" w:cs="Times New Roman" w:eastAsia="Times New Roman" w:hint="default"/>
                <w:sz w:val="16"/>
                <w:szCs w:val="16"/>
              </w:rPr>
            </w:pPr>
            <w:r>
              <w:rPr>
                <w:rFonts w:ascii="宋体" w:hAnsi="宋体" w:cs="宋体" w:eastAsia="宋体" w:hint="default"/>
                <w:sz w:val="16"/>
                <w:szCs w:val="16"/>
              </w:rPr>
              <w:t>占其他应收款项</w:t>
            </w:r>
            <w:r>
              <w:rPr>
                <w:rFonts w:ascii="宋体" w:hAnsi="宋体" w:cs="宋体" w:eastAsia="宋体" w:hint="default"/>
                <w:w w:val="100"/>
                <w:sz w:val="16"/>
                <w:szCs w:val="16"/>
              </w:rPr>
              <w:t> </w:t>
            </w:r>
            <w:r>
              <w:rPr>
                <w:rFonts w:ascii="宋体" w:hAnsi="宋体" w:cs="宋体" w:eastAsia="宋体" w:hint="default"/>
                <w:sz w:val="16"/>
                <w:szCs w:val="16"/>
              </w:rPr>
              <w:t>合计数的比例</w:t>
            </w:r>
            <w:r>
              <w:rPr>
                <w:rFonts w:ascii="Times New Roman" w:hAnsi="Times New Roman" w:cs="Times New Roman" w:eastAsia="Times New Roman" w:hint="default"/>
                <w:sz w:val="16"/>
                <w:szCs w:val="16"/>
              </w:rPr>
              <w:t>(%)</w:t>
            </w:r>
          </w:p>
        </w:tc>
        <w:tc>
          <w:tcPr>
            <w:tcW w:w="1090" w:type="dxa"/>
            <w:tcBorders>
              <w:top w:val="single" w:sz="12" w:space="0" w:color="000000"/>
              <w:left w:val="dotted" w:sz="4" w:space="0" w:color="000000"/>
              <w:bottom w:val="dotted" w:sz="4" w:space="0" w:color="000000"/>
              <w:right w:val="nil" w:sz="6" w:space="0" w:color="auto"/>
            </w:tcBorders>
          </w:tcPr>
          <w:p>
            <w:pPr>
              <w:pStyle w:val="TableParagraph"/>
              <w:spacing w:line="206" w:lineRule="exact" w:before="24"/>
              <w:ind w:left="297" w:right="142" w:hanging="159"/>
              <w:jc w:val="left"/>
              <w:rPr>
                <w:rFonts w:ascii="宋体" w:hAnsi="宋体" w:cs="宋体" w:eastAsia="宋体" w:hint="default"/>
                <w:sz w:val="16"/>
                <w:szCs w:val="16"/>
              </w:rPr>
            </w:pPr>
            <w:r>
              <w:rPr>
                <w:rFonts w:ascii="宋体" w:hAnsi="宋体" w:cs="宋体" w:eastAsia="宋体" w:hint="default"/>
                <w:sz w:val="16"/>
                <w:szCs w:val="16"/>
              </w:rPr>
              <w:t>坏账准备期</w:t>
            </w:r>
            <w:r>
              <w:rPr>
                <w:rFonts w:ascii="宋体" w:hAnsi="宋体" w:cs="宋体" w:eastAsia="宋体" w:hint="default"/>
                <w:w w:val="100"/>
                <w:sz w:val="16"/>
                <w:szCs w:val="16"/>
              </w:rPr>
              <w:t> </w:t>
            </w:r>
            <w:r>
              <w:rPr>
                <w:rFonts w:ascii="宋体" w:hAnsi="宋体" w:cs="宋体" w:eastAsia="宋体" w:hint="default"/>
                <w:sz w:val="16"/>
                <w:szCs w:val="16"/>
              </w:rPr>
              <w:t>末余额</w:t>
            </w:r>
          </w:p>
        </w:tc>
      </w:tr>
      <w:tr>
        <w:trPr>
          <w:trHeight w:val="274"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湖南长城计算机系统有限公司</w:t>
            </w:r>
          </w:p>
        </w:tc>
        <w:tc>
          <w:tcPr>
            <w:tcW w:w="10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723,594,727.83</w:t>
            </w:r>
          </w:p>
        </w:tc>
        <w:tc>
          <w:tcPr>
            <w:tcW w:w="8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98"/>
              <w:jc w:val="right"/>
              <w:rPr>
                <w:rFonts w:ascii="Times New Roman" w:hAnsi="Times New Roman" w:cs="Times New Roman" w:eastAsia="Times New Roman" w:hint="default"/>
                <w:sz w:val="16"/>
                <w:szCs w:val="16"/>
              </w:rPr>
            </w:pPr>
            <w:r>
              <w:rPr>
                <w:rFonts w:ascii="Times New Roman"/>
                <w:spacing w:val="-1"/>
                <w:sz w:val="16"/>
              </w:rPr>
              <w:t>67.28</w:t>
            </w:r>
          </w:p>
        </w:tc>
        <w:tc>
          <w:tcPr>
            <w:tcW w:w="1090"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武汉中原电子集团有限公司</w:t>
            </w:r>
          </w:p>
        </w:tc>
        <w:tc>
          <w:tcPr>
            <w:tcW w:w="10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160,000,000.00</w:t>
            </w:r>
          </w:p>
        </w:tc>
        <w:tc>
          <w:tcPr>
            <w:tcW w:w="8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98"/>
              <w:jc w:val="right"/>
              <w:rPr>
                <w:rFonts w:ascii="Times New Roman" w:hAnsi="Times New Roman" w:cs="Times New Roman" w:eastAsia="Times New Roman" w:hint="default"/>
                <w:sz w:val="16"/>
                <w:szCs w:val="16"/>
              </w:rPr>
            </w:pPr>
            <w:r>
              <w:rPr>
                <w:rFonts w:ascii="Times New Roman"/>
                <w:spacing w:val="-1"/>
                <w:sz w:val="16"/>
              </w:rPr>
              <w:t>14.88</w:t>
            </w:r>
          </w:p>
        </w:tc>
        <w:tc>
          <w:tcPr>
            <w:tcW w:w="1090" w:type="dxa"/>
            <w:tcBorders>
              <w:top w:val="dotted" w:sz="4" w:space="0" w:color="000000"/>
              <w:left w:val="dotted" w:sz="4" w:space="0" w:color="000000"/>
              <w:bottom w:val="dotted" w:sz="4" w:space="0" w:color="000000"/>
              <w:right w:val="nil" w:sz="6" w:space="0" w:color="auto"/>
            </w:tcBorders>
          </w:tcPr>
          <w:p>
            <w:pPr/>
          </w:p>
        </w:tc>
      </w:tr>
      <w:tr>
        <w:trPr>
          <w:trHeight w:val="482"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166"/>
              <w:jc w:val="left"/>
              <w:rPr>
                <w:rFonts w:ascii="宋体" w:hAnsi="宋体" w:cs="宋体" w:eastAsia="宋体" w:hint="default"/>
                <w:sz w:val="16"/>
                <w:szCs w:val="16"/>
              </w:rPr>
            </w:pPr>
            <w:r>
              <w:rPr>
                <w:rFonts w:ascii="宋体" w:hAnsi="宋体" w:cs="宋体" w:eastAsia="宋体" w:hint="default"/>
                <w:spacing w:val="-1"/>
                <w:sz w:val="16"/>
                <w:szCs w:val="16"/>
              </w:rPr>
              <w:t>北京圣非凡电子系统技术开发</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有限公司</w:t>
            </w:r>
          </w:p>
        </w:tc>
        <w:tc>
          <w:tcPr>
            <w:tcW w:w="10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100,000,000.00</w:t>
            </w:r>
          </w:p>
        </w:tc>
        <w:tc>
          <w:tcPr>
            <w:tcW w:w="8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9.30</w:t>
            </w:r>
          </w:p>
        </w:tc>
        <w:tc>
          <w:tcPr>
            <w:tcW w:w="1090" w:type="dxa"/>
            <w:tcBorders>
              <w:top w:val="dotted" w:sz="4" w:space="0" w:color="000000"/>
              <w:left w:val="dotted" w:sz="4" w:space="0" w:color="000000"/>
              <w:bottom w:val="dotted" w:sz="4" w:space="0" w:color="000000"/>
              <w:right w:val="nil" w:sz="6" w:space="0" w:color="auto"/>
            </w:tcBorders>
          </w:tcPr>
          <w:p>
            <w:pPr/>
          </w:p>
        </w:tc>
      </w:tr>
      <w:tr>
        <w:trPr>
          <w:trHeight w:val="481"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66"/>
              <w:jc w:val="left"/>
              <w:rPr>
                <w:rFonts w:ascii="宋体" w:hAnsi="宋体" w:cs="宋体" w:eastAsia="宋体" w:hint="default"/>
                <w:sz w:val="16"/>
                <w:szCs w:val="16"/>
              </w:rPr>
            </w:pPr>
            <w:r>
              <w:rPr>
                <w:rFonts w:ascii="宋体" w:hAnsi="宋体" w:cs="宋体" w:eastAsia="宋体" w:hint="default"/>
                <w:spacing w:val="-1"/>
                <w:sz w:val="16"/>
                <w:szCs w:val="16"/>
              </w:rPr>
              <w:t>深圳中电长城信息安全系统有</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限公司</w:t>
            </w:r>
          </w:p>
        </w:tc>
        <w:tc>
          <w:tcPr>
            <w:tcW w:w="10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03"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50,069,266.35</w:t>
            </w:r>
          </w:p>
        </w:tc>
        <w:tc>
          <w:tcPr>
            <w:tcW w:w="8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4.65</w:t>
            </w:r>
          </w:p>
        </w:tc>
        <w:tc>
          <w:tcPr>
            <w:tcW w:w="1090"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华为技术有限公司</w:t>
            </w:r>
          </w:p>
        </w:tc>
        <w:tc>
          <w:tcPr>
            <w:tcW w:w="10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103"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5,540,871.97</w:t>
            </w:r>
          </w:p>
        </w:tc>
        <w:tc>
          <w:tcPr>
            <w:tcW w:w="8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1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年以内</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98"/>
              <w:jc w:val="right"/>
              <w:rPr>
                <w:rFonts w:ascii="Times New Roman" w:hAnsi="Times New Roman" w:cs="Times New Roman" w:eastAsia="Times New Roman" w:hint="default"/>
                <w:sz w:val="16"/>
                <w:szCs w:val="16"/>
              </w:rPr>
            </w:pPr>
            <w:r>
              <w:rPr>
                <w:rFonts w:ascii="Times New Roman"/>
                <w:spacing w:val="-1"/>
                <w:sz w:val="16"/>
              </w:rPr>
              <w:t>0.51</w:t>
            </w:r>
          </w:p>
        </w:tc>
        <w:tc>
          <w:tcPr>
            <w:tcW w:w="1090"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23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094" w:type="dxa"/>
            <w:tcBorders>
              <w:top w:val="dotted" w:sz="4" w:space="0" w:color="000000"/>
              <w:left w:val="dotted" w:sz="4" w:space="0" w:color="000000"/>
              <w:bottom w:val="single" w:sz="12" w:space="0" w:color="000000"/>
              <w:right w:val="dotted" w:sz="4" w:space="0" w:color="000000"/>
            </w:tcBorders>
          </w:tcPr>
          <w:p>
            <w:pP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1,039,204,866.15</w:t>
            </w:r>
          </w:p>
        </w:tc>
        <w:tc>
          <w:tcPr>
            <w:tcW w:w="830" w:type="dxa"/>
            <w:tcBorders>
              <w:top w:val="dotted" w:sz="4" w:space="0" w:color="000000"/>
              <w:left w:val="dotted" w:sz="4" w:space="0" w:color="000000"/>
              <w:bottom w:val="single" w:sz="12" w:space="0" w:color="000000"/>
              <w:right w:val="dotted" w:sz="4" w:space="0" w:color="000000"/>
            </w:tcBorders>
          </w:tcPr>
          <w:p>
            <w:pPr/>
          </w:p>
        </w:tc>
        <w:tc>
          <w:tcPr>
            <w:tcW w:w="14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96.62</w:t>
            </w:r>
          </w:p>
        </w:tc>
        <w:tc>
          <w:tcPr>
            <w:tcW w:w="109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长期股权投资</w:t>
      </w:r>
      <w:r>
        <w:rPr>
          <w:b w:val="0"/>
          <w:bCs w:val="0"/>
        </w:rPr>
      </w:r>
    </w:p>
    <w:tbl>
      <w:tblPr>
        <w:tblW w:w="0" w:type="auto"/>
        <w:jc w:val="left"/>
        <w:tblInd w:w="109" w:type="dxa"/>
        <w:tblLayout w:type="fixed"/>
        <w:tblCellMar>
          <w:top w:w="0" w:type="dxa"/>
          <w:left w:w="0" w:type="dxa"/>
          <w:bottom w:w="0" w:type="dxa"/>
          <w:right w:w="0" w:type="dxa"/>
        </w:tblCellMar>
        <w:tblLook w:val="01E0"/>
      </w:tblPr>
      <w:tblGrid>
        <w:gridCol w:w="1774"/>
        <w:gridCol w:w="1335"/>
        <w:gridCol w:w="1217"/>
        <w:gridCol w:w="1337"/>
        <w:gridCol w:w="1334"/>
        <w:gridCol w:w="1217"/>
        <w:gridCol w:w="1337"/>
      </w:tblGrid>
      <w:tr>
        <w:trPr>
          <w:trHeight w:val="283" w:hRule="exact"/>
        </w:trPr>
        <w:tc>
          <w:tcPr>
            <w:tcW w:w="1774" w:type="dxa"/>
            <w:vMerge w:val="restart"/>
            <w:tcBorders>
              <w:top w:val="single" w:sz="12" w:space="0" w:color="000000"/>
              <w:left w:val="nil" w:sz="6" w:space="0" w:color="auto"/>
              <w:right w:val="dotted" w:sz="4" w:space="0" w:color="000000"/>
            </w:tcBorders>
          </w:tcPr>
          <w:p>
            <w:pPr>
              <w:pStyle w:val="TableParagraph"/>
              <w:spacing w:line="240" w:lineRule="auto" w:before="139"/>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88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2"/>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88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5"/>
              <w:jc w:val="center"/>
              <w:rPr>
                <w:rFonts w:ascii="宋体" w:hAnsi="宋体" w:cs="宋体" w:eastAsia="宋体" w:hint="default"/>
                <w:sz w:val="16"/>
                <w:szCs w:val="16"/>
              </w:rPr>
            </w:pPr>
            <w:r>
              <w:rPr>
                <w:rFonts w:ascii="宋体" w:hAnsi="宋体" w:cs="宋体" w:eastAsia="宋体" w:hint="default"/>
                <w:sz w:val="16"/>
                <w:szCs w:val="16"/>
              </w:rPr>
              <w:t>上年年末余额</w:t>
            </w:r>
          </w:p>
        </w:tc>
      </w:tr>
      <w:tr>
        <w:trPr>
          <w:trHeight w:val="274" w:hRule="exact"/>
        </w:trPr>
        <w:tc>
          <w:tcPr>
            <w:tcW w:w="1774" w:type="dxa"/>
            <w:vMerge/>
            <w:tcBorders>
              <w:left w:val="nil" w:sz="6" w:space="0" w:color="auto"/>
              <w:bottom w:val="dotted" w:sz="4" w:space="0" w:color="000000"/>
              <w:right w:val="dotted" w:sz="4" w:space="0" w:color="000000"/>
            </w:tcBorders>
          </w:tcPr>
          <w:p>
            <w:pP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41"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减值准备</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43"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40"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3" w:right="0"/>
              <w:jc w:val="center"/>
              <w:rPr>
                <w:rFonts w:ascii="宋体" w:hAnsi="宋体" w:cs="宋体" w:eastAsia="宋体" w:hint="default"/>
                <w:sz w:val="16"/>
                <w:szCs w:val="16"/>
              </w:rPr>
            </w:pPr>
            <w:r>
              <w:rPr>
                <w:rFonts w:ascii="宋体" w:hAnsi="宋体" w:cs="宋体" w:eastAsia="宋体" w:hint="default"/>
                <w:sz w:val="16"/>
                <w:szCs w:val="16"/>
              </w:rPr>
              <w:t>减值准备</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left="343"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74"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对子公司投资</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5,364,767,304.10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0"/>
              <w:jc w:val="center"/>
              <w:rPr>
                <w:rFonts w:ascii="Times New Roman" w:hAnsi="Times New Roman" w:cs="Times New Roman" w:eastAsia="Times New Roman" w:hint="default"/>
                <w:sz w:val="16"/>
                <w:szCs w:val="16"/>
              </w:rPr>
            </w:pPr>
            <w:r>
              <w:rPr>
                <w:rFonts w:ascii="Times New Roman"/>
                <w:sz w:val="16"/>
              </w:rPr>
              <w:t>150,290,281.63</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5,214,477,022.47</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4,404,519,122.09</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0"/>
              <w:jc w:val="center"/>
              <w:rPr>
                <w:rFonts w:ascii="Times New Roman" w:hAnsi="Times New Roman" w:cs="Times New Roman" w:eastAsia="Times New Roman" w:hint="default"/>
                <w:sz w:val="16"/>
                <w:szCs w:val="16"/>
              </w:rPr>
            </w:pPr>
            <w:r>
              <w:rPr>
                <w:rFonts w:ascii="Times New Roman"/>
                <w:sz w:val="16"/>
              </w:rPr>
              <w:t>150,290,281.63</w:t>
            </w: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4,254,228,840.46</w:t>
            </w:r>
          </w:p>
        </w:tc>
      </w:tr>
      <w:tr>
        <w:trPr>
          <w:trHeight w:val="274"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pacing w:val="-7"/>
                <w:sz w:val="16"/>
                <w:szCs w:val="16"/>
              </w:rPr>
              <w:t>对联营、合营企业投资</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587,262,131.51</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587,262,131.51</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284,061,568.24</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284,061,568.24</w:t>
            </w:r>
          </w:p>
        </w:tc>
      </w:tr>
      <w:tr>
        <w:trPr>
          <w:trHeight w:val="283" w:hRule="exact"/>
        </w:trPr>
        <w:tc>
          <w:tcPr>
            <w:tcW w:w="17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5,952,029,435.61</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0"/>
              <w:jc w:val="center"/>
              <w:rPr>
                <w:rFonts w:ascii="Times New Roman" w:hAnsi="Times New Roman" w:cs="Times New Roman" w:eastAsia="Times New Roman" w:hint="default"/>
                <w:sz w:val="16"/>
                <w:szCs w:val="16"/>
              </w:rPr>
            </w:pPr>
            <w:r>
              <w:rPr>
                <w:rFonts w:ascii="Times New Roman"/>
                <w:sz w:val="16"/>
              </w:rPr>
              <w:t>150,290,281.63</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5,801,739,153.98</w:t>
            </w:r>
          </w:p>
        </w:tc>
        <w:tc>
          <w:tcPr>
            <w:tcW w:w="13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4,688,580,690.33</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0"/>
              <w:jc w:val="center"/>
              <w:rPr>
                <w:rFonts w:ascii="Times New Roman" w:hAnsi="Times New Roman" w:cs="Times New Roman" w:eastAsia="Times New Roman" w:hint="default"/>
                <w:sz w:val="16"/>
                <w:szCs w:val="16"/>
              </w:rPr>
            </w:pPr>
            <w:r>
              <w:rPr>
                <w:rFonts w:ascii="Times New Roman"/>
                <w:sz w:val="16"/>
              </w:rPr>
              <w:t>150,290,281.63</w:t>
            </w:r>
          </w:p>
        </w:tc>
        <w:tc>
          <w:tcPr>
            <w:tcW w:w="13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4,538,290,408.70</w:t>
            </w:r>
          </w:p>
        </w:tc>
      </w:tr>
    </w:tbl>
    <w:p>
      <w:pPr>
        <w:spacing w:line="240" w:lineRule="auto" w:before="9"/>
        <w:rPr>
          <w:rFonts w:ascii="宋体" w:hAnsi="宋体" w:cs="宋体" w:eastAsia="宋体" w:hint="default"/>
          <w:b/>
          <w:bCs/>
          <w:sz w:val="27"/>
          <w:szCs w:val="27"/>
        </w:rPr>
      </w:pPr>
    </w:p>
    <w:p>
      <w:pPr>
        <w:pStyle w:val="Heading5"/>
        <w:tabs>
          <w:tab w:pos="1397" w:val="left" w:leader="none"/>
        </w:tabs>
        <w:spacing w:line="240" w:lineRule="auto"/>
        <w:ind w:left="846" w:right="3683"/>
        <w:jc w:val="left"/>
        <w:rPr>
          <w:b w:val="0"/>
          <w:bCs w:val="0"/>
        </w:rPr>
      </w:pPr>
      <w:r>
        <w:rPr>
          <w:rFonts w:ascii="Times New Roman" w:hAnsi="Times New Roman" w:cs="Times New Roman" w:eastAsia="Times New Roman" w:hint="default"/>
        </w:rPr>
        <w:t>1</w:t>
      </w:r>
      <w:r>
        <w:rPr/>
        <w:t>、</w:t>
        <w:tab/>
        <w:t>对子公司投资</w:t>
      </w:r>
      <w:r>
        <w:rPr>
          <w:b w:val="0"/>
          <w:bCs w:val="0"/>
        </w:rPr>
      </w:r>
    </w:p>
    <w:tbl>
      <w:tblPr>
        <w:tblW w:w="0" w:type="auto"/>
        <w:jc w:val="left"/>
        <w:tblInd w:w="109" w:type="dxa"/>
        <w:tblLayout w:type="fixed"/>
        <w:tblCellMar>
          <w:top w:w="0" w:type="dxa"/>
          <w:left w:w="0" w:type="dxa"/>
          <w:bottom w:w="0" w:type="dxa"/>
          <w:right w:w="0" w:type="dxa"/>
        </w:tblCellMar>
        <w:tblLook w:val="01E0"/>
      </w:tblPr>
      <w:tblGrid>
        <w:gridCol w:w="2338"/>
        <w:gridCol w:w="1337"/>
        <w:gridCol w:w="1335"/>
        <w:gridCol w:w="1217"/>
        <w:gridCol w:w="1337"/>
        <w:gridCol w:w="907"/>
        <w:gridCol w:w="1214"/>
      </w:tblGrid>
      <w:tr>
        <w:trPr>
          <w:trHeight w:val="490" w:hRule="exact"/>
        </w:trPr>
        <w:tc>
          <w:tcPr>
            <w:tcW w:w="233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6"/>
              <w:ind w:left="775" w:right="0"/>
              <w:jc w:val="left"/>
              <w:rPr>
                <w:rFonts w:ascii="宋体" w:hAnsi="宋体" w:cs="宋体" w:eastAsia="宋体" w:hint="default"/>
                <w:sz w:val="16"/>
                <w:szCs w:val="16"/>
              </w:rPr>
            </w:pPr>
            <w:r>
              <w:rPr>
                <w:rFonts w:ascii="宋体" w:hAnsi="宋体" w:cs="宋体" w:eastAsia="宋体" w:hint="default"/>
                <w:sz w:val="16"/>
                <w:szCs w:val="16"/>
              </w:rPr>
              <w:t>被投资单位</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18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3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340"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2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2" w:right="0"/>
              <w:jc w:val="center"/>
              <w:rPr>
                <w:rFonts w:ascii="宋体" w:hAnsi="宋体" w:cs="宋体" w:eastAsia="宋体" w:hint="default"/>
                <w:sz w:val="16"/>
                <w:szCs w:val="16"/>
              </w:rPr>
            </w:pPr>
            <w:r>
              <w:rPr>
                <w:rFonts w:ascii="宋体" w:hAnsi="宋体" w:cs="宋体" w:eastAsia="宋体" w:hint="default"/>
                <w:sz w:val="16"/>
                <w:szCs w:val="16"/>
              </w:rPr>
              <w:t>本期减少</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6"/>
              <w:ind w:left="343"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907"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25"/>
              <w:ind w:left="124" w:right="127"/>
              <w:jc w:val="left"/>
              <w:rPr>
                <w:rFonts w:ascii="宋体" w:hAnsi="宋体" w:cs="宋体" w:eastAsia="宋体" w:hint="default"/>
                <w:sz w:val="16"/>
                <w:szCs w:val="16"/>
              </w:rPr>
            </w:pPr>
            <w:r>
              <w:rPr>
                <w:rFonts w:ascii="宋体" w:hAnsi="宋体" w:cs="宋体" w:eastAsia="宋体" w:hint="default"/>
                <w:sz w:val="16"/>
                <w:szCs w:val="16"/>
              </w:rPr>
              <w:t>本期计提</w:t>
            </w:r>
            <w:r>
              <w:rPr>
                <w:rFonts w:ascii="宋体" w:hAnsi="宋体" w:cs="宋体" w:eastAsia="宋体" w:hint="default"/>
                <w:spacing w:val="-77"/>
                <w:sz w:val="16"/>
                <w:szCs w:val="16"/>
              </w:rPr>
              <w:t> </w:t>
            </w:r>
            <w:r>
              <w:rPr>
                <w:rFonts w:ascii="宋体" w:hAnsi="宋体" w:cs="宋体" w:eastAsia="宋体" w:hint="default"/>
                <w:sz w:val="16"/>
                <w:szCs w:val="16"/>
              </w:rPr>
              <w:t>减值准备</w:t>
            </w:r>
          </w:p>
        </w:tc>
        <w:tc>
          <w:tcPr>
            <w:tcW w:w="1214" w:type="dxa"/>
            <w:tcBorders>
              <w:top w:val="single" w:sz="12" w:space="0" w:color="000000"/>
              <w:left w:val="dotted" w:sz="4" w:space="0" w:color="000000"/>
              <w:bottom w:val="dotted" w:sz="4" w:space="0" w:color="000000"/>
              <w:right w:val="nil" w:sz="6" w:space="0" w:color="auto"/>
            </w:tcBorders>
          </w:tcPr>
          <w:p>
            <w:pPr>
              <w:pStyle w:val="TableParagraph"/>
              <w:spacing w:line="206" w:lineRule="exact" w:before="25"/>
              <w:ind w:left="441" w:right="125" w:hanging="322"/>
              <w:jc w:val="left"/>
              <w:rPr>
                <w:rFonts w:ascii="宋体" w:hAnsi="宋体" w:cs="宋体" w:eastAsia="宋体" w:hint="default"/>
                <w:sz w:val="16"/>
                <w:szCs w:val="16"/>
              </w:rPr>
            </w:pPr>
            <w:r>
              <w:rPr>
                <w:rFonts w:ascii="宋体" w:hAnsi="宋体" w:cs="宋体" w:eastAsia="宋体" w:hint="default"/>
                <w:sz w:val="16"/>
                <w:szCs w:val="16"/>
              </w:rPr>
              <w:t>减值准备期末</w:t>
            </w:r>
            <w:r>
              <w:rPr>
                <w:rFonts w:ascii="宋体" w:hAnsi="宋体" w:cs="宋体" w:eastAsia="宋体" w:hint="default"/>
                <w:w w:val="100"/>
                <w:sz w:val="16"/>
                <w:szCs w:val="16"/>
              </w:rPr>
              <w:t> </w:t>
            </w:r>
            <w:r>
              <w:rPr>
                <w:rFonts w:ascii="宋体" w:hAnsi="宋体" w:cs="宋体" w:eastAsia="宋体" w:hint="default"/>
                <w:sz w:val="16"/>
                <w:szCs w:val="16"/>
              </w:rPr>
              <w:t>余额</w:t>
            </w:r>
          </w:p>
        </w:tc>
      </w:tr>
      <w:tr>
        <w:trPr>
          <w:trHeight w:val="482"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125"/>
              <w:jc w:val="left"/>
              <w:rPr>
                <w:rFonts w:ascii="宋体" w:hAnsi="宋体" w:cs="宋体" w:eastAsia="宋体" w:hint="default"/>
                <w:sz w:val="16"/>
                <w:szCs w:val="16"/>
              </w:rPr>
            </w:pPr>
            <w:r>
              <w:rPr>
                <w:rFonts w:ascii="宋体" w:hAnsi="宋体" w:cs="宋体" w:eastAsia="宋体" w:hint="default"/>
                <w:spacing w:val="-1"/>
                <w:sz w:val="16"/>
                <w:szCs w:val="16"/>
              </w:rPr>
              <w:t>中国长城计算机（香港）控股</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有限公司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48,062,328.26</w:t>
            </w:r>
          </w:p>
        </w:tc>
        <w:tc>
          <w:tcPr>
            <w:tcW w:w="1335"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48,062,328.26</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深圳中电长城能源有限公司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450,290,281.63</w:t>
            </w:r>
          </w:p>
        </w:tc>
        <w:tc>
          <w:tcPr>
            <w:tcW w:w="1335"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450,290,281.63</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150,290,281.63</w:t>
            </w: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海南长城系统科技有限公司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16,000,000.00</w:t>
            </w:r>
          </w:p>
        </w:tc>
        <w:tc>
          <w:tcPr>
            <w:tcW w:w="1335"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16,000,000.00</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25"/>
              <w:jc w:val="left"/>
              <w:rPr>
                <w:rFonts w:ascii="宋体" w:hAnsi="宋体" w:cs="宋体" w:eastAsia="宋体" w:hint="default"/>
                <w:sz w:val="16"/>
                <w:szCs w:val="16"/>
              </w:rPr>
            </w:pPr>
            <w:r>
              <w:rPr>
                <w:rFonts w:ascii="宋体" w:hAnsi="宋体" w:cs="宋体" w:eastAsia="宋体" w:hint="default"/>
                <w:spacing w:val="-1"/>
                <w:sz w:val="16"/>
                <w:szCs w:val="16"/>
              </w:rPr>
              <w:t>深圳中电长城信息安全系统有</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151,121,425.73</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43,485.07</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151,164,910.80</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湖南长城计算机系统有限公司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100,625,723.02</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103,494.48</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100,729,217.50</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柏怡国际控股有限公司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172,763,481.46</w:t>
            </w:r>
          </w:p>
        </w:tc>
        <w:tc>
          <w:tcPr>
            <w:tcW w:w="1335"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172,763,481.46</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湖南长城科技信息有限公司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2,573,671,936.04</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770,788,193.41</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3,344,460,129.45</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25"/>
              <w:jc w:val="left"/>
              <w:rPr>
                <w:rFonts w:ascii="宋体" w:hAnsi="宋体" w:cs="宋体" w:eastAsia="宋体" w:hint="default"/>
                <w:sz w:val="16"/>
                <w:szCs w:val="16"/>
              </w:rPr>
            </w:pPr>
            <w:r>
              <w:rPr>
                <w:rFonts w:ascii="宋体" w:hAnsi="宋体" w:cs="宋体" w:eastAsia="宋体" w:hint="default"/>
                <w:spacing w:val="-1"/>
                <w:sz w:val="16"/>
                <w:szCs w:val="16"/>
              </w:rPr>
              <w:t>湖南长城信息金融设备有限责</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任公司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154,176,011.36</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166,069,433.96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320,245,445.32</w:t>
            </w:r>
          </w:p>
        </w:tc>
        <w:tc>
          <w:tcPr>
            <w:tcW w:w="1337" w:type="dxa"/>
            <w:tcBorders>
              <w:top w:val="dotted" w:sz="4" w:space="0" w:color="000000"/>
              <w:left w:val="dotted" w:sz="4" w:space="0" w:color="000000"/>
              <w:bottom w:val="dotted" w:sz="4" w:space="0" w:color="000000"/>
              <w:right w:val="dotted" w:sz="4" w:space="0" w:color="000000"/>
            </w:tcBorders>
          </w:tcPr>
          <w:p>
            <w:pP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长沙湘计海盾科技有限公司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536,393,678.07</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119,040.39</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536,512,718.46</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湖南凯杰科技有限责任公司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35,149,766.81</w:t>
            </w:r>
          </w:p>
        </w:tc>
        <w:tc>
          <w:tcPr>
            <w:tcW w:w="1335"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left="82" w:right="0"/>
              <w:jc w:val="center"/>
              <w:rPr>
                <w:rFonts w:ascii="Times New Roman" w:hAnsi="Times New Roman" w:cs="Times New Roman" w:eastAsia="Times New Roman" w:hint="default"/>
                <w:sz w:val="16"/>
                <w:szCs w:val="16"/>
              </w:rPr>
            </w:pPr>
            <w:r>
              <w:rPr>
                <w:rFonts w:ascii="Times New Roman"/>
                <w:sz w:val="16"/>
              </w:rPr>
              <w:t>35,149,766.81</w:t>
            </w:r>
          </w:p>
        </w:tc>
        <w:tc>
          <w:tcPr>
            <w:tcW w:w="1337" w:type="dxa"/>
            <w:tcBorders>
              <w:top w:val="dotted" w:sz="4" w:space="0" w:color="000000"/>
              <w:left w:val="dotted" w:sz="4" w:space="0" w:color="000000"/>
              <w:bottom w:val="dotted" w:sz="4" w:space="0" w:color="000000"/>
              <w:right w:val="dotted" w:sz="4" w:space="0" w:color="000000"/>
            </w:tcBorders>
          </w:tcPr>
          <w:p>
            <w:pP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湖南长城医疗科技有限公司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49,784,037.71</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2"/>
                <w:sz w:val="16"/>
              </w:rPr>
              <w:t>58,519,746.83</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108,303,784.54</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长沙中电软件园有限公司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116,480,452.00</w:t>
            </w:r>
          </w:p>
        </w:tc>
        <w:tc>
          <w:tcPr>
            <w:tcW w:w="1335"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2"/>
                <w:sz w:val="16"/>
              </w:rPr>
              <w:t>116,480,452.00</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河南长城计算计系统有限公司</w:t>
            </w:r>
          </w:p>
        </w:tc>
        <w:tc>
          <w:tcPr>
            <w:tcW w:w="1337" w:type="dxa"/>
            <w:tcBorders>
              <w:top w:val="dotted" w:sz="4" w:space="0" w:color="000000"/>
              <w:left w:val="dotted" w:sz="4" w:space="0" w:color="000000"/>
              <w:bottom w:val="dotted" w:sz="4" w:space="0" w:color="000000"/>
              <w:right w:val="dotted" w:sz="4" w:space="0" w:color="000000"/>
            </w:tcBorders>
          </w:tcPr>
          <w:p>
            <w:pP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100,000,000.00</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100,000,000.00</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山西长城计算计系统有限公司</w:t>
            </w:r>
          </w:p>
        </w:tc>
        <w:tc>
          <w:tcPr>
            <w:tcW w:w="1337" w:type="dxa"/>
            <w:tcBorders>
              <w:top w:val="dotted" w:sz="4" w:space="0" w:color="000000"/>
              <w:left w:val="dotted" w:sz="4" w:space="0" w:color="000000"/>
              <w:bottom w:val="dotted" w:sz="4" w:space="0" w:color="000000"/>
              <w:right w:val="dotted" w:sz="4" w:space="0" w:color="000000"/>
            </w:tcBorders>
          </w:tcPr>
          <w:p>
            <w:pP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100,000,000.00</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100,000,000.00</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浙江长城计算计系统有限公司</w:t>
            </w:r>
          </w:p>
        </w:tc>
        <w:tc>
          <w:tcPr>
            <w:tcW w:w="1337" w:type="dxa"/>
            <w:tcBorders>
              <w:top w:val="dotted" w:sz="4" w:space="0" w:color="000000"/>
              <w:left w:val="dotted" w:sz="4" w:space="0" w:color="000000"/>
              <w:bottom w:val="dotted" w:sz="4" w:space="0" w:color="000000"/>
              <w:right w:val="dotted" w:sz="4" w:space="0" w:color="000000"/>
            </w:tcBorders>
          </w:tcPr>
          <w:p>
            <w:pP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100,000,000.00</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100,000,000.00</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安徽长城计算计系统有限公司</w:t>
            </w:r>
          </w:p>
        </w:tc>
        <w:tc>
          <w:tcPr>
            <w:tcW w:w="1337" w:type="dxa"/>
            <w:tcBorders>
              <w:top w:val="dotted" w:sz="4" w:space="0" w:color="000000"/>
              <w:left w:val="dotted" w:sz="4" w:space="0" w:color="000000"/>
              <w:bottom w:val="dotted" w:sz="4" w:space="0" w:color="000000"/>
              <w:right w:val="dotted" w:sz="4" w:space="0" w:color="000000"/>
            </w:tcBorders>
          </w:tcPr>
          <w:p>
            <w:pP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2"/>
                <w:sz w:val="16"/>
              </w:rPr>
              <w:t>20,000,000.00</w:t>
            </w:r>
          </w:p>
        </w:tc>
        <w:tc>
          <w:tcPr>
            <w:tcW w:w="1217" w:type="dxa"/>
            <w:tcBorders>
              <w:top w:val="dotted" w:sz="4" w:space="0" w:color="000000"/>
              <w:left w:val="dotted" w:sz="4" w:space="0" w:color="000000"/>
              <w:bottom w:val="dotted" w:sz="4" w:space="0" w:color="000000"/>
              <w:right w:val="dotted" w:sz="4" w:space="0" w:color="000000"/>
            </w:tcBorders>
          </w:tcPr>
          <w:p>
            <w:pP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2"/>
                <w:sz w:val="16"/>
              </w:rPr>
              <w:t>20,000,000.00</w:t>
            </w:r>
          </w:p>
        </w:tc>
        <w:tc>
          <w:tcPr>
            <w:tcW w:w="907"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23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4,404,519,122.09</w:t>
            </w:r>
          </w:p>
        </w:tc>
        <w:tc>
          <w:tcPr>
            <w:tcW w:w="13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1,315,643,394.14</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0"/>
              <w:jc w:val="center"/>
              <w:rPr>
                <w:rFonts w:ascii="Times New Roman" w:hAnsi="Times New Roman" w:cs="Times New Roman" w:eastAsia="Times New Roman" w:hint="default"/>
                <w:sz w:val="16"/>
                <w:szCs w:val="16"/>
              </w:rPr>
            </w:pPr>
            <w:r>
              <w:rPr>
                <w:rFonts w:ascii="Times New Roman"/>
                <w:sz w:val="16"/>
              </w:rPr>
              <w:t>355,395,212.13</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5,364,767,304.10</w:t>
            </w:r>
          </w:p>
        </w:tc>
        <w:tc>
          <w:tcPr>
            <w:tcW w:w="907" w:type="dxa"/>
            <w:tcBorders>
              <w:top w:val="dotted" w:sz="4" w:space="0" w:color="000000"/>
              <w:left w:val="dotted" w:sz="4" w:space="0" w:color="000000"/>
              <w:bottom w:val="single" w:sz="12" w:space="0" w:color="000000"/>
              <w:right w:val="dotted" w:sz="4" w:space="0" w:color="000000"/>
            </w:tcBorders>
          </w:tcPr>
          <w:p>
            <w:pPr/>
          </w:p>
        </w:tc>
        <w:tc>
          <w:tcPr>
            <w:tcW w:w="12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150,290,281.63</w:t>
            </w:r>
          </w:p>
        </w:tc>
      </w:tr>
    </w:tbl>
    <w:p>
      <w:pPr>
        <w:pStyle w:val="BodyText"/>
        <w:spacing w:line="240" w:lineRule="auto" w:before="9"/>
        <w:ind w:left="846" w:right="1468"/>
        <w:jc w:val="left"/>
      </w:pPr>
      <w:r>
        <w:rPr>
          <w:w w:val="100"/>
        </w:rPr>
        <w:t>说明</w:t>
      </w:r>
      <w:r>
        <w:rPr>
          <w:spacing w:val="-3"/>
          <w:w w:val="100"/>
        </w:rPr>
        <w:t>：</w:t>
      </w:r>
      <w:r>
        <w:rPr>
          <w:w w:val="100"/>
        </w:rPr>
        <w:t>本</w:t>
      </w:r>
      <w:r>
        <w:rPr>
          <w:spacing w:val="-3"/>
          <w:w w:val="100"/>
        </w:rPr>
        <w:t>期</w:t>
      </w:r>
      <w:r>
        <w:rPr>
          <w:w w:val="100"/>
        </w:rPr>
        <w:t>新</w:t>
      </w:r>
      <w:r>
        <w:rPr>
          <w:spacing w:val="-3"/>
          <w:w w:val="100"/>
        </w:rPr>
        <w:t>设</w:t>
      </w:r>
      <w:r>
        <w:rPr>
          <w:w w:val="100"/>
        </w:rPr>
        <w:t>子</w:t>
      </w:r>
      <w:r>
        <w:rPr>
          <w:spacing w:val="-3"/>
          <w:w w:val="100"/>
        </w:rPr>
        <w:t>公</w:t>
      </w:r>
      <w:r>
        <w:rPr>
          <w:w w:val="100"/>
        </w:rPr>
        <w:t>司</w:t>
      </w:r>
      <w:r>
        <w:rPr>
          <w:spacing w:val="-3"/>
          <w:w w:val="100"/>
        </w:rPr>
        <w:t>情</w:t>
      </w:r>
      <w:r>
        <w:rPr>
          <w:w w:val="100"/>
        </w:rPr>
        <w:t>况详</w:t>
      </w:r>
      <w:r>
        <w:rPr>
          <w:spacing w:val="-3"/>
          <w:w w:val="100"/>
        </w:rPr>
        <w:t>见</w:t>
      </w:r>
      <w:r>
        <w:rPr>
          <w:w w:val="100"/>
        </w:rPr>
        <w:t>附</w:t>
      </w:r>
      <w:r>
        <w:rPr>
          <w:spacing w:val="-3"/>
          <w:w w:val="100"/>
        </w:rPr>
        <w:t>注</w:t>
      </w:r>
      <w:r>
        <w:rPr>
          <w:w w:val="100"/>
        </w:rPr>
        <w:t>六</w:t>
      </w:r>
      <w:r>
        <w:rPr>
          <w:spacing w:val="-108"/>
          <w:w w:val="100"/>
        </w:rPr>
        <w:t>、</w:t>
      </w:r>
      <w:r>
        <w:rPr>
          <w:w w:val="100"/>
        </w:rPr>
        <w:t>（</w:t>
      </w:r>
      <w:r>
        <w:rPr>
          <w:spacing w:val="-3"/>
          <w:w w:val="100"/>
        </w:rPr>
        <w:t>三</w:t>
      </w:r>
      <w:r>
        <w:rPr>
          <w:w w:val="100"/>
        </w:rPr>
        <w:t>）</w:t>
      </w:r>
      <w:r>
        <w:rPr/>
        <w:t> </w:t>
      </w:r>
      <w:r>
        <w:rPr>
          <w:spacing w:val="-3"/>
          <w:w w:val="100"/>
        </w:rPr>
        <w:t>其</w:t>
      </w:r>
      <w:r>
        <w:rPr>
          <w:w w:val="100"/>
        </w:rPr>
        <w:t>他原</w:t>
      </w:r>
      <w:r>
        <w:rPr>
          <w:spacing w:val="-3"/>
          <w:w w:val="100"/>
        </w:rPr>
        <w:t>因</w:t>
      </w:r>
      <w:r>
        <w:rPr>
          <w:w w:val="100"/>
        </w:rPr>
        <w:t>的</w:t>
      </w:r>
      <w:r>
        <w:rPr>
          <w:spacing w:val="-3"/>
          <w:w w:val="100"/>
        </w:rPr>
        <w:t>合</w:t>
      </w:r>
      <w:r>
        <w:rPr>
          <w:w w:val="100"/>
        </w:rPr>
        <w:t>并</w:t>
      </w:r>
      <w:r>
        <w:rPr>
          <w:spacing w:val="-3"/>
          <w:w w:val="100"/>
        </w:rPr>
        <w:t>范</w:t>
      </w:r>
      <w:r>
        <w:rPr>
          <w:w w:val="100"/>
        </w:rPr>
        <w:t>围</w:t>
      </w:r>
      <w:r>
        <w:rPr>
          <w:spacing w:val="-3"/>
          <w:w w:val="100"/>
        </w:rPr>
        <w:t>变</w:t>
      </w:r>
      <w:r>
        <w:rPr>
          <w:w w:val="100"/>
        </w:rPr>
        <w:t>动</w:t>
      </w:r>
      <w:r>
        <w:rPr>
          <w:spacing w:val="-3"/>
          <w:w w:val="100"/>
        </w:rPr>
        <w:t>注</w:t>
      </w:r>
      <w:r>
        <w:rPr>
          <w:w w:val="100"/>
        </w:rPr>
        <w:t>释。</w:t>
      </w:r>
    </w:p>
    <w:p>
      <w:pPr>
        <w:spacing w:after="0" w:line="240" w:lineRule="auto"/>
        <w:jc w:val="left"/>
        <w:sectPr>
          <w:headerReference w:type="default" r:id="rId76"/>
          <w:pgSz w:w="11910" w:h="16840"/>
          <w:pgMar w:header="640" w:footer="997" w:top="1380" w:bottom="1180" w:left="1660" w:right="0"/>
        </w:sectPr>
      </w:pPr>
    </w:p>
    <w:p>
      <w:pPr>
        <w:spacing w:line="530" w:lineRule="auto" w:before="25"/>
        <w:ind w:left="140" w:right="11998" w:firstLine="0"/>
        <w:jc w:val="left"/>
        <w:rPr>
          <w:rFonts w:ascii="宋体" w:hAnsi="宋体" w:cs="宋体" w:eastAsia="宋体" w:hint="default"/>
          <w:sz w:val="18"/>
          <w:szCs w:val="18"/>
        </w:rPr>
      </w:pPr>
      <w:r>
        <w:rPr/>
        <w:pict>
          <v:group style="position:absolute;margin-left:70.559998pt;margin-top:41.661732pt;width:700.9pt;height:.1pt;mso-position-horizontal-relative:page;mso-position-vertical-relative:paragraph;z-index:-1629064" coordorigin="1411,833" coordsize="14018,2">
            <v:shape style="position:absolute;left:1411;top:833;width:14018;height:2" coordorigin="1411,833" coordsize="14018,0" path="m1411,833l15429,833e" filled="false" stroked="true" strokeweight=".48pt" strokecolor="#000000">
              <v:path arrowok="t"/>
            </v:shape>
            <w10:wrap type="none"/>
          </v:group>
        </w:pict>
      </w:r>
      <w:r>
        <w:rPr>
          <w:rFonts w:ascii="宋体" w:hAnsi="宋体" w:cs="宋体" w:eastAsia="宋体" w:hint="default"/>
          <w:sz w:val="18"/>
          <w:szCs w:val="18"/>
        </w:rPr>
        <w:t>中国长城科技集团股份有限公司 财务报表附注</w:t>
      </w:r>
      <w:r>
        <w:rPr>
          <w:rFonts w:ascii="宋体" w:hAnsi="宋体" w:cs="宋体" w:eastAsia="宋体" w:hint="default"/>
          <w:sz w:val="18"/>
          <w:szCs w:val="18"/>
        </w:rPr>
        <w:t> </w:t>
      </w:r>
    </w:p>
    <w:p>
      <w:pPr>
        <w:spacing w:line="240" w:lineRule="auto" w:before="7"/>
        <w:rPr>
          <w:rFonts w:ascii="宋体" w:hAnsi="宋体" w:cs="宋体" w:eastAsia="宋体" w:hint="default"/>
          <w:sz w:val="10"/>
          <w:szCs w:val="10"/>
        </w:rPr>
      </w:pPr>
    </w:p>
    <w:p>
      <w:pPr>
        <w:pStyle w:val="Heading5"/>
        <w:tabs>
          <w:tab w:pos="1400" w:val="left" w:leader="none"/>
        </w:tabs>
        <w:spacing w:line="240" w:lineRule="auto"/>
        <w:ind w:left="848" w:right="0"/>
        <w:jc w:val="left"/>
        <w:rPr>
          <w:b w:val="0"/>
          <w:bCs w:val="0"/>
        </w:rPr>
      </w:pPr>
      <w:r>
        <w:rPr>
          <w:rFonts w:ascii="Times New Roman" w:hAnsi="Times New Roman" w:cs="Times New Roman" w:eastAsia="Times New Roman" w:hint="default"/>
        </w:rPr>
        <w:t>2</w:t>
      </w:r>
      <w:r>
        <w:rPr/>
        <w:t>、</w:t>
        <w:tab/>
      </w:r>
      <w:r>
        <w:rPr>
          <w:spacing w:val="-1"/>
        </w:rPr>
        <w:t>对联营、合营企业投资</w:t>
      </w:r>
      <w:r>
        <w:rPr>
          <w:b w:val="0"/>
          <w:bCs w:val="0"/>
          <w:spacing w:val="-1"/>
        </w:rPr>
      </w:r>
    </w:p>
    <w:tbl>
      <w:tblPr>
        <w:tblW w:w="0" w:type="auto"/>
        <w:jc w:val="left"/>
        <w:tblInd w:w="111" w:type="dxa"/>
        <w:tblLayout w:type="fixed"/>
        <w:tblCellMar>
          <w:top w:w="0" w:type="dxa"/>
          <w:left w:w="0" w:type="dxa"/>
          <w:bottom w:w="0" w:type="dxa"/>
          <w:right w:w="0" w:type="dxa"/>
        </w:tblCellMar>
        <w:tblLook w:val="01E0"/>
      </w:tblPr>
      <w:tblGrid>
        <w:gridCol w:w="2508"/>
        <w:gridCol w:w="1217"/>
        <w:gridCol w:w="1217"/>
        <w:gridCol w:w="1054"/>
        <w:gridCol w:w="1236"/>
        <w:gridCol w:w="1054"/>
        <w:gridCol w:w="1142"/>
        <w:gridCol w:w="1224"/>
        <w:gridCol w:w="914"/>
        <w:gridCol w:w="814"/>
        <w:gridCol w:w="1214"/>
        <w:gridCol w:w="828"/>
      </w:tblGrid>
      <w:tr>
        <w:trPr>
          <w:trHeight w:val="403" w:hRule="exact"/>
        </w:trPr>
        <w:tc>
          <w:tcPr>
            <w:tcW w:w="2508"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被投资单位</w:t>
            </w:r>
          </w:p>
        </w:tc>
        <w:tc>
          <w:tcPr>
            <w:tcW w:w="1217" w:type="dxa"/>
            <w:vMerge w:val="restart"/>
            <w:tcBorders>
              <w:top w:val="single" w:sz="12" w:space="0" w:color="000000"/>
              <w:left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8656"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1" w:right="0"/>
              <w:jc w:val="center"/>
              <w:rPr>
                <w:rFonts w:ascii="宋体" w:hAnsi="宋体" w:cs="宋体" w:eastAsia="宋体" w:hint="default"/>
                <w:sz w:val="16"/>
                <w:szCs w:val="16"/>
              </w:rPr>
            </w:pPr>
            <w:r>
              <w:rPr>
                <w:rFonts w:ascii="宋体" w:hAnsi="宋体" w:cs="宋体" w:eastAsia="宋体" w:hint="default"/>
                <w:sz w:val="16"/>
                <w:szCs w:val="16"/>
              </w:rPr>
              <w:t>本期增减变动</w:t>
            </w:r>
          </w:p>
        </w:tc>
        <w:tc>
          <w:tcPr>
            <w:tcW w:w="1214" w:type="dxa"/>
            <w:vMerge w:val="restart"/>
            <w:tcBorders>
              <w:top w:val="single" w:sz="12" w:space="0" w:color="000000"/>
              <w:left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828" w:type="dxa"/>
            <w:vMerge w:val="restart"/>
            <w:tcBorders>
              <w:top w:val="single" w:sz="12" w:space="0" w:color="000000"/>
              <w:left w:val="dotted" w:sz="4" w:space="0" w:color="000000"/>
              <w:right w:val="nil" w:sz="6" w:space="0" w:color="auto"/>
            </w:tcBorders>
          </w:tcPr>
          <w:p>
            <w:pPr>
              <w:pStyle w:val="TableParagraph"/>
              <w:spacing w:line="237" w:lineRule="auto" w:before="98"/>
              <w:ind w:left="168" w:right="170"/>
              <w:jc w:val="both"/>
              <w:rPr>
                <w:rFonts w:ascii="宋体" w:hAnsi="宋体" w:cs="宋体" w:eastAsia="宋体" w:hint="default"/>
                <w:sz w:val="16"/>
                <w:szCs w:val="16"/>
              </w:rPr>
            </w:pPr>
            <w:r>
              <w:rPr>
                <w:rFonts w:ascii="宋体" w:hAnsi="宋体" w:cs="宋体" w:eastAsia="宋体" w:hint="default"/>
                <w:sz w:val="16"/>
                <w:szCs w:val="16"/>
              </w:rPr>
              <w:t>减值准</w:t>
            </w:r>
            <w:r>
              <w:rPr>
                <w:rFonts w:ascii="宋体" w:hAnsi="宋体" w:cs="宋体" w:eastAsia="宋体" w:hint="default"/>
                <w:spacing w:val="-78"/>
                <w:sz w:val="16"/>
                <w:szCs w:val="16"/>
              </w:rPr>
              <w:t> </w:t>
            </w:r>
            <w:r>
              <w:rPr>
                <w:rFonts w:ascii="宋体" w:hAnsi="宋体" w:cs="宋体" w:eastAsia="宋体" w:hint="default"/>
                <w:sz w:val="16"/>
                <w:szCs w:val="16"/>
              </w:rPr>
              <w:t>备期末</w:t>
            </w:r>
            <w:r>
              <w:rPr>
                <w:rFonts w:ascii="宋体" w:hAnsi="宋体" w:cs="宋体" w:eastAsia="宋体" w:hint="default"/>
                <w:spacing w:val="-78"/>
                <w:sz w:val="16"/>
                <w:szCs w:val="16"/>
              </w:rPr>
              <w:t> </w:t>
            </w:r>
            <w:r>
              <w:rPr>
                <w:rFonts w:ascii="宋体" w:hAnsi="宋体" w:cs="宋体" w:eastAsia="宋体" w:hint="default"/>
                <w:sz w:val="16"/>
                <w:szCs w:val="16"/>
              </w:rPr>
              <w:t>余额</w:t>
            </w:r>
          </w:p>
        </w:tc>
      </w:tr>
      <w:tr>
        <w:trPr>
          <w:trHeight w:val="602" w:hRule="exact"/>
        </w:trPr>
        <w:tc>
          <w:tcPr>
            <w:tcW w:w="2508" w:type="dxa"/>
            <w:vMerge/>
            <w:tcBorders>
              <w:left w:val="nil" w:sz="6" w:space="0" w:color="auto"/>
              <w:bottom w:val="dotted" w:sz="4" w:space="0" w:color="000000"/>
              <w:right w:val="dotted" w:sz="4" w:space="0" w:color="000000"/>
            </w:tcBorders>
          </w:tcPr>
          <w:p>
            <w:pPr/>
          </w:p>
        </w:tc>
        <w:tc>
          <w:tcPr>
            <w:tcW w:w="1217" w:type="dxa"/>
            <w:vMerge/>
            <w:tcBorders>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 w:right="0"/>
              <w:jc w:val="center"/>
              <w:rPr>
                <w:rFonts w:ascii="宋体" w:hAnsi="宋体" w:cs="宋体" w:eastAsia="宋体" w:hint="default"/>
                <w:sz w:val="16"/>
                <w:szCs w:val="16"/>
              </w:rPr>
            </w:pPr>
            <w:r>
              <w:rPr>
                <w:rFonts w:ascii="宋体" w:hAnsi="宋体" w:cs="宋体" w:eastAsia="宋体" w:hint="default"/>
                <w:sz w:val="16"/>
                <w:szCs w:val="16"/>
              </w:rPr>
              <w:t>追加投资</w:t>
            </w:r>
          </w:p>
        </w:tc>
        <w:tc>
          <w:tcPr>
            <w:tcW w:w="10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99" w:right="0"/>
              <w:jc w:val="left"/>
              <w:rPr>
                <w:rFonts w:ascii="宋体" w:hAnsi="宋体" w:cs="宋体" w:eastAsia="宋体" w:hint="default"/>
                <w:sz w:val="16"/>
                <w:szCs w:val="16"/>
              </w:rPr>
            </w:pPr>
            <w:r>
              <w:rPr>
                <w:rFonts w:ascii="宋体" w:hAnsi="宋体" w:cs="宋体" w:eastAsia="宋体" w:hint="default"/>
                <w:sz w:val="16"/>
                <w:szCs w:val="16"/>
              </w:rPr>
              <w:t>减少投资</w:t>
            </w:r>
          </w:p>
        </w:tc>
        <w:tc>
          <w:tcPr>
            <w:tcW w:w="12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13" w:right="130" w:hanging="82"/>
              <w:jc w:val="left"/>
              <w:rPr>
                <w:rFonts w:ascii="宋体" w:hAnsi="宋体" w:cs="宋体" w:eastAsia="宋体" w:hint="default"/>
                <w:sz w:val="16"/>
                <w:szCs w:val="16"/>
              </w:rPr>
            </w:pPr>
            <w:r>
              <w:rPr>
                <w:rFonts w:ascii="宋体" w:hAnsi="宋体" w:cs="宋体" w:eastAsia="宋体" w:hint="default"/>
                <w:sz w:val="16"/>
                <w:szCs w:val="16"/>
              </w:rPr>
              <w:t>权益法下确认</w:t>
            </w:r>
            <w:r>
              <w:rPr>
                <w:rFonts w:ascii="宋体" w:hAnsi="宋体" w:cs="宋体" w:eastAsia="宋体" w:hint="default"/>
                <w:w w:val="100"/>
                <w:sz w:val="16"/>
                <w:szCs w:val="16"/>
              </w:rPr>
              <w:t> </w:t>
            </w:r>
            <w:r>
              <w:rPr>
                <w:rFonts w:ascii="宋体" w:hAnsi="宋体" w:cs="宋体" w:eastAsia="宋体" w:hint="default"/>
                <w:sz w:val="16"/>
                <w:szCs w:val="16"/>
              </w:rPr>
              <w:t>的投资损益</w:t>
            </w:r>
          </w:p>
        </w:tc>
        <w:tc>
          <w:tcPr>
            <w:tcW w:w="10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80" w:right="118" w:hanging="159"/>
              <w:jc w:val="left"/>
              <w:rPr>
                <w:rFonts w:ascii="宋体" w:hAnsi="宋体" w:cs="宋体" w:eastAsia="宋体" w:hint="default"/>
                <w:sz w:val="16"/>
                <w:szCs w:val="16"/>
              </w:rPr>
            </w:pPr>
            <w:r>
              <w:rPr>
                <w:rFonts w:ascii="宋体" w:hAnsi="宋体" w:cs="宋体" w:eastAsia="宋体" w:hint="default"/>
                <w:sz w:val="16"/>
                <w:szCs w:val="16"/>
              </w:rPr>
              <w:t>其他综合收</w:t>
            </w:r>
            <w:r>
              <w:rPr>
                <w:rFonts w:ascii="宋体" w:hAnsi="宋体" w:cs="宋体" w:eastAsia="宋体" w:hint="default"/>
                <w:w w:val="100"/>
                <w:sz w:val="16"/>
                <w:szCs w:val="16"/>
              </w:rPr>
              <w:t> </w:t>
            </w:r>
            <w:r>
              <w:rPr>
                <w:rFonts w:ascii="宋体" w:hAnsi="宋体" w:cs="宋体" w:eastAsia="宋体" w:hint="default"/>
                <w:sz w:val="16"/>
                <w:szCs w:val="16"/>
              </w:rPr>
              <w:t>益调整</w:t>
            </w: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484" w:right="163" w:hanging="320"/>
              <w:jc w:val="left"/>
              <w:rPr>
                <w:rFonts w:ascii="宋体" w:hAnsi="宋体" w:cs="宋体" w:eastAsia="宋体" w:hint="default"/>
                <w:sz w:val="16"/>
                <w:szCs w:val="16"/>
              </w:rPr>
            </w:pPr>
            <w:r>
              <w:rPr>
                <w:rFonts w:ascii="宋体" w:hAnsi="宋体" w:cs="宋体" w:eastAsia="宋体" w:hint="default"/>
                <w:sz w:val="16"/>
                <w:szCs w:val="16"/>
              </w:rPr>
              <w:t>其他权益变</w:t>
            </w:r>
            <w:r>
              <w:rPr>
                <w:rFonts w:ascii="宋体" w:hAnsi="宋体" w:cs="宋体" w:eastAsia="宋体" w:hint="default"/>
                <w:w w:val="100"/>
                <w:sz w:val="16"/>
                <w:szCs w:val="16"/>
              </w:rPr>
              <w:t> </w:t>
            </w:r>
            <w:r>
              <w:rPr>
                <w:rFonts w:ascii="宋体" w:hAnsi="宋体" w:cs="宋体" w:eastAsia="宋体" w:hint="default"/>
                <w:sz w:val="16"/>
                <w:szCs w:val="16"/>
              </w:rPr>
              <w:t>动</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06" w:right="122" w:hanging="80"/>
              <w:jc w:val="left"/>
              <w:rPr>
                <w:rFonts w:ascii="宋体" w:hAnsi="宋体" w:cs="宋体" w:eastAsia="宋体" w:hint="default"/>
                <w:sz w:val="16"/>
                <w:szCs w:val="16"/>
              </w:rPr>
            </w:pPr>
            <w:r>
              <w:rPr>
                <w:rFonts w:ascii="宋体" w:hAnsi="宋体" w:cs="宋体" w:eastAsia="宋体" w:hint="default"/>
                <w:sz w:val="16"/>
                <w:szCs w:val="16"/>
              </w:rPr>
              <w:t>宣告发放现金</w:t>
            </w:r>
            <w:r>
              <w:rPr>
                <w:rFonts w:ascii="宋体" w:hAnsi="宋体" w:cs="宋体" w:eastAsia="宋体" w:hint="default"/>
                <w:w w:val="100"/>
                <w:sz w:val="16"/>
                <w:szCs w:val="16"/>
              </w:rPr>
              <w:t> </w:t>
            </w:r>
            <w:r>
              <w:rPr>
                <w:rFonts w:ascii="宋体" w:hAnsi="宋体" w:cs="宋体" w:eastAsia="宋体" w:hint="default"/>
                <w:sz w:val="16"/>
                <w:szCs w:val="16"/>
              </w:rPr>
              <w:t>股利或利润</w:t>
            </w:r>
          </w:p>
        </w:tc>
        <w:tc>
          <w:tcPr>
            <w:tcW w:w="9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90" w:right="131" w:hanging="161"/>
              <w:jc w:val="left"/>
              <w:rPr>
                <w:rFonts w:ascii="宋体" w:hAnsi="宋体" w:cs="宋体" w:eastAsia="宋体" w:hint="default"/>
                <w:sz w:val="16"/>
                <w:szCs w:val="16"/>
              </w:rPr>
            </w:pPr>
            <w:r>
              <w:rPr>
                <w:rFonts w:ascii="宋体" w:hAnsi="宋体" w:cs="宋体" w:eastAsia="宋体" w:hint="default"/>
                <w:sz w:val="16"/>
                <w:szCs w:val="16"/>
              </w:rPr>
              <w:t>计提减值</w:t>
            </w:r>
            <w:r>
              <w:rPr>
                <w:rFonts w:ascii="宋体" w:hAnsi="宋体" w:cs="宋体" w:eastAsia="宋体" w:hint="default"/>
                <w:spacing w:val="-77"/>
                <w:sz w:val="16"/>
                <w:szCs w:val="16"/>
              </w:rPr>
              <w:t> </w:t>
            </w:r>
            <w:r>
              <w:rPr>
                <w:rFonts w:ascii="宋体" w:hAnsi="宋体" w:cs="宋体" w:eastAsia="宋体" w:hint="default"/>
                <w:sz w:val="16"/>
                <w:szCs w:val="16"/>
              </w:rPr>
              <w:t>准备</w:t>
            </w:r>
          </w:p>
        </w:tc>
        <w:tc>
          <w:tcPr>
            <w:tcW w:w="8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240"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14" w:type="dxa"/>
            <w:vMerge/>
            <w:tcBorders>
              <w:left w:val="dotted" w:sz="4" w:space="0" w:color="000000"/>
              <w:bottom w:val="dotted" w:sz="4" w:space="0" w:color="000000"/>
              <w:right w:val="dotted" w:sz="4" w:space="0" w:color="000000"/>
            </w:tcBorders>
          </w:tcPr>
          <w:p>
            <w:pPr/>
          </w:p>
        </w:tc>
        <w:tc>
          <w:tcPr>
            <w:tcW w:w="828" w:type="dxa"/>
            <w:vMerge/>
            <w:tcBorders>
              <w:left w:val="dotted" w:sz="4" w:space="0" w:color="000000"/>
              <w:bottom w:val="dotted" w:sz="4" w:space="0" w:color="000000"/>
              <w:right w:val="nil" w:sz="6" w:space="0" w:color="auto"/>
            </w:tcBorders>
          </w:tcPr>
          <w:p>
            <w:pPr/>
          </w:p>
        </w:tc>
      </w:tr>
      <w:tr>
        <w:trPr>
          <w:trHeight w:val="394"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．合营企业</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828"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828"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．联营企业</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
        </w:tc>
        <w:tc>
          <w:tcPr>
            <w:tcW w:w="828"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长信数码信息文化发展有限公司</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133,414.89</w:t>
            </w:r>
          </w:p>
        </w:tc>
        <w:tc>
          <w:tcPr>
            <w:tcW w:w="1217"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133,414.89</w:t>
            </w:r>
          </w:p>
        </w:tc>
        <w:tc>
          <w:tcPr>
            <w:tcW w:w="828"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桂林长海科技有限责任公司</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18,692,641.26</w:t>
            </w:r>
          </w:p>
        </w:tc>
        <w:tc>
          <w:tcPr>
            <w:tcW w:w="1217"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1,903,401.83</w:t>
            </w: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98"/>
              <w:jc w:val="right"/>
              <w:rPr>
                <w:rFonts w:ascii="Times New Roman" w:hAnsi="Times New Roman" w:cs="Times New Roman" w:eastAsia="Times New Roman" w:hint="default"/>
                <w:sz w:val="16"/>
                <w:szCs w:val="16"/>
              </w:rPr>
            </w:pPr>
            <w:r>
              <w:rPr>
                <w:rFonts w:ascii="Times New Roman"/>
                <w:spacing w:val="-2"/>
                <w:sz w:val="16"/>
              </w:rPr>
              <w:t>20,596,043.09</w:t>
            </w:r>
          </w:p>
        </w:tc>
        <w:tc>
          <w:tcPr>
            <w:tcW w:w="828"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广州鼎甲计算机科技有限公司</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29,621,147.82</w:t>
            </w:r>
          </w:p>
        </w:tc>
        <w:tc>
          <w:tcPr>
            <w:tcW w:w="1217"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3,495,183.50</w:t>
            </w: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left="82" w:right="0"/>
              <w:jc w:val="center"/>
              <w:rPr>
                <w:rFonts w:ascii="Times New Roman" w:hAnsi="Times New Roman" w:cs="Times New Roman" w:eastAsia="Times New Roman" w:hint="default"/>
                <w:sz w:val="16"/>
                <w:szCs w:val="16"/>
              </w:rPr>
            </w:pPr>
            <w:r>
              <w:rPr>
                <w:rFonts w:ascii="Times New Roman"/>
                <w:sz w:val="16"/>
              </w:rPr>
              <w:t>3,654,558.33</w:t>
            </w: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98"/>
              <w:jc w:val="right"/>
              <w:rPr>
                <w:rFonts w:ascii="Times New Roman" w:hAnsi="Times New Roman" w:cs="Times New Roman" w:eastAsia="Times New Roman" w:hint="default"/>
                <w:sz w:val="16"/>
                <w:szCs w:val="16"/>
              </w:rPr>
            </w:pPr>
            <w:r>
              <w:rPr>
                <w:rFonts w:ascii="Times New Roman"/>
                <w:spacing w:val="-2"/>
                <w:sz w:val="16"/>
              </w:rPr>
              <w:t>36,770,889.65</w:t>
            </w:r>
          </w:p>
        </w:tc>
        <w:tc>
          <w:tcPr>
            <w:tcW w:w="828" w:type="dxa"/>
            <w:tcBorders>
              <w:top w:val="dotted" w:sz="4" w:space="0" w:color="000000"/>
              <w:left w:val="dotted" w:sz="4" w:space="0" w:color="000000"/>
              <w:bottom w:val="dotted" w:sz="4" w:space="0" w:color="000000"/>
              <w:right w:val="nil" w:sz="6" w:space="0" w:color="auto"/>
            </w:tcBorders>
          </w:tcPr>
          <w:p>
            <w:pPr/>
          </w:p>
        </w:tc>
      </w:tr>
      <w:tr>
        <w:trPr>
          <w:trHeight w:val="602"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137"/>
              <w:jc w:val="left"/>
              <w:rPr>
                <w:rFonts w:ascii="宋体" w:hAnsi="宋体" w:cs="宋体" w:eastAsia="宋体" w:hint="default"/>
                <w:sz w:val="16"/>
                <w:szCs w:val="16"/>
              </w:rPr>
            </w:pPr>
            <w:r>
              <w:rPr>
                <w:rFonts w:ascii="宋体" w:hAnsi="宋体" w:cs="宋体" w:eastAsia="宋体" w:hint="default"/>
                <w:spacing w:val="-1"/>
                <w:sz w:val="16"/>
                <w:szCs w:val="16"/>
              </w:rPr>
              <w:t>湖南中电长城信息技术服务运营</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有限公司</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898,848.28</w:t>
            </w:r>
          </w:p>
        </w:tc>
        <w:tc>
          <w:tcPr>
            <w:tcW w:w="1217"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-730,387.67</w:t>
            </w: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168,460.61</w:t>
            </w:r>
          </w:p>
        </w:tc>
        <w:tc>
          <w:tcPr>
            <w:tcW w:w="828"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中科长城海洋信息系统有限公司</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8,383,601.86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160" w:right="0"/>
              <w:jc w:val="center"/>
              <w:rPr>
                <w:rFonts w:ascii="Times New Roman" w:hAnsi="Times New Roman" w:cs="Times New Roman" w:eastAsia="Times New Roman" w:hint="default"/>
                <w:sz w:val="16"/>
                <w:szCs w:val="16"/>
              </w:rPr>
            </w:pPr>
            <w:r>
              <w:rPr>
                <w:rFonts w:ascii="Times New Roman"/>
                <w:sz w:val="16"/>
              </w:rPr>
              <w:t>3,400,000.00</w:t>
            </w: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-9,911,151.29</w:t>
            </w: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1,872,450.57</w:t>
            </w:r>
          </w:p>
        </w:tc>
        <w:tc>
          <w:tcPr>
            <w:tcW w:w="828"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长城超云（北京）科技有限公司</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216,531,914.13</w:t>
            </w:r>
          </w:p>
        </w:tc>
        <w:tc>
          <w:tcPr>
            <w:tcW w:w="1217"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13,882,133.73</w:t>
            </w: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230,414,047.86</w:t>
            </w:r>
          </w:p>
        </w:tc>
        <w:tc>
          <w:tcPr>
            <w:tcW w:w="828"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深圳中电蓝海控股有限公司</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9,800,000.00</w:t>
            </w:r>
          </w:p>
        </w:tc>
        <w:tc>
          <w:tcPr>
            <w:tcW w:w="1217" w:type="dxa"/>
            <w:tcBorders>
              <w:top w:val="dotted" w:sz="4" w:space="0" w:color="000000"/>
              <w:left w:val="dotted" w:sz="4" w:space="0" w:color="000000"/>
              <w:bottom w:val="dotted" w:sz="4" w:space="0" w:color="000000"/>
              <w:right w:val="dotted" w:sz="4" w:space="0" w:color="000000"/>
            </w:tcBorders>
          </w:tcPr>
          <w:p>
            <w:pP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-3,526,941.06</w:t>
            </w: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6,273,058.94</w:t>
            </w:r>
          </w:p>
        </w:tc>
        <w:tc>
          <w:tcPr>
            <w:tcW w:w="828"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天津飞腾信息技术有限公司</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0"/>
              <w:jc w:val="center"/>
              <w:rPr>
                <w:rFonts w:ascii="Times New Roman" w:hAnsi="Times New Roman" w:cs="Times New Roman" w:eastAsia="Times New Roman" w:hint="default"/>
                <w:sz w:val="16"/>
                <w:szCs w:val="16"/>
              </w:rPr>
            </w:pPr>
            <w:r>
              <w:rPr>
                <w:rFonts w:ascii="Times New Roman"/>
                <w:sz w:val="16"/>
              </w:rPr>
              <w:t>302,190,000.00</w:t>
            </w: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-1,949,773.27</w:t>
            </w: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29" w:right="0"/>
              <w:jc w:val="center"/>
              <w:rPr>
                <w:rFonts w:ascii="Times New Roman" w:hAnsi="Times New Roman" w:cs="Times New Roman" w:eastAsia="Times New Roman" w:hint="default"/>
                <w:sz w:val="16"/>
                <w:szCs w:val="16"/>
              </w:rPr>
            </w:pPr>
            <w:r>
              <w:rPr>
                <w:rFonts w:ascii="Times New Roman"/>
                <w:sz w:val="16"/>
              </w:rPr>
              <w:t>-9,206,460.83</w:t>
            </w: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291,033,765.90</w:t>
            </w:r>
          </w:p>
        </w:tc>
        <w:tc>
          <w:tcPr>
            <w:tcW w:w="828"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250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284,061,568.24</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0"/>
              <w:jc w:val="center"/>
              <w:rPr>
                <w:rFonts w:ascii="Times New Roman" w:hAnsi="Times New Roman" w:cs="Times New Roman" w:eastAsia="Times New Roman" w:hint="default"/>
                <w:sz w:val="16"/>
                <w:szCs w:val="16"/>
              </w:rPr>
            </w:pPr>
            <w:r>
              <w:rPr>
                <w:rFonts w:ascii="Times New Roman"/>
                <w:sz w:val="16"/>
              </w:rPr>
              <w:t>305,590,000.00</w:t>
            </w:r>
          </w:p>
        </w:tc>
        <w:tc>
          <w:tcPr>
            <w:tcW w:w="1054" w:type="dxa"/>
            <w:tcBorders>
              <w:top w:val="dotted" w:sz="4" w:space="0" w:color="000000"/>
              <w:left w:val="dotted" w:sz="4" w:space="0" w:color="000000"/>
              <w:bottom w:val="dotted" w:sz="4" w:space="0" w:color="000000"/>
              <w:right w:val="dotted" w:sz="4" w:space="0" w:color="000000"/>
            </w:tcBorders>
          </w:tcPr>
          <w:p>
            <w:pPr/>
          </w:p>
        </w:tc>
        <w:tc>
          <w:tcPr>
            <w:tcW w:w="12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3,162,465.77</w:t>
            </w:r>
          </w:p>
        </w:tc>
        <w:tc>
          <w:tcPr>
            <w:tcW w:w="1054"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left="29" w:right="0"/>
              <w:jc w:val="center"/>
              <w:rPr>
                <w:rFonts w:ascii="Times New Roman" w:hAnsi="Times New Roman" w:cs="Times New Roman" w:eastAsia="Times New Roman" w:hint="default"/>
                <w:sz w:val="16"/>
                <w:szCs w:val="16"/>
              </w:rPr>
            </w:pPr>
            <w:r>
              <w:rPr>
                <w:rFonts w:ascii="Times New Roman"/>
                <w:sz w:val="16"/>
              </w:rPr>
              <w:t>-5,551,902.50</w:t>
            </w:r>
          </w:p>
        </w:tc>
        <w:tc>
          <w:tcPr>
            <w:tcW w:w="1224"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587,262,131.51</w:t>
            </w:r>
          </w:p>
        </w:tc>
        <w:tc>
          <w:tcPr>
            <w:tcW w:w="828"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2508"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2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284,061,568.24</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0"/>
              <w:jc w:val="center"/>
              <w:rPr>
                <w:rFonts w:ascii="Times New Roman" w:hAnsi="Times New Roman" w:cs="Times New Roman" w:eastAsia="Times New Roman" w:hint="default"/>
                <w:sz w:val="16"/>
                <w:szCs w:val="16"/>
              </w:rPr>
            </w:pPr>
            <w:r>
              <w:rPr>
                <w:rFonts w:ascii="Times New Roman"/>
                <w:sz w:val="16"/>
              </w:rPr>
              <w:t>305,590,000.00</w:t>
            </w:r>
          </w:p>
        </w:tc>
        <w:tc>
          <w:tcPr>
            <w:tcW w:w="1054" w:type="dxa"/>
            <w:tcBorders>
              <w:top w:val="dotted" w:sz="4" w:space="0" w:color="000000"/>
              <w:left w:val="dotted" w:sz="4" w:space="0" w:color="000000"/>
              <w:bottom w:val="single" w:sz="12" w:space="0" w:color="000000"/>
              <w:right w:val="dotted" w:sz="4" w:space="0" w:color="000000"/>
            </w:tcBorders>
          </w:tcPr>
          <w:p>
            <w:pPr/>
          </w:p>
        </w:tc>
        <w:tc>
          <w:tcPr>
            <w:tcW w:w="12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3,162,465.77</w:t>
            </w:r>
          </w:p>
        </w:tc>
        <w:tc>
          <w:tcPr>
            <w:tcW w:w="1054" w:type="dxa"/>
            <w:tcBorders>
              <w:top w:val="dotted" w:sz="4" w:space="0" w:color="000000"/>
              <w:left w:val="dotted" w:sz="4" w:space="0" w:color="000000"/>
              <w:bottom w:val="single" w:sz="12" w:space="0" w:color="000000"/>
              <w:right w:val="dotted" w:sz="4" w:space="0" w:color="000000"/>
            </w:tcBorders>
          </w:tcPr>
          <w:p>
            <w:pPr/>
          </w:p>
        </w:tc>
        <w:tc>
          <w:tcPr>
            <w:tcW w:w="11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left="29" w:right="0"/>
              <w:jc w:val="center"/>
              <w:rPr>
                <w:rFonts w:ascii="Times New Roman" w:hAnsi="Times New Roman" w:cs="Times New Roman" w:eastAsia="Times New Roman" w:hint="default"/>
                <w:sz w:val="16"/>
                <w:szCs w:val="16"/>
              </w:rPr>
            </w:pPr>
            <w:r>
              <w:rPr>
                <w:rFonts w:ascii="Times New Roman"/>
                <w:sz w:val="16"/>
              </w:rPr>
              <w:t>-5,551,902.50</w:t>
            </w:r>
          </w:p>
        </w:tc>
        <w:tc>
          <w:tcPr>
            <w:tcW w:w="1224" w:type="dxa"/>
            <w:tcBorders>
              <w:top w:val="dotted" w:sz="4" w:space="0" w:color="000000"/>
              <w:left w:val="dotted" w:sz="4" w:space="0" w:color="000000"/>
              <w:bottom w:val="single" w:sz="12" w:space="0" w:color="000000"/>
              <w:right w:val="dotted" w:sz="4" w:space="0" w:color="000000"/>
            </w:tcBorders>
          </w:tcPr>
          <w:p>
            <w:pPr/>
          </w:p>
        </w:tc>
        <w:tc>
          <w:tcPr>
            <w:tcW w:w="914" w:type="dxa"/>
            <w:tcBorders>
              <w:top w:val="dotted" w:sz="4" w:space="0" w:color="000000"/>
              <w:left w:val="dotted" w:sz="4" w:space="0" w:color="000000"/>
              <w:bottom w:val="single" w:sz="12" w:space="0" w:color="000000"/>
              <w:right w:val="dotted" w:sz="4" w:space="0" w:color="000000"/>
            </w:tcBorders>
          </w:tcPr>
          <w:p>
            <w:pPr/>
          </w:p>
        </w:tc>
        <w:tc>
          <w:tcPr>
            <w:tcW w:w="814" w:type="dxa"/>
            <w:tcBorders>
              <w:top w:val="dotted" w:sz="4" w:space="0" w:color="000000"/>
              <w:left w:val="dotted" w:sz="4" w:space="0" w:color="000000"/>
              <w:bottom w:val="single" w:sz="12" w:space="0" w:color="000000"/>
              <w:right w:val="dotted" w:sz="4" w:space="0" w:color="000000"/>
            </w:tcBorders>
          </w:tcPr>
          <w:p>
            <w:pP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98"/>
              <w:jc w:val="right"/>
              <w:rPr>
                <w:rFonts w:ascii="Times New Roman" w:hAnsi="Times New Roman" w:cs="Times New Roman" w:eastAsia="Times New Roman" w:hint="default"/>
                <w:sz w:val="16"/>
                <w:szCs w:val="16"/>
              </w:rPr>
            </w:pPr>
            <w:r>
              <w:rPr>
                <w:rFonts w:ascii="Times New Roman"/>
                <w:spacing w:val="-1"/>
                <w:sz w:val="16"/>
              </w:rPr>
              <w:t>587,262,131.51</w:t>
            </w:r>
          </w:p>
        </w:tc>
        <w:tc>
          <w:tcPr>
            <w:tcW w:w="82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0"/>
        <w:ind w:left="6202" w:right="6635" w:firstLine="0"/>
        <w:jc w:val="center"/>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137</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21" name="image1.jpeg" descr=""/>
            <wp:cNvGraphicFramePr>
              <a:graphicFrameLocks noChangeAspect="1"/>
            </wp:cNvGraphicFramePr>
            <a:graphic>
              <a:graphicData uri="http://schemas.openxmlformats.org/drawingml/2006/picture">
                <pic:pic>
                  <pic:nvPicPr>
                    <pic:cNvPr id="22" name="image1.jpeg"/>
                    <pic:cNvPicPr/>
                  </pic:nvPicPr>
                  <pic:blipFill>
                    <a:blip r:embed="rId36"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77"/>
          <w:footerReference w:type="default" r:id="rId78"/>
          <w:pgSz w:w="16840" w:h="11910" w:orient="landscape"/>
          <w:pgMar w:header="0" w:footer="0" w:top="780" w:bottom="0" w:left="1300" w:right="860"/>
        </w:sectPr>
      </w:pPr>
    </w:p>
    <w:p>
      <w:pPr>
        <w:spacing w:line="240" w:lineRule="auto" w:before="8"/>
        <w:rPr>
          <w:rFonts w:ascii="宋体" w:hAnsi="宋体" w:cs="宋体" w:eastAsia="宋体" w:hint="default"/>
          <w:sz w:val="8"/>
          <w:szCs w:val="8"/>
        </w:rPr>
      </w:pPr>
    </w:p>
    <w:p>
      <w:pPr>
        <w:pStyle w:val="Heading5"/>
        <w:tabs>
          <w:tab w:pos="850" w:val="left" w:leader="none"/>
        </w:tabs>
        <w:spacing w:line="240" w:lineRule="auto"/>
        <w:ind w:right="3683"/>
        <w:jc w:val="left"/>
        <w:rPr>
          <w:b w:val="0"/>
          <w:bCs w:val="0"/>
        </w:rPr>
      </w:pPr>
      <w:r>
        <w:rPr/>
        <w:pict>
          <v:group style="position:absolute;margin-left:88.463997pt;margin-top:-8.856304pt;width:418.55pt;height:.1pt;mso-position-horizontal-relative:page;mso-position-vertical-relative:paragraph;z-index:2416" coordorigin="1769,-177" coordsize="8371,2">
            <v:shape style="position:absolute;left:1769;top:-177;width:8371;height:2" coordorigin="1769,-177" coordsize="8371,0" path="m1769,-177l10139,-177e" filled="false" stroked="true" strokeweight=".48pt" strokecolor="#000000">
              <v:path arrowok="t"/>
            </v:shape>
            <w10:wrap type="none"/>
          </v:group>
        </w:pic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营业收入和营业成本</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1755"/>
        <w:gridCol w:w="1610"/>
        <w:gridCol w:w="1613"/>
        <w:gridCol w:w="1613"/>
        <w:gridCol w:w="1611"/>
      </w:tblGrid>
      <w:tr>
        <w:trPr>
          <w:trHeight w:val="283" w:hRule="exact"/>
        </w:trPr>
        <w:tc>
          <w:tcPr>
            <w:tcW w:w="1755" w:type="dxa"/>
            <w:vMerge w:val="restart"/>
            <w:tcBorders>
              <w:top w:val="single" w:sz="12" w:space="0" w:color="000000"/>
              <w:left w:val="nil" w:sz="6" w:space="0" w:color="auto"/>
              <w:right w:val="dotted" w:sz="4" w:space="0" w:color="000000"/>
            </w:tcBorders>
          </w:tcPr>
          <w:p>
            <w:pPr>
              <w:pStyle w:val="TableParagraph"/>
              <w:spacing w:line="240" w:lineRule="auto" w:before="139"/>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22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3224"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2"/>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1755" w:type="dxa"/>
            <w:vMerge/>
            <w:tcBorders>
              <w:left w:val="nil" w:sz="6" w:space="0" w:color="auto"/>
              <w:bottom w:val="dotted" w:sz="4" w:space="0" w:color="000000"/>
              <w:right w:val="dotted" w:sz="4" w:space="0" w:color="000000"/>
            </w:tcBorders>
          </w:tcPr>
          <w:p>
            <w:pP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left="2" w:right="0"/>
              <w:jc w:val="center"/>
              <w:rPr>
                <w:rFonts w:ascii="宋体" w:hAnsi="宋体" w:cs="宋体" w:eastAsia="宋体" w:hint="default"/>
                <w:sz w:val="16"/>
                <w:szCs w:val="16"/>
              </w:rPr>
            </w:pPr>
            <w:r>
              <w:rPr>
                <w:rFonts w:ascii="宋体" w:hAnsi="宋体" w:cs="宋体" w:eastAsia="宋体" w:hint="default"/>
                <w:sz w:val="16"/>
                <w:szCs w:val="16"/>
              </w:rPr>
              <w:t>收入</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成本</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收入</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4"/>
              <w:jc w:val="center"/>
              <w:rPr>
                <w:rFonts w:ascii="宋体" w:hAnsi="宋体" w:cs="宋体" w:eastAsia="宋体" w:hint="default"/>
                <w:sz w:val="16"/>
                <w:szCs w:val="16"/>
              </w:rPr>
            </w:pPr>
            <w:r>
              <w:rPr>
                <w:rFonts w:ascii="宋体" w:hAnsi="宋体" w:cs="宋体" w:eastAsia="宋体" w:hint="default"/>
                <w:sz w:val="16"/>
                <w:szCs w:val="16"/>
              </w:rPr>
              <w:t>成本</w:t>
            </w:r>
          </w:p>
        </w:tc>
      </w:tr>
      <w:tr>
        <w:trPr>
          <w:trHeight w:val="274" w:hRule="exact"/>
        </w:trPr>
        <w:tc>
          <w:tcPr>
            <w:tcW w:w="17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主营业务</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1,838,528,223.45</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1,512,241,963.25</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2,326,048,017.92</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2,034,746,037.46</w:t>
            </w:r>
          </w:p>
        </w:tc>
      </w:tr>
      <w:tr>
        <w:trPr>
          <w:trHeight w:val="274" w:hRule="exact"/>
        </w:trPr>
        <w:tc>
          <w:tcPr>
            <w:tcW w:w="17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其他业务</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258,738,392.81</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105,543,182.55</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308,791,331.95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180,727,103.23</w:t>
            </w:r>
          </w:p>
        </w:tc>
      </w:tr>
      <w:tr>
        <w:trPr>
          <w:trHeight w:val="286" w:hRule="exact"/>
        </w:trPr>
        <w:tc>
          <w:tcPr>
            <w:tcW w:w="17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6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2,097,266,616.26</w:t>
            </w:r>
          </w:p>
        </w:tc>
        <w:tc>
          <w:tcPr>
            <w:tcW w:w="16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1,617,785,145.80</w:t>
            </w:r>
          </w:p>
        </w:tc>
        <w:tc>
          <w:tcPr>
            <w:tcW w:w="16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2,634,839,349.87</w:t>
            </w:r>
          </w:p>
        </w:tc>
        <w:tc>
          <w:tcPr>
            <w:tcW w:w="16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2,215,473,140.69</w:t>
            </w:r>
          </w:p>
        </w:tc>
      </w:tr>
    </w:tbl>
    <w:p>
      <w:pPr>
        <w:spacing w:before="25"/>
        <w:ind w:left="846" w:right="3683" w:firstLine="0"/>
        <w:jc w:val="left"/>
        <w:rPr>
          <w:rFonts w:ascii="宋体" w:hAnsi="宋体" w:cs="宋体" w:eastAsia="宋体" w:hint="default"/>
          <w:sz w:val="18"/>
          <w:szCs w:val="18"/>
        </w:rPr>
      </w:pPr>
      <w:r>
        <w:rPr>
          <w:rFonts w:ascii="宋体" w:hAnsi="宋体" w:cs="宋体" w:eastAsia="宋体" w:hint="default"/>
          <w:sz w:val="18"/>
          <w:szCs w:val="18"/>
        </w:rPr>
        <w:t>营业收入明细：</w:t>
      </w:r>
    </w:p>
    <w:p>
      <w:pPr>
        <w:spacing w:line="240" w:lineRule="auto" w:before="0"/>
        <w:rPr>
          <w:rFonts w:ascii="宋体" w:hAnsi="宋体" w:cs="宋体" w:eastAsia="宋体" w:hint="default"/>
          <w:sz w:val="5"/>
          <w:szCs w:val="5"/>
        </w:rPr>
      </w:pPr>
    </w:p>
    <w:tbl>
      <w:tblPr>
        <w:tblW w:w="0" w:type="auto"/>
        <w:jc w:val="left"/>
        <w:tblInd w:w="721" w:type="dxa"/>
        <w:tblLayout w:type="fixed"/>
        <w:tblCellMar>
          <w:top w:w="0" w:type="dxa"/>
          <w:left w:w="0" w:type="dxa"/>
          <w:bottom w:w="0" w:type="dxa"/>
          <w:right w:w="0" w:type="dxa"/>
        </w:tblCellMar>
        <w:tblLook w:val="01E0"/>
      </w:tblPr>
      <w:tblGrid>
        <w:gridCol w:w="3337"/>
        <w:gridCol w:w="2434"/>
        <w:gridCol w:w="2432"/>
      </w:tblGrid>
      <w:tr>
        <w:trPr>
          <w:trHeight w:val="283" w:hRule="exact"/>
        </w:trPr>
        <w:tc>
          <w:tcPr>
            <w:tcW w:w="33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4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2"/>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43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4"/>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主营业务收入</w:t>
            </w: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1"/>
                <w:sz w:val="16"/>
              </w:rPr>
              <w:t>1,838,528,223.45</w:t>
            </w: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1"/>
                <w:sz w:val="16"/>
              </w:rPr>
              <w:t>2,326,048,017.92</w:t>
            </w: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其中：高新电子</w:t>
            </w:r>
          </w:p>
        </w:tc>
        <w:tc>
          <w:tcPr>
            <w:tcW w:w="2434" w:type="dxa"/>
            <w:tcBorders>
              <w:top w:val="dotted" w:sz="4" w:space="0" w:color="000000"/>
              <w:left w:val="dotted" w:sz="4" w:space="0" w:color="000000"/>
              <w:bottom w:val="dotted" w:sz="4" w:space="0" w:color="000000"/>
              <w:right w:val="dotted" w:sz="4" w:space="0" w:color="000000"/>
            </w:tcBorders>
          </w:tcPr>
          <w:p>
            <w:pPr/>
          </w:p>
        </w:tc>
        <w:tc>
          <w:tcPr>
            <w:tcW w:w="2432"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523" w:right="0"/>
              <w:jc w:val="left"/>
              <w:rPr>
                <w:rFonts w:ascii="宋体" w:hAnsi="宋体" w:cs="宋体" w:eastAsia="宋体" w:hint="default"/>
                <w:sz w:val="16"/>
                <w:szCs w:val="16"/>
              </w:rPr>
            </w:pPr>
            <w:r>
              <w:rPr>
                <w:rFonts w:ascii="宋体" w:hAnsi="宋体" w:cs="宋体" w:eastAsia="宋体" w:hint="default"/>
                <w:sz w:val="16"/>
                <w:szCs w:val="16"/>
              </w:rPr>
              <w:t>信息安全整机及解决方案</w:t>
            </w: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1"/>
                <w:sz w:val="16"/>
              </w:rPr>
              <w:t>367,396,897.62</w:t>
            </w: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1"/>
                <w:sz w:val="16"/>
              </w:rPr>
              <w:t>617,986,358.85</w:t>
            </w: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523" w:right="0"/>
              <w:jc w:val="left"/>
              <w:rPr>
                <w:rFonts w:ascii="宋体" w:hAnsi="宋体" w:cs="宋体" w:eastAsia="宋体" w:hint="default"/>
                <w:sz w:val="16"/>
                <w:szCs w:val="16"/>
              </w:rPr>
            </w:pPr>
            <w:r>
              <w:rPr>
                <w:rFonts w:ascii="宋体" w:hAnsi="宋体" w:cs="宋体" w:eastAsia="宋体" w:hint="default"/>
                <w:sz w:val="16"/>
                <w:szCs w:val="16"/>
              </w:rPr>
              <w:t>电源产品</w:t>
            </w: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1"/>
                <w:sz w:val="16"/>
              </w:rPr>
              <w:t>1,471,131,325.83</w:t>
            </w: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1"/>
                <w:sz w:val="16"/>
              </w:rPr>
              <w:t>1,708,061,659.07</w:t>
            </w: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523" w:right="0"/>
              <w:jc w:val="left"/>
              <w:rPr>
                <w:rFonts w:ascii="宋体" w:hAnsi="宋体" w:cs="宋体" w:eastAsia="宋体" w:hint="default"/>
                <w:sz w:val="16"/>
                <w:szCs w:val="16"/>
              </w:rPr>
            </w:pPr>
            <w:r>
              <w:rPr>
                <w:rFonts w:ascii="宋体" w:hAnsi="宋体" w:cs="宋体" w:eastAsia="宋体" w:hint="default"/>
                <w:sz w:val="16"/>
                <w:szCs w:val="16"/>
              </w:rPr>
              <w:t>园区及物业服务</w:t>
            </w:r>
          </w:p>
        </w:tc>
        <w:tc>
          <w:tcPr>
            <w:tcW w:w="2434" w:type="dxa"/>
            <w:tcBorders>
              <w:top w:val="dotted" w:sz="4" w:space="0" w:color="000000"/>
              <w:left w:val="dotted" w:sz="4" w:space="0" w:color="000000"/>
              <w:bottom w:val="dotted" w:sz="4" w:space="0" w:color="000000"/>
              <w:right w:val="dotted" w:sz="4" w:space="0" w:color="000000"/>
            </w:tcBorders>
          </w:tcPr>
          <w:p>
            <w:pPr/>
          </w:p>
        </w:tc>
        <w:tc>
          <w:tcPr>
            <w:tcW w:w="2432"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52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434" w:type="dxa"/>
            <w:tcBorders>
              <w:top w:val="dotted" w:sz="4" w:space="0" w:color="000000"/>
              <w:left w:val="dotted" w:sz="4" w:space="0" w:color="000000"/>
              <w:bottom w:val="dotted" w:sz="4" w:space="0" w:color="000000"/>
              <w:right w:val="dotted" w:sz="4" w:space="0" w:color="000000"/>
            </w:tcBorders>
          </w:tcPr>
          <w:p>
            <w:pPr/>
          </w:p>
        </w:tc>
        <w:tc>
          <w:tcPr>
            <w:tcW w:w="2432"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其他业务收入</w:t>
            </w: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103"/>
              <w:jc w:val="right"/>
              <w:rPr>
                <w:rFonts w:ascii="Times New Roman" w:hAnsi="Times New Roman" w:cs="Times New Roman" w:eastAsia="Times New Roman" w:hint="default"/>
                <w:sz w:val="16"/>
                <w:szCs w:val="16"/>
              </w:rPr>
            </w:pPr>
            <w:r>
              <w:rPr>
                <w:rFonts w:ascii="Times New Roman"/>
                <w:spacing w:val="-1"/>
                <w:sz w:val="16"/>
              </w:rPr>
              <w:t>258,738,392.81</w:t>
            </w: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6"/>
                <w:szCs w:val="16"/>
              </w:rPr>
            </w:pPr>
            <w:r>
              <w:rPr>
                <w:rFonts w:ascii="Times New Roman"/>
                <w:spacing w:val="-1"/>
                <w:sz w:val="16"/>
              </w:rPr>
              <w:t>308,791,331.95</w:t>
            </w: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其中：材料销售收入</w:t>
            </w: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0"/>
              <w:ind w:right="102"/>
              <w:jc w:val="right"/>
              <w:rPr>
                <w:rFonts w:ascii="Times New Roman" w:hAnsi="Times New Roman" w:cs="Times New Roman" w:eastAsia="Times New Roman" w:hint="default"/>
                <w:sz w:val="16"/>
                <w:szCs w:val="16"/>
              </w:rPr>
            </w:pPr>
            <w:r>
              <w:rPr>
                <w:rFonts w:ascii="Times New Roman"/>
                <w:spacing w:val="-1"/>
                <w:sz w:val="16"/>
              </w:rPr>
              <w:t>666,424.44</w:t>
            </w: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1"/>
                <w:sz w:val="16"/>
              </w:rPr>
              <w:t>2,953,344.88</w:t>
            </w: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出租固定资产收入</w:t>
            </w: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2"/>
                <w:sz w:val="16"/>
              </w:rPr>
              <w:t>94,442,689.58</w:t>
            </w: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1"/>
                <w:sz w:val="16"/>
              </w:rPr>
              <w:t>107,125,698.29</w:t>
            </w: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604" w:right="0"/>
              <w:jc w:val="left"/>
              <w:rPr>
                <w:rFonts w:ascii="宋体" w:hAnsi="宋体" w:cs="宋体" w:eastAsia="宋体" w:hint="default"/>
                <w:sz w:val="16"/>
                <w:szCs w:val="16"/>
              </w:rPr>
            </w:pPr>
            <w:r>
              <w:rPr>
                <w:rFonts w:ascii="宋体" w:hAnsi="宋体" w:cs="宋体" w:eastAsia="宋体" w:hint="default"/>
                <w:sz w:val="16"/>
                <w:szCs w:val="16"/>
              </w:rPr>
              <w:t>水电费收入</w:t>
            </w: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2"/>
                <w:sz w:val="16"/>
              </w:rPr>
              <w:t>41,640,972.63</w:t>
            </w: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2"/>
                <w:sz w:val="16"/>
              </w:rPr>
              <w:t>46,816,261.45</w:t>
            </w: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604" w:right="0"/>
              <w:jc w:val="left"/>
              <w:rPr>
                <w:rFonts w:ascii="宋体" w:hAnsi="宋体" w:cs="宋体" w:eastAsia="宋体" w:hint="default"/>
                <w:sz w:val="16"/>
                <w:szCs w:val="16"/>
              </w:rPr>
            </w:pPr>
            <w:r>
              <w:rPr>
                <w:rFonts w:ascii="宋体" w:hAnsi="宋体" w:cs="宋体" w:eastAsia="宋体" w:hint="default"/>
                <w:sz w:val="16"/>
                <w:szCs w:val="16"/>
              </w:rPr>
              <w:t>维修费收入</w:t>
            </w: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0"/>
              <w:ind w:right="102"/>
              <w:jc w:val="right"/>
              <w:rPr>
                <w:rFonts w:ascii="Times New Roman" w:hAnsi="Times New Roman" w:cs="Times New Roman" w:eastAsia="Times New Roman" w:hint="default"/>
                <w:sz w:val="16"/>
                <w:szCs w:val="16"/>
              </w:rPr>
            </w:pPr>
            <w:r>
              <w:rPr>
                <w:rFonts w:ascii="Times New Roman"/>
                <w:spacing w:val="-1"/>
                <w:sz w:val="16"/>
              </w:rPr>
              <w:t>205,917.92</w:t>
            </w: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1"/>
                <w:sz w:val="16"/>
              </w:rPr>
              <w:t>5,229,073.60</w:t>
            </w: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604" w:right="0"/>
              <w:jc w:val="left"/>
              <w:rPr>
                <w:rFonts w:ascii="宋体" w:hAnsi="宋体" w:cs="宋体" w:eastAsia="宋体" w:hint="default"/>
                <w:sz w:val="16"/>
                <w:szCs w:val="16"/>
              </w:rPr>
            </w:pPr>
            <w:r>
              <w:rPr>
                <w:rFonts w:ascii="宋体" w:hAnsi="宋体" w:cs="宋体" w:eastAsia="宋体" w:hint="default"/>
                <w:sz w:val="16"/>
                <w:szCs w:val="16"/>
              </w:rPr>
              <w:t>技术服务费收入</w:t>
            </w: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2"/>
                <w:sz w:val="16"/>
              </w:rPr>
              <w:t>39,049,374.32</w:t>
            </w: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2"/>
                <w:sz w:val="16"/>
              </w:rPr>
              <w:t>16,401,655.99</w:t>
            </w:r>
          </w:p>
        </w:tc>
      </w:tr>
      <w:tr>
        <w:trPr>
          <w:trHeight w:val="274"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604" w:right="0"/>
              <w:jc w:val="left"/>
              <w:rPr>
                <w:rFonts w:ascii="宋体" w:hAnsi="宋体" w:cs="宋体" w:eastAsia="宋体" w:hint="default"/>
                <w:sz w:val="16"/>
                <w:szCs w:val="16"/>
              </w:rPr>
            </w:pPr>
            <w:r>
              <w:rPr>
                <w:rFonts w:ascii="宋体" w:hAnsi="宋体" w:cs="宋体" w:eastAsia="宋体" w:hint="default"/>
                <w:sz w:val="16"/>
                <w:szCs w:val="16"/>
              </w:rPr>
              <w:t>加工费收入</w:t>
            </w: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1"/>
                <w:sz w:val="16"/>
              </w:rPr>
              <w:t>1,027,127.86</w:t>
            </w: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2"/>
                <w:sz w:val="16"/>
              </w:rPr>
              <w:t>90,518,103.90</w:t>
            </w:r>
          </w:p>
        </w:tc>
      </w:tr>
      <w:tr>
        <w:trPr>
          <w:trHeight w:val="271" w:hRule="exact"/>
        </w:trPr>
        <w:tc>
          <w:tcPr>
            <w:tcW w:w="333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604" w:right="0"/>
              <w:jc w:val="left"/>
              <w:rPr>
                <w:rFonts w:ascii="宋体" w:hAnsi="宋体" w:cs="宋体" w:eastAsia="宋体" w:hint="default"/>
                <w:sz w:val="16"/>
                <w:szCs w:val="16"/>
              </w:rPr>
            </w:pPr>
            <w:r>
              <w:rPr>
                <w:rFonts w:ascii="宋体" w:hAnsi="宋体" w:cs="宋体" w:eastAsia="宋体" w:hint="default"/>
                <w:sz w:val="16"/>
                <w:szCs w:val="16"/>
              </w:rPr>
              <w:t>其他收入</w:t>
            </w: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2"/>
                <w:sz w:val="16"/>
              </w:rPr>
              <w:t>81,705,886.06</w:t>
            </w: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2"/>
                <w:sz w:val="16"/>
              </w:rPr>
              <w:t>39,747,193.84</w:t>
            </w:r>
          </w:p>
        </w:tc>
      </w:tr>
      <w:tr>
        <w:trPr>
          <w:trHeight w:val="286" w:hRule="exact"/>
        </w:trPr>
        <w:tc>
          <w:tcPr>
            <w:tcW w:w="33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4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2"/>
              <w:ind w:right="103"/>
              <w:jc w:val="right"/>
              <w:rPr>
                <w:rFonts w:ascii="Times New Roman" w:hAnsi="Times New Roman" w:cs="Times New Roman" w:eastAsia="Times New Roman" w:hint="default"/>
                <w:sz w:val="16"/>
                <w:szCs w:val="16"/>
              </w:rPr>
            </w:pPr>
            <w:r>
              <w:rPr>
                <w:rFonts w:ascii="Times New Roman"/>
                <w:spacing w:val="-1"/>
                <w:sz w:val="16"/>
              </w:rPr>
              <w:t>2,097,266,616.26</w:t>
            </w:r>
          </w:p>
        </w:tc>
        <w:tc>
          <w:tcPr>
            <w:tcW w:w="243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6"/>
                <w:szCs w:val="16"/>
              </w:rPr>
            </w:pPr>
            <w:r>
              <w:rPr>
                <w:rFonts w:ascii="Times New Roman"/>
                <w:spacing w:val="-1"/>
                <w:sz w:val="16"/>
              </w:rPr>
              <w:t>2,634,839,349.87</w:t>
            </w:r>
          </w:p>
        </w:tc>
      </w:tr>
    </w:tbl>
    <w:p>
      <w:pPr>
        <w:spacing w:line="240" w:lineRule="auto" w:before="6"/>
        <w:rPr>
          <w:rFonts w:ascii="宋体" w:hAnsi="宋体" w:cs="宋体" w:eastAsia="宋体" w:hint="default"/>
          <w:sz w:val="18"/>
          <w:szCs w:val="18"/>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投资收益</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4607"/>
        <w:gridCol w:w="1946"/>
        <w:gridCol w:w="1649"/>
      </w:tblGrid>
      <w:tr>
        <w:trPr>
          <w:trHeight w:val="286" w:hRule="exact"/>
        </w:trPr>
        <w:tc>
          <w:tcPr>
            <w:tcW w:w="460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9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left="647"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64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left="497"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成本法核算的长期股权投资收益</w:t>
            </w:r>
          </w:p>
        </w:tc>
        <w:tc>
          <w:tcPr>
            <w:tcW w:w="1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121,452,668.05</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105,009,291.57</w:t>
            </w: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权益法核算的长期股权投资收益</w:t>
            </w:r>
          </w:p>
        </w:tc>
        <w:tc>
          <w:tcPr>
            <w:tcW w:w="1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3,162,465.77</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-2,408,230.35</w:t>
            </w: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处置长期股权投资产生的投资收益</w:t>
            </w:r>
          </w:p>
        </w:tc>
        <w:tc>
          <w:tcPr>
            <w:tcW w:w="1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-3,372,895.64</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2"/>
                <w:sz w:val="16"/>
              </w:rPr>
              <w:t>43,902,775.27</w:t>
            </w: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交易性金融资产在持有期间的投资收益</w:t>
            </w:r>
          </w:p>
        </w:tc>
        <w:tc>
          <w:tcPr>
            <w:tcW w:w="1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2,469,882.80</w:t>
            </w: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154"/>
              <w:jc w:val="left"/>
              <w:rPr>
                <w:rFonts w:ascii="宋体" w:hAnsi="宋体" w:cs="宋体" w:eastAsia="宋体" w:hint="default"/>
                <w:sz w:val="16"/>
                <w:szCs w:val="16"/>
              </w:rPr>
            </w:pPr>
            <w:r>
              <w:rPr>
                <w:rFonts w:ascii="宋体" w:hAnsi="宋体" w:cs="宋体" w:eastAsia="宋体" w:hint="default"/>
                <w:spacing w:val="-1"/>
                <w:sz w:val="16"/>
                <w:szCs w:val="16"/>
              </w:rPr>
              <w:t>以公允价值计量且其变动计入当期损益的金融资产在持有期间</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的投资收益</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处置交易性金融资产取得的投资收益</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55"/>
              <w:jc w:val="left"/>
              <w:rPr>
                <w:rFonts w:ascii="宋体" w:hAnsi="宋体" w:cs="宋体" w:eastAsia="宋体" w:hint="default"/>
                <w:sz w:val="16"/>
                <w:szCs w:val="16"/>
              </w:rPr>
            </w:pPr>
            <w:r>
              <w:rPr>
                <w:rFonts w:ascii="宋体" w:hAnsi="宋体" w:cs="宋体" w:eastAsia="宋体" w:hint="default"/>
                <w:spacing w:val="-1"/>
                <w:sz w:val="16"/>
                <w:szCs w:val="16"/>
              </w:rPr>
              <w:t>处置以公允价值计量且其变动计入当期损益的金融资产取得的</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z w:val="16"/>
                <w:szCs w:val="16"/>
              </w:rPr>
              <w:t>投资收益</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债权投资持有期间取得的利息收入</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可供出售金融资产在持有期间的投资收益</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6"/>
                <w:szCs w:val="16"/>
              </w:rPr>
            </w:pPr>
            <w:r>
              <w:rPr>
                <w:rFonts w:ascii="Times New Roman"/>
                <w:spacing w:val="-2"/>
                <w:sz w:val="16"/>
              </w:rPr>
              <w:t>18,331,917.40</w:t>
            </w: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处置债权投资取得的投资收益</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处置可供出售金融资产取得的投资收益</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6"/>
                <w:szCs w:val="16"/>
              </w:rPr>
            </w:pPr>
            <w:r>
              <w:rPr>
                <w:rFonts w:ascii="Times New Roman"/>
                <w:spacing w:val="-1"/>
                <w:sz w:val="16"/>
              </w:rPr>
              <w:t>751,580,825.29</w:t>
            </w: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其他债权投资持有期间取得的利息收入</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持有至到期投资在持有期间的投资收益</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处置其他债权投资取得的投资收益</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其他权益工具投资持有期间取得的股利收入</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其他非流动金融资产在持有期间的投资收益</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处置其他非流动金融资产取得的投资收益</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丧失控制权后，剩余股权按公允价值重新计量产生的利得</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处置构成业务的处置组产生的投资收益</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946"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6"/>
                <w:szCs w:val="16"/>
              </w:rPr>
            </w:pPr>
            <w:r>
              <w:rPr>
                <w:rFonts w:ascii="Times New Roman"/>
                <w:spacing w:val="-1"/>
                <w:sz w:val="16"/>
              </w:rPr>
              <w:t>162,739.73</w:t>
            </w:r>
          </w:p>
        </w:tc>
      </w:tr>
      <w:tr>
        <w:trPr>
          <w:trHeight w:val="283" w:hRule="exact"/>
        </w:trPr>
        <w:tc>
          <w:tcPr>
            <w:tcW w:w="46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9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123,712,120.98</w:t>
            </w:r>
          </w:p>
        </w:tc>
        <w:tc>
          <w:tcPr>
            <w:tcW w:w="16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spacing w:val="-1"/>
                <w:sz w:val="16"/>
              </w:rPr>
              <w:t>916,579,318.91</w:t>
            </w:r>
          </w:p>
        </w:tc>
      </w:tr>
    </w:tbl>
    <w:p>
      <w:pPr>
        <w:spacing w:after="0" w:line="240" w:lineRule="auto"/>
        <w:jc w:val="right"/>
        <w:rPr>
          <w:rFonts w:ascii="Times New Roman" w:hAnsi="Times New Roman" w:cs="Times New Roman" w:eastAsia="Times New Roman" w:hint="default"/>
          <w:sz w:val="16"/>
          <w:szCs w:val="16"/>
        </w:rPr>
        <w:sectPr>
          <w:footerReference w:type="default" r:id="rId79"/>
          <w:pgSz w:w="11910" w:h="16840"/>
          <w:pgMar w:footer="574" w:header="0" w:top="1440" w:bottom="760" w:left="1660" w:right="0"/>
          <w:pgNumType w:start="138"/>
        </w:sectPr>
      </w:pPr>
    </w:p>
    <w:p>
      <w:pPr>
        <w:spacing w:line="240" w:lineRule="auto" w:before="12"/>
        <w:rPr>
          <w:rFonts w:ascii="宋体" w:hAnsi="宋体" w:cs="宋体" w:eastAsia="宋体" w:hint="default"/>
          <w:b/>
          <w:bCs/>
          <w:sz w:val="22"/>
          <w:szCs w:val="22"/>
        </w:rPr>
      </w:pPr>
    </w:p>
    <w:p>
      <w:pPr>
        <w:pStyle w:val="Heading5"/>
        <w:spacing w:line="240" w:lineRule="auto"/>
        <w:ind w:right="3683"/>
        <w:jc w:val="left"/>
        <w:rPr>
          <w:b w:val="0"/>
          <w:bCs w:val="0"/>
        </w:rPr>
      </w:pPr>
      <w:r>
        <w:rPr/>
        <w:t>十六、</w:t>
      </w:r>
      <w:r>
        <w:rPr>
          <w:spacing w:val="-25"/>
        </w:rPr>
        <w:t> </w:t>
      </w:r>
      <w:r>
        <w:rPr/>
        <w:t>补充资料</w:t>
      </w:r>
      <w:r>
        <w:rPr>
          <w:b w:val="0"/>
          <w:bCs w:val="0"/>
        </w:rPr>
      </w:r>
    </w:p>
    <w:p>
      <w:pPr>
        <w:pStyle w:val="Heading5"/>
        <w:tabs>
          <w:tab w:pos="850" w:val="left" w:leader="none"/>
        </w:tabs>
        <w:spacing w:line="240" w:lineRule="auto" w:before="126"/>
        <w:ind w:right="368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当期非经常性损益明细表</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4647"/>
        <w:gridCol w:w="1831"/>
        <w:gridCol w:w="1724"/>
      </w:tblGrid>
      <w:tr>
        <w:trPr>
          <w:trHeight w:val="283" w:hRule="exact"/>
        </w:trPr>
        <w:tc>
          <w:tcPr>
            <w:tcW w:w="464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8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7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2"/>
              <w:jc w:val="center"/>
              <w:rPr>
                <w:rFonts w:ascii="宋体" w:hAnsi="宋体" w:cs="宋体" w:eastAsia="宋体" w:hint="default"/>
                <w:sz w:val="16"/>
                <w:szCs w:val="16"/>
              </w:rPr>
            </w:pPr>
            <w:r>
              <w:rPr>
                <w:rFonts w:ascii="宋体" w:hAnsi="宋体" w:cs="宋体" w:eastAsia="宋体" w:hint="default"/>
                <w:sz w:val="16"/>
                <w:szCs w:val="16"/>
              </w:rPr>
              <w:t>说明</w:t>
            </w: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非流动资产处置损益</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1,654,718.65</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越权审批或无正式批准文件的税收返还、减免</w:t>
            </w:r>
          </w:p>
        </w:tc>
        <w:tc>
          <w:tcPr>
            <w:tcW w:w="1831" w:type="dxa"/>
            <w:tcBorders>
              <w:top w:val="dotted" w:sz="4" w:space="0" w:color="000000"/>
              <w:left w:val="dotted" w:sz="4" w:space="0" w:color="000000"/>
              <w:bottom w:val="dotted" w:sz="4" w:space="0" w:color="000000"/>
              <w:right w:val="dotted" w:sz="4" w:space="0" w:color="000000"/>
            </w:tcBorders>
          </w:tcPr>
          <w:p>
            <w:pP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482"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97"/>
              <w:jc w:val="left"/>
              <w:rPr>
                <w:rFonts w:ascii="宋体" w:hAnsi="宋体" w:cs="宋体" w:eastAsia="宋体" w:hint="default"/>
                <w:sz w:val="16"/>
                <w:szCs w:val="16"/>
              </w:rPr>
            </w:pPr>
            <w:r>
              <w:rPr>
                <w:rFonts w:ascii="宋体" w:hAnsi="宋体" w:cs="宋体" w:eastAsia="宋体" w:hint="default"/>
                <w:spacing w:val="-4"/>
                <w:sz w:val="16"/>
                <w:szCs w:val="16"/>
              </w:rPr>
              <w:t>计入当期损益的政府补助（与企业业务密切相关，按照国家统一</w:t>
            </w:r>
            <w:r>
              <w:rPr>
                <w:rFonts w:ascii="宋体" w:hAnsi="宋体" w:cs="宋体" w:eastAsia="宋体" w:hint="default"/>
                <w:spacing w:val="-33"/>
                <w:sz w:val="16"/>
                <w:szCs w:val="16"/>
              </w:rPr>
              <w:t> </w:t>
            </w:r>
            <w:r>
              <w:rPr>
                <w:rFonts w:ascii="宋体" w:hAnsi="宋体" w:cs="宋体" w:eastAsia="宋体" w:hint="default"/>
                <w:spacing w:val="-33"/>
                <w:sz w:val="16"/>
                <w:szCs w:val="16"/>
              </w:rPr>
            </w:r>
            <w:r>
              <w:rPr>
                <w:rFonts w:ascii="宋体" w:hAnsi="宋体" w:cs="宋体" w:eastAsia="宋体" w:hint="default"/>
                <w:sz w:val="16"/>
                <w:szCs w:val="16"/>
              </w:rPr>
              <w:t>标准定额或定量享受的政府补助除外）</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527,135,663.30</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计入当期损益的对非金融企业收取的资金占用费</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2,647,392.45</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97"/>
              <w:jc w:val="left"/>
              <w:rPr>
                <w:rFonts w:ascii="宋体" w:hAnsi="宋体" w:cs="宋体" w:eastAsia="宋体" w:hint="default"/>
                <w:sz w:val="16"/>
                <w:szCs w:val="16"/>
              </w:rPr>
            </w:pPr>
            <w:r>
              <w:rPr>
                <w:rFonts w:ascii="宋体" w:hAnsi="宋体" w:cs="宋体" w:eastAsia="宋体" w:hint="default"/>
                <w:spacing w:val="-4"/>
                <w:sz w:val="16"/>
                <w:szCs w:val="16"/>
              </w:rPr>
              <w:t>企业取得子公司、联营企业及合营企业的投资成本小于取得投资</w:t>
            </w:r>
            <w:r>
              <w:rPr>
                <w:rFonts w:ascii="宋体" w:hAnsi="宋体" w:cs="宋体" w:eastAsia="宋体" w:hint="default"/>
                <w:spacing w:val="-33"/>
                <w:sz w:val="16"/>
                <w:szCs w:val="16"/>
              </w:rPr>
              <w:t> </w:t>
            </w:r>
            <w:r>
              <w:rPr>
                <w:rFonts w:ascii="宋体" w:hAnsi="宋体" w:cs="宋体" w:eastAsia="宋体" w:hint="default"/>
                <w:spacing w:val="-33"/>
                <w:sz w:val="16"/>
                <w:szCs w:val="16"/>
              </w:rPr>
            </w:r>
            <w:r>
              <w:rPr>
                <w:rFonts w:ascii="宋体" w:hAnsi="宋体" w:cs="宋体" w:eastAsia="宋体" w:hint="default"/>
                <w:sz w:val="16"/>
                <w:szCs w:val="16"/>
              </w:rPr>
              <w:t>时应享有被投资单位可辨认净资产公允价值产生的收益</w:t>
            </w:r>
          </w:p>
        </w:tc>
        <w:tc>
          <w:tcPr>
            <w:tcW w:w="1831" w:type="dxa"/>
            <w:tcBorders>
              <w:top w:val="dotted" w:sz="4" w:space="0" w:color="000000"/>
              <w:left w:val="dotted" w:sz="4" w:space="0" w:color="000000"/>
              <w:bottom w:val="dotted" w:sz="4" w:space="0" w:color="000000"/>
              <w:right w:val="dotted" w:sz="4" w:space="0" w:color="000000"/>
            </w:tcBorders>
          </w:tcPr>
          <w:p>
            <w:pP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非货币性资产交换损益</w:t>
            </w:r>
          </w:p>
        </w:tc>
        <w:tc>
          <w:tcPr>
            <w:tcW w:w="1831" w:type="dxa"/>
            <w:tcBorders>
              <w:top w:val="dotted" w:sz="4" w:space="0" w:color="000000"/>
              <w:left w:val="dotted" w:sz="4" w:space="0" w:color="000000"/>
              <w:bottom w:val="dotted" w:sz="4" w:space="0" w:color="000000"/>
              <w:right w:val="dotted" w:sz="4" w:space="0" w:color="000000"/>
            </w:tcBorders>
          </w:tcPr>
          <w:p>
            <w:pP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委托他人投资或管理资产的损益</w:t>
            </w:r>
          </w:p>
        </w:tc>
        <w:tc>
          <w:tcPr>
            <w:tcW w:w="1831" w:type="dxa"/>
            <w:tcBorders>
              <w:top w:val="dotted" w:sz="4" w:space="0" w:color="000000"/>
              <w:left w:val="dotted" w:sz="4" w:space="0" w:color="000000"/>
              <w:bottom w:val="dotted" w:sz="4" w:space="0" w:color="000000"/>
              <w:right w:val="dotted" w:sz="4" w:space="0" w:color="000000"/>
            </w:tcBorders>
          </w:tcPr>
          <w:p>
            <w:pP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因不可抗力因素，如遭受自然灾害而计提的各项资产减值准备</w:t>
            </w:r>
          </w:p>
        </w:tc>
        <w:tc>
          <w:tcPr>
            <w:tcW w:w="1831" w:type="dxa"/>
            <w:tcBorders>
              <w:top w:val="dotted" w:sz="4" w:space="0" w:color="000000"/>
              <w:left w:val="dotted" w:sz="4" w:space="0" w:color="000000"/>
              <w:bottom w:val="dotted" w:sz="4" w:space="0" w:color="000000"/>
              <w:right w:val="dotted" w:sz="4" w:space="0" w:color="000000"/>
            </w:tcBorders>
          </w:tcPr>
          <w:p>
            <w:pP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债务重组损益</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140,276.57</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企业重组费用，如安置职工的支出、整合费用等</w:t>
            </w:r>
          </w:p>
        </w:tc>
        <w:tc>
          <w:tcPr>
            <w:tcW w:w="1831" w:type="dxa"/>
            <w:tcBorders>
              <w:top w:val="dotted" w:sz="4" w:space="0" w:color="000000"/>
              <w:left w:val="dotted" w:sz="4" w:space="0" w:color="000000"/>
              <w:bottom w:val="dotted" w:sz="4" w:space="0" w:color="000000"/>
              <w:right w:val="dotted" w:sz="4" w:space="0" w:color="000000"/>
            </w:tcBorders>
          </w:tcPr>
          <w:p>
            <w:pP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交易价格显失公允的交易产生的超过公允价值部分的损益</w:t>
            </w:r>
          </w:p>
        </w:tc>
        <w:tc>
          <w:tcPr>
            <w:tcW w:w="1831" w:type="dxa"/>
            <w:tcBorders>
              <w:top w:val="dotted" w:sz="4" w:space="0" w:color="000000"/>
              <w:left w:val="dotted" w:sz="4" w:space="0" w:color="000000"/>
              <w:bottom w:val="dotted" w:sz="4" w:space="0" w:color="000000"/>
              <w:right w:val="dotted" w:sz="4" w:space="0" w:color="000000"/>
            </w:tcBorders>
          </w:tcPr>
          <w:p>
            <w:pP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同一控制下企业合并产生的子公司期初至合并日的当期净损益</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-10,248,573.27</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与公司正常经营业务无关的或有事项产生的损益</w:t>
            </w:r>
          </w:p>
        </w:tc>
        <w:tc>
          <w:tcPr>
            <w:tcW w:w="1831" w:type="dxa"/>
            <w:tcBorders>
              <w:top w:val="dotted" w:sz="4" w:space="0" w:color="000000"/>
              <w:left w:val="dotted" w:sz="4" w:space="0" w:color="000000"/>
              <w:bottom w:val="dotted" w:sz="4" w:space="0" w:color="000000"/>
              <w:right w:val="dotted" w:sz="4" w:space="0" w:color="000000"/>
            </w:tcBorders>
          </w:tcPr>
          <w:p>
            <w:pP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895"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4"/>
              <w:ind w:left="122" w:right="20"/>
              <w:jc w:val="left"/>
              <w:rPr>
                <w:rFonts w:ascii="宋体" w:hAnsi="宋体" w:cs="宋体" w:eastAsia="宋体" w:hint="default"/>
                <w:sz w:val="16"/>
                <w:szCs w:val="16"/>
              </w:rPr>
            </w:pPr>
            <w:r>
              <w:rPr>
                <w:rFonts w:ascii="宋体" w:hAnsi="宋体" w:cs="宋体" w:eastAsia="宋体" w:hint="default"/>
                <w:spacing w:val="-4"/>
                <w:sz w:val="16"/>
                <w:szCs w:val="16"/>
              </w:rPr>
              <w:t>除同公司正常经营业务相关的有效套期保值业务外，持有交易性</w:t>
            </w:r>
            <w:r>
              <w:rPr>
                <w:rFonts w:ascii="宋体" w:hAnsi="宋体" w:cs="宋体" w:eastAsia="宋体" w:hint="default"/>
                <w:spacing w:val="-36"/>
                <w:sz w:val="16"/>
                <w:szCs w:val="16"/>
              </w:rPr>
              <w:t> </w:t>
            </w:r>
            <w:r>
              <w:rPr>
                <w:rFonts w:ascii="宋体" w:hAnsi="宋体" w:cs="宋体" w:eastAsia="宋体" w:hint="default"/>
                <w:spacing w:val="-36"/>
                <w:sz w:val="16"/>
                <w:szCs w:val="16"/>
              </w:rPr>
            </w:r>
            <w:r>
              <w:rPr>
                <w:rFonts w:ascii="宋体" w:hAnsi="宋体" w:cs="宋体" w:eastAsia="宋体" w:hint="default"/>
                <w:spacing w:val="-4"/>
                <w:sz w:val="16"/>
                <w:szCs w:val="16"/>
              </w:rPr>
              <w:t>金融资产、衍生金融资产、交易性金融负债、衍生金融负债产生</w:t>
            </w:r>
            <w:r>
              <w:rPr>
                <w:rFonts w:ascii="宋体" w:hAnsi="宋体" w:cs="宋体" w:eastAsia="宋体" w:hint="default"/>
                <w:spacing w:val="-31"/>
                <w:sz w:val="16"/>
                <w:szCs w:val="16"/>
              </w:rPr>
              <w:t> </w:t>
            </w:r>
            <w:r>
              <w:rPr>
                <w:rFonts w:ascii="宋体" w:hAnsi="宋体" w:cs="宋体" w:eastAsia="宋体" w:hint="default"/>
                <w:spacing w:val="-31"/>
                <w:sz w:val="16"/>
                <w:szCs w:val="16"/>
              </w:rPr>
            </w:r>
            <w:r>
              <w:rPr>
                <w:rFonts w:ascii="宋体" w:hAnsi="宋体" w:cs="宋体" w:eastAsia="宋体" w:hint="default"/>
                <w:spacing w:val="-6"/>
                <w:w w:val="100"/>
                <w:sz w:val="16"/>
                <w:szCs w:val="16"/>
              </w:rPr>
              <w:t>的公允价值变动损益，以及处置交易性金融资产、衍生金融资产、</w:t>
            </w:r>
            <w:r>
              <w:rPr>
                <w:rFonts w:ascii="宋体" w:hAnsi="宋体" w:cs="宋体" w:eastAsia="宋体" w:hint="default"/>
                <w:w w:val="100"/>
                <w:sz w:val="16"/>
                <w:szCs w:val="16"/>
              </w:rPr>
              <w:t> </w:t>
            </w:r>
            <w:r>
              <w:rPr>
                <w:rFonts w:ascii="宋体" w:hAnsi="宋体" w:cs="宋体" w:eastAsia="宋体" w:hint="default"/>
                <w:spacing w:val="-4"/>
                <w:sz w:val="16"/>
                <w:szCs w:val="16"/>
              </w:rPr>
              <w:t>交易性金融负债、衍生金融负债和其他债权投资取得的投资收益</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70,375,437.15</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单独进行减值测试的应收款项减值准备转回</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1,252,592.41</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对外委托贷款取得的损益</w:t>
            </w:r>
          </w:p>
        </w:tc>
        <w:tc>
          <w:tcPr>
            <w:tcW w:w="1831" w:type="dxa"/>
            <w:tcBorders>
              <w:top w:val="dotted" w:sz="4" w:space="0" w:color="000000"/>
              <w:left w:val="dotted" w:sz="4" w:space="0" w:color="000000"/>
              <w:bottom w:val="dotted" w:sz="4" w:space="0" w:color="000000"/>
              <w:right w:val="dotted" w:sz="4" w:space="0" w:color="000000"/>
            </w:tcBorders>
          </w:tcPr>
          <w:p>
            <w:pP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4"/>
              <w:ind w:left="122" w:right="195"/>
              <w:jc w:val="left"/>
              <w:rPr>
                <w:rFonts w:ascii="宋体" w:hAnsi="宋体" w:cs="宋体" w:eastAsia="宋体" w:hint="default"/>
                <w:sz w:val="16"/>
                <w:szCs w:val="16"/>
              </w:rPr>
            </w:pPr>
            <w:r>
              <w:rPr>
                <w:rFonts w:ascii="宋体" w:hAnsi="宋体" w:cs="宋体" w:eastAsia="宋体" w:hint="default"/>
                <w:spacing w:val="-1"/>
                <w:sz w:val="16"/>
                <w:szCs w:val="16"/>
              </w:rPr>
              <w:t>采用公允价值模式进行后续计量的投资性房地产公允价值变动</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z w:val="16"/>
                <w:szCs w:val="16"/>
              </w:rPr>
              <w:t>产生的损益</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210,506,650.78</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482"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97"/>
              <w:jc w:val="left"/>
              <w:rPr>
                <w:rFonts w:ascii="宋体" w:hAnsi="宋体" w:cs="宋体" w:eastAsia="宋体" w:hint="default"/>
                <w:sz w:val="16"/>
                <w:szCs w:val="16"/>
              </w:rPr>
            </w:pPr>
            <w:r>
              <w:rPr>
                <w:rFonts w:ascii="宋体" w:hAnsi="宋体" w:cs="宋体" w:eastAsia="宋体" w:hint="default"/>
                <w:spacing w:val="-4"/>
                <w:sz w:val="16"/>
                <w:szCs w:val="16"/>
              </w:rPr>
              <w:t>根据税收、会计等法律、法规的要求对当期损益进行一次性调整</w:t>
            </w:r>
            <w:r>
              <w:rPr>
                <w:rFonts w:ascii="宋体" w:hAnsi="宋体" w:cs="宋体" w:eastAsia="宋体" w:hint="default"/>
                <w:spacing w:val="-34"/>
                <w:sz w:val="16"/>
                <w:szCs w:val="16"/>
              </w:rPr>
              <w:t> </w:t>
            </w:r>
            <w:r>
              <w:rPr>
                <w:rFonts w:ascii="宋体" w:hAnsi="宋体" w:cs="宋体" w:eastAsia="宋体" w:hint="default"/>
                <w:spacing w:val="-34"/>
                <w:sz w:val="16"/>
                <w:szCs w:val="16"/>
              </w:rPr>
            </w:r>
            <w:r>
              <w:rPr>
                <w:rFonts w:ascii="宋体" w:hAnsi="宋体" w:cs="宋体" w:eastAsia="宋体" w:hint="default"/>
                <w:sz w:val="16"/>
                <w:szCs w:val="16"/>
              </w:rPr>
              <w:t>对当期损益的影响</w:t>
            </w:r>
          </w:p>
        </w:tc>
        <w:tc>
          <w:tcPr>
            <w:tcW w:w="1831" w:type="dxa"/>
            <w:tcBorders>
              <w:top w:val="dotted" w:sz="4" w:space="0" w:color="000000"/>
              <w:left w:val="dotted" w:sz="4" w:space="0" w:color="000000"/>
              <w:bottom w:val="dotted" w:sz="4" w:space="0" w:color="000000"/>
              <w:right w:val="dotted" w:sz="4" w:space="0" w:color="000000"/>
            </w:tcBorders>
          </w:tcPr>
          <w:p>
            <w:pP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受托经营取得的托管费收入</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943,392.63</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sz w:val="16"/>
                <w:szCs w:val="16"/>
              </w:rPr>
              <w:t>除上述各项之外的其他营业外收入和支出</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6"/>
                <w:szCs w:val="16"/>
              </w:rPr>
            </w:pPr>
            <w:r>
              <w:rPr>
                <w:rFonts w:ascii="Times New Roman"/>
                <w:spacing w:val="-1"/>
                <w:sz w:val="16"/>
              </w:rPr>
              <w:t>5,386,967.63</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其他符合非经常性损益定义的损益项目</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2"/>
              <w:jc w:val="right"/>
              <w:rPr>
                <w:rFonts w:ascii="Times New Roman" w:hAnsi="Times New Roman" w:cs="Times New Roman" w:eastAsia="Times New Roman" w:hint="default"/>
                <w:sz w:val="16"/>
                <w:szCs w:val="16"/>
              </w:rPr>
            </w:pPr>
            <w:r>
              <w:rPr>
                <w:rFonts w:ascii="Times New Roman"/>
                <w:spacing w:val="-1"/>
                <w:sz w:val="16"/>
              </w:rPr>
              <w:t>593,880.55</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810,388,398.85</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所得税影响额</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-167,642,735.74</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71" w:hRule="exact"/>
        </w:trPr>
        <w:tc>
          <w:tcPr>
            <w:tcW w:w="464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少数股东权益影响额（税后）</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3"/>
              <w:jc w:val="right"/>
              <w:rPr>
                <w:rFonts w:ascii="Times New Roman" w:hAnsi="Times New Roman" w:cs="Times New Roman" w:eastAsia="Times New Roman" w:hint="default"/>
                <w:sz w:val="16"/>
                <w:szCs w:val="16"/>
              </w:rPr>
            </w:pPr>
            <w:r>
              <w:rPr>
                <w:rFonts w:ascii="Times New Roman"/>
                <w:spacing w:val="-1"/>
                <w:sz w:val="16"/>
              </w:rPr>
              <w:t>-17,836,022.15</w:t>
            </w:r>
          </w:p>
        </w:tc>
        <w:tc>
          <w:tcPr>
            <w:tcW w:w="1724"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46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3"/>
              <w:jc w:val="right"/>
              <w:rPr>
                <w:rFonts w:ascii="Times New Roman" w:hAnsi="Times New Roman" w:cs="Times New Roman" w:eastAsia="Times New Roman" w:hint="default"/>
                <w:sz w:val="16"/>
                <w:szCs w:val="16"/>
              </w:rPr>
            </w:pPr>
            <w:r>
              <w:rPr>
                <w:rFonts w:ascii="Times New Roman"/>
                <w:spacing w:val="-1"/>
                <w:sz w:val="16"/>
              </w:rPr>
              <w:t>624,909,640.96</w:t>
            </w:r>
          </w:p>
        </w:tc>
        <w:tc>
          <w:tcPr>
            <w:tcW w:w="172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29"/>
          <w:szCs w:val="29"/>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净资产收益率及每股收益</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3399"/>
        <w:gridCol w:w="1916"/>
        <w:gridCol w:w="1527"/>
        <w:gridCol w:w="1361"/>
      </w:tblGrid>
      <w:tr>
        <w:trPr>
          <w:trHeight w:val="302" w:hRule="exact"/>
        </w:trPr>
        <w:tc>
          <w:tcPr>
            <w:tcW w:w="3399"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报告期利润</w:t>
            </w:r>
          </w:p>
        </w:tc>
        <w:tc>
          <w:tcPr>
            <w:tcW w:w="1916" w:type="dxa"/>
            <w:vMerge w:val="restart"/>
            <w:tcBorders>
              <w:top w:val="single" w:sz="12" w:space="0" w:color="000000"/>
              <w:left w:val="dotted" w:sz="4" w:space="0" w:color="000000"/>
              <w:right w:val="dotted" w:sz="4" w:space="0" w:color="000000"/>
            </w:tcBorders>
          </w:tcPr>
          <w:p>
            <w:pPr>
              <w:pStyle w:val="TableParagraph"/>
              <w:spacing w:line="208" w:lineRule="exact" w:before="55"/>
              <w:ind w:right="0"/>
              <w:jc w:val="center"/>
              <w:rPr>
                <w:rFonts w:ascii="宋体" w:hAnsi="宋体" w:cs="宋体" w:eastAsia="宋体" w:hint="default"/>
                <w:sz w:val="16"/>
                <w:szCs w:val="16"/>
              </w:rPr>
            </w:pPr>
            <w:r>
              <w:rPr>
                <w:rFonts w:ascii="宋体" w:hAnsi="宋体" w:cs="宋体" w:eastAsia="宋体" w:hint="default"/>
                <w:sz w:val="16"/>
                <w:szCs w:val="16"/>
              </w:rPr>
              <w:t>加权平均净资产收益率</w:t>
            </w:r>
          </w:p>
          <w:p>
            <w:pPr>
              <w:pStyle w:val="TableParagraph"/>
              <w:spacing w:line="220" w:lineRule="exact"/>
              <w:ind w:right="0"/>
              <w:jc w:val="center"/>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2888"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left="878" w:right="0"/>
              <w:jc w:val="left"/>
              <w:rPr>
                <w:rFonts w:ascii="宋体" w:hAnsi="宋体" w:cs="宋体" w:eastAsia="宋体" w:hint="default"/>
                <w:sz w:val="16"/>
                <w:szCs w:val="16"/>
              </w:rPr>
            </w:pPr>
            <w:r>
              <w:rPr>
                <w:rFonts w:ascii="宋体" w:hAnsi="宋体" w:cs="宋体" w:eastAsia="宋体" w:hint="default"/>
                <w:sz w:val="16"/>
                <w:szCs w:val="16"/>
              </w:rPr>
              <w:t>每股收益（元）</w:t>
            </w:r>
          </w:p>
        </w:tc>
      </w:tr>
      <w:tr>
        <w:trPr>
          <w:trHeight w:val="293" w:hRule="exact"/>
        </w:trPr>
        <w:tc>
          <w:tcPr>
            <w:tcW w:w="3399" w:type="dxa"/>
            <w:vMerge/>
            <w:tcBorders>
              <w:left w:val="nil" w:sz="6" w:space="0" w:color="auto"/>
              <w:bottom w:val="dotted" w:sz="4" w:space="0" w:color="000000"/>
              <w:right w:val="dotted" w:sz="4" w:space="0" w:color="000000"/>
            </w:tcBorders>
          </w:tcPr>
          <w:p>
            <w:pPr/>
          </w:p>
        </w:tc>
        <w:tc>
          <w:tcPr>
            <w:tcW w:w="1916" w:type="dxa"/>
            <w:vMerge/>
            <w:tcBorders>
              <w:left w:val="dotted" w:sz="4" w:space="0" w:color="000000"/>
              <w:bottom w:val="dotted" w:sz="4" w:space="0" w:color="000000"/>
              <w:right w:val="dotted" w:sz="4" w:space="0" w:color="000000"/>
            </w:tcBorders>
          </w:tcPr>
          <w:p>
            <w:pP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left="278" w:right="0"/>
              <w:jc w:val="left"/>
              <w:rPr>
                <w:rFonts w:ascii="宋体" w:hAnsi="宋体" w:cs="宋体" w:eastAsia="宋体" w:hint="default"/>
                <w:sz w:val="16"/>
                <w:szCs w:val="16"/>
              </w:rPr>
            </w:pPr>
            <w:r>
              <w:rPr>
                <w:rFonts w:ascii="宋体" w:hAnsi="宋体" w:cs="宋体" w:eastAsia="宋体" w:hint="default"/>
                <w:sz w:val="16"/>
                <w:szCs w:val="16"/>
              </w:rPr>
              <w:t>基本每股收益</w:t>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left="194" w:right="0"/>
              <w:jc w:val="left"/>
              <w:rPr>
                <w:rFonts w:ascii="宋体" w:hAnsi="宋体" w:cs="宋体" w:eastAsia="宋体" w:hint="default"/>
                <w:sz w:val="16"/>
                <w:szCs w:val="16"/>
              </w:rPr>
            </w:pPr>
            <w:r>
              <w:rPr>
                <w:rFonts w:ascii="宋体" w:hAnsi="宋体" w:cs="宋体" w:eastAsia="宋体" w:hint="default"/>
                <w:sz w:val="16"/>
                <w:szCs w:val="16"/>
              </w:rPr>
              <w:t>稀释每股收益</w:t>
            </w:r>
          </w:p>
        </w:tc>
      </w:tr>
      <w:tr>
        <w:trPr>
          <w:trHeight w:val="293" w:hRule="exact"/>
        </w:trPr>
        <w:tc>
          <w:tcPr>
            <w:tcW w:w="33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归属于公司普通股股东的净利润</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0"/>
              <w:jc w:val="right"/>
              <w:rPr>
                <w:rFonts w:ascii="Times New Roman" w:hAnsi="Times New Roman" w:cs="Times New Roman" w:eastAsia="Times New Roman" w:hint="default"/>
                <w:sz w:val="16"/>
                <w:szCs w:val="16"/>
              </w:rPr>
            </w:pPr>
            <w:r>
              <w:rPr>
                <w:rFonts w:ascii="Times New Roman"/>
                <w:spacing w:val="-1"/>
                <w:sz w:val="16"/>
              </w:rPr>
              <w:t>14.643</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9"/>
              <w:ind w:right="100"/>
              <w:jc w:val="right"/>
              <w:rPr>
                <w:rFonts w:ascii="Times New Roman" w:hAnsi="Times New Roman" w:cs="Times New Roman" w:eastAsia="Times New Roman" w:hint="default"/>
                <w:sz w:val="16"/>
                <w:szCs w:val="16"/>
              </w:rPr>
            </w:pPr>
            <w:r>
              <w:rPr>
                <w:rFonts w:ascii="Times New Roman"/>
                <w:spacing w:val="-1"/>
                <w:sz w:val="16"/>
              </w:rPr>
              <w:t>0.380</w:t>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spacing w:val="-1"/>
                <w:sz w:val="16"/>
              </w:rPr>
              <w:t>0.380</w:t>
            </w:r>
          </w:p>
        </w:tc>
      </w:tr>
      <w:tr>
        <w:trPr>
          <w:trHeight w:val="492" w:hRule="exact"/>
        </w:trPr>
        <w:tc>
          <w:tcPr>
            <w:tcW w:w="3399" w:type="dxa"/>
            <w:tcBorders>
              <w:top w:val="dotted" w:sz="4" w:space="0" w:color="000000"/>
              <w:left w:val="nil" w:sz="6" w:space="0" w:color="auto"/>
              <w:bottom w:val="single" w:sz="12" w:space="0" w:color="000000"/>
              <w:right w:val="dotted" w:sz="4" w:space="0" w:color="000000"/>
            </w:tcBorders>
          </w:tcPr>
          <w:p>
            <w:pPr>
              <w:pStyle w:val="TableParagraph"/>
              <w:spacing w:line="206" w:lineRule="exact" w:before="24"/>
              <w:ind w:left="122" w:right="226"/>
              <w:jc w:val="left"/>
              <w:rPr>
                <w:rFonts w:ascii="宋体" w:hAnsi="宋体" w:cs="宋体" w:eastAsia="宋体" w:hint="default"/>
                <w:sz w:val="16"/>
                <w:szCs w:val="16"/>
              </w:rPr>
            </w:pPr>
            <w:r>
              <w:rPr>
                <w:rFonts w:ascii="宋体" w:hAnsi="宋体" w:cs="宋体" w:eastAsia="宋体" w:hint="default"/>
                <w:spacing w:val="-1"/>
                <w:sz w:val="16"/>
                <w:szCs w:val="16"/>
              </w:rPr>
              <w:t>扣除非经常性损益后归属于公司普通股股东</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的净利润</w:t>
            </w:r>
          </w:p>
        </w:tc>
        <w:tc>
          <w:tcPr>
            <w:tcW w:w="19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6.429</w:t>
            </w:r>
          </w:p>
        </w:tc>
        <w:tc>
          <w:tcPr>
            <w:tcW w:w="15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0.167</w:t>
            </w:r>
          </w:p>
        </w:tc>
        <w:tc>
          <w:tcPr>
            <w:tcW w:w="13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0.167</w:t>
            </w:r>
          </w:p>
        </w:tc>
      </w:tr>
    </w:tbl>
    <w:p>
      <w:pPr>
        <w:spacing w:line="240" w:lineRule="auto" w:before="7"/>
        <w:rPr>
          <w:rFonts w:ascii="宋体" w:hAnsi="宋体" w:cs="宋体" w:eastAsia="宋体" w:hint="default"/>
          <w:b/>
          <w:bCs/>
          <w:sz w:val="29"/>
          <w:szCs w:val="29"/>
        </w:rPr>
      </w:pPr>
    </w:p>
    <w:p>
      <w:pPr>
        <w:pStyle w:val="Heading5"/>
        <w:tabs>
          <w:tab w:pos="850" w:val="left" w:leader="none"/>
        </w:tabs>
        <w:spacing w:line="240" w:lineRule="auto"/>
        <w:ind w:right="3683"/>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会计政策变更相关补充资料</w:t>
      </w:r>
      <w:r>
        <w:rPr>
          <w:b w:val="0"/>
          <w:bCs w:val="0"/>
        </w:rPr>
      </w:r>
    </w:p>
    <w:p>
      <w:pPr>
        <w:pStyle w:val="BodyText"/>
        <w:spacing w:line="240" w:lineRule="auto" w:before="69"/>
        <w:ind w:left="850" w:right="1468"/>
        <w:jc w:val="left"/>
      </w:pPr>
      <w:r>
        <w:rPr>
          <w:w w:val="100"/>
        </w:rPr>
        <w:t>财政</w:t>
      </w:r>
      <w:r>
        <w:rPr>
          <w:spacing w:val="-3"/>
          <w:w w:val="100"/>
        </w:rPr>
        <w:t>部</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w:t>
      </w:r>
      <w:r>
        <w:rPr>
          <w:spacing w:val="-3"/>
          <w:w w:val="100"/>
        </w:rPr>
        <w:t>度</w:t>
      </w:r>
      <w:r>
        <w:rPr>
          <w:w w:val="100"/>
        </w:rPr>
        <w:t>修</w:t>
      </w:r>
      <w:r>
        <w:rPr>
          <w:spacing w:val="-3"/>
          <w:w w:val="100"/>
        </w:rPr>
        <w:t>订了</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w:t>
      </w:r>
      <w:r>
        <w:rPr>
          <w:w w:val="100"/>
        </w:rPr>
        <w:t>量</w:t>
      </w:r>
      <w:r>
        <w:rPr>
          <w:spacing w:val="-106"/>
          <w:w w:val="100"/>
        </w:rPr>
        <w:t>》</w:t>
      </w:r>
      <w:r>
        <w:rPr>
          <w:spacing w:val="-108"/>
          <w:w w:val="100"/>
        </w:rPr>
        <w:t>、</w:t>
      </w:r>
      <w:r>
        <w:rPr>
          <w:w w:val="100"/>
        </w:rPr>
        <w:t>《企</w:t>
      </w:r>
    </w:p>
    <w:p>
      <w:pPr>
        <w:pStyle w:val="BodyText"/>
        <w:spacing w:line="240" w:lineRule="auto" w:before="69"/>
        <w:ind w:left="850" w:right="1468"/>
        <w:jc w:val="left"/>
      </w:pPr>
      <w:r>
        <w:rPr>
          <w:w w:val="100"/>
        </w:rPr>
        <w:t>业会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spacing w:val="-3"/>
          <w:w w:val="100"/>
        </w:rPr>
        <w:t>金</w:t>
      </w:r>
      <w:r>
        <w:rPr>
          <w:w w:val="100"/>
        </w:rPr>
        <w:t>融资</w:t>
      </w:r>
      <w:r>
        <w:rPr>
          <w:spacing w:val="-3"/>
          <w:w w:val="100"/>
        </w:rPr>
        <w:t>产</w:t>
      </w:r>
      <w:r>
        <w:rPr>
          <w:w w:val="100"/>
        </w:rPr>
        <w:t>转</w:t>
      </w:r>
      <w:r>
        <w:rPr>
          <w:spacing w:val="-3"/>
          <w:w w:val="100"/>
        </w:rPr>
        <w:t>移</w:t>
      </w:r>
      <w:r>
        <w:rPr>
          <w:spacing w:val="-106"/>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套</w:t>
      </w:r>
      <w:r>
        <w:rPr>
          <w:w w:val="100"/>
        </w:rPr>
        <w:t>期</w:t>
      </w:r>
      <w:r>
        <w:rPr>
          <w:spacing w:val="-3"/>
          <w:w w:val="100"/>
        </w:rPr>
        <w:t>会计</w:t>
      </w:r>
      <w:r>
        <w:rPr>
          <w:w w:val="100"/>
        </w:rPr>
        <w:t>》和</w:t>
      </w:r>
    </w:p>
    <w:p>
      <w:pPr>
        <w:pStyle w:val="BodyText"/>
        <w:spacing w:line="240" w:lineRule="auto" w:before="69"/>
        <w:ind w:left="850" w:right="1468"/>
        <w:jc w:val="left"/>
      </w:pP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2"/>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w w:val="100"/>
        </w:rPr>
        <w:t>金</w:t>
      </w:r>
      <w:r>
        <w:rPr>
          <w:spacing w:val="-3"/>
          <w:w w:val="100"/>
        </w:rPr>
        <w:t>融</w:t>
      </w:r>
      <w:r>
        <w:rPr>
          <w:w w:val="100"/>
        </w:rPr>
        <w:t>工</w:t>
      </w:r>
      <w:r>
        <w:rPr>
          <w:spacing w:val="-3"/>
          <w:w w:val="100"/>
        </w:rPr>
        <w:t>具</w:t>
      </w:r>
      <w:r>
        <w:rPr>
          <w:w w:val="100"/>
        </w:rPr>
        <w:t>列</w:t>
      </w:r>
      <w:r>
        <w:rPr>
          <w:spacing w:val="-3"/>
          <w:w w:val="100"/>
        </w:rPr>
        <w:t>报</w:t>
      </w:r>
      <w:r>
        <w:rPr>
          <w:spacing w:val="-106"/>
          <w:w w:val="100"/>
        </w:rPr>
        <w:t>》</w:t>
      </w:r>
      <w:r>
        <w:rPr>
          <w:spacing w:val="-70"/>
          <w:w w:val="100"/>
        </w:rPr>
        <w:t>，</w:t>
      </w:r>
      <w:r>
        <w:rPr>
          <w:w w:val="100"/>
        </w:rPr>
        <w:t>本</w:t>
      </w:r>
      <w:r>
        <w:rPr>
          <w:spacing w:val="-3"/>
          <w:w w:val="100"/>
        </w:rPr>
        <w:t>公司</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w w:val="100"/>
        </w:rPr>
        <w:t>期</w:t>
      </w:r>
      <w:r>
        <w:rPr>
          <w:spacing w:val="-3"/>
          <w:w w:val="100"/>
        </w:rPr>
        <w:t>执行</w:t>
      </w:r>
      <w:r>
        <w:rPr>
          <w:w w:val="100"/>
        </w:rPr>
        <w:t>上述</w:t>
      </w:r>
    </w:p>
    <w:p>
      <w:pPr>
        <w:pStyle w:val="BodyText"/>
        <w:spacing w:line="240" w:lineRule="auto" w:before="69"/>
        <w:ind w:left="850" w:right="3683"/>
        <w:jc w:val="left"/>
      </w:pPr>
      <w:r>
        <w:rPr/>
        <w:t>准则并对</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年年初余额进行调整；</w:t>
      </w:r>
    </w:p>
    <w:p>
      <w:pPr>
        <w:spacing w:after="0" w:line="240" w:lineRule="auto"/>
        <w:jc w:val="left"/>
        <w:sectPr>
          <w:pgSz w:w="11910" w:h="16840"/>
          <w:pgMar w:header="0" w:footer="574" w:top="1380" w:bottom="760" w:left="1660" w:right="0"/>
        </w:sectPr>
      </w:pPr>
    </w:p>
    <w:p>
      <w:pPr>
        <w:spacing w:line="240" w:lineRule="auto" w:before="13"/>
        <w:rPr>
          <w:rFonts w:ascii="宋体" w:hAnsi="宋体" w:cs="宋体" w:eastAsia="宋体" w:hint="default"/>
          <w:sz w:val="19"/>
          <w:szCs w:val="19"/>
        </w:rPr>
      </w:pPr>
    </w:p>
    <w:p>
      <w:pPr>
        <w:pStyle w:val="BodyText"/>
        <w:spacing w:line="240" w:lineRule="auto"/>
        <w:ind w:left="850" w:right="1468"/>
        <w:jc w:val="left"/>
      </w:pPr>
      <w:r>
        <w:rPr/>
        <w:t>本公司因执行《关于修订印发 </w:t>
      </w:r>
      <w:r>
        <w:rPr>
          <w:rFonts w:ascii="Times New Roman" w:hAnsi="Times New Roman" w:cs="Times New Roman" w:eastAsia="Times New Roman" w:hint="default"/>
        </w:rPr>
        <w:t>2019 </w:t>
      </w:r>
      <w:r>
        <w:rPr/>
        <w:t>年度一般企业财务报表格式的通知》</w:t>
      </w:r>
      <w:r>
        <w:rPr>
          <w:spacing w:val="-55"/>
        </w:rPr>
        <w:t> </w:t>
      </w:r>
      <w:r>
        <w:rPr>
          <w:spacing w:val="-3"/>
        </w:rPr>
        <w:t>（财会</w:t>
      </w:r>
      <w:r>
        <w:rPr/>
      </w:r>
    </w:p>
    <w:p>
      <w:pPr>
        <w:pStyle w:val="BodyText"/>
        <w:spacing w:line="304" w:lineRule="auto" w:before="69"/>
        <w:ind w:left="850" w:right="1681"/>
        <w:jc w:val="left"/>
      </w:pPr>
      <w:r>
        <w:rPr/>
        <w:pict>
          <v:shape style="position:absolute;margin-left:119.059998pt;margin-top:90.713676pt;width:412.3pt;height:573.6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77"/>
                    <w:gridCol w:w="1836"/>
                    <w:gridCol w:w="2023"/>
                    <w:gridCol w:w="1865"/>
                  </w:tblGrid>
                  <w:tr>
                    <w:trPr>
                      <w:trHeight w:val="283" w:hRule="exact"/>
                    </w:trPr>
                    <w:tc>
                      <w:tcPr>
                        <w:tcW w:w="24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8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31" w:right="0"/>
                          <w:jc w:val="left"/>
                          <w:rPr>
                            <w:rFonts w:ascii="宋体" w:hAnsi="宋体" w:cs="宋体" w:eastAsia="宋体" w:hint="default"/>
                            <w:sz w:val="16"/>
                            <w:szCs w:val="16"/>
                          </w:rPr>
                        </w:pPr>
                        <w:r>
                          <w:rPr>
                            <w:rFonts w:ascii="宋体" w:hAnsi="宋体" w:cs="宋体" w:eastAsia="宋体" w:hint="default"/>
                            <w:sz w:val="16"/>
                            <w:szCs w:val="16"/>
                          </w:rPr>
                          <w:t>上年年初余额</w:t>
                        </w:r>
                      </w:p>
                    </w:tc>
                    <w:tc>
                      <w:tcPr>
                        <w:tcW w:w="20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52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8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605"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3,002,427,102.36</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3,395,465,223.99</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3,979,276,595.36</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结算备付金</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拆出资金</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9"/>
                          <w:jc w:val="right"/>
                          <w:rPr>
                            <w:rFonts w:ascii="宋体" w:hAnsi="宋体" w:cs="宋体" w:eastAsia="宋体" w:hint="default"/>
                            <w:sz w:val="16"/>
                            <w:szCs w:val="16"/>
                          </w:rPr>
                        </w:pPr>
                        <w:r>
                          <w:rPr>
                            <w:rFonts w:ascii="宋体" w:hAnsi="宋体" w:cs="宋体" w:eastAsia="宋体" w:hint="default"/>
                            <w:sz w:val="16"/>
                            <w:szCs w:val="16"/>
                          </w:rPr>
                          <w:t>不适用</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418,768,388.48</w:t>
                        </w:r>
                      </w:p>
                    </w:tc>
                  </w:tr>
                  <w:tr>
                    <w:trPr>
                      <w:trHeight w:val="481"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25"/>
                          <w:ind w:left="122" w:right="106" w:firstLine="160"/>
                          <w:jc w:val="left"/>
                          <w:rPr>
                            <w:rFonts w:ascii="宋体" w:hAnsi="宋体" w:cs="宋体" w:eastAsia="宋体" w:hint="default"/>
                            <w:sz w:val="16"/>
                            <w:szCs w:val="16"/>
                          </w:rPr>
                        </w:pPr>
                        <w:r>
                          <w:rPr>
                            <w:rFonts w:ascii="宋体" w:hAnsi="宋体" w:cs="宋体" w:eastAsia="宋体" w:hint="default"/>
                            <w:spacing w:val="-1"/>
                            <w:sz w:val="16"/>
                            <w:szCs w:val="16"/>
                          </w:rPr>
                          <w:t>以公允价值计量且其变动计入</w:t>
                        </w:r>
                        <w:r>
                          <w:rPr>
                            <w:rFonts w:ascii="宋体" w:hAnsi="宋体" w:cs="宋体" w:eastAsia="宋体" w:hint="default"/>
                            <w:w w:val="100"/>
                            <w:sz w:val="16"/>
                            <w:szCs w:val="16"/>
                          </w:rPr>
                          <w:t> </w:t>
                        </w:r>
                        <w:r>
                          <w:rPr>
                            <w:rFonts w:ascii="宋体" w:hAnsi="宋体" w:cs="宋体" w:eastAsia="宋体" w:hint="default"/>
                            <w:sz w:val="16"/>
                            <w:szCs w:val="16"/>
                          </w:rPr>
                          <w:t>当期损益的金融资产</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3"/>
                          <w:jc w:val="right"/>
                          <w:rPr>
                            <w:rFonts w:ascii="宋体" w:hAnsi="宋体" w:cs="宋体" w:eastAsia="宋体" w:hint="default"/>
                            <w:sz w:val="16"/>
                            <w:szCs w:val="16"/>
                          </w:rPr>
                        </w:pPr>
                        <w:r>
                          <w:rPr>
                            <w:rFonts w:ascii="宋体" w:hAnsi="宋体" w:cs="宋体" w:eastAsia="宋体" w:hint="default"/>
                            <w:sz w:val="16"/>
                            <w:szCs w:val="16"/>
                          </w:rPr>
                          <w:t>不适用</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衍生金融资产</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2,039,548.65</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2,731,217.74</w:t>
                        </w: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689,573,546.88</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754,922,504.48</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1,518,091,014.75</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2,171,671,958.33</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2,967,217,578.89</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3,012,407,025.01</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应收款项融资</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9"/>
                          <w:jc w:val="right"/>
                          <w:rPr>
                            <w:rFonts w:ascii="宋体" w:hAnsi="宋体" w:cs="宋体" w:eastAsia="宋体" w:hint="default"/>
                            <w:sz w:val="16"/>
                            <w:szCs w:val="16"/>
                          </w:rPr>
                        </w:pPr>
                        <w:r>
                          <w:rPr>
                            <w:rFonts w:ascii="宋体" w:hAnsi="宋体" w:cs="宋体" w:eastAsia="宋体" w:hint="default"/>
                            <w:sz w:val="16"/>
                            <w:szCs w:val="16"/>
                          </w:rPr>
                          <w:t>不适用</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5,619,108.20</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281,270,183.88</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219,350,720.55</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1,211,495,154.18</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应收保费</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应收分保账款</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应收分保合同准备金</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105,112,283.41</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64,216,862.12</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90,835,520.28</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买入返售金融资产</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1,629,894,970.19</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1,984,172,857.87</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3,642,039,493.12</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持有待售资产</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一年内到期的非流动资产</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6"/>
                            <w:szCs w:val="16"/>
                          </w:rPr>
                        </w:pPr>
                        <w:r>
                          <w:rPr>
                            <w:rFonts w:ascii="Times New Roman"/>
                            <w:spacing w:val="-2"/>
                            <w:sz w:val="16"/>
                          </w:rPr>
                          <w:t>18,968,121.42</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其他流动资产</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61,789,435.83</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95,325,375.40</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129,920,481.21</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b/>
                            <w:bCs/>
                            <w:sz w:val="16"/>
                            <w:szCs w:val="16"/>
                          </w:rPr>
                          <w:t>流动资产合计</w:t>
                        </w:r>
                        <w:r>
                          <w:rPr>
                            <w:rFonts w:ascii="宋体" w:hAnsi="宋体" w:cs="宋体" w:eastAsia="宋体" w:hint="default"/>
                            <w:sz w:val="16"/>
                            <w:szCs w:val="16"/>
                          </w:rPr>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7,943,779,029.53</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9,483,402,341.04</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14,027,420,902.01</w:t>
                        </w:r>
                      </w:p>
                    </w:tc>
                  </w:tr>
                  <w:tr>
                    <w:trPr>
                      <w:trHeight w:val="271"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发放贷款和垫款</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债权投资</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9"/>
                          <w:jc w:val="right"/>
                          <w:rPr>
                            <w:rFonts w:ascii="宋体" w:hAnsi="宋体" w:cs="宋体" w:eastAsia="宋体" w:hint="default"/>
                            <w:sz w:val="16"/>
                            <w:szCs w:val="16"/>
                          </w:rPr>
                        </w:pPr>
                        <w:r>
                          <w:rPr>
                            <w:rFonts w:ascii="宋体" w:hAnsi="宋体" w:cs="宋体" w:eastAsia="宋体" w:hint="default"/>
                            <w:sz w:val="16"/>
                            <w:szCs w:val="16"/>
                          </w:rPr>
                          <w:t>不适用</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1,865,922,030.69</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371,503,216.42</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103"/>
                          <w:jc w:val="right"/>
                          <w:rPr>
                            <w:rFonts w:ascii="宋体" w:hAnsi="宋体" w:cs="宋体" w:eastAsia="宋体" w:hint="default"/>
                            <w:sz w:val="16"/>
                            <w:szCs w:val="16"/>
                          </w:rPr>
                        </w:pPr>
                        <w:r>
                          <w:rPr>
                            <w:rFonts w:ascii="宋体" w:hAnsi="宋体" w:cs="宋体" w:eastAsia="宋体" w:hint="default"/>
                            <w:sz w:val="16"/>
                            <w:szCs w:val="16"/>
                          </w:rPr>
                          <w:t>不适用</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其他债权投资</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9"/>
                          <w:jc w:val="right"/>
                          <w:rPr>
                            <w:rFonts w:ascii="宋体" w:hAnsi="宋体" w:cs="宋体" w:eastAsia="宋体" w:hint="default"/>
                            <w:sz w:val="16"/>
                            <w:szCs w:val="16"/>
                          </w:rPr>
                        </w:pPr>
                        <w:r>
                          <w:rPr>
                            <w:rFonts w:ascii="宋体" w:hAnsi="宋体" w:cs="宋体" w:eastAsia="宋体" w:hint="default"/>
                            <w:sz w:val="16"/>
                            <w:szCs w:val="16"/>
                          </w:rPr>
                          <w:t>不适用</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9,251,878.55</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持有至到期投资</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103"/>
                          <w:jc w:val="right"/>
                          <w:rPr>
                            <w:rFonts w:ascii="宋体" w:hAnsi="宋体" w:cs="宋体" w:eastAsia="宋体" w:hint="default"/>
                            <w:sz w:val="16"/>
                            <w:szCs w:val="16"/>
                          </w:rPr>
                        </w:pPr>
                        <w:r>
                          <w:rPr>
                            <w:rFonts w:ascii="宋体" w:hAnsi="宋体" w:cs="宋体" w:eastAsia="宋体" w:hint="default"/>
                            <w:sz w:val="16"/>
                            <w:szCs w:val="16"/>
                          </w:rPr>
                          <w:t>不适用</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500,000.00</w:t>
                        </w: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2"/>
                            <w:sz w:val="16"/>
                          </w:rPr>
                          <w:t>70,873,381.15</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313,773,928.61</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647,687,326.61</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9"/>
                          <w:jc w:val="right"/>
                          <w:rPr>
                            <w:rFonts w:ascii="宋体" w:hAnsi="宋体" w:cs="宋体" w:eastAsia="宋体" w:hint="default"/>
                            <w:sz w:val="16"/>
                            <w:szCs w:val="16"/>
                          </w:rPr>
                        </w:pPr>
                        <w:r>
                          <w:rPr>
                            <w:rFonts w:ascii="宋体" w:hAnsi="宋体" w:cs="宋体" w:eastAsia="宋体" w:hint="default"/>
                            <w:sz w:val="16"/>
                            <w:szCs w:val="16"/>
                          </w:rPr>
                          <w:t>不适用</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213,398,640.00</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其他非流动金融资产</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9"/>
                          <w:jc w:val="right"/>
                          <w:rPr>
                            <w:rFonts w:ascii="宋体" w:hAnsi="宋体" w:cs="宋体" w:eastAsia="宋体" w:hint="default"/>
                            <w:sz w:val="16"/>
                            <w:szCs w:val="16"/>
                          </w:rPr>
                        </w:pPr>
                        <w:r>
                          <w:rPr>
                            <w:rFonts w:ascii="宋体" w:hAnsi="宋体" w:cs="宋体" w:eastAsia="宋体" w:hint="default"/>
                            <w:sz w:val="16"/>
                            <w:szCs w:val="16"/>
                          </w:rPr>
                          <w:t>不适用</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1,622,560,946.97</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1,758,671,860.90</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2,774,996,188.59</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283"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6"/>
                            <w:szCs w:val="16"/>
                          </w:rPr>
                        </w:pPr>
                        <w:r>
                          <w:rPr>
                            <w:rFonts w:ascii="Times New Roman"/>
                            <w:spacing w:val="-1"/>
                            <w:sz w:val="16"/>
                          </w:rPr>
                          <w:t>1,859,729,621.07</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6"/>
                            <w:szCs w:val="16"/>
                          </w:rPr>
                        </w:pPr>
                        <w:r>
                          <w:rPr>
                            <w:rFonts w:ascii="Times New Roman"/>
                            <w:spacing w:val="-1"/>
                            <w:sz w:val="16"/>
                          </w:rPr>
                          <w:t>1,927,309,832.29</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6"/>
                            <w:szCs w:val="16"/>
                          </w:rPr>
                        </w:pPr>
                        <w:r>
                          <w:rPr>
                            <w:rFonts w:ascii="Times New Roman"/>
                            <w:spacing w:val="-1"/>
                            <w:sz w:val="16"/>
                          </w:rPr>
                          <w:t>2,781,574,403.89</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1,779,694,872.54</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2,208,899,418.95</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376,463,927.65</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生产性生物资产</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油气资产</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402,822,251.74</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473,557,598.51</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456,751,611.73</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93,421,875.76</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65,681,230.31</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47,727,678.81</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商誉</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23,034,560.66</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24,144,802.73</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24,684,354.48</w:t>
                        </w:r>
                      </w:p>
                    </w:tc>
                  </w:tr>
                  <w:tr>
                    <w:trPr>
                      <w:trHeight w:val="283" w:hRule="exact"/>
                    </w:trPr>
                    <w:tc>
                      <w:tcPr>
                        <w:tcW w:w="24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18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11,528,482.04</w:t>
                        </w:r>
                      </w:p>
                    </w:tc>
                    <w:tc>
                      <w:tcPr>
                        <w:tcW w:w="20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21,309,205.26</w:t>
                        </w:r>
                      </w:p>
                    </w:tc>
                    <w:tc>
                      <w:tcPr>
                        <w:tcW w:w="18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26,702,740.12</w:t>
                        </w:r>
                      </w:p>
                    </w:tc>
                  </w:tr>
                </w:tbl>
                <w:p>
                  <w:pPr/>
                </w:p>
              </w:txbxContent>
            </v:textbox>
            <w10:wrap type="none"/>
          </v:shape>
        </w:pict>
      </w:r>
      <w:r>
        <w:rPr>
          <w:spacing w:val="-5"/>
          <w:w w:val="100"/>
        </w:rPr>
        <w:t>〔</w:t>
      </w:r>
      <w:r>
        <w:rPr>
          <w:rFonts w:ascii="Times New Roman" w:hAnsi="Times New Roman" w:cs="Times New Roman" w:eastAsia="Times New Roman" w:hint="default"/>
          <w:spacing w:val="-5"/>
          <w:w w:val="100"/>
        </w:rPr>
        <w:t>2019</w:t>
      </w:r>
      <w:r>
        <w:rPr>
          <w:spacing w:val="-5"/>
          <w:w w:val="100"/>
        </w:rPr>
        <w:t>〕</w:t>
      </w:r>
      <w:r>
        <w:rPr>
          <w:rFonts w:ascii="Times New Roman" w:hAnsi="Times New Roman" w:cs="Times New Roman" w:eastAsia="Times New Roman" w:hint="default"/>
          <w:spacing w:val="-5"/>
          <w:w w:val="100"/>
        </w:rPr>
        <w:t>6</w:t>
      </w:r>
      <w:r>
        <w:rPr>
          <w:rFonts w:ascii="Times New Roman" w:hAnsi="Times New Roman" w:cs="Times New Roman" w:eastAsia="Times New Roman" w:hint="default"/>
          <w:spacing w:val="3"/>
          <w:w w:val="100"/>
        </w:rPr>
        <w:t> </w:t>
      </w:r>
      <w:r>
        <w:rPr>
          <w:spacing w:val="-13"/>
          <w:w w:val="100"/>
        </w:rPr>
        <w:t>号）、《关于修订印发合并财务报表格式（</w:t>
      </w:r>
      <w:r>
        <w:rPr>
          <w:rFonts w:ascii="Times New Roman" w:hAnsi="Times New Roman" w:cs="Times New Roman" w:eastAsia="Times New Roman" w:hint="default"/>
          <w:spacing w:val="-13"/>
          <w:w w:val="100"/>
        </w:rPr>
        <w:t>2019</w:t>
      </w:r>
      <w:r>
        <w:rPr>
          <w:rFonts w:ascii="Times New Roman" w:hAnsi="Times New Roman" w:cs="Times New Roman" w:eastAsia="Times New Roman" w:hint="default"/>
          <w:spacing w:val="7"/>
          <w:w w:val="100"/>
        </w:rPr>
        <w:t> </w:t>
      </w:r>
      <w:r>
        <w:rPr>
          <w:spacing w:val="-15"/>
          <w:w w:val="100"/>
        </w:rPr>
        <w:t>版）的通知》（财会〔</w:t>
      </w:r>
      <w:r>
        <w:rPr>
          <w:rFonts w:ascii="Times New Roman" w:hAnsi="Times New Roman" w:cs="Times New Roman" w:eastAsia="Times New Roman" w:hint="default"/>
          <w:spacing w:val="-15"/>
          <w:w w:val="100"/>
        </w:rPr>
        <w:t>2019</w:t>
      </w:r>
      <w:r>
        <w:rPr>
          <w:spacing w:val="-15"/>
          <w:w w:val="100"/>
        </w:rPr>
        <w:t>〕</w:t>
      </w:r>
      <w:r>
        <w:rPr>
          <w:spacing w:val="-103"/>
          <w:w w:val="100"/>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号）对比较报表相应数据进行了调整；</w:t>
      </w:r>
      <w:r>
        <w:rPr>
          <w:w w:val="100"/>
        </w:rPr>
        <w:t> </w:t>
      </w:r>
      <w:r>
        <w:rPr/>
        <w:t>本公司因对投资性房地产后续计量模式进行变更，由成本计量改为公允价值计量，</w:t>
      </w:r>
      <w:r>
        <w:rPr>
          <w:w w:val="100"/>
        </w:rPr>
        <w:t> </w:t>
      </w:r>
      <w:r>
        <w:rPr/>
        <w:t>对比较报表进行追溯调整。</w:t>
      </w:r>
      <w:r>
        <w:rPr>
          <w:w w:val="100"/>
        </w:rPr>
        <w:t> </w:t>
      </w:r>
      <w:r>
        <w:rPr/>
        <w:t>按照上述事项重述后的上年年初、上年年末合并资产负债表如下：</w:t>
      </w:r>
    </w:p>
    <w:p>
      <w:pPr>
        <w:spacing w:after="0" w:line="304" w:lineRule="auto"/>
        <w:jc w:val="left"/>
        <w:sectPr>
          <w:footerReference w:type="default" r:id="rId80"/>
          <w:pgSz w:w="11910" w:h="16840"/>
          <w:pgMar w:footer="574" w:header="0" w:top="1380" w:bottom="760" w:left="1660" w:right="0"/>
          <w:pgNumType w:start="14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2477"/>
        <w:gridCol w:w="1836"/>
        <w:gridCol w:w="2023"/>
        <w:gridCol w:w="1865"/>
      </w:tblGrid>
      <w:tr>
        <w:trPr>
          <w:trHeight w:val="284" w:hRule="exact"/>
        </w:trPr>
        <w:tc>
          <w:tcPr>
            <w:tcW w:w="24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8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31" w:right="0"/>
              <w:jc w:val="left"/>
              <w:rPr>
                <w:rFonts w:ascii="宋体" w:hAnsi="宋体" w:cs="宋体" w:eastAsia="宋体" w:hint="default"/>
                <w:sz w:val="16"/>
                <w:szCs w:val="16"/>
              </w:rPr>
            </w:pPr>
            <w:r>
              <w:rPr>
                <w:rFonts w:ascii="宋体" w:hAnsi="宋体" w:cs="宋体" w:eastAsia="宋体" w:hint="default"/>
                <w:sz w:val="16"/>
                <w:szCs w:val="16"/>
              </w:rPr>
              <w:t>上年年初余额</w:t>
            </w:r>
          </w:p>
        </w:tc>
        <w:tc>
          <w:tcPr>
            <w:tcW w:w="20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52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8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605"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递延所得税资产</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84,541,061.62</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95,675,220.94</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103,232,445.47</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其他非流动资产</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122,493,198.31</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134,809,668.52</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180,820,551.63</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b/>
                <w:bCs/>
                <w:sz w:val="16"/>
                <w:szCs w:val="16"/>
              </w:rPr>
              <w:t>非流动资产合计</w:t>
            </w:r>
            <w:r>
              <w:rPr>
                <w:rFonts w:ascii="宋体" w:hAnsi="宋体" w:cs="宋体" w:eastAsia="宋体" w:hint="default"/>
                <w:sz w:val="16"/>
                <w:szCs w:val="16"/>
              </w:rPr>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7,937,122,282.55</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7,395,335,983.44</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7,643,291,747.53</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b/>
                <w:bCs/>
                <w:sz w:val="16"/>
                <w:szCs w:val="16"/>
              </w:rPr>
              <w:t>资产总计</w:t>
            </w:r>
            <w:r>
              <w:rPr>
                <w:rFonts w:ascii="宋体" w:hAnsi="宋体" w:cs="宋体" w:eastAsia="宋体" w:hint="default"/>
                <w:sz w:val="16"/>
                <w:szCs w:val="16"/>
              </w:rPr>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15,880,901,312.08</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16,878,738,324.48</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21,670,712,649.54</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1,407,408,234.53</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2,023,011,798.95</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3,954,600,892.89</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向中央银行借款</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拆入资金</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交易性金融负债</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99"/>
              <w:jc w:val="right"/>
              <w:rPr>
                <w:rFonts w:ascii="宋体" w:hAnsi="宋体" w:cs="宋体" w:eastAsia="宋体" w:hint="default"/>
                <w:sz w:val="16"/>
                <w:szCs w:val="16"/>
              </w:rPr>
            </w:pPr>
            <w:r>
              <w:rPr>
                <w:rFonts w:ascii="宋体" w:hAnsi="宋体" w:cs="宋体" w:eastAsia="宋体" w:hint="default"/>
                <w:sz w:val="16"/>
                <w:szCs w:val="16"/>
              </w:rPr>
              <w:t>不适用</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98"/>
              <w:jc w:val="right"/>
              <w:rPr>
                <w:rFonts w:ascii="宋体" w:hAnsi="宋体" w:cs="宋体" w:eastAsia="宋体" w:hint="default"/>
                <w:sz w:val="16"/>
                <w:szCs w:val="16"/>
              </w:rPr>
            </w:pPr>
            <w:r>
              <w:rPr>
                <w:rFonts w:ascii="宋体" w:hAnsi="宋体" w:cs="宋体" w:eastAsia="宋体" w:hint="default"/>
                <w:sz w:val="16"/>
                <w:szCs w:val="16"/>
              </w:rPr>
              <w:t>不适用</w:t>
            </w: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106" w:firstLine="160"/>
              <w:jc w:val="left"/>
              <w:rPr>
                <w:rFonts w:ascii="宋体" w:hAnsi="宋体" w:cs="宋体" w:eastAsia="宋体" w:hint="default"/>
                <w:sz w:val="16"/>
                <w:szCs w:val="16"/>
              </w:rPr>
            </w:pPr>
            <w:r>
              <w:rPr>
                <w:rFonts w:ascii="宋体" w:hAnsi="宋体" w:cs="宋体" w:eastAsia="宋体" w:hint="default"/>
                <w:spacing w:val="-1"/>
                <w:sz w:val="16"/>
                <w:szCs w:val="16"/>
              </w:rPr>
              <w:t>以公允价值计量且其变动计入</w:t>
            </w:r>
            <w:r>
              <w:rPr>
                <w:rFonts w:ascii="宋体" w:hAnsi="宋体" w:cs="宋体" w:eastAsia="宋体" w:hint="default"/>
                <w:w w:val="100"/>
                <w:sz w:val="16"/>
                <w:szCs w:val="16"/>
              </w:rPr>
              <w:t> </w:t>
            </w:r>
            <w:r>
              <w:rPr>
                <w:rFonts w:ascii="宋体" w:hAnsi="宋体" w:cs="宋体" w:eastAsia="宋体" w:hint="default"/>
                <w:sz w:val="16"/>
                <w:szCs w:val="16"/>
              </w:rPr>
              <w:t>当期损益的金融负债</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3"/>
              <w:jc w:val="right"/>
              <w:rPr>
                <w:rFonts w:ascii="宋体" w:hAnsi="宋体" w:cs="宋体" w:eastAsia="宋体" w:hint="default"/>
                <w:sz w:val="16"/>
                <w:szCs w:val="16"/>
              </w:rPr>
            </w:pPr>
            <w:r>
              <w:rPr>
                <w:rFonts w:ascii="宋体" w:hAnsi="宋体" w:cs="宋体" w:eastAsia="宋体" w:hint="default"/>
                <w:sz w:val="16"/>
                <w:szCs w:val="16"/>
              </w:rPr>
              <w:t>不适用</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衍生金融负债</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447,726,353.67</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566,228,681.78</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701,826,799.48</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1,716,494,617.02</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2,147,640,016.23</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2,861,896,218.31</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352,836,845.95</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146,425,887.90</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293,987,598.79</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卖出回购金融资产款</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吸收存款及同业存放</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代理买卖证券款</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代理承销证券款</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应付职工薪酬</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319,774,867.04</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320,101,474.44</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366,472,710.52</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应交税费</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123,714,750.32</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304,108,228.42</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141,226,158.12</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568,893,378.24</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767,881,000.94</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1,171,052,210.63</w:t>
            </w:r>
          </w:p>
        </w:tc>
      </w:tr>
      <w:tr>
        <w:trPr>
          <w:trHeight w:val="271"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应付手续费及佣金</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应付分保账款</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持有待售负债</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一年内到期的非流动负债</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401,250,000.00</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784,000,000.00</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10,000,000.00</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其他流动负债</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2"/>
                <w:sz w:val="16"/>
              </w:rPr>
              <w:t>25,736,884.86</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2"/>
                <w:sz w:val="16"/>
              </w:rPr>
              <w:t>110,747,682.77</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110,820,725.29</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b/>
                <w:bCs/>
                <w:sz w:val="16"/>
                <w:szCs w:val="16"/>
              </w:rPr>
              <w:t>流动负债合计</w:t>
            </w:r>
            <w:r>
              <w:rPr>
                <w:rFonts w:ascii="宋体" w:hAnsi="宋体" w:cs="宋体" w:eastAsia="宋体" w:hint="default"/>
                <w:sz w:val="16"/>
                <w:szCs w:val="16"/>
              </w:rPr>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5,363,835,931.63</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7,170,144,771.43</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2"/>
                <w:sz w:val="16"/>
              </w:rPr>
              <w:t>9,611,883,314.03</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b/>
                <w:bCs/>
                <w:sz w:val="16"/>
                <w:szCs w:val="16"/>
              </w:rPr>
              <w:t>非流动负债：</w:t>
            </w:r>
            <w:r>
              <w:rPr>
                <w:rFonts w:ascii="宋体" w:hAnsi="宋体" w:cs="宋体" w:eastAsia="宋体" w:hint="default"/>
                <w:sz w:val="16"/>
                <w:szCs w:val="16"/>
              </w:rPr>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保险合同准备金</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1,162,990,872.15</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1,243,584,695.47</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spacing w:val="-1"/>
                <w:sz w:val="16"/>
              </w:rPr>
              <w:t>2,207,104,307.23</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其中：优先股</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763" w:right="0"/>
              <w:jc w:val="left"/>
              <w:rPr>
                <w:rFonts w:ascii="宋体" w:hAnsi="宋体" w:cs="宋体" w:eastAsia="宋体" w:hint="default"/>
                <w:sz w:val="16"/>
                <w:szCs w:val="16"/>
              </w:rPr>
            </w:pPr>
            <w:r>
              <w:rPr>
                <w:rFonts w:ascii="宋体" w:hAnsi="宋体" w:cs="宋体" w:eastAsia="宋体" w:hint="default"/>
                <w:sz w:val="16"/>
                <w:szCs w:val="16"/>
              </w:rPr>
              <w:t>永续债</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长期应付款</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532,301,362.88</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535,381,362.88</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442,829,859.46</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长期应付职工薪酬</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240,081.27</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721,678.96</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490,191.34</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预计负债</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28,968,122.49</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22,427,073.43</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18,750,800.45</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递延收益</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338,740,082.26</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349,014,327.29</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369,686,266.38</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290,476,639.68</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139,015,277.48</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369,224,159.00</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其他非流动负债</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b/>
                <w:bCs/>
                <w:sz w:val="16"/>
                <w:szCs w:val="16"/>
              </w:rPr>
              <w:t>非流动负债合计</w:t>
            </w:r>
            <w:r>
              <w:rPr>
                <w:rFonts w:ascii="宋体" w:hAnsi="宋体" w:cs="宋体" w:eastAsia="宋体" w:hint="default"/>
                <w:sz w:val="16"/>
                <w:szCs w:val="16"/>
              </w:rPr>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2,353,717,160.73</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2,290,144,415.51</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3,408,085,583.86</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2" w:right="0"/>
              <w:jc w:val="left"/>
              <w:rPr>
                <w:rFonts w:ascii="宋体" w:hAnsi="宋体" w:cs="宋体" w:eastAsia="宋体" w:hint="default"/>
                <w:sz w:val="16"/>
                <w:szCs w:val="16"/>
              </w:rPr>
            </w:pPr>
            <w:r>
              <w:rPr>
                <w:rFonts w:ascii="宋体" w:hAnsi="宋体" w:cs="宋体" w:eastAsia="宋体" w:hint="default"/>
                <w:b/>
                <w:bCs/>
                <w:sz w:val="16"/>
                <w:szCs w:val="16"/>
              </w:rPr>
              <w:t>负债合计</w:t>
            </w:r>
            <w:r>
              <w:rPr>
                <w:rFonts w:ascii="宋体" w:hAnsi="宋体" w:cs="宋体" w:eastAsia="宋体" w:hint="default"/>
                <w:sz w:val="16"/>
                <w:szCs w:val="16"/>
              </w:rPr>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6"/>
                <w:szCs w:val="16"/>
              </w:rPr>
            </w:pPr>
            <w:r>
              <w:rPr>
                <w:rFonts w:ascii="Times New Roman"/>
                <w:spacing w:val="-1"/>
                <w:sz w:val="16"/>
              </w:rPr>
              <w:t>7,717,553,092.36</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6"/>
                <w:szCs w:val="16"/>
              </w:rPr>
            </w:pPr>
            <w:r>
              <w:rPr>
                <w:rFonts w:ascii="Times New Roman"/>
                <w:spacing w:val="-1"/>
                <w:sz w:val="16"/>
              </w:rPr>
              <w:t>9,460,289,186.94</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6"/>
                <w:szCs w:val="16"/>
              </w:rPr>
            </w:pPr>
            <w:r>
              <w:rPr>
                <w:rFonts w:ascii="Times New Roman"/>
                <w:spacing w:val="-2"/>
                <w:sz w:val="16"/>
              </w:rPr>
              <w:t>13,019,968,897.89</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sz w:val="16"/>
                <w:szCs w:val="16"/>
              </w:rPr>
              <w:t>所有者权益：</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股本</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2,944,069,459.00</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2,936,165,560.00</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2,928,182,053.00</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其中：优先股</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1"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763" w:right="0"/>
              <w:jc w:val="left"/>
              <w:rPr>
                <w:rFonts w:ascii="宋体" w:hAnsi="宋体" w:cs="宋体" w:eastAsia="宋体" w:hint="default"/>
                <w:sz w:val="16"/>
                <w:szCs w:val="16"/>
              </w:rPr>
            </w:pPr>
            <w:r>
              <w:rPr>
                <w:rFonts w:ascii="宋体" w:hAnsi="宋体" w:cs="宋体" w:eastAsia="宋体" w:hint="default"/>
                <w:sz w:val="16"/>
                <w:szCs w:val="16"/>
              </w:rPr>
              <w:t>永续债</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101"/>
              <w:jc w:val="right"/>
              <w:rPr>
                <w:rFonts w:ascii="Times New Roman" w:hAnsi="Times New Roman" w:cs="Times New Roman" w:eastAsia="Times New Roman" w:hint="default"/>
                <w:sz w:val="16"/>
                <w:szCs w:val="16"/>
              </w:rPr>
            </w:pPr>
            <w:r>
              <w:rPr>
                <w:rFonts w:ascii="Times New Roman"/>
                <w:spacing w:val="-1"/>
                <w:sz w:val="16"/>
              </w:rPr>
              <w:t>393,823,634.91</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100"/>
              <w:jc w:val="right"/>
              <w:rPr>
                <w:rFonts w:ascii="Times New Roman" w:hAnsi="Times New Roman" w:cs="Times New Roman" w:eastAsia="Times New Roman" w:hint="default"/>
                <w:sz w:val="16"/>
                <w:szCs w:val="16"/>
              </w:rPr>
            </w:pPr>
            <w:r>
              <w:rPr>
                <w:rFonts w:ascii="Times New Roman"/>
                <w:spacing w:val="-1"/>
                <w:sz w:val="16"/>
              </w:rPr>
              <w:t>566,164,360.16</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16"/>
                <w:szCs w:val="16"/>
              </w:rPr>
            </w:pPr>
            <w:r>
              <w:rPr>
                <w:rFonts w:ascii="Times New Roman"/>
                <w:spacing w:val="-1"/>
                <w:sz w:val="16"/>
              </w:rPr>
              <w:t>600,594,934.59</w:t>
            </w:r>
          </w:p>
        </w:tc>
      </w:tr>
      <w:tr>
        <w:trPr>
          <w:trHeight w:val="286" w:hRule="exact"/>
        </w:trPr>
        <w:tc>
          <w:tcPr>
            <w:tcW w:w="24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8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pacing w:val="-1"/>
                <w:sz w:val="16"/>
              </w:rPr>
              <w:t>7,903,899.00</w:t>
            </w:r>
          </w:p>
        </w:tc>
        <w:tc>
          <w:tcPr>
            <w:tcW w:w="20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7,983,507.00</w:t>
            </w:r>
          </w:p>
        </w:tc>
        <w:tc>
          <w:tcPr>
            <w:tcW w:w="1865"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574" w:top="1380" w:bottom="760" w:left="1660" w:right="0"/>
        </w:sectPr>
      </w:pPr>
    </w:p>
    <w:p>
      <w:pPr>
        <w:spacing w:line="240" w:lineRule="auto" w:before="1"/>
        <w:rPr>
          <w:rFonts w:ascii="Times New Roman" w:hAnsi="Times New Roman" w:cs="Times New Roman" w:eastAsia="Times New Roman" w:hint="default"/>
          <w:sz w:val="21"/>
          <w:szCs w:val="21"/>
        </w:rPr>
      </w:pPr>
    </w:p>
    <w:tbl>
      <w:tblPr>
        <w:tblW w:w="0" w:type="auto"/>
        <w:jc w:val="left"/>
        <w:tblInd w:w="721" w:type="dxa"/>
        <w:tblLayout w:type="fixed"/>
        <w:tblCellMar>
          <w:top w:w="0" w:type="dxa"/>
          <w:left w:w="0" w:type="dxa"/>
          <w:bottom w:w="0" w:type="dxa"/>
          <w:right w:w="0" w:type="dxa"/>
        </w:tblCellMar>
        <w:tblLook w:val="01E0"/>
      </w:tblPr>
      <w:tblGrid>
        <w:gridCol w:w="2477"/>
        <w:gridCol w:w="1836"/>
        <w:gridCol w:w="2023"/>
        <w:gridCol w:w="1865"/>
      </w:tblGrid>
      <w:tr>
        <w:trPr>
          <w:trHeight w:val="284" w:hRule="exact"/>
        </w:trPr>
        <w:tc>
          <w:tcPr>
            <w:tcW w:w="24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8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431" w:right="0"/>
              <w:jc w:val="left"/>
              <w:rPr>
                <w:rFonts w:ascii="宋体" w:hAnsi="宋体" w:cs="宋体" w:eastAsia="宋体" w:hint="default"/>
                <w:sz w:val="16"/>
                <w:szCs w:val="16"/>
              </w:rPr>
            </w:pPr>
            <w:r>
              <w:rPr>
                <w:rFonts w:ascii="宋体" w:hAnsi="宋体" w:cs="宋体" w:eastAsia="宋体" w:hint="default"/>
                <w:sz w:val="16"/>
                <w:szCs w:val="16"/>
              </w:rPr>
              <w:t>上年年初余额</w:t>
            </w:r>
          </w:p>
        </w:tc>
        <w:tc>
          <w:tcPr>
            <w:tcW w:w="20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left="525"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18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left="605"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1,233,937,396.39</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107,988,111.91</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364,356,267.03</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3,746,671.08</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1,235,782.10</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2,784,004.95</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342,346,652.04</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308,621,714.83</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358,183,188.47</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一般风险准备</w:t>
            </w:r>
          </w:p>
        </w:tc>
        <w:tc>
          <w:tcPr>
            <w:tcW w:w="1836"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dotted" w:sz="4" w:space="0" w:color="000000"/>
            </w:tcBorders>
          </w:tcPr>
          <w:p>
            <w:pPr/>
          </w:p>
        </w:tc>
        <w:tc>
          <w:tcPr>
            <w:tcW w:w="1865" w:type="dxa"/>
            <w:tcBorders>
              <w:top w:val="dotted" w:sz="4" w:space="0" w:color="000000"/>
              <w:left w:val="dotted" w:sz="4" w:space="0" w:color="000000"/>
              <w:bottom w:val="dotted" w:sz="4" w:space="0" w:color="000000"/>
              <w:right w:val="nil" w:sz="6" w:space="0" w:color="auto"/>
            </w:tcBorders>
          </w:tcPr>
          <w:p>
            <w:pP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2,358,784,554.23</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3,071,103,612.60</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4,041,679,369.84</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归属于母公司所有者权益合计</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7,268,804,468.65</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6,983,295,634.60</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8,295,779,817.88</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283"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894,543,751.07</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1"/>
                <w:sz w:val="16"/>
              </w:rPr>
              <w:t>435,153,502.94</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354,963,933.77</w:t>
            </w:r>
          </w:p>
        </w:tc>
      </w:tr>
      <w:tr>
        <w:trPr>
          <w:trHeight w:val="27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left="122" w:right="0"/>
              <w:jc w:val="left"/>
              <w:rPr>
                <w:rFonts w:ascii="宋体" w:hAnsi="宋体" w:cs="宋体" w:eastAsia="宋体" w:hint="default"/>
                <w:sz w:val="16"/>
                <w:szCs w:val="16"/>
              </w:rPr>
            </w:pPr>
            <w:r>
              <w:rPr>
                <w:rFonts w:ascii="宋体" w:hAnsi="宋体" w:cs="宋体" w:eastAsia="宋体" w:hint="default"/>
                <w:b/>
                <w:bCs/>
                <w:sz w:val="16"/>
                <w:szCs w:val="16"/>
              </w:rPr>
              <w:t>所有者权益合计</w:t>
            </w:r>
            <w:r>
              <w:rPr>
                <w:rFonts w:ascii="宋体" w:hAnsi="宋体" w:cs="宋体" w:eastAsia="宋体" w:hint="default"/>
                <w:sz w:val="16"/>
                <w:szCs w:val="16"/>
              </w:rPr>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8,163,348,219.72</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1"/>
                <w:sz w:val="16"/>
              </w:rPr>
              <w:t>7,418,449,137.54</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8,650,743,751.65</w:t>
            </w:r>
          </w:p>
        </w:tc>
      </w:tr>
      <w:tr>
        <w:trPr>
          <w:trHeight w:val="283" w:hRule="exact"/>
        </w:trPr>
        <w:tc>
          <w:tcPr>
            <w:tcW w:w="2477"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b/>
                <w:bCs/>
                <w:sz w:val="16"/>
                <w:szCs w:val="16"/>
              </w:rPr>
              <w:t>负债和所有者权益总计</w:t>
            </w:r>
            <w:r>
              <w:rPr>
                <w:rFonts w:ascii="宋体" w:hAnsi="宋体" w:cs="宋体" w:eastAsia="宋体" w:hint="default"/>
                <w:sz w:val="16"/>
                <w:szCs w:val="16"/>
              </w:rPr>
            </w:r>
          </w:p>
        </w:tc>
        <w:tc>
          <w:tcPr>
            <w:tcW w:w="18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1"/>
              <w:jc w:val="right"/>
              <w:rPr>
                <w:rFonts w:ascii="Times New Roman" w:hAnsi="Times New Roman" w:cs="Times New Roman" w:eastAsia="Times New Roman" w:hint="default"/>
                <w:sz w:val="16"/>
                <w:szCs w:val="16"/>
              </w:rPr>
            </w:pPr>
            <w:r>
              <w:rPr>
                <w:rFonts w:ascii="Times New Roman"/>
                <w:spacing w:val="-2"/>
                <w:sz w:val="16"/>
              </w:rPr>
              <w:t>15,880,901,312.08</w:t>
            </w:r>
          </w:p>
        </w:tc>
        <w:tc>
          <w:tcPr>
            <w:tcW w:w="20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spacing w:val="-2"/>
                <w:sz w:val="16"/>
              </w:rPr>
              <w:t>16,878,738,324.48</w:t>
            </w:r>
          </w:p>
        </w:tc>
        <w:tc>
          <w:tcPr>
            <w:tcW w:w="18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2"/>
                <w:sz w:val="16"/>
              </w:rPr>
              <w:t>21,670,712,649.54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5"/>
          <w:szCs w:val="15"/>
        </w:rPr>
      </w:pPr>
    </w:p>
    <w:p>
      <w:pPr>
        <w:spacing w:before="0"/>
        <w:ind w:left="5920" w:right="1468" w:firstLine="0"/>
        <w:jc w:val="left"/>
        <w:rPr>
          <w:rFonts w:ascii="宋体" w:hAnsi="宋体" w:cs="宋体" w:eastAsia="宋体" w:hint="default"/>
          <w:sz w:val="18"/>
          <w:szCs w:val="18"/>
        </w:rPr>
      </w:pPr>
      <w:r>
        <w:rPr>
          <w:rFonts w:ascii="宋体" w:hAnsi="宋体" w:cs="宋体" w:eastAsia="宋体" w:hint="default"/>
          <w:b/>
          <w:bCs/>
          <w:sz w:val="18"/>
          <w:szCs w:val="18"/>
        </w:rPr>
        <w:t>中国长城科技集团股份有限公司</w:t>
      </w:r>
      <w:r>
        <w:rPr>
          <w:rFonts w:ascii="宋体" w:hAnsi="宋体" w:cs="宋体" w:eastAsia="宋体" w:hint="default"/>
          <w:sz w:val="18"/>
          <w:szCs w:val="18"/>
        </w:rPr>
      </w:r>
    </w:p>
    <w:p>
      <w:pPr>
        <w:pStyle w:val="Heading5"/>
        <w:spacing w:line="240" w:lineRule="auto" w:before="161"/>
        <w:ind w:left="6508" w:right="1468"/>
        <w:jc w:val="left"/>
        <w:rPr>
          <w:b w:val="0"/>
          <w:bCs w:val="0"/>
        </w:rPr>
      </w:pPr>
      <w:r>
        <w:rPr>
          <w:rFonts w:ascii="Times New Roman" w:hAnsi="Times New Roman" w:cs="Times New Roman" w:eastAsia="Times New Roman" w:hint="default"/>
          <w:spacing w:val="13"/>
        </w:rPr>
        <w:t>2020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9"/>
        </w:rPr>
        <w:t>28</w:t>
      </w:r>
      <w:r>
        <w:rPr>
          <w:rFonts w:ascii="Times New Roman" w:hAnsi="Times New Roman" w:cs="Times New Roman" w:eastAsia="Times New Roman" w:hint="default"/>
          <w:spacing w:val="26"/>
        </w:rPr>
        <w:t> </w:t>
      </w:r>
      <w:r>
        <w:rPr/>
        <w:t>日</w:t>
      </w:r>
      <w:r>
        <w:rPr>
          <w:b w:val="0"/>
          <w:bCs w:val="0"/>
        </w:rPr>
      </w:r>
    </w:p>
    <w:sectPr>
      <w:pgSz w:w="11910" w:h="16840"/>
      <w:pgMar w:header="0" w:footer="574" w:top="1380" w:bottom="76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408"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9688" type="#_x0000_t75" stroked="false">
          <v:imagedata r:id="rId1" o:title=""/>
        </v:shape>
      </w:pict>
    </w:r>
    <w:r>
      <w:rPr/>
      <w:pict>
        <v:shape style="position:absolute;margin-left:253.929993pt;margin-top:781.081604pt;width:87.7pt;height:11.5pt;mso-position-horizontal-relative:page;mso-position-vertical-relative:page;z-index:-1629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32</w:t>
                </w:r>
                <w:r>
                  <w:rPr/>
                  <w:fldChar w:fldCharType="end"/>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29424" type="#_x0000_t75" stroked="false">
          <v:imagedata r:id="rId1" o:title=""/>
        </v:shape>
      </w:pict>
    </w:r>
    <w:r>
      <w:rPr/>
      <w:pict>
        <v:shape style="position:absolute;margin-left:377.170013pt;margin-top:534.481628pt;width:87.7pt;height:11.5pt;mso-position-horizontal-relative:page;mso-position-vertical-relative:page;z-index:-1629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60</w:t>
                </w:r>
                <w:r>
                  <w:rPr/>
                  <w:fldChar w:fldCharType="end"/>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384" type="#_x0000_t75" stroked="false">
          <v:imagedata r:id="rId1" o:title=""/>
        </v:shape>
      </w:pict>
    </w:r>
    <w:r>
      <w:rPr/>
      <w:pict>
        <v:shape style="position:absolute;margin-left:291.089996pt;margin-top:782.173889pt;width:13.15pt;height:11pt;mso-position-horizontal-relative:page;mso-position-vertical-relative:page;z-index:-1630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9232" type="#_x0000_t75" stroked="false">
          <v:imagedata r:id="rId1" o:title=""/>
        </v:shape>
      </w:pict>
    </w:r>
    <w:r>
      <w:rPr/>
      <w:pict>
        <v:shape style="position:absolute;margin-left:253.929993pt;margin-top:781.081604pt;width:87.7pt;height:11.5pt;mso-position-horizontal-relative:page;mso-position-vertical-relative:page;z-index:-1629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66</w:t>
                </w:r>
                <w:r>
                  <w:rPr/>
                  <w:fldChar w:fldCharType="end"/>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29112" type="#_x0000_t75" stroked="false">
          <v:imagedata r:id="rId1" o:title=""/>
        </v:shape>
      </w:pict>
    </w:r>
    <w:r>
      <w:rPr/>
      <w:pict>
        <v:shape style="position:absolute;margin-left:377.170013pt;margin-top:534.481628pt;width:87.7pt;height:11.5pt;mso-position-horizontal-relative:page;mso-position-vertical-relative:page;z-index:-1629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77</w:t>
                </w:r>
                <w:r>
                  <w:rPr/>
                  <w:fldChar w:fldCharType="end"/>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8992" type="#_x0000_t75" stroked="false">
          <v:imagedata r:id="rId1" o:title=""/>
        </v:shape>
      </w:pict>
    </w:r>
    <w:r>
      <w:rPr/>
      <w:pict>
        <v:shape style="position:absolute;margin-left:253.929993pt;margin-top:781.081604pt;width:87.7pt;height:11.5pt;mso-position-horizontal-relative:page;mso-position-vertical-relative:page;z-index:-1628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79</w:t>
                </w:r>
                <w:r>
                  <w:rPr/>
                  <w:fldChar w:fldCharType="end"/>
                </w:r>
                <w:r>
                  <w:rPr>
                    <w:rFonts w:ascii="宋体" w:hAnsi="宋体" w:cs="宋体" w:eastAsia="宋体" w:hint="default"/>
                    <w:sz w:val="18"/>
                    <w:szCs w:val="18"/>
                  </w:rPr>
                  <w:t>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8944" type="#_x0000_t75" stroked="false">
          <v:imagedata r:id="rId1" o:title=""/>
        </v:shape>
      </w:pict>
    </w:r>
    <w:r>
      <w:rPr/>
      <w:pict>
        <v:shape style="position:absolute;margin-left:253.929993pt;margin-top:781.081604pt;width:87.7pt;height:11.5pt;mso-position-horizontal-relative:page;mso-position-vertical-relative:page;z-index:-1628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84</w:t>
                </w:r>
                <w:r>
                  <w:rPr/>
                  <w:fldChar w:fldCharType="end"/>
                </w:r>
                <w:r>
                  <w:rPr>
                    <w:rFonts w:ascii="宋体" w:hAnsi="宋体" w:cs="宋体" w:eastAsia="宋体" w:hint="default"/>
                    <w:sz w:val="18"/>
                    <w:szCs w:val="18"/>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8824" type="#_x0000_t75" stroked="false">
          <v:imagedata r:id="rId1" o:title=""/>
        </v:shape>
      </w:pict>
    </w:r>
    <w:r>
      <w:rPr/>
      <w:pict>
        <v:shape style="position:absolute;margin-left:253.929993pt;margin-top:781.081604pt;width:87.7pt;height:11.5pt;mso-position-horizontal-relative:page;mso-position-vertical-relative:page;z-index:-1628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93</w:t>
                </w:r>
                <w:r>
                  <w:rPr/>
                  <w:fldChar w:fldCharType="end"/>
                </w:r>
                <w:r>
                  <w:rPr>
                    <w:rFonts w:ascii="宋体" w:hAnsi="宋体" w:cs="宋体" w:eastAsia="宋体" w:hint="default"/>
                    <w:sz w:val="18"/>
                    <w:szCs w:val="18"/>
                  </w:rPr>
                  <w:t>页</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8776" type="#_x0000_t75" stroked="false">
          <v:imagedata r:id="rId1" o:title=""/>
        </v:shape>
      </w:pict>
    </w:r>
    <w:r>
      <w:rPr/>
      <w:pict>
        <v:shape style="position:absolute;margin-left:253.929993pt;margin-top:781.081604pt;width:87.7pt;height:11.5pt;mso-position-horizontal-relative:page;mso-position-vertical-relative:page;z-index:-1628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96</w:t>
                </w:r>
                <w:r>
                  <w:rPr/>
                  <w:fldChar w:fldCharType="end"/>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336" type="#_x0000_t75" stroked="false">
          <v:imagedata r:id="rId1" o:titl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28656" type="#_x0000_t75" stroked="false">
          <v:imagedata r:id="rId1" o:title=""/>
        </v:shape>
      </w:pict>
    </w:r>
    <w:r>
      <w:rPr/>
      <w:pict>
        <v:shape style="position:absolute;margin-left:375.01001pt;margin-top:534.481628pt;width:92.15pt;height:11.5pt;mso-position-horizontal-relative:page;mso-position-vertical-relative:page;z-index:-1628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100</w:t>
                </w:r>
                <w:r>
                  <w:rPr/>
                  <w:fldChar w:fldCharType="end"/>
                </w:r>
                <w:r>
                  <w:rPr>
                    <w:rFonts w:ascii="宋体" w:hAnsi="宋体" w:cs="宋体" w:eastAsia="宋体" w:hint="default"/>
                    <w:sz w:val="18"/>
                    <w:szCs w:val="18"/>
                  </w:rPr>
                  <w:t>页</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8536" type="#_x0000_t75" stroked="false">
          <v:imagedata r:id="rId1" o:title=""/>
        </v:shape>
      </w:pict>
    </w:r>
    <w:r>
      <w:rPr/>
      <w:pict>
        <v:shape style="position:absolute;margin-left:251.770004pt;margin-top:781.081604pt;width:92.15pt;height:11.5pt;mso-position-horizontal-relative:page;mso-position-vertical-relative:page;z-index:-1628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102</w:t>
                </w:r>
                <w:r>
                  <w:rPr/>
                  <w:fldChar w:fldCharType="end"/>
                </w:r>
                <w:r>
                  <w:rPr>
                    <w:rFonts w:ascii="宋体" w:hAnsi="宋体" w:cs="宋体" w:eastAsia="宋体" w:hint="default"/>
                    <w:sz w:val="18"/>
                    <w:szCs w:val="18"/>
                  </w:rPr>
                  <w:t>页</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8488" type="#_x0000_t75" stroked="false">
          <v:imagedata r:id="rId1" o:title=""/>
        </v:shape>
      </w:pict>
    </w:r>
    <w:r>
      <w:rPr/>
      <w:pict>
        <v:shape style="position:absolute;margin-left:251.889999pt;margin-top:781.081604pt;width:91.8pt;height:11.5pt;mso-position-horizontal-relative:page;mso-position-vertical-relative:page;z-index:-1628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110</w:t>
                </w:r>
                <w:r>
                  <w:rPr/>
                  <w:fldChar w:fldCharType="end"/>
                </w:r>
                <w:r>
                  <w:rPr>
                    <w:rFonts w:ascii="宋体" w:hAnsi="宋体" w:cs="宋体" w:eastAsia="宋体" w:hint="default"/>
                    <w:sz w:val="18"/>
                    <w:szCs w:val="18"/>
                  </w:rPr>
                  <w:t>页</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8440" type="#_x0000_t75" stroked="false">
          <v:imagedata r:id="rId1" o:title=""/>
        </v:shape>
      </w:pict>
    </w:r>
    <w:r>
      <w:rPr/>
      <w:pict>
        <v:shape style="position:absolute;margin-left:251.770004pt;margin-top:781.081604pt;width:92.15pt;height:11.5pt;mso-position-horizontal-relative:page;mso-position-vertical-relative:page;z-index:-1628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120</w:t>
                </w:r>
                <w:r>
                  <w:rPr/>
                  <w:fldChar w:fldCharType="end"/>
                </w:r>
                <w:r>
                  <w:rPr>
                    <w:rFonts w:ascii="宋体" w:hAnsi="宋体" w:cs="宋体" w:eastAsia="宋体" w:hint="default"/>
                    <w:sz w:val="18"/>
                    <w:szCs w:val="18"/>
                  </w:rPr>
                  <w:t>页</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8392" type="#_x0000_t75" stroked="false">
          <v:imagedata r:id="rId1" o:title=""/>
        </v:shape>
      </w:pict>
    </w:r>
    <w:r>
      <w:rPr/>
      <w:pict>
        <v:shape style="position:absolute;margin-left:251.770004pt;margin-top:781.081604pt;width:92.15pt;height:11.5pt;mso-position-horizontal-relative:page;mso-position-vertical-relative:page;z-index:-1628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130</w:t>
                </w:r>
                <w:r>
                  <w:rPr/>
                  <w:fldChar w:fldCharType="end"/>
                </w:r>
                <w:r>
                  <w:rPr>
                    <w:rFonts w:ascii="宋体" w:hAnsi="宋体" w:cs="宋体" w:eastAsia="宋体" w:hint="default"/>
                    <w:sz w:val="18"/>
                    <w:szCs w:val="18"/>
                  </w:rPr>
                  <w:t>页</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8296" type="#_x0000_t75" stroked="false">
          <v:imagedata r:id="rId1" o:title=""/>
        </v:shape>
      </w:pict>
    </w:r>
    <w:r>
      <w:rPr/>
      <w:pict>
        <v:shape style="position:absolute;margin-left:251.649994pt;margin-top:802.201599pt;width:92.15pt;height:11.5pt;mso-position-horizontal-relative:page;mso-position-vertical-relative:page;z-index:-1628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138</w:t>
                </w:r>
                <w:r>
                  <w:rPr/>
                  <w:fldChar w:fldCharType="end"/>
                </w:r>
                <w:r>
                  <w:rPr>
                    <w:rFonts w:ascii="宋体" w:hAnsi="宋体" w:cs="宋体" w:eastAsia="宋体" w:hint="default"/>
                    <w:sz w:val="18"/>
                    <w:szCs w:val="18"/>
                  </w:rPr>
                  <w:t>页</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8248" type="#_x0000_t75" stroked="false">
          <v:imagedata r:id="rId1" o:title=""/>
        </v:shape>
      </w:pict>
    </w:r>
    <w:r>
      <w:rPr/>
      <w:pict>
        <v:shape style="position:absolute;margin-left:251.649994pt;margin-top:802.201599pt;width:92.15pt;height:11.5pt;mso-position-horizontal-relative:page;mso-position-vertical-relative:page;z-index:-1628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140</w:t>
                </w:r>
                <w:r>
                  <w:rPr/>
                  <w:fldChar w:fldCharType="end"/>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312" type="#_x0000_t75" stroked="false">
          <v:imagedata r:id="rId1" o:titl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264" type="#_x0000_t75" stroked="false">
          <v:imagedata r:id="rId1" o:title=""/>
        </v:shape>
      </w:pict>
    </w:r>
    <w:r>
      <w:rPr/>
      <w:pict>
        <v:shape style="position:absolute;margin-left:267.369995pt;margin-top:780.961609pt;width:60.6pt;height:11.5pt;mso-position-horizontal-relative:page;mso-position-vertical-relative:page;z-index:-1630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168" type="#_x0000_t75" stroked="false">
          <v:imagedata r:id="rId1" o:title=""/>
        </v:shape>
      </w:pict>
    </w:r>
    <w:r>
      <w:rPr/>
      <w:pict>
        <v:shape style="position:absolute;margin-left:276.369995pt;margin-top:791.881592pt;width:42.6pt;height:11.5pt;mso-position-horizontal-relative:page;mso-position-vertical-relative:page;z-index:-1630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0024" type="#_x0000_t75" stroked="false">
          <v:imagedata r:id="rId1" o:title=""/>
        </v:shape>
      </w:pict>
    </w:r>
    <w:r>
      <w:rPr/>
      <w:pict>
        <v:shape style="position:absolute;margin-left:397.570007pt;margin-top:545.281616pt;width:47.15pt;height:11.5pt;mso-position-horizontal-relative:page;mso-position-vertical-relative:page;z-index:-1630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9928" type="#_x0000_t75" stroked="false">
          <v:imagedata r:id="rId1" o:title=""/>
        </v:shape>
      </w:pict>
    </w:r>
    <w:r>
      <w:rPr/>
      <w:pict>
        <v:shape style="position:absolute;margin-left:253.929993pt;margin-top:781.081604pt;width:87.7pt;height:11.5pt;mso-position-horizontal-relative:page;mso-position-vertical-relative:page;z-index:-1629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29808" type="#_x0000_t75" stroked="false">
          <v:imagedata r:id="rId1" o:title=""/>
        </v:shape>
      </w:pict>
    </w:r>
    <w:r>
      <w:rPr/>
      <w:pict>
        <v:shape style="position:absolute;margin-left:377.170013pt;margin-top:534.481628pt;width:87.7pt;height:11.5pt;mso-position-horizontal-relative:page;mso-position-vertical-relative:page;z-index:-1629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30</w:t>
                </w:r>
                <w:r>
                  <w:rPr/>
                  <w:fldChar w:fldCharType="end"/>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8.42561pt;width:204.75pt;height:11.5pt;mso-position-horizontal-relative:page;mso-position-vertical-relative:page;z-index:-1630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6.769989pt;margin-top:72.405632pt;width:128.4500pt;height:11pt;mso-position-horizontal-relative:page;mso-position-vertical-relative:page;z-index:-1630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中国长城科技集团股份有限公司</w:t>
                </w:r>
                <w:r>
                  <w:rPr>
                    <w:rFonts w:ascii="宋体" w:hAnsi="宋体" w:cs="宋体" w:eastAsia="宋体" w:hint="default"/>
                    <w:sz w:val="18"/>
                    <w:szCs w:val="18"/>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36.625607pt;width:128pt;height:11pt;mso-position-horizontal-relative:page;mso-position-vertical-relative:page;z-index:-1629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88.903999pt;margin-top:62.785606pt;width:60.5pt;height:11pt;mso-position-horizontal-relative:page;mso-position-vertical-relative:page;z-index:-1629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75.260010pt;width:700.9pt;height:.1pt;mso-position-horizontal-relative:page;mso-position-vertical-relative:page;z-index:-1629880" coordorigin="1411,1505" coordsize="14018,2">
          <v:shape style="position:absolute;left:1411;top:1505;width:14018;height:2" coordorigin="1411,1505" coordsize="14018,0" path="m1411,1505l15429,1505e" filled="false" stroked="true" strokeweight=".48pt" strokecolor="#000000">
            <v:path arrowok="t"/>
          </v:shape>
          <w10:wrap type="none"/>
        </v:group>
      </w:pict>
    </w:r>
    <w:r>
      <w:rPr/>
      <w:pict>
        <v:shape style="position:absolute;margin-left:71pt;margin-top:36.625633pt;width:128pt;height:11pt;mso-position-horizontal-relative:page;mso-position-vertical-relative:page;z-index:-1629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71pt;margin-top:62.805634pt;width:60.55pt;height:11pt;mso-position-horizontal-relative:page;mso-position-vertical-relative:page;z-index:-1629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5.239983pt;width:418.65pt;height:.1pt;mso-position-horizontal-relative:page;mso-position-vertical-relative:page;z-index:-1629760" coordorigin="1769,1505" coordsize="8373,2">
          <v:shape style="position:absolute;left:1769;top:1505;width:8373;height:2" coordorigin="1769,1505" coordsize="8373,0" path="m1769,1505l10142,1505e" filled="false" stroked="true" strokeweight=".48pt" strokecolor="#000000">
            <v:path arrowok="t"/>
          </v:shape>
          <w10:wrap type="none"/>
        </v:group>
      </w:pict>
    </w:r>
    <w:r>
      <w:rPr/>
      <w:pict>
        <v:shape style="position:absolute;margin-left:88.903999pt;margin-top:36.625607pt;width:128pt;height:11pt;mso-position-horizontal-relative:page;mso-position-vertical-relative:page;z-index:-16297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88.903999pt;margin-top:62.785606pt;width:60.5pt;height:11pt;mso-position-horizontal-relative:page;mso-position-vertical-relative:page;z-index:-1629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5.239983pt;width:418.65pt;height:.1pt;mso-position-horizontal-relative:page;mso-position-vertical-relative:page;z-index:-1629640" coordorigin="1769,1505" coordsize="8373,2">
          <v:shape style="position:absolute;left:1769;top:1505;width:8373;height:2" coordorigin="1769,1505" coordsize="8373,0" path="m1769,1505l10142,1505e" filled="false" stroked="true" strokeweight=".48pt" strokecolor="#000000">
            <v:path arrowok="t"/>
          </v:shape>
          <w10:wrap type="none"/>
        </v:group>
      </w:pict>
    </w:r>
    <w:r>
      <w:rPr/>
      <w:pict>
        <v:shape style="position:absolute;margin-left:88.903999pt;margin-top:36.625607pt;width:128pt;height:11pt;mso-position-horizontal-relative:page;mso-position-vertical-relative:page;z-index:-16296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88.903999pt;margin-top:62.785606pt;width:60.5pt;height:11pt;mso-position-horizontal-relative:page;mso-position-vertical-relative:page;z-index:-16295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5.239983pt;width:418.65pt;height:.1pt;mso-position-horizontal-relative:page;mso-position-vertical-relative:page;z-index:-1629568" coordorigin="1769,1505" coordsize="8373,2">
          <v:shape style="position:absolute;left:1769;top:1505;width:8373;height:2" coordorigin="1769,1505" coordsize="8373,0" path="m1769,1505l10142,1505e" filled="false" stroked="true" strokeweight=".48pt" strokecolor="#000000">
            <v:path arrowok="t"/>
          </v:shape>
          <w10:wrap type="none"/>
        </v:group>
      </w:pict>
    </w:r>
    <w:r>
      <w:rPr/>
      <w:pict>
        <v:shape style="position:absolute;margin-left:88.903999pt;margin-top:36.625607pt;width:128pt;height:11pt;mso-position-horizontal-relative:page;mso-position-vertical-relative:page;z-index:-1629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88.903999pt;margin-top:62.785606pt;width:60.5pt;height:11pt;mso-position-horizontal-relative:page;mso-position-vertical-relative:page;z-index:-1629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81.020004pt;width:700.9pt;height:.1pt;mso-position-horizontal-relative:page;mso-position-vertical-relative:page;z-index:-1629496" coordorigin="1411,1620" coordsize="14018,2">
          <v:shape style="position:absolute;left:1411;top:1620;width:14018;height:2" coordorigin="1411,1620" coordsize="14018,0" path="m1411,1620l15429,1620e" filled="false" stroked="true" strokeweight=".48pt" strokecolor="#000000">
            <v:path arrowok="t"/>
          </v:shape>
          <w10:wrap type="none"/>
        </v:group>
      </w:pict>
    </w:r>
    <w:r>
      <w:rPr/>
      <w:pict>
        <v:shape style="position:absolute;margin-left:71pt;margin-top:42.385632pt;width:128pt;height:11pt;mso-position-horizontal-relative:page;mso-position-vertical-relative:page;z-index:-1629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71pt;margin-top:68.445633pt;width:60.55pt;height:11pt;mso-position-horizontal-relative:page;mso-position-vertical-relative:page;z-index:-1629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5.239983pt;width:418.65pt;height:.1pt;mso-position-horizontal-relative:page;mso-position-vertical-relative:page;z-index:-1629376" coordorigin="1769,1505" coordsize="8373,2">
          <v:shape style="position:absolute;left:1769;top:1505;width:8373;height:2" coordorigin="1769,1505" coordsize="8373,0" path="m1769,1505l10142,1505e" filled="false" stroked="true" strokeweight=".48pt" strokecolor="#000000">
            <v:path arrowok="t"/>
          </v:shape>
          <w10:wrap type="none"/>
        </v:group>
      </w:pict>
    </w:r>
    <w:r>
      <w:rPr/>
      <w:pict>
        <v:shape style="position:absolute;margin-left:88.903999pt;margin-top:36.625607pt;width:128pt;height:11pt;mso-position-horizontal-relative:page;mso-position-vertical-relative:page;z-index:-1629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88.903999pt;margin-top:62.785606pt;width:60.5pt;height:11pt;mso-position-horizontal-relative:page;mso-position-vertical-relative:page;z-index:-1629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5.239983pt;width:418.65pt;height:.1pt;mso-position-horizontal-relative:page;mso-position-vertical-relative:page;z-index:-1629304" coordorigin="1769,1505" coordsize="8373,2">
          <v:shape style="position:absolute;left:1769;top:1505;width:8373;height:2" coordorigin="1769,1505" coordsize="8373,0" path="m1769,1505l10142,1505e" filled="false" stroked="true" strokeweight=".48pt" strokecolor="#000000">
            <v:path arrowok="t"/>
          </v:shape>
          <w10:wrap type="none"/>
        </v:group>
      </w:pict>
    </w:r>
    <w:r>
      <w:rPr/>
      <w:pict>
        <v:shape style="position:absolute;margin-left:88.903999pt;margin-top:36.625607pt;width:128pt;height:11pt;mso-position-horizontal-relative:page;mso-position-vertical-relative:page;z-index:-1629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88.903999pt;margin-top:62.785606pt;width:60.5pt;height:11pt;mso-position-horizontal-relative:page;mso-position-vertical-relative:page;z-index:-1629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81.020004pt;width:700.9pt;height:.1pt;mso-position-horizontal-relative:page;mso-position-vertical-relative:page;z-index:-1629184" coordorigin="1411,1620" coordsize="14018,2">
          <v:shape style="position:absolute;left:1411;top:1620;width:14018;height:2" coordorigin="1411,1620" coordsize="14018,0" path="m1411,1620l15429,1620e" filled="false" stroked="true" strokeweight=".48pt" strokecolor="#000000">
            <v:path arrowok="t"/>
          </v:shape>
          <w10:wrap type="none"/>
        </v:group>
      </w:pict>
    </w:r>
    <w:r>
      <w:rPr/>
      <w:pict>
        <v:shape style="position:absolute;margin-left:71pt;margin-top:42.385632pt;width:128pt;height:11pt;mso-position-horizontal-relative:page;mso-position-vertical-relative:page;z-index:-16291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71pt;margin-top:68.445633pt;width:60.55pt;height:11pt;mso-position-horizontal-relative:page;mso-position-vertical-relative:page;z-index:-1629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5.239983pt;width:418.65pt;height:.1pt;mso-position-horizontal-relative:page;mso-position-vertical-relative:page;z-index:-1629064" coordorigin="1769,1505" coordsize="8373,2">
          <v:shape style="position:absolute;left:1769;top:1505;width:8373;height:2" coordorigin="1769,1505" coordsize="8373,0" path="m1769,1505l10142,1505e" filled="false" stroked="true" strokeweight=".48pt" strokecolor="#000000">
            <v:path arrowok="t"/>
          </v:shape>
          <w10:wrap type="none"/>
        </v:group>
      </w:pict>
    </w:r>
    <w:r>
      <w:rPr/>
      <w:pict>
        <v:shape style="position:absolute;margin-left:88.903999pt;margin-top:36.625607pt;width:128pt;height:11pt;mso-position-horizontal-relative:page;mso-position-vertical-relative:page;z-index:-1629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88.903999pt;margin-top:62.785606pt;width:60.5pt;height:11pt;mso-position-horizontal-relative:page;mso-position-vertical-relative:page;z-index:-16290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5.239983pt;width:418.65pt;height:.1pt;mso-position-horizontal-relative:page;mso-position-vertical-relative:page;z-index:-1628896" coordorigin="1769,1505" coordsize="8373,2">
          <v:shape style="position:absolute;left:1769;top:1505;width:8373;height:2" coordorigin="1769,1505" coordsize="8373,0" path="m1769,1505l10142,1505e" filled="false" stroked="true" strokeweight=".48pt" strokecolor="#000000">
            <v:path arrowok="t"/>
          </v:shape>
          <w10:wrap type="none"/>
        </v:group>
      </w:pict>
    </w:r>
    <w:r>
      <w:rPr/>
      <w:pict>
        <v:shape style="position:absolute;margin-left:88.903999pt;margin-top:36.625607pt;width:128pt;height:11pt;mso-position-horizontal-relative:page;mso-position-vertical-relative:page;z-index:-1628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88.903999pt;margin-top:62.785606pt;width:60.5pt;height:11pt;mso-position-horizontal-relative:page;mso-position-vertical-relative:page;z-index:-1628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75.260010pt;width:700.9pt;height:.1pt;mso-position-horizontal-relative:page;mso-position-vertical-relative:page;z-index:-1628728" coordorigin="1411,1505" coordsize="14018,2">
          <v:shape style="position:absolute;left:1411;top:1505;width:14018;height:2" coordorigin="1411,1505" coordsize="14018,0" path="m1411,1505l15429,1505e" filled="false" stroked="true" strokeweight=".48pt" strokecolor="#000000">
            <v:path arrowok="t"/>
          </v:shape>
          <w10:wrap type="none"/>
        </v:group>
      </w:pict>
    </w:r>
    <w:r>
      <w:rPr/>
      <w:pict>
        <v:shape style="position:absolute;margin-left:71pt;margin-top:36.625633pt;width:128pt;height:11pt;mso-position-horizontal-relative:page;mso-position-vertical-relative:page;z-index:-16287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71pt;margin-top:62.805634pt;width:60.55pt;height:11pt;mso-position-horizontal-relative:page;mso-position-vertical-relative:page;z-index:-1628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5.239983pt;width:418.65pt;height:.1pt;mso-position-horizontal-relative:page;mso-position-vertical-relative:page;z-index:-1628608" coordorigin="1769,1505" coordsize="8373,2">
          <v:shape style="position:absolute;left:1769;top:1505;width:8373;height:2" coordorigin="1769,1505" coordsize="8373,0" path="m1769,1505l10142,1505e" filled="false" stroked="true" strokeweight=".48pt" strokecolor="#000000">
            <v:path arrowok="t"/>
          </v:shape>
          <w10:wrap type="none"/>
        </v:group>
      </w:pict>
    </w:r>
    <w:r>
      <w:rPr/>
      <w:pict>
        <v:shape style="position:absolute;margin-left:88.903999pt;margin-top:36.625607pt;width:128pt;height:11pt;mso-position-horizontal-relative:page;mso-position-vertical-relative:page;z-index:-1628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88.903999pt;margin-top:62.785606pt;width:60.5pt;height:11pt;mso-position-horizontal-relative:page;mso-position-vertical-relative:page;z-index:-1628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30.985607pt;width:128pt;height:11pt;mso-position-horizontal-relative:page;mso-position-vertical-relative:page;z-index:-1628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xbxContent>
          </v:textbox>
          <w10:wrap type="none"/>
        </v:shape>
      </w:pict>
    </w:r>
    <w:r>
      <w:rPr/>
      <w:pict>
        <v:shape style="position:absolute;margin-left:88.903999pt;margin-top:57.145607pt;width:60.5pt;height:11pt;mso-position-horizontal-relative:page;mso-position-vertical-relative:page;z-index:-1628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900002pt;margin-top:33.949982pt;width:478.15pt;height:47.7pt;mso-position-horizontal-relative:page;mso-position-vertical-relative:page;z-index:-1630288" type="#_x0000_t75" stroked="false">
          <v:imagedata r:id="rId1" o:titl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900002pt;margin-top:33.949982pt;width:478.15pt;height:47.7pt;mso-position-horizontal-relative:page;mso-position-vertical-relative:page;z-index:-1630216" type="#_x0000_t75" stroked="false">
          <v:imagedata r:id="rId1" o:titl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3.410004pt;margin-top:48.625607pt;width:128.4500pt;height:11pt;mso-position-horizontal-relative:page;mso-position-vertical-relative:page;z-index:-1630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中国长城科技集团股份有限公司</w:t>
                </w:r>
                <w:r>
                  <w:rPr>
                    <w:rFonts w:ascii="宋体" w:hAnsi="宋体" w:cs="宋体" w:eastAsia="宋体" w:hint="default"/>
                    <w:sz w:val="18"/>
                    <w:szCs w:val="1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0.850006pt;margin-top:48.625607pt;width:173.65pt;height:56.05pt;mso-position-horizontal-relative:page;mso-position-vertical-relative:page;z-index:-1630120" type="#_x0000_t202" filled="false" stroked="false">
          <v:textbox inset="0,0,0,0">
            <w:txbxContent>
              <w:p>
                <w:pPr>
                  <w:spacing w:line="200" w:lineRule="exact" w:before="0"/>
                  <w:ind w:left="0" w:right="1" w:firstLine="0"/>
                  <w:jc w:val="center"/>
                  <w:rPr>
                    <w:rFonts w:ascii="宋体" w:hAnsi="宋体" w:cs="宋体" w:eastAsia="宋体" w:hint="default"/>
                    <w:sz w:val="18"/>
                    <w:szCs w:val="18"/>
                  </w:rPr>
                </w:pPr>
                <w:r>
                  <w:rPr>
                    <w:rFonts w:ascii="宋体" w:hAnsi="宋体" w:cs="宋体" w:eastAsia="宋体" w:hint="default"/>
                    <w:b/>
                    <w:bCs/>
                    <w:sz w:val="18"/>
                    <w:szCs w:val="18"/>
                  </w:rPr>
                  <w:t>中国长城科技集团股份有限公司</w:t>
                </w:r>
                <w:r>
                  <w:rPr>
                    <w:rFonts w:ascii="宋体" w:hAnsi="宋体" w:cs="宋体" w:eastAsia="宋体" w:hint="default"/>
                    <w:sz w:val="18"/>
                    <w:szCs w:val="18"/>
                  </w:rPr>
                </w:r>
              </w:p>
              <w:p>
                <w:pPr>
                  <w:spacing w:before="38"/>
                  <w:ind w:left="0" w:right="1" w:firstLine="0"/>
                  <w:jc w:val="center"/>
                  <w:rPr>
                    <w:rFonts w:ascii="宋体" w:hAnsi="宋体" w:cs="宋体" w:eastAsia="宋体" w:hint="default"/>
                    <w:sz w:val="18"/>
                    <w:szCs w:val="18"/>
                  </w:rPr>
                </w:pPr>
                <w:r>
                  <w:rPr>
                    <w:rFonts w:ascii="宋体" w:hAnsi="宋体" w:cs="宋体" w:eastAsia="宋体" w:hint="default"/>
                    <w:b/>
                    <w:bCs/>
                    <w:sz w:val="18"/>
                    <w:szCs w:val="18"/>
                  </w:rPr>
                  <w:t>母公司利润表</w:t>
                </w:r>
                <w:r>
                  <w:rPr>
                    <w:rFonts w:ascii="宋体" w:hAnsi="宋体" w:cs="宋体" w:eastAsia="宋体" w:hint="default"/>
                    <w:sz w:val="18"/>
                    <w:szCs w:val="18"/>
                  </w:rPr>
                </w:r>
              </w:p>
              <w:p>
                <w:pPr>
                  <w:spacing w:before="76"/>
                  <w:ind w:left="1" w:right="0"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65"/>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0.850006pt;margin-top:48.625607pt;width:173.65pt;height:52.3pt;mso-position-horizontal-relative:page;mso-position-vertical-relative:page;z-index:-1630096" type="#_x0000_t202" filled="false" stroked="false">
          <v:textbox inset="0,0,0,0">
            <w:txbxContent>
              <w:p>
                <w:pPr>
                  <w:spacing w:line="200" w:lineRule="exact" w:before="0"/>
                  <w:ind w:left="0" w:right="1" w:firstLine="0"/>
                  <w:jc w:val="center"/>
                  <w:rPr>
                    <w:rFonts w:ascii="宋体" w:hAnsi="宋体" w:cs="宋体" w:eastAsia="宋体" w:hint="default"/>
                    <w:sz w:val="18"/>
                    <w:szCs w:val="18"/>
                  </w:rPr>
                </w:pPr>
                <w:r>
                  <w:rPr>
                    <w:rFonts w:ascii="宋体" w:hAnsi="宋体" w:cs="宋体" w:eastAsia="宋体" w:hint="default"/>
                    <w:b/>
                    <w:bCs/>
                    <w:sz w:val="18"/>
                    <w:szCs w:val="18"/>
                  </w:rPr>
                  <w:t>中国长城科技集团股份有限公司</w:t>
                </w:r>
                <w:r>
                  <w:rPr>
                    <w:rFonts w:ascii="宋体" w:hAnsi="宋体" w:cs="宋体" w:eastAsia="宋体" w:hint="default"/>
                    <w:sz w:val="18"/>
                    <w:szCs w:val="18"/>
                  </w:rPr>
                </w:r>
              </w:p>
              <w:p>
                <w:pPr>
                  <w:spacing w:before="38"/>
                  <w:ind w:left="1" w:right="0" w:firstLine="0"/>
                  <w:jc w:val="center"/>
                  <w:rPr>
                    <w:rFonts w:ascii="宋体" w:hAnsi="宋体" w:cs="宋体" w:eastAsia="宋体" w:hint="default"/>
                    <w:sz w:val="18"/>
                    <w:szCs w:val="18"/>
                  </w:rPr>
                </w:pPr>
                <w:r>
                  <w:rPr>
                    <w:rFonts w:ascii="宋体" w:hAnsi="宋体" w:cs="宋体" w:eastAsia="宋体" w:hint="default"/>
                    <w:b/>
                    <w:bCs/>
                    <w:sz w:val="18"/>
                    <w:szCs w:val="18"/>
                  </w:rPr>
                  <w:t>合并现金流量表</w:t>
                </w:r>
                <w:r>
                  <w:rPr>
                    <w:rFonts w:ascii="宋体" w:hAnsi="宋体" w:cs="宋体" w:eastAsia="宋体" w:hint="default"/>
                    <w:sz w:val="18"/>
                    <w:szCs w:val="18"/>
                  </w:rPr>
                </w:r>
              </w:p>
              <w:p>
                <w:pPr>
                  <w:spacing w:before="45"/>
                  <w:ind w:left="1" w:right="0"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22"/>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0.850006pt;margin-top:48.625607pt;width:173.65pt;height:52.3pt;mso-position-horizontal-relative:page;mso-position-vertical-relative:page;z-index:-1630072" type="#_x0000_t202" filled="false" stroked="false">
          <v:textbox inset="0,0,0,0">
            <w:txbxContent>
              <w:p>
                <w:pPr>
                  <w:spacing w:line="200" w:lineRule="exact" w:before="0"/>
                  <w:ind w:left="0" w:right="1" w:firstLine="0"/>
                  <w:jc w:val="center"/>
                  <w:rPr>
                    <w:rFonts w:ascii="宋体" w:hAnsi="宋体" w:cs="宋体" w:eastAsia="宋体" w:hint="default"/>
                    <w:sz w:val="18"/>
                    <w:szCs w:val="18"/>
                  </w:rPr>
                </w:pPr>
                <w:r>
                  <w:rPr>
                    <w:rFonts w:ascii="宋体" w:hAnsi="宋体" w:cs="宋体" w:eastAsia="宋体" w:hint="default"/>
                    <w:b/>
                    <w:bCs/>
                    <w:sz w:val="18"/>
                    <w:szCs w:val="18"/>
                  </w:rPr>
                  <w:t>中国长城科技集团股份有限公司</w:t>
                </w:r>
                <w:r>
                  <w:rPr>
                    <w:rFonts w:ascii="宋体" w:hAnsi="宋体" w:cs="宋体" w:eastAsia="宋体" w:hint="default"/>
                    <w:sz w:val="18"/>
                    <w:szCs w:val="18"/>
                  </w:rPr>
                </w:r>
              </w:p>
              <w:p>
                <w:pPr>
                  <w:spacing w:before="38"/>
                  <w:ind w:left="0" w:right="1" w:firstLine="0"/>
                  <w:jc w:val="center"/>
                  <w:rPr>
                    <w:rFonts w:ascii="宋体" w:hAnsi="宋体" w:cs="宋体" w:eastAsia="宋体" w:hint="default"/>
                    <w:sz w:val="18"/>
                    <w:szCs w:val="18"/>
                  </w:rPr>
                </w:pPr>
                <w:r>
                  <w:rPr>
                    <w:rFonts w:ascii="宋体" w:hAnsi="宋体" w:cs="宋体" w:eastAsia="宋体" w:hint="default"/>
                    <w:b/>
                    <w:bCs/>
                    <w:sz w:val="18"/>
                    <w:szCs w:val="18"/>
                  </w:rPr>
                  <w:t>母公司现金流量表</w:t>
                </w:r>
                <w:r>
                  <w:rPr>
                    <w:rFonts w:ascii="宋体" w:hAnsi="宋体" w:cs="宋体" w:eastAsia="宋体" w:hint="default"/>
                    <w:sz w:val="18"/>
                    <w:szCs w:val="18"/>
                  </w:rPr>
                </w:r>
              </w:p>
              <w:p>
                <w:pPr>
                  <w:spacing w:before="45"/>
                  <w:ind w:left="1" w:right="0"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22"/>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36"/>
      <w:ind w:left="1414"/>
    </w:pPr>
    <w:rPr>
      <w:rFonts w:ascii="宋体" w:hAnsi="宋体" w:eastAsia="宋体"/>
      <w:sz w:val="21"/>
      <w:szCs w:val="21"/>
    </w:rPr>
  </w:style>
  <w:style w:styleId="Heading1" w:type="paragraph">
    <w:name w:val="Heading 1"/>
    <w:basedOn w:val="Normal"/>
    <w:uiPriority w:val="1"/>
    <w:qFormat/>
    <w:pPr>
      <w:ind w:left="302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320" w:firstLine="566"/>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宋体" w:hAnsi="宋体" w:eastAsia="宋体"/>
      <w:b/>
      <w:bCs/>
      <w:sz w:val="24"/>
      <w:szCs w:val="24"/>
    </w:rPr>
  </w:style>
  <w:style w:styleId="Heading5" w:type="paragraph">
    <w:name w:val="Heading 5"/>
    <w:basedOn w:val="Normal"/>
    <w:uiPriority w:val="1"/>
    <w:qFormat/>
    <w:pPr>
      <w:spacing w:before="36"/>
      <w:ind w:left="138"/>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greatwall.cn/" TargetMode="External"/><Relationship Id="rId11" Type="http://schemas.openxmlformats.org/officeDocument/2006/relationships/hyperlink" Target="mailto:stock@greatwall.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footer" Target="footer7.xm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header" Target="header12.xml"/><Relationship Id="rId31" Type="http://schemas.openxmlformats.org/officeDocument/2006/relationships/footer" Target="footer9.xml"/><Relationship Id="rId32" Type="http://schemas.openxmlformats.org/officeDocument/2006/relationships/header" Target="header13.xml"/><Relationship Id="rId33" Type="http://schemas.openxmlformats.org/officeDocument/2006/relationships/footer" Target="footer10.xml"/><Relationship Id="rId34" Type="http://schemas.openxmlformats.org/officeDocument/2006/relationships/header" Target="header14.xml"/><Relationship Id="rId35" Type="http://schemas.openxmlformats.org/officeDocument/2006/relationships/footer" Target="footer11.xml"/><Relationship Id="rId36" Type="http://schemas.openxmlformats.org/officeDocument/2006/relationships/image" Target="media/image1.jpeg"/><Relationship Id="rId37" Type="http://schemas.openxmlformats.org/officeDocument/2006/relationships/header" Target="header15.xml"/><Relationship Id="rId38" Type="http://schemas.openxmlformats.org/officeDocument/2006/relationships/footer" Target="footer12.xml"/><Relationship Id="rId39" Type="http://schemas.openxmlformats.org/officeDocument/2006/relationships/header" Target="header16.xml"/><Relationship Id="rId40" Type="http://schemas.openxmlformats.org/officeDocument/2006/relationships/footer" Target="footer13.xml"/><Relationship Id="rId41" Type="http://schemas.openxmlformats.org/officeDocument/2006/relationships/header" Target="header17.xml"/><Relationship Id="rId42" Type="http://schemas.openxmlformats.org/officeDocument/2006/relationships/footer" Target="footer14.xml"/><Relationship Id="rId43" Type="http://schemas.openxmlformats.org/officeDocument/2006/relationships/header" Target="header18.xml"/><Relationship Id="rId44" Type="http://schemas.openxmlformats.org/officeDocument/2006/relationships/footer" Target="footer15.xml"/><Relationship Id="rId45" Type="http://schemas.openxmlformats.org/officeDocument/2006/relationships/header" Target="header19.xml"/><Relationship Id="rId46" Type="http://schemas.openxmlformats.org/officeDocument/2006/relationships/footer" Target="footer16.xml"/><Relationship Id="rId47" Type="http://schemas.openxmlformats.org/officeDocument/2006/relationships/header" Target="header20.xml"/><Relationship Id="rId48" Type="http://schemas.openxmlformats.org/officeDocument/2006/relationships/footer" Target="footer17.xml"/><Relationship Id="rId49" Type="http://schemas.openxmlformats.org/officeDocument/2006/relationships/header" Target="header21.xml"/><Relationship Id="rId50" Type="http://schemas.openxmlformats.org/officeDocument/2006/relationships/footer" Target="footer18.xml"/><Relationship Id="rId51" Type="http://schemas.openxmlformats.org/officeDocument/2006/relationships/header" Target="header22.xml"/><Relationship Id="rId52" Type="http://schemas.openxmlformats.org/officeDocument/2006/relationships/footer" Target="footer19.xml"/><Relationship Id="rId53" Type="http://schemas.openxmlformats.org/officeDocument/2006/relationships/footer" Target="footer20.xml"/><Relationship Id="rId54" Type="http://schemas.openxmlformats.org/officeDocument/2006/relationships/header" Target="header23.xml"/><Relationship Id="rId55" Type="http://schemas.openxmlformats.org/officeDocument/2006/relationships/footer" Target="footer21.xml"/><Relationship Id="rId56" Type="http://schemas.openxmlformats.org/officeDocument/2006/relationships/header" Target="header24.xml"/><Relationship Id="rId57" Type="http://schemas.openxmlformats.org/officeDocument/2006/relationships/footer" Target="footer22.xml"/><Relationship Id="rId58" Type="http://schemas.openxmlformats.org/officeDocument/2006/relationships/footer" Target="footer23.xml"/><Relationship Id="rId59" Type="http://schemas.openxmlformats.org/officeDocument/2006/relationships/header" Target="header25.xml"/><Relationship Id="rId60" Type="http://schemas.openxmlformats.org/officeDocument/2006/relationships/footer" Target="footer24.xml"/><Relationship Id="rId61" Type="http://schemas.openxmlformats.org/officeDocument/2006/relationships/header" Target="header26.xml"/><Relationship Id="rId62" Type="http://schemas.openxmlformats.org/officeDocument/2006/relationships/footer" Target="footer25.xml"/><Relationship Id="rId63" Type="http://schemas.openxmlformats.org/officeDocument/2006/relationships/header" Target="header27.xml"/><Relationship Id="rId64" Type="http://schemas.openxmlformats.org/officeDocument/2006/relationships/footer" Target="footer26.xml"/><Relationship Id="rId65" Type="http://schemas.openxmlformats.org/officeDocument/2006/relationships/footer" Target="footer27.xml"/><Relationship Id="rId66" Type="http://schemas.openxmlformats.org/officeDocument/2006/relationships/header" Target="header28.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9.xml"/><Relationship Id="rId70" Type="http://schemas.openxmlformats.org/officeDocument/2006/relationships/footer" Target="footer30.xml"/><Relationship Id="rId71" Type="http://schemas.openxmlformats.org/officeDocument/2006/relationships/header" Target="header30.xml"/><Relationship Id="rId72" Type="http://schemas.openxmlformats.org/officeDocument/2006/relationships/footer" Target="footer31.xml"/><Relationship Id="rId73" Type="http://schemas.openxmlformats.org/officeDocument/2006/relationships/footer" Target="footer32.xml"/><Relationship Id="rId74" Type="http://schemas.openxmlformats.org/officeDocument/2006/relationships/footer" Target="footer33.xml"/><Relationship Id="rId75" Type="http://schemas.openxmlformats.org/officeDocument/2006/relationships/footer" Target="footer34.xml"/><Relationship Id="rId76" Type="http://schemas.openxmlformats.org/officeDocument/2006/relationships/header" Target="header31.xml"/><Relationship Id="rId77" Type="http://schemas.openxmlformats.org/officeDocument/2006/relationships/header" Target="header32.xml"/><Relationship Id="rId78" Type="http://schemas.openxmlformats.org/officeDocument/2006/relationships/footer" Target="footer35.xml"/><Relationship Id="rId79" Type="http://schemas.openxmlformats.org/officeDocument/2006/relationships/footer" Target="footer36.xml"/><Relationship Id="rId80" Type="http://schemas.openxmlformats.org/officeDocument/2006/relationships/footer" Target="footer3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3.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6.xml.rels><?xml version="1.0" encoding="UTF-8" standalone="yes"?>
<Relationships xmlns="http://schemas.openxmlformats.org/package/2006/relationships"><Relationship Id="rId1" Type="http://schemas.openxmlformats.org/officeDocument/2006/relationships/image" Target="media/image1.jpeg"/></Relationships>

</file>

<file path=word/_rels/footer37.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yangmingfei</dc:creator>
  <dcterms:created xsi:type="dcterms:W3CDTF">2020-05-19T22:46:51Z</dcterms:created>
  <dcterms:modified xsi:type="dcterms:W3CDTF">2020-05-19T22:46:51Z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2016</vt:lpwstr>
  </property>
  <property fmtid="{D5CDD505-2E9C-101B-9397-08002B2CF9AE}" pid="4" name="LastSaved">
    <vt:filetime>2020-05-19T00:00:00Z</vt:filetime>
  </property>
</Properties>
</file>