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Default Extension="jpeg" ContentType="image/jpeg"/>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4.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6.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17.xml" ContentType="application/vnd.openxmlformats-officedocument.wordprocessingml.header+xml"/>
  <Override PartName="/word/footer36.xml" ContentType="application/vnd.openxmlformats-officedocument.wordprocessingml.footer+xml"/>
  <Override PartName="/word/header1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19.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20.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21.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2601" w:right="3587" w:firstLine="0"/>
        <w:jc w:val="center"/>
        <w:rPr>
          <w:rFonts w:ascii="宋体" w:hAnsi="宋体" w:cs="宋体" w:eastAsia="宋体"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石家庄常山纺织股份有限公司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601" w:right="357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p>
      <w:pPr>
        <w:spacing w:line="2556" w:lineRule="exact"/>
        <w:ind w:left="3848"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1493240" cy="162306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93240" cy="1623060"/>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13"/>
        <w:rPr>
          <w:rFonts w:ascii="宋体" w:hAnsi="宋体" w:cs="宋体" w:eastAsia="宋体" w:hint="default"/>
          <w:b/>
          <w:bCs/>
          <w:sz w:val="47"/>
          <w:szCs w:val="47"/>
        </w:rPr>
      </w:pPr>
    </w:p>
    <w:p>
      <w:pPr>
        <w:spacing w:before="0"/>
        <w:ind w:left="2601" w:right="35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340" w:top="1060" w:bottom="154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982"/>
        <w:jc w:val="left"/>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公司负责人汤彰明、主管会计工作负责人赵英涛及会计机构负责人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曹金霞声明：保证年度报告中财务报告的真实、准确、完整。</w:t>
      </w:r>
      <w:r>
        <w:rPr>
          <w:rFonts w:ascii="宋体" w:hAnsi="宋体" w:cs="宋体" w:eastAsia="宋体" w:hint="default"/>
          <w:sz w:val="28"/>
          <w:szCs w:val="28"/>
        </w:rPr>
      </w:r>
    </w:p>
    <w:p>
      <w:pPr>
        <w:spacing w:before="148"/>
        <w:ind w:left="714" w:right="982"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9"/>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393"/>
        <w:gridCol w:w="2392"/>
        <w:gridCol w:w="2392"/>
        <w:gridCol w:w="2381"/>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朱北娜</w:t>
            </w:r>
          </w:p>
        </w:tc>
        <w:tc>
          <w:tcPr>
            <w:tcW w:w="2392"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因公出差</w:t>
            </w:r>
          </w:p>
        </w:tc>
        <w:tc>
          <w:tcPr>
            <w:tcW w:w="238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贾路桥</w:t>
            </w:r>
          </w:p>
        </w:tc>
      </w:tr>
    </w:tbl>
    <w:p>
      <w:pPr>
        <w:spacing w:line="240" w:lineRule="auto" w:before="2"/>
        <w:rPr>
          <w:rFonts w:ascii="宋体" w:hAnsi="宋体" w:cs="宋体" w:eastAsia="宋体" w:hint="default"/>
          <w:b/>
          <w:bCs/>
          <w:sz w:val="13"/>
          <w:szCs w:val="13"/>
        </w:rPr>
      </w:pPr>
    </w:p>
    <w:p>
      <w:pPr>
        <w:spacing w:line="475" w:lineRule="auto" w:before="14"/>
        <w:ind w:left="714" w:right="982"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本报告中涉及的未来发展战略及新年度经营计划的陈述，属于计划性事项，</w:t>
      </w:r>
      <w:r>
        <w:rPr>
          <w:rFonts w:ascii="宋体" w:hAnsi="宋体" w:cs="宋体" w:eastAsia="宋体" w:hint="default"/>
          <w:spacing w:val="-2"/>
          <w:sz w:val="28"/>
          <w:szCs w:val="28"/>
        </w:rPr>
      </w:r>
    </w:p>
    <w:p>
      <w:pPr>
        <w:spacing w:line="350" w:lineRule="exact" w:before="0"/>
        <w:ind w:left="152" w:right="982" w:firstLine="0"/>
        <w:jc w:val="left"/>
        <w:rPr>
          <w:rFonts w:ascii="宋体" w:hAnsi="宋体" w:cs="宋体" w:eastAsia="宋体" w:hint="default"/>
          <w:sz w:val="28"/>
          <w:szCs w:val="28"/>
        </w:rPr>
      </w:pPr>
      <w:r>
        <w:rPr>
          <w:rFonts w:ascii="宋体" w:hAnsi="宋体" w:cs="宋体" w:eastAsia="宋体" w:hint="default"/>
          <w:b/>
          <w:bCs/>
          <w:sz w:val="28"/>
          <w:szCs w:val="28"/>
        </w:rPr>
        <w:t>不构成公司对投资者的实质承诺，请投资者注意投资风险。</w:t>
      </w:r>
      <w:r>
        <w:rPr>
          <w:rFonts w:ascii="宋体" w:hAnsi="宋体" w:cs="宋体" w:eastAsia="宋体" w:hint="default"/>
          <w:sz w:val="28"/>
          <w:szCs w:val="28"/>
        </w:rPr>
      </w:r>
    </w:p>
    <w:p>
      <w:pPr>
        <w:spacing w:after="0" w:line="350" w:lineRule="exact"/>
        <w:jc w:val="left"/>
        <w:rPr>
          <w:rFonts w:ascii="宋体" w:hAnsi="宋体" w:cs="宋体" w:eastAsia="宋体" w:hint="default"/>
          <w:sz w:val="28"/>
          <w:szCs w:val="28"/>
        </w:rPr>
        <w:sectPr>
          <w:footerReference w:type="default" r:id="rId8"/>
          <w:pgSz w:w="11910" w:h="16840"/>
          <w:pgMar w:footer="1340" w:header="745" w:top="1060" w:bottom="154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601" w:right="357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3" w:val="right" w:leader="dot"/>
            </w:tabs>
            <w:spacing w:line="240" w:lineRule="auto" w:before="235"/>
            <w:ind w:right="0"/>
            <w:jc w:val="left"/>
            <w:rPr>
              <w:rFonts w:ascii="宋体" w:hAnsi="宋体" w:cs="宋体" w:eastAsia="宋体" w:hint="default"/>
            </w:rPr>
          </w:pPr>
          <w:r>
            <w:fldChar w:fldCharType="begin"/>
          </w:r>
          <w:r>
            <w:instrText>TOC \o "1-1" \h \z \u </w:instrText>
          </w:r>
          <w:r>
            <w:fldChar w:fldCharType="separate"/>
          </w:r>
          <w:hyperlink w:history="true" w:anchor="_TOC_250010">
            <w:r>
              <w:rPr/>
              <w:t>第一节 重要提示、目录和释义</w:t>
            </w:r>
            <w:r>
              <w:rPr>
                <w:rFonts w:ascii="宋体" w:hAnsi="宋体" w:cs="宋体" w:eastAsia="宋体" w:hint="default"/>
              </w:rPr>
              <w:tab/>
              <w:t>2</w:t>
            </w:r>
          </w:hyperlink>
        </w:p>
        <w:p>
          <w:pPr>
            <w:pStyle w:val="TOC1"/>
            <w:tabs>
              <w:tab w:pos="9783" w:val="right" w:leader="dot"/>
            </w:tabs>
            <w:spacing w:line="240" w:lineRule="auto" w:before="351"/>
            <w:ind w:right="0"/>
            <w:jc w:val="left"/>
            <w:rPr>
              <w:rFonts w:ascii="宋体" w:hAnsi="宋体" w:cs="宋体" w:eastAsia="宋体" w:hint="default"/>
            </w:rPr>
          </w:pPr>
          <w:hyperlink w:history="true" w:anchor="_TOC_250009">
            <w:r>
              <w:rPr/>
              <w:t>第二节 公司简介</w:t>
            </w:r>
            <w:r>
              <w:rPr>
                <w:rFonts w:ascii="宋体" w:hAnsi="宋体" w:cs="宋体" w:eastAsia="宋体" w:hint="default"/>
              </w:rPr>
              <w:tab/>
              <w:t>6</w:t>
            </w:r>
          </w:hyperlink>
        </w:p>
        <w:p>
          <w:pPr>
            <w:pStyle w:val="TOC1"/>
            <w:tabs>
              <w:tab w:pos="9783" w:val="right" w:leader="dot"/>
            </w:tabs>
            <w:spacing w:line="240" w:lineRule="auto" w:before="348"/>
            <w:ind w:right="0"/>
            <w:jc w:val="left"/>
            <w:rPr>
              <w:rFonts w:ascii="宋体" w:hAnsi="宋体" w:cs="宋体" w:eastAsia="宋体" w:hint="default"/>
            </w:rPr>
          </w:pPr>
          <w:hyperlink w:history="true" w:anchor="_TOC_250008">
            <w:r>
              <w:rPr/>
              <w:t>第三节 会计数据和财务指标摘要</w:t>
            </w:r>
            <w:r>
              <w:rPr>
                <w:rFonts w:ascii="宋体" w:hAnsi="宋体" w:cs="宋体" w:eastAsia="宋体" w:hint="default"/>
              </w:rPr>
              <w:tab/>
              <w:t>8</w:t>
            </w:r>
          </w:hyperlink>
        </w:p>
        <w:p>
          <w:pPr>
            <w:pStyle w:val="TOC1"/>
            <w:tabs>
              <w:tab w:pos="9783" w:val="right" w:leader="dot"/>
            </w:tabs>
            <w:spacing w:line="240" w:lineRule="auto"/>
            <w:ind w:right="0"/>
            <w:jc w:val="left"/>
            <w:rPr>
              <w:rFonts w:ascii="宋体" w:hAnsi="宋体" w:cs="宋体" w:eastAsia="宋体" w:hint="default"/>
            </w:rPr>
          </w:pPr>
          <w:hyperlink w:history="true" w:anchor="_TOC_250007">
            <w:r>
              <w:rPr/>
              <w:t>第四节 董事会报告</w:t>
            </w:r>
            <w:r>
              <w:rPr>
                <w:rFonts w:ascii="宋体" w:hAnsi="宋体" w:cs="宋体" w:eastAsia="宋体" w:hint="default"/>
              </w:rPr>
              <w:tab/>
              <w:t>10</w:t>
            </w:r>
          </w:hyperlink>
        </w:p>
        <w:p>
          <w:pPr>
            <w:pStyle w:val="TOC1"/>
            <w:tabs>
              <w:tab w:pos="9783" w:val="right" w:leader="dot"/>
            </w:tabs>
            <w:spacing w:line="240" w:lineRule="auto"/>
            <w:ind w:right="0"/>
            <w:jc w:val="left"/>
            <w:rPr>
              <w:rFonts w:ascii="宋体" w:hAnsi="宋体" w:cs="宋体" w:eastAsia="宋体" w:hint="default"/>
            </w:rPr>
          </w:pPr>
          <w:hyperlink w:history="true" w:anchor="_TOC_250006">
            <w:r>
              <w:rPr/>
              <w:t>第五节 重要事项</w:t>
            </w:r>
            <w:r>
              <w:rPr>
                <w:rFonts w:ascii="宋体" w:hAnsi="宋体" w:cs="宋体" w:eastAsia="宋体" w:hint="default"/>
              </w:rPr>
              <w:tab/>
              <w:t>25</w:t>
            </w:r>
          </w:hyperlink>
        </w:p>
        <w:p>
          <w:pPr>
            <w:pStyle w:val="TOC1"/>
            <w:tabs>
              <w:tab w:pos="9783" w:val="right" w:leader="dot"/>
            </w:tabs>
            <w:spacing w:line="240" w:lineRule="auto" w:before="348"/>
            <w:ind w:right="0"/>
            <w:jc w:val="left"/>
            <w:rPr>
              <w:rFonts w:ascii="宋体" w:hAnsi="宋体" w:cs="宋体" w:eastAsia="宋体" w:hint="default"/>
            </w:rPr>
          </w:pPr>
          <w:hyperlink w:history="true" w:anchor="_TOC_250005">
            <w:r>
              <w:rPr/>
              <w:t>第六节 股份变动及股东情况</w:t>
            </w:r>
            <w:r>
              <w:rPr>
                <w:rFonts w:ascii="宋体" w:hAnsi="宋体" w:cs="宋体" w:eastAsia="宋体" w:hint="default"/>
              </w:rPr>
              <w:tab/>
              <w:t>33</w:t>
            </w:r>
          </w:hyperlink>
        </w:p>
        <w:p>
          <w:pPr>
            <w:pStyle w:val="TOC1"/>
            <w:tabs>
              <w:tab w:pos="9783" w:val="right" w:leader="dot"/>
            </w:tabs>
            <w:spacing w:line="240" w:lineRule="auto" w:before="351"/>
            <w:ind w:right="0"/>
            <w:jc w:val="left"/>
            <w:rPr>
              <w:rFonts w:ascii="宋体" w:hAnsi="宋体" w:cs="宋体" w:eastAsia="宋体" w:hint="default"/>
            </w:rPr>
          </w:pPr>
          <w:hyperlink w:history="true" w:anchor="_TOC_250004">
            <w:r>
              <w:rPr/>
              <w:t>第七节 董事、监事、高级管理人员和员工情况</w:t>
            </w:r>
            <w:r>
              <w:rPr>
                <w:rFonts w:ascii="宋体" w:hAnsi="宋体" w:cs="宋体" w:eastAsia="宋体" w:hint="default"/>
              </w:rPr>
              <w:tab/>
              <w:t>38</w:t>
            </w:r>
          </w:hyperlink>
        </w:p>
        <w:p>
          <w:pPr>
            <w:pStyle w:val="TOC1"/>
            <w:tabs>
              <w:tab w:pos="9783" w:val="right" w:leader="dot"/>
            </w:tabs>
            <w:spacing w:line="240" w:lineRule="auto"/>
            <w:ind w:right="0"/>
            <w:jc w:val="left"/>
            <w:rPr>
              <w:rFonts w:ascii="宋体" w:hAnsi="宋体" w:cs="宋体" w:eastAsia="宋体" w:hint="default"/>
            </w:rPr>
          </w:pPr>
          <w:hyperlink w:history="true" w:anchor="_TOC_250003">
            <w:r>
              <w:rPr/>
              <w:t>第八节 公司治理</w:t>
            </w:r>
            <w:r>
              <w:rPr>
                <w:rFonts w:ascii="宋体" w:hAnsi="宋体" w:cs="宋体" w:eastAsia="宋体" w:hint="default"/>
              </w:rPr>
              <w:tab/>
              <w:t>43</w:t>
            </w:r>
          </w:hyperlink>
        </w:p>
        <w:p>
          <w:pPr>
            <w:pStyle w:val="TOC1"/>
            <w:tabs>
              <w:tab w:pos="9783" w:val="right" w:leader="dot"/>
            </w:tabs>
            <w:spacing w:line="240" w:lineRule="auto" w:before="348"/>
            <w:ind w:right="0"/>
            <w:jc w:val="left"/>
            <w:rPr>
              <w:rFonts w:ascii="宋体" w:hAnsi="宋体" w:cs="宋体" w:eastAsia="宋体" w:hint="default"/>
            </w:rPr>
          </w:pPr>
          <w:hyperlink w:history="true" w:anchor="_TOC_250002">
            <w:r>
              <w:rPr/>
              <w:t>第九节 内部控制</w:t>
            </w:r>
            <w:r>
              <w:rPr>
                <w:rFonts w:ascii="宋体" w:hAnsi="宋体" w:cs="宋体" w:eastAsia="宋体" w:hint="default"/>
              </w:rPr>
              <w:tab/>
              <w:t>47</w:t>
            </w:r>
          </w:hyperlink>
        </w:p>
        <w:p>
          <w:pPr>
            <w:pStyle w:val="TOC1"/>
            <w:tabs>
              <w:tab w:pos="9783" w:val="right" w:leader="dot"/>
            </w:tabs>
            <w:spacing w:line="240" w:lineRule="auto"/>
            <w:ind w:right="0"/>
            <w:jc w:val="left"/>
            <w:rPr>
              <w:rFonts w:ascii="宋体" w:hAnsi="宋体" w:cs="宋体" w:eastAsia="宋体" w:hint="default"/>
            </w:rPr>
          </w:pPr>
          <w:hyperlink w:history="true" w:anchor="_TOC_250001">
            <w:r>
              <w:rPr/>
              <w:t>第十节 财务报告</w:t>
            </w:r>
            <w:r>
              <w:rPr>
                <w:rFonts w:ascii="宋体" w:hAnsi="宋体" w:cs="宋体" w:eastAsia="宋体" w:hint="default"/>
              </w:rPr>
              <w:tab/>
              <w:t>49</w:t>
            </w:r>
          </w:hyperlink>
        </w:p>
        <w:p>
          <w:pPr>
            <w:pStyle w:val="TOC1"/>
            <w:tabs>
              <w:tab w:pos="9783" w:val="right" w:leader="dot"/>
            </w:tabs>
            <w:spacing w:line="240" w:lineRule="auto"/>
            <w:ind w:right="0"/>
            <w:jc w:val="left"/>
            <w:rPr>
              <w:rFonts w:ascii="宋体" w:hAnsi="宋体" w:cs="宋体" w:eastAsia="宋体" w:hint="default"/>
            </w:rPr>
          </w:pPr>
          <w:hyperlink w:history="true" w:anchor="_TOC_250000">
            <w:r>
              <w:rPr/>
              <w:t>第十一节 备查文件目录</w:t>
            </w:r>
            <w:r>
              <w:rPr>
                <w:rFonts w:ascii="宋体" w:hAnsi="宋体" w:cs="宋体" w:eastAsia="宋体" w:hint="default"/>
              </w:rPr>
              <w:tab/>
              <w:t>154</w:t>
            </w:r>
          </w:hyperlink>
        </w:p>
        <w:p>
          <w:pPr/>
          <w:r>
            <w:fldChar w:fldCharType="end"/>
          </w:r>
        </w:p>
      </w:sdtContent>
    </w:sdt>
    <w:p>
      <w:pPr>
        <w:spacing w:after="0"/>
        <w:sectPr>
          <w:pgSz w:w="11910" w:h="16840"/>
          <w:pgMar w:header="745" w:footer="1340" w:top="1060" w:bottom="1540" w:left="980" w:right="0"/>
        </w:sectPr>
      </w:pPr>
    </w:p>
    <w:p>
      <w:pPr>
        <w:spacing w:before="945"/>
        <w:ind w:left="2601" w:right="357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11"/>
        <w:gridCol w:w="5424"/>
      </w:tblGrid>
      <w:tr>
        <w:trPr>
          <w:trHeight w:val="403"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公司、本公司或常山股份</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河北证监局</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中国证券监督管理委员会河北证监局</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《石家庄常山纺织股份有限公司公司章程》</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2601" w:right="3579"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spacing w:line="408" w:lineRule="auto" w:before="0"/>
        <w:ind w:left="152" w:right="1133" w:firstLine="562"/>
        <w:jc w:val="left"/>
        <w:rPr>
          <w:rFonts w:ascii="宋体" w:hAnsi="宋体" w:cs="宋体" w:eastAsia="宋体" w:hint="default"/>
          <w:sz w:val="28"/>
          <w:szCs w:val="28"/>
        </w:rPr>
      </w:pPr>
      <w:r>
        <w:rPr>
          <w:rFonts w:ascii="宋体" w:hAnsi="宋体" w:cs="宋体" w:eastAsia="宋体" w:hint="default"/>
          <w:b/>
          <w:bCs/>
          <w:spacing w:val="2"/>
          <w:sz w:val="28"/>
          <w:szCs w:val="28"/>
        </w:rPr>
        <w:t>公司不存在对生产经营状况、财务状况和持续盈利能力有严重不利影响的</w:t>
      </w:r>
      <w:r>
        <w:rPr>
          <w:rFonts w:ascii="宋体" w:hAnsi="宋体" w:cs="宋体" w:eastAsia="宋体" w:hint="default"/>
          <w:b/>
          <w:bCs/>
          <w:w w:val="99"/>
          <w:sz w:val="28"/>
          <w:szCs w:val="28"/>
        </w:rPr>
        <w:t> </w:t>
      </w:r>
      <w:r>
        <w:rPr>
          <w:rFonts w:ascii="宋体" w:hAnsi="宋体" w:cs="宋体" w:eastAsia="宋体" w:hint="default"/>
          <w:b/>
          <w:bCs/>
          <w:sz w:val="28"/>
          <w:szCs w:val="28"/>
        </w:rPr>
        <w:t>有关风险因素。</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r>
        <w:rPr/>
        <w:pict>
          <v:shape style="position:absolute;margin-left:137.883011pt;margin-top:269.809998pt;width:396pt;height:19.6pt;mso-position-horizontal-relative:page;mso-position-vertical-relative:page;z-index:-950152" type="#_x0000_t202" filled="false" stroked="false">
            <v:textbox inset="0,0,0,0">
              <w:txbxContent>
                <w:p>
                  <w:pPr>
                    <w:pStyle w:val="BodyText"/>
                    <w:spacing w:line="240" w:lineRule="auto" w:before="49"/>
                    <w:ind w:left="0" w:right="0"/>
                    <w:jc w:val="left"/>
                  </w:pPr>
                  <w:r>
                    <w:rPr/>
                    <w:t>（如有）</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3577"/>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2"/>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6"/>
        <w:gridCol w:w="2176"/>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常山股份</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000158</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常山股份</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SHIJIAZHUANG CHANGSHAN TEXTILE </w:t>
            </w:r>
            <w:r>
              <w:rPr>
                <w:rFonts w:ascii="Times New Roman"/>
                <w:spacing w:val="-3"/>
                <w:sz w:val="18"/>
              </w:rPr>
              <w:t>COMPANY</w:t>
            </w:r>
            <w:r>
              <w:rPr>
                <w:rFonts w:ascii="Times New Roman"/>
                <w:spacing w:val="-20"/>
                <w:sz w:val="18"/>
              </w:rPr>
              <w:t> </w:t>
            </w:r>
            <w:r>
              <w:rPr>
                <w:rFonts w:ascii="Times New Roman"/>
                <w:sz w:val="18"/>
              </w:rPr>
              <w:t>LIMITED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CSTEX</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汤彰明</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050011</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050011</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http://www.changshantex.com</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chshgf@heinfo.net</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982"/>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80"/>
        <w:gridCol w:w="3189"/>
        <w:gridCol w:w="3179"/>
      </w:tblGrid>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80"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89"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张莉</w:t>
            </w:r>
          </w:p>
        </w:tc>
      </w:tr>
      <w:tr>
        <w:trPr>
          <w:trHeight w:val="403" w:hRule="exact"/>
        </w:trPr>
        <w:tc>
          <w:tcPr>
            <w:tcW w:w="3180"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89"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3180"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89"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0311</w:t>
            </w:r>
            <w:r>
              <w:rPr>
                <w:rFonts w:ascii="宋体" w:hAnsi="宋体" w:cs="宋体" w:eastAsia="宋体" w:hint="default"/>
                <w:sz w:val="18"/>
                <w:szCs w:val="18"/>
              </w:rPr>
              <w:t>）</w:t>
            </w:r>
            <w:r>
              <w:rPr>
                <w:rFonts w:ascii="Times New Roman" w:hAnsi="Times New Roman" w:cs="Times New Roman" w:eastAsia="Times New Roman" w:hint="default"/>
                <w:sz w:val="18"/>
                <w:szCs w:val="18"/>
              </w:rPr>
              <w:t>86673856</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0311</w:t>
            </w:r>
            <w:r>
              <w:rPr>
                <w:rFonts w:ascii="宋体" w:hAnsi="宋体" w:cs="宋体" w:eastAsia="宋体" w:hint="default"/>
                <w:sz w:val="18"/>
                <w:szCs w:val="18"/>
              </w:rPr>
              <w:t>）</w:t>
            </w:r>
            <w:r>
              <w:rPr>
                <w:rFonts w:ascii="Times New Roman" w:hAnsi="Times New Roman" w:cs="Times New Roman" w:eastAsia="Times New Roman" w:hint="default"/>
                <w:sz w:val="18"/>
                <w:szCs w:val="18"/>
              </w:rPr>
              <w:t>86673856</w:t>
            </w:r>
          </w:p>
        </w:tc>
      </w:tr>
      <w:tr>
        <w:trPr>
          <w:trHeight w:val="403" w:hRule="exact"/>
        </w:trPr>
        <w:tc>
          <w:tcPr>
            <w:tcW w:w="3180"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89"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0311</w:t>
            </w:r>
            <w:r>
              <w:rPr>
                <w:rFonts w:ascii="宋体" w:hAnsi="宋体" w:cs="宋体" w:eastAsia="宋体" w:hint="default"/>
                <w:sz w:val="18"/>
                <w:szCs w:val="18"/>
              </w:rPr>
              <w:t>）</w:t>
            </w:r>
            <w:r>
              <w:rPr>
                <w:rFonts w:ascii="Times New Roman" w:hAnsi="Times New Roman" w:cs="Times New Roman" w:eastAsia="Times New Roman" w:hint="default"/>
                <w:sz w:val="18"/>
                <w:szCs w:val="18"/>
              </w:rPr>
              <w:t>86673929</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0311</w:t>
            </w:r>
            <w:r>
              <w:rPr>
                <w:rFonts w:ascii="宋体" w:hAnsi="宋体" w:cs="宋体" w:eastAsia="宋体" w:hint="default"/>
                <w:sz w:val="18"/>
                <w:szCs w:val="18"/>
              </w:rPr>
              <w:t>）</w:t>
            </w:r>
            <w:r>
              <w:rPr>
                <w:rFonts w:ascii="Times New Roman" w:hAnsi="Times New Roman" w:cs="Times New Roman" w:eastAsia="Times New Roman" w:hint="default"/>
                <w:sz w:val="18"/>
                <w:szCs w:val="18"/>
              </w:rPr>
              <w:t>86673929</w:t>
            </w:r>
          </w:p>
        </w:tc>
      </w:tr>
      <w:tr>
        <w:trPr>
          <w:trHeight w:val="401" w:hRule="exact"/>
        </w:trPr>
        <w:tc>
          <w:tcPr>
            <w:tcW w:w="3180"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89"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1">
              <w:r>
                <w:rPr>
                  <w:rFonts w:ascii="Times New Roman"/>
                  <w:sz w:val="18"/>
                </w:rPr>
                <w:t>chijunp52@sohu.com</w:t>
              </w:r>
            </w:hyperlink>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ally0629@sohu.com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982"/>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8"/>
        <w:gridCol w:w="5841"/>
      </w:tblGrid>
      <w:tr>
        <w:trPr>
          <w:trHeight w:val="403"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01"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石家庄常山纺织股份有限公司董事会办公室</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982"/>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5"/>
        <w:gridCol w:w="1592"/>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2"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49"/>
              <w:ind w:left="22" w:right="119"/>
              <w:jc w:val="left"/>
              <w:rPr>
                <w:rFonts w:ascii="宋体" w:hAnsi="宋体" w:cs="宋体" w:eastAsia="宋体" w:hint="default"/>
                <w:sz w:val="18"/>
                <w:szCs w:val="18"/>
              </w:rPr>
            </w:pPr>
            <w:r>
              <w:rPr>
                <w:rFonts w:ascii="宋体" w:hAnsi="宋体" w:cs="宋体" w:eastAsia="宋体" w:hint="default"/>
                <w:sz w:val="18"/>
                <w:szCs w:val="18"/>
              </w:rPr>
              <w:t>河北省石家庄市和 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 </w:t>
            </w:r>
            <w:r>
              <w:rPr>
                <w:rFonts w:ascii="宋体" w:hAnsi="宋体" w:cs="宋体" w:eastAsia="宋体" w:hint="default"/>
                <w:sz w:val="18"/>
                <w:szCs w:val="18"/>
              </w:rPr>
              <w:t>号</w:t>
            </w:r>
          </w:p>
        </w:tc>
        <w:tc>
          <w:tcPr>
            <w:tcW w:w="1596"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1300001001133</w:t>
            </w:r>
          </w:p>
        </w:tc>
        <w:tc>
          <w:tcPr>
            <w:tcW w:w="159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130102700715920</w:t>
            </w:r>
          </w:p>
        </w:tc>
        <w:tc>
          <w:tcPr>
            <w:tcW w:w="159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130102700715920</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5" w:type="dxa"/>
            <w:vMerge/>
            <w:tcBorders>
              <w:left w:val="single" w:sz="9" w:space="0" w:color="D2D2D2"/>
              <w:right w:val="single" w:sz="4" w:space="0" w:color="000000"/>
            </w:tcBorders>
          </w:tcPr>
          <w:p>
            <w:pPr/>
          </w:p>
        </w:tc>
        <w:tc>
          <w:tcPr>
            <w:tcW w:w="1592" w:type="dxa"/>
            <w:vMerge/>
            <w:tcBorders>
              <w:left w:val="single" w:sz="4" w:space="0" w:color="000000"/>
              <w:right w:val="single" w:sz="4" w:space="0" w:color="000000"/>
            </w:tcBorders>
            <w:shd w:val="clear" w:color="auto" w:fill="C6ECCC"/>
          </w:tcPr>
          <w:p>
            <w:pPr/>
          </w:p>
        </w:tc>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shd w:val="clear" w:color="auto" w:fill="C6ECCC"/>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9" w:space="0" w:color="D2D2D2"/>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shd w:val="clear" w:color="auto" w:fill="C6ECCC"/>
          </w:tcPr>
          <w:p>
            <w:pPr/>
          </w:p>
        </w:tc>
        <w:tc>
          <w:tcPr>
            <w:tcW w:w="1596" w:type="dxa"/>
            <w:vMerge/>
            <w:tcBorders>
              <w:left w:val="single" w:sz="4" w:space="0" w:color="000000"/>
              <w:bottom w:val="single" w:sz="4" w:space="0" w:color="000000"/>
              <w:right w:val="single" w:sz="4" w:space="0" w:color="000000"/>
            </w:tcBorders>
            <w:shd w:val="clear" w:color="auto" w:fill="C6ECCC"/>
          </w:tcPr>
          <w:p>
            <w:pPr/>
          </w:p>
        </w:tc>
        <w:tc>
          <w:tcPr>
            <w:tcW w:w="1594" w:type="dxa"/>
            <w:vMerge/>
            <w:tcBorders>
              <w:left w:val="single" w:sz="4" w:space="0" w:color="000000"/>
              <w:bottom w:val="single" w:sz="4" w:space="0" w:color="000000"/>
              <w:right w:val="single" w:sz="4" w:space="0" w:color="000000"/>
            </w:tcBorders>
            <w:shd w:val="clear" w:color="auto" w:fill="C6ECCC"/>
          </w:tcPr>
          <w:p>
            <w:pPr/>
          </w:p>
        </w:tc>
        <w:tc>
          <w:tcPr>
            <w:tcW w:w="1594" w:type="dxa"/>
            <w:vMerge/>
            <w:tcBorders>
              <w:left w:val="single" w:sz="4" w:space="0" w:color="000000"/>
              <w:bottom w:val="single" w:sz="4" w:space="0" w:color="000000"/>
              <w:right w:val="single" w:sz="4" w:space="0" w:color="000000"/>
            </w:tcBorders>
            <w:shd w:val="clear" w:color="auto" w:fill="C6ECCC"/>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2" w:type="dxa"/>
            <w:vMerge w:val="restart"/>
            <w:tcBorders>
              <w:top w:val="single" w:sz="4" w:space="0" w:color="000000"/>
              <w:left w:val="single" w:sz="4" w:space="0" w:color="000000"/>
              <w:right w:val="single" w:sz="4" w:space="0" w:color="000000"/>
            </w:tcBorders>
            <w:shd w:val="clear" w:color="auto" w:fill="C6ECCC"/>
          </w:tcPr>
          <w:p>
            <w:pPr>
              <w:pStyle w:val="TableParagraph"/>
              <w:spacing w:line="314" w:lineRule="auto" w:before="49"/>
              <w:ind w:left="22" w:right="119"/>
              <w:jc w:val="left"/>
              <w:rPr>
                <w:rFonts w:ascii="宋体" w:hAnsi="宋体" w:cs="宋体" w:eastAsia="宋体" w:hint="default"/>
                <w:sz w:val="18"/>
                <w:szCs w:val="18"/>
              </w:rPr>
            </w:pPr>
            <w:r>
              <w:rPr>
                <w:rFonts w:ascii="宋体" w:hAnsi="宋体" w:cs="宋体" w:eastAsia="宋体" w:hint="default"/>
                <w:sz w:val="18"/>
                <w:szCs w:val="18"/>
              </w:rPr>
              <w:t>河北省石家庄市和 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 </w:t>
            </w:r>
            <w:r>
              <w:rPr>
                <w:rFonts w:ascii="宋体" w:hAnsi="宋体" w:cs="宋体" w:eastAsia="宋体" w:hint="default"/>
                <w:sz w:val="18"/>
                <w:szCs w:val="18"/>
              </w:rPr>
              <w:t>号</w:t>
            </w:r>
          </w:p>
        </w:tc>
        <w:tc>
          <w:tcPr>
            <w:tcW w:w="1596"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130000000009920</w:t>
            </w:r>
          </w:p>
        </w:tc>
        <w:tc>
          <w:tcPr>
            <w:tcW w:w="159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130102700715920</w:t>
            </w:r>
          </w:p>
        </w:tc>
        <w:tc>
          <w:tcPr>
            <w:tcW w:w="159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70071592-0</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5" w:type="dxa"/>
            <w:vMerge/>
            <w:tcBorders>
              <w:left w:val="single" w:sz="9" w:space="0" w:color="D2D2D2"/>
              <w:right w:val="single" w:sz="4" w:space="0" w:color="000000"/>
            </w:tcBorders>
          </w:tcPr>
          <w:p>
            <w:pPr/>
          </w:p>
        </w:tc>
        <w:tc>
          <w:tcPr>
            <w:tcW w:w="1592" w:type="dxa"/>
            <w:vMerge/>
            <w:tcBorders>
              <w:left w:val="single" w:sz="4" w:space="0" w:color="000000"/>
              <w:right w:val="single" w:sz="4" w:space="0" w:color="000000"/>
            </w:tcBorders>
            <w:shd w:val="clear" w:color="auto" w:fill="C6ECCC"/>
          </w:tcPr>
          <w:p>
            <w:pPr/>
          </w:p>
        </w:tc>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shd w:val="clear" w:color="auto" w:fill="C6ECCC"/>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9" w:space="0" w:color="D2D2D2"/>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shd w:val="clear" w:color="auto" w:fill="C6ECCC"/>
          </w:tcPr>
          <w:p>
            <w:pPr/>
          </w:p>
        </w:tc>
        <w:tc>
          <w:tcPr>
            <w:tcW w:w="1596" w:type="dxa"/>
            <w:vMerge/>
            <w:tcBorders>
              <w:left w:val="single" w:sz="4" w:space="0" w:color="000000"/>
              <w:bottom w:val="single" w:sz="4" w:space="0" w:color="000000"/>
              <w:right w:val="single" w:sz="4" w:space="0" w:color="000000"/>
            </w:tcBorders>
            <w:shd w:val="clear" w:color="auto" w:fill="C6ECCC"/>
          </w:tcPr>
          <w:p>
            <w:pPr/>
          </w:p>
        </w:tc>
        <w:tc>
          <w:tcPr>
            <w:tcW w:w="1594" w:type="dxa"/>
            <w:vMerge/>
            <w:tcBorders>
              <w:left w:val="single" w:sz="4" w:space="0" w:color="000000"/>
              <w:bottom w:val="single" w:sz="4" w:space="0" w:color="000000"/>
              <w:right w:val="single" w:sz="4" w:space="0" w:color="000000"/>
            </w:tcBorders>
            <w:shd w:val="clear" w:color="auto" w:fill="C6ECCC"/>
          </w:tcPr>
          <w:p>
            <w:pPr/>
          </w:p>
        </w:tc>
        <w:tc>
          <w:tcPr>
            <w:tcW w:w="1594" w:type="dxa"/>
            <w:vMerge/>
            <w:tcBorders>
              <w:left w:val="single" w:sz="4" w:space="0" w:color="000000"/>
              <w:bottom w:val="single" w:sz="4" w:space="0" w:color="000000"/>
              <w:right w:val="single" w:sz="4" w:space="0" w:color="000000"/>
            </w:tcBorders>
            <w:shd w:val="clear" w:color="auto" w:fill="C6ECCC"/>
          </w:tcPr>
          <w:p>
            <w:pPr/>
          </w:p>
        </w:tc>
      </w:tr>
      <w:tr>
        <w:trPr>
          <w:trHeight w:val="715" w:hRule="exact"/>
        </w:trPr>
        <w:tc>
          <w:tcPr>
            <w:tcW w:w="31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982"/>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公司聘请的会计师事务所</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3"/>
        <w:gridCol w:w="6907"/>
      </w:tblGrid>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中兴财光华会计师事务所有限责任公司</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石家庄长安区广安街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 </w:t>
            </w:r>
            <w:r>
              <w:rPr>
                <w:rFonts w:ascii="宋体" w:hAnsi="宋体" w:cs="宋体" w:eastAsia="宋体" w:hint="default"/>
                <w:sz w:val="18"/>
                <w:szCs w:val="18"/>
              </w:rPr>
              <w:t>号安侨商务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楼</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姚庚春、王飞</w:t>
            </w:r>
          </w:p>
        </w:tc>
      </w:tr>
    </w:tbl>
    <w:p>
      <w:pPr>
        <w:pStyle w:val="BodyText"/>
        <w:spacing w:line="240" w:lineRule="auto" w:before="49"/>
        <w:ind w:right="982"/>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2"/>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982"/>
        <w:jc w:val="left"/>
        <w:rPr>
          <w:b w:val="0"/>
          <w:bCs w:val="0"/>
        </w:rPr>
      </w:pPr>
      <w:bookmarkStart w:name="_TOC_250008"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82"/>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公司是否因会计政策变更及会计差错更正等追溯调整或重述以前年度会计数据</w:t>
      </w:r>
    </w:p>
    <w:p>
      <w:pPr>
        <w:pStyle w:val="BodyText"/>
        <w:spacing w:line="240" w:lineRule="auto" w:before="117"/>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5,022,514,228.58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4,704,883,647.70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3,700,806,440.83</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11,763,142.83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57,284,042.20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-79.47%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54,614,304.40</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-88,741,031.69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-30,110,500.10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45,610,517.34</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-121,172,154.96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-179,733,337.38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42,993,210.97</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0.08</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0.08</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5,716,866,936.80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5,291,113,612.44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4,742,241,285.22</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3"/>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6"/>
                <w:sz w:val="18"/>
                <w:szCs w:val="18"/>
              </w:rPr>
              <w:t>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2,427,040,859.29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2,414,174,425.43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2,372,314,104.41</w:t>
            </w:r>
          </w:p>
        </w:tc>
      </w:tr>
    </w:tbl>
    <w:p>
      <w:pPr>
        <w:spacing w:line="240" w:lineRule="auto" w:before="1"/>
        <w:rPr>
          <w:rFonts w:ascii="宋体" w:hAnsi="宋体" w:cs="宋体" w:eastAsia="宋体" w:hint="default"/>
          <w:sz w:val="18"/>
          <w:szCs w:val="18"/>
        </w:rPr>
      </w:pPr>
    </w:p>
    <w:p>
      <w:pPr>
        <w:pStyle w:val="Heading2"/>
        <w:spacing w:line="240" w:lineRule="auto" w:before="26"/>
        <w:ind w:right="982"/>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3"/>
        <w:gridCol w:w="1741"/>
        <w:gridCol w:w="2004"/>
        <w:gridCol w:w="1769"/>
        <w:gridCol w:w="1771"/>
      </w:tblGrid>
      <w:tr>
        <w:trPr>
          <w:trHeight w:val="207" w:hRule="exact"/>
        </w:trPr>
        <w:tc>
          <w:tcPr>
            <w:tcW w:w="2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3"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73"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72" w:right="0"/>
              <w:jc w:val="left"/>
              <w:rPr>
                <w:rFonts w:ascii="Times New Roman" w:hAnsi="Times New Roman" w:cs="Times New Roman" w:eastAsia="Times New Roman" w:hint="default"/>
                <w:sz w:val="18"/>
                <w:szCs w:val="18"/>
              </w:rPr>
            </w:pPr>
            <w:r>
              <w:rPr>
                <w:rFonts w:ascii="Times New Roman"/>
                <w:sz w:val="18"/>
              </w:rPr>
              <w:t>11,763,142.83</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57,284,042.20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2,427,040,859.29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2,414,174,425.43</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after="0" w:line="240" w:lineRule="auto"/>
        <w:jc w:val="right"/>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73"/>
        <w:gridCol w:w="1741"/>
        <w:gridCol w:w="2004"/>
        <w:gridCol w:w="1769"/>
        <w:gridCol w:w="1771"/>
      </w:tblGrid>
      <w:tr>
        <w:trPr>
          <w:trHeight w:val="206" w:hRule="exact"/>
        </w:trPr>
        <w:tc>
          <w:tcPr>
            <w:tcW w:w="2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3"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73"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72" w:right="0"/>
              <w:jc w:val="left"/>
              <w:rPr>
                <w:rFonts w:ascii="Times New Roman" w:hAnsi="Times New Roman" w:cs="Times New Roman" w:eastAsia="Times New Roman" w:hint="default"/>
                <w:sz w:val="18"/>
                <w:szCs w:val="18"/>
              </w:rPr>
            </w:pPr>
            <w:r>
              <w:rPr>
                <w:rFonts w:ascii="Times New Roman"/>
                <w:sz w:val="18"/>
              </w:rPr>
              <w:t>11,763,142.83</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57,284,042.20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2,427,040,859.29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2,414,174,425.43</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982"/>
        <w:jc w:val="left"/>
        <w:rPr>
          <w:b w:val="0"/>
          <w:bCs w:val="0"/>
        </w:rPr>
      </w:pPr>
      <w:r>
        <w:rPr/>
        <w:t>三、非经常性损益项目及金额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85"/>
        <w:gridCol w:w="1532"/>
        <w:gridCol w:w="1520"/>
        <w:gridCol w:w="1523"/>
        <w:gridCol w:w="1710"/>
      </w:tblGrid>
      <w:tr>
        <w:trPr>
          <w:trHeight w:val="401"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51,764,239.60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71,237,065.11</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1,687,587.17</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其中：土地房屋征收 补偿</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46,281,448.85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tc>
      </w:tr>
      <w:tr>
        <w:trPr>
          <w:trHeight w:val="161" w:hRule="exact"/>
        </w:trPr>
        <w:tc>
          <w:tcPr>
            <w:tcW w:w="3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84,537,230.95</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16,751,759.55</w:t>
            </w:r>
          </w:p>
        </w:tc>
        <w:tc>
          <w:tcPr>
            <w:tcW w:w="15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6,370,794.43</w:t>
            </w:r>
          </w:p>
        </w:tc>
        <w:tc>
          <w:tcPr>
            <w:tcW w:w="1710"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其中：政府搬迁补助</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48,519,781.79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元、融</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资利息补助资金</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22,820,000.00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015" w:hRule="exact"/>
        </w:trPr>
        <w:tc>
          <w:tcPr>
            <w:tcW w:w="3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3"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shd w:val="clear" w:color="auto" w:fill="C6ECCC"/>
          </w:tcPr>
          <w:p>
            <w:pPr/>
          </w:p>
        </w:tc>
      </w:tr>
      <w:tr>
        <w:trPr>
          <w:trHeight w:val="161" w:hRule="exact"/>
        </w:trPr>
        <w:tc>
          <w:tcPr>
            <w:tcW w:w="3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3"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shd w:val="clear" w:color="auto" w:fill="C6ECCC"/>
          </w:tcPr>
          <w:p>
            <w:pPr/>
          </w:p>
        </w:tc>
      </w:tr>
      <w:tr>
        <w:trPr>
          <w:trHeight w:val="403"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职工安置补偿金</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-38,937,932.45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649"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157,325.00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-157,325.00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477,175.00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3,033,333.33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2,424,657.53</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1,531,445.09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106,925.42</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858,988.73</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1,581,467.00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543,882.78</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2,787,190.64</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28,225.16</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100,504,174.52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87,394,542.30</w:t>
            </w:r>
          </w:p>
        </w:tc>
        <w:tc>
          <w:tcPr>
            <w:tcW w:w="152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9,003,787.06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982"/>
        <w:jc w:val="left"/>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2"/>
        <w:jc w:val="left"/>
        <w:rPr>
          <w:b w:val="0"/>
          <w:bCs w:val="0"/>
        </w:rPr>
      </w:pP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报告期内，出口市场持续低迷且订单大量向低成本国家转移，纺织企业纷纷转向内销市场，导致国内市场竞争加剧；国</w:t>
      </w:r>
      <w:r>
        <w:rPr/>
        <w:t> </w:t>
      </w:r>
      <w:r>
        <w:rPr>
          <w:spacing w:val="-2"/>
        </w:rPr>
        <w:t>内经济增长减速，需求减少对纺织企业造成了很大影响。特别是国内外棉花价差不断扩大，国内生产用棉成本居高不下，能</w:t>
      </w:r>
      <w:r>
        <w:rPr>
          <w:spacing w:val="-63"/>
        </w:rPr>
        <w:t> </w:t>
      </w:r>
      <w:r>
        <w:rPr>
          <w:spacing w:val="-63"/>
        </w:rPr>
      </w:r>
      <w:r>
        <w:rPr/>
        <w:t>源、用工等成本不断攀升使纺织企业的利润被挤压，效益大幅下滑，停产、限产现象普遍，公司主业也出现了较大亏损。</w:t>
      </w:r>
    </w:p>
    <w:p>
      <w:pPr>
        <w:pStyle w:val="BodyText"/>
        <w:spacing w:line="316" w:lineRule="auto" w:before="19"/>
        <w:ind w:right="1132" w:firstLine="360"/>
        <w:jc w:val="both"/>
      </w:pPr>
      <w:r>
        <w:rPr>
          <w:spacing w:val="-2"/>
        </w:rPr>
        <w:t>公司根据年初确定的全年经营计划，以品种调改和新品种开发为重点，通过开展了劳动技能竞赛、技术攻关等活动，努</w:t>
      </w:r>
      <w:r>
        <w:rPr/>
        <w:t> </w:t>
      </w:r>
      <w:r>
        <w:rPr>
          <w:spacing w:val="-2"/>
        </w:rPr>
        <w:t>力保持了生产和质量的稳定；通过加强用工管理、深度挖潜降耗，降低了成本费用；通过加强产品销售、做大贸易，实现了</w:t>
      </w:r>
      <w:r>
        <w:rPr>
          <w:spacing w:val="-68"/>
        </w:rPr>
        <w:t> </w:t>
      </w:r>
      <w:r>
        <w:rPr>
          <w:spacing w:val="-68"/>
        </w:rPr>
      </w:r>
      <w:r>
        <w:rPr/>
        <w:t>营业收入的稳定；通过房屋征收、争取政策支持，确保了盈利。</w:t>
      </w:r>
    </w:p>
    <w:p>
      <w:pPr>
        <w:pStyle w:val="BodyText"/>
        <w:spacing w:line="300" w:lineRule="auto" w:before="19"/>
        <w:ind w:right="982" w:firstLine="360"/>
        <w:jc w:val="left"/>
      </w:pPr>
      <w:r>
        <w:rPr>
          <w:spacing w:val="-5"/>
        </w:rPr>
        <w:t>报告期内，公司营业收入</w:t>
      </w:r>
      <w:r>
        <w:rPr>
          <w:rFonts w:ascii="Times New Roman" w:hAnsi="Times New Roman" w:cs="Times New Roman" w:eastAsia="Times New Roman" w:hint="default"/>
          <w:spacing w:val="-5"/>
        </w:rPr>
        <w:t>502,251.42</w:t>
      </w:r>
      <w:r>
        <w:rPr>
          <w:spacing w:val="-5"/>
        </w:rPr>
        <w:t>万元，同比增长</w:t>
      </w:r>
      <w:r>
        <w:rPr>
          <w:rFonts w:ascii="Times New Roman" w:hAnsi="Times New Roman" w:cs="Times New Roman" w:eastAsia="Times New Roman" w:hint="default"/>
          <w:spacing w:val="-5"/>
        </w:rPr>
        <w:t>6.75%</w:t>
      </w:r>
      <w:r>
        <w:rPr>
          <w:spacing w:val="-5"/>
        </w:rPr>
        <w:t>；营业成本</w:t>
      </w:r>
      <w:r>
        <w:rPr>
          <w:rFonts w:ascii="Times New Roman" w:hAnsi="Times New Roman" w:cs="Times New Roman" w:eastAsia="Times New Roman" w:hint="default"/>
          <w:spacing w:val="-5"/>
        </w:rPr>
        <w:t>476,639.94</w:t>
      </w:r>
      <w:r>
        <w:rPr>
          <w:spacing w:val="-5"/>
        </w:rPr>
        <w:t>万元，同比增长</w:t>
      </w:r>
      <w:r>
        <w:rPr>
          <w:rFonts w:ascii="Times New Roman" w:hAnsi="Times New Roman" w:cs="Times New Roman" w:eastAsia="Times New Roman" w:hint="default"/>
          <w:spacing w:val="-5"/>
        </w:rPr>
        <w:t>7.13%</w:t>
      </w:r>
      <w:r>
        <w:rPr>
          <w:spacing w:val="-5"/>
        </w:rPr>
        <w:t>。营业利润</w:t>
      </w:r>
      <w:r>
        <w:rPr>
          <w:rFonts w:ascii="Times New Roman" w:hAnsi="Times New Roman" w:cs="Times New Roman" w:eastAsia="Times New Roman" w:hint="default"/>
          <w:spacing w:val="-5"/>
        </w:rPr>
        <w:t>-12,192.73</w:t>
      </w:r>
      <w:r>
        <w:rPr>
          <w:rFonts w:ascii="Times New Roman" w:hAnsi="Times New Roman" w:cs="Times New Roman" w:eastAsia="Times New Roman" w:hint="default"/>
          <w:spacing w:val="1"/>
        </w:rPr>
        <w:t> </w:t>
      </w:r>
      <w:r>
        <w:rPr/>
        <w:t>万元，同比减少</w:t>
      </w:r>
      <w:r>
        <w:rPr>
          <w:rFonts w:ascii="宋体" w:hAnsi="宋体" w:cs="宋体" w:eastAsia="宋体" w:hint="default"/>
        </w:rPr>
        <w:t>352.40</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1,176.31</w:t>
      </w:r>
      <w:r>
        <w:rPr/>
        <w:t>万元，同比减少</w:t>
      </w:r>
      <w:r>
        <w:rPr>
          <w:rFonts w:ascii="Times New Roman" w:hAnsi="Times New Roman" w:cs="Times New Roman" w:eastAsia="Times New Roman" w:hint="default"/>
        </w:rPr>
        <w:t>79.47%</w:t>
      </w:r>
      <w:r>
        <w:rPr/>
        <w:t>；基本每股收益为</w:t>
      </w:r>
      <w:r>
        <w:rPr>
          <w:rFonts w:ascii="Times New Roman" w:hAnsi="Times New Roman" w:cs="Times New Roman" w:eastAsia="Times New Roman" w:hint="default"/>
        </w:rPr>
        <w:t>0.02</w:t>
      </w:r>
      <w:r>
        <w:rPr/>
        <w:t>元，同比减 少</w:t>
      </w:r>
      <w:r>
        <w:rPr>
          <w:rFonts w:ascii="Times New Roman" w:hAnsi="Times New Roman" w:cs="Times New Roman" w:eastAsia="Times New Roman" w:hint="default"/>
        </w:rPr>
        <w:t>75.00%</w:t>
      </w:r>
      <w:r>
        <w:rPr/>
        <w:t>。</w:t>
      </w:r>
    </w:p>
    <w:p>
      <w:pPr>
        <w:spacing w:line="240" w:lineRule="auto" w:before="5"/>
        <w:rPr>
          <w:rFonts w:ascii="宋体" w:hAnsi="宋体" w:cs="宋体" w:eastAsia="宋体" w:hint="default"/>
          <w:sz w:val="20"/>
          <w:szCs w:val="20"/>
        </w:rPr>
      </w:pPr>
    </w:p>
    <w:p>
      <w:pPr>
        <w:pStyle w:val="Heading2"/>
        <w:spacing w:line="240" w:lineRule="auto"/>
        <w:ind w:right="982"/>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pStyle w:val="BodyText"/>
        <w:spacing w:line="352" w:lineRule="auto"/>
        <w:ind w:right="2474"/>
        <w:jc w:val="left"/>
      </w:pPr>
      <w:r>
        <w:rPr/>
        <w:t>公司主营业务范围：纯棉纱布和涤棉纱布的生产销售；自产产品和技术的进出口业务；棉花批发、零售。 公司回顾总结前期披露的发展战略和经营计划在报告期内的进展情况 报告期内，公司按照</w:t>
      </w:r>
      <w:r>
        <w:rPr>
          <w:rFonts w:ascii="Times New Roman" w:hAnsi="Times New Roman" w:cs="Times New Roman" w:eastAsia="Times New Roman" w:hint="default"/>
        </w:rPr>
        <w:t>2011</w:t>
      </w:r>
      <w:r>
        <w:rPr/>
        <w:t>年度报告披露的</w:t>
      </w:r>
      <w:r>
        <w:rPr>
          <w:rFonts w:ascii="Times New Roman" w:hAnsi="Times New Roman" w:cs="Times New Roman" w:eastAsia="Times New Roman" w:hint="default"/>
        </w:rPr>
        <w:t>2012</w:t>
      </w:r>
      <w:r>
        <w:rPr/>
        <w:t>年度经营计划有序推进各项工作。 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240" w:lineRule="auto" w:before="1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350" w:lineRule="auto"/>
        <w:ind w:right="3539"/>
        <w:jc w:val="left"/>
      </w:pPr>
      <w:r>
        <w:rPr/>
        <w:t>说明 报告期内，公司营业收入</w:t>
      </w:r>
      <w:r>
        <w:rPr>
          <w:rFonts w:ascii="Times New Roman" w:hAnsi="Times New Roman" w:cs="Times New Roman" w:eastAsia="Times New Roman" w:hint="default"/>
        </w:rPr>
        <w:t>502,251.42</w:t>
      </w:r>
      <w:r>
        <w:rPr/>
        <w:t>万元，同比增长</w:t>
      </w:r>
      <w:r>
        <w:rPr>
          <w:rFonts w:ascii="Times New Roman" w:hAnsi="Times New Roman" w:cs="Times New Roman" w:eastAsia="Times New Roman" w:hint="default"/>
        </w:rPr>
        <w:t>6.75%</w:t>
      </w:r>
      <w:r>
        <w:rPr/>
        <w:t>，主要系公司贸易收入增加所致。 公司实物销售收入是否大于劳务收入</w:t>
      </w:r>
    </w:p>
    <w:p>
      <w:pPr>
        <w:pStyle w:val="BodyText"/>
        <w:spacing w:line="240" w:lineRule="auto" w:before="32"/>
        <w:ind w:right="982"/>
        <w:jc w:val="left"/>
      </w:pPr>
      <w:r>
        <w:rPr/>
        <w:t>√ 是 □</w:t>
      </w:r>
      <w:r>
        <w:rPr>
          <w:spacing w:val="3"/>
        </w:rPr>
        <w:t> </w:t>
      </w:r>
      <w:r>
        <w:rPr/>
        <w:t>否</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26"/>
        <w:gridCol w:w="1891"/>
        <w:gridCol w:w="1926"/>
        <w:gridCol w:w="1913"/>
        <w:gridCol w:w="1916"/>
      </w:tblGrid>
      <w:tr>
        <w:trPr>
          <w:trHeight w:val="403" w:hRule="exact"/>
        </w:trPr>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1926" w:type="dxa"/>
            <w:vMerge w:val="restart"/>
            <w:tcBorders>
              <w:top w:val="single" w:sz="4" w:space="0" w:color="000000"/>
              <w:left w:val="single" w:sz="4" w:space="0" w:color="000000"/>
              <w:right w:val="single" w:sz="10" w:space="0" w:color="D2D2D2"/>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坯布（万米）</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-12.11%</w:t>
            </w:r>
          </w:p>
        </w:tc>
      </w:tr>
      <w:tr>
        <w:trPr>
          <w:trHeight w:val="403" w:hRule="exact"/>
        </w:trPr>
        <w:tc>
          <w:tcPr>
            <w:tcW w:w="1926" w:type="dxa"/>
            <w:vMerge/>
            <w:tcBorders>
              <w:left w:val="single" w:sz="4" w:space="0" w:color="000000"/>
              <w:right w:val="single" w:sz="10" w:space="0" w:color="D2D2D2"/>
            </w:tcBorders>
            <w:shd w:val="clear" w:color="auto" w:fill="C6ECCC"/>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27,635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-19.43%</w:t>
            </w:r>
          </w:p>
        </w:tc>
      </w:tr>
      <w:tr>
        <w:trPr>
          <w:trHeight w:val="401" w:hRule="exact"/>
        </w:trPr>
        <w:tc>
          <w:tcPr>
            <w:tcW w:w="1926" w:type="dxa"/>
            <w:vMerge/>
            <w:tcBorders>
              <w:left w:val="single" w:sz="4" w:space="0" w:color="000000"/>
              <w:bottom w:val="single" w:sz="4" w:space="0" w:color="000000"/>
              <w:right w:val="single" w:sz="10" w:space="0" w:color="D2D2D2"/>
            </w:tcBorders>
            <w:shd w:val="clear" w:color="auto" w:fill="C6ECCC"/>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w:t>
            </w:r>
          </w:p>
        </w:tc>
      </w:tr>
      <w:tr>
        <w:trPr>
          <w:trHeight w:val="403" w:hRule="exact"/>
        </w:trPr>
        <w:tc>
          <w:tcPr>
            <w:tcW w:w="1926" w:type="dxa"/>
            <w:vMerge w:val="restart"/>
            <w:tcBorders>
              <w:top w:val="single" w:sz="4" w:space="0" w:color="000000"/>
              <w:left w:val="single" w:sz="4" w:space="0" w:color="000000"/>
              <w:right w:val="single" w:sz="10" w:space="0" w:color="D2D2D2"/>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售纱（吨）</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w:t>
            </w:r>
          </w:p>
        </w:tc>
      </w:tr>
      <w:tr>
        <w:trPr>
          <w:trHeight w:val="401" w:hRule="exact"/>
        </w:trPr>
        <w:tc>
          <w:tcPr>
            <w:tcW w:w="1926" w:type="dxa"/>
            <w:vMerge/>
            <w:tcBorders>
              <w:left w:val="single" w:sz="4" w:space="0" w:color="000000"/>
              <w:right w:val="single" w:sz="10" w:space="0" w:color="D2D2D2"/>
            </w:tcBorders>
            <w:shd w:val="clear" w:color="auto" w:fill="C6ECCC"/>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18,618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w:t>
            </w:r>
          </w:p>
        </w:tc>
      </w:tr>
      <w:tr>
        <w:trPr>
          <w:trHeight w:val="403" w:hRule="exact"/>
        </w:trPr>
        <w:tc>
          <w:tcPr>
            <w:tcW w:w="1926" w:type="dxa"/>
            <w:vMerge/>
            <w:tcBorders>
              <w:left w:val="single" w:sz="4" w:space="0" w:color="000000"/>
              <w:bottom w:val="single" w:sz="4" w:space="0" w:color="000000"/>
              <w:right w:val="single" w:sz="10" w:space="0" w:color="D2D2D2"/>
            </w:tcBorders>
            <w:shd w:val="clear" w:color="auto" w:fill="C6ECCC"/>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60.83%</w:t>
            </w:r>
          </w:p>
        </w:tc>
      </w:tr>
    </w:tbl>
    <w:p>
      <w:pPr>
        <w:pStyle w:val="BodyText"/>
        <w:spacing w:line="240" w:lineRule="auto" w:before="49"/>
        <w:ind w:right="982"/>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982"/>
        <w:jc w:val="left"/>
      </w:pPr>
      <w:r>
        <w:rPr/>
        <w:t>√ 适用 □</w:t>
      </w:r>
      <w:r>
        <w:rPr>
          <w:spacing w:val="3"/>
        </w:rPr>
        <w:t> </w:t>
      </w:r>
      <w:r>
        <w:rPr/>
        <w:t>不适用</w:t>
      </w:r>
    </w:p>
    <w:p>
      <w:pPr>
        <w:spacing w:after="0" w:line="240" w:lineRule="auto"/>
        <w:jc w:val="left"/>
        <w:sectPr>
          <w:pgSz w:w="11910" w:h="16840"/>
          <w:pgMar w:header="745" w:footer="1340" w:top="1060" w:bottom="1540" w:left="980" w:right="0"/>
        </w:sectPr>
      </w:pPr>
    </w:p>
    <w:p>
      <w:pPr>
        <w:spacing w:line="240" w:lineRule="auto" w:before="9"/>
        <w:rPr>
          <w:rFonts w:ascii="宋体" w:hAnsi="宋体" w:cs="宋体" w:eastAsia="宋体" w:hint="default"/>
          <w:sz w:val="25"/>
          <w:szCs w:val="25"/>
        </w:rPr>
      </w:pPr>
      <w:r>
        <w:rPr/>
        <w:pict>
          <v:group style="position:absolute;margin-left:460.320007pt;margin-top:764.919983pt;width:135pt;height:77pt;mso-position-horizontal-relative:page;mso-position-vertical-relative:page;z-index:-950104" coordorigin="9206,15298" coordsize="2700,1540">
            <v:shape style="position:absolute;left:9206;top:15298;width:2700;height:1540" type="#_x0000_t75" stroked="false">
              <v:imagedata r:id="rId16" o:title=""/>
            </v:shape>
            <v:shape style="position:absolute;left:10600;top:15659;width:16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xbxContent>
              </v:textbox>
              <w10:wrap type="none"/>
            </v:shape>
            <w10:wrap type="none"/>
          </v:group>
        </w:pict>
      </w:r>
    </w:p>
    <w:p>
      <w:pPr>
        <w:pStyle w:val="BodyText"/>
        <w:spacing w:line="240" w:lineRule="auto" w:before="44"/>
        <w:ind w:right="982"/>
        <w:jc w:val="left"/>
      </w:pPr>
      <w:r>
        <w:rPr/>
        <w:t>售纱</w:t>
      </w:r>
      <w:r>
        <w:rPr>
          <w:rFonts w:ascii="Times New Roman" w:hAnsi="Times New Roman" w:cs="Times New Roman" w:eastAsia="Times New Roman" w:hint="default"/>
        </w:rPr>
        <w:t>2012</w:t>
      </w:r>
      <w:r>
        <w:rPr/>
        <w:t>年库存量</w:t>
      </w:r>
      <w:r>
        <w:rPr>
          <w:rFonts w:ascii="Times New Roman" w:hAnsi="Times New Roman" w:cs="Times New Roman" w:eastAsia="Times New Roman" w:hint="default"/>
        </w:rPr>
        <w:t>3,815</w:t>
      </w:r>
      <w:r>
        <w:rPr/>
        <w:t>吨，同比增长</w:t>
      </w:r>
      <w:r>
        <w:rPr>
          <w:rFonts w:ascii="Times New Roman" w:hAnsi="Times New Roman" w:cs="Times New Roman" w:eastAsia="Times New Roman" w:hint="default"/>
        </w:rPr>
        <w:t>60.83%</w:t>
      </w:r>
      <w:r>
        <w:rPr/>
        <w:t>，主要系为满足</w:t>
      </w:r>
      <w:r>
        <w:rPr>
          <w:rFonts w:ascii="Times New Roman" w:hAnsi="Times New Roman" w:cs="Times New Roman" w:eastAsia="Times New Roman" w:hint="default"/>
        </w:rPr>
        <w:t>2013</w:t>
      </w:r>
      <w:r>
        <w:rPr/>
        <w:t>年销售，储货量增加所致。</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982"/>
        <w:jc w:val="left"/>
      </w:pPr>
      <w:r>
        <w:rPr/>
        <w:t>公司重大的在手订单情况</w:t>
      </w:r>
    </w:p>
    <w:p>
      <w:pPr>
        <w:pStyle w:val="BodyText"/>
        <w:spacing w:line="360" w:lineRule="auto" w:before="115"/>
        <w:ind w:right="6434"/>
        <w:jc w:val="left"/>
      </w:pPr>
      <w:r>
        <w:rPr/>
        <w:t>□ 适用 √</w:t>
      </w:r>
      <w:r>
        <w:rPr>
          <w:spacing w:val="3"/>
        </w:rPr>
        <w:t> </w:t>
      </w:r>
      <w:r>
        <w:rPr/>
        <w:t>不适用</w:t>
      </w:r>
      <w:r>
        <w:rPr/>
        <w:t> 公司报告期内产品或服务发生重大变化或调整有关情况</w:t>
      </w:r>
    </w:p>
    <w:p>
      <w:pPr>
        <w:pStyle w:val="BodyText"/>
        <w:spacing w:line="360" w:lineRule="auto" w:before="25"/>
        <w:ind w:right="8954"/>
        <w:jc w:val="left"/>
      </w:pPr>
      <w:r>
        <w:rPr/>
        <w:t>□ 适用 √</w:t>
      </w:r>
      <w:r>
        <w:rPr>
          <w:spacing w:val="3"/>
        </w:rPr>
        <w:t> </w:t>
      </w:r>
      <w:r>
        <w:rPr/>
        <w:t>不适用</w:t>
      </w:r>
      <w:r>
        <w:rPr/>
        <w:t> 公司主要销售客户情况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1,444,442,538.80</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28.76%</w:t>
            </w:r>
          </w:p>
        </w:tc>
      </w:tr>
    </w:tbl>
    <w:p>
      <w:pPr>
        <w:pStyle w:val="BodyText"/>
        <w:spacing w:line="240" w:lineRule="auto" w:before="68"/>
        <w:ind w:right="982"/>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1"/>
        <w:ind w:right="982"/>
        <w:jc w:val="left"/>
      </w:pPr>
      <w:r>
        <w:rPr/>
        <w:t>√ 适用 □</w:t>
      </w:r>
      <w:r>
        <w:rPr>
          <w:spacing w:val="3"/>
        </w:rPr>
        <w:t> </w:t>
      </w:r>
      <w:r>
        <w:rPr/>
        <w:t>不适用</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80"/>
        <w:gridCol w:w="3300"/>
        <w:gridCol w:w="2333"/>
        <w:gridCol w:w="3145"/>
      </w:tblGrid>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00"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LPP</w:t>
            </w:r>
            <w:r>
              <w:rPr>
                <w:rFonts w:ascii="Times New Roman"/>
                <w:spacing w:val="-18"/>
                <w:sz w:val="18"/>
              </w:rPr>
              <w:t> </w:t>
            </w:r>
            <w:r>
              <w:rPr>
                <w:rFonts w:ascii="Times New Roman"/>
                <w:sz w:val="18"/>
              </w:rPr>
              <w:t>ZNTERNATZONAL</w:t>
            </w:r>
            <w:r>
              <w:rPr>
                <w:rFonts w:ascii="Times New Roman"/>
                <w:spacing w:val="-22"/>
                <w:sz w:val="18"/>
              </w:rPr>
              <w:t> </w:t>
            </w:r>
            <w:r>
              <w:rPr>
                <w:rFonts w:ascii="Times New Roman"/>
                <w:sz w:val="18"/>
              </w:rPr>
              <w:t>S.A</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326,352,915.70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w:t>
            </w: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00"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天津市纺织工业供销公司</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304,825,997.27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00"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际华三五四三针织服饰有限公司</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297,448,294.94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w:t>
            </w: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00"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LA HALLE</w:t>
            </w:r>
            <w:r>
              <w:rPr>
                <w:rFonts w:ascii="Times New Roman"/>
                <w:spacing w:val="-18"/>
                <w:sz w:val="18"/>
              </w:rPr>
              <w:t> </w:t>
            </w:r>
            <w:r>
              <w:rPr>
                <w:rFonts w:ascii="Times New Roman"/>
                <w:sz w:val="18"/>
              </w:rPr>
              <w:t>LIMTED</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258,418,347.29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00"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pacing w:val="-3"/>
                <w:sz w:val="18"/>
              </w:rPr>
              <w:t>G-STAR </w:t>
            </w:r>
            <w:r>
              <w:rPr>
                <w:rFonts w:ascii="Times New Roman"/>
                <w:sz w:val="18"/>
              </w:rPr>
              <w:t>INTERNATIONAL</w:t>
            </w:r>
            <w:r>
              <w:rPr>
                <w:rFonts w:ascii="Times New Roman"/>
                <w:spacing w:val="-31"/>
                <w:sz w:val="18"/>
              </w:rPr>
              <w:t> </w:t>
            </w:r>
            <w:r>
              <w:rPr>
                <w:rFonts w:ascii="Times New Roman"/>
                <w:sz w:val="18"/>
              </w:rPr>
              <w:t>LIMTED</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257,396,983.60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w:t>
            </w: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1,444,442,538.80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28.76%</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行业分类</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纺织服装</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3,484,005,430.95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3,084,713,014.40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3.77%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1,239,618,130.88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1,082,194,897.12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42,775,833.44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282,360,249.89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-5.46%</w:t>
            </w:r>
          </w:p>
        </w:tc>
      </w:tr>
    </w:tbl>
    <w:p>
      <w:pPr>
        <w:pStyle w:val="BodyText"/>
        <w:spacing w:line="240" w:lineRule="auto" w:before="49"/>
        <w:ind w:right="982"/>
        <w:jc w:val="left"/>
      </w:pPr>
      <w:r>
        <w:rPr/>
        <w:t>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1,620,251,491.64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2,013,529,273.16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纱</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734,599,877.25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497,601,103.06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1,129,154,062.06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573,582,638.18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10.80%</w:t>
            </w:r>
          </w:p>
        </w:tc>
      </w:tr>
    </w:tbl>
    <w:p>
      <w:pPr>
        <w:spacing w:after="0" w:line="240" w:lineRule="auto"/>
        <w:jc w:val="right"/>
        <w:rPr>
          <w:rFonts w:ascii="Times New Roman" w:hAnsi="Times New Roman" w:cs="Times New Roman" w:eastAsia="Times New Roman" w:hint="default"/>
          <w:sz w:val="18"/>
          <w:szCs w:val="18"/>
        </w:rPr>
        <w:sectPr>
          <w:headerReference w:type="default" r:id="rId14"/>
          <w:footerReference w:type="default" r:id="rId15"/>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58"/>
        <w:gridCol w:w="1379"/>
        <w:gridCol w:w="1366"/>
        <w:gridCol w:w="1368"/>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3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79"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1,239,618,130.88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1,082,194,897.12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79"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42,775,833.44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282,360,249.89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-5.46%</w:t>
            </w:r>
          </w:p>
        </w:tc>
      </w:tr>
    </w:tbl>
    <w:p>
      <w:pPr>
        <w:pStyle w:val="BodyText"/>
        <w:spacing w:line="357" w:lineRule="auto" w:before="49"/>
        <w:ind w:right="10394"/>
        <w:jc w:val="left"/>
      </w:pPr>
      <w:r>
        <w:rPr/>
        <w:t>说明 无</w:t>
      </w:r>
    </w:p>
    <w:p>
      <w:pPr>
        <w:pStyle w:val="BodyText"/>
        <w:spacing w:line="240" w:lineRule="auto" w:before="29"/>
        <w:ind w:right="982"/>
        <w:jc w:val="left"/>
      </w:pPr>
      <w:r>
        <w:rPr/>
        <w:t>公司主要供应商情况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1,848,067,481.91</w:t>
            </w:r>
          </w:p>
        </w:tc>
      </w:tr>
      <w:tr>
        <w:trPr>
          <w:trHeight w:val="403"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42.65%</w:t>
            </w:r>
          </w:p>
        </w:tc>
      </w:tr>
    </w:tbl>
    <w:p>
      <w:pPr>
        <w:pStyle w:val="BodyText"/>
        <w:spacing w:line="240" w:lineRule="auto" w:before="49"/>
        <w:ind w:right="982"/>
        <w:jc w:val="left"/>
      </w:pPr>
      <w:r>
        <w:rPr/>
        <w:pict>
          <v:shape style="position:absolute;margin-left:263.570007pt;margin-top:-20.158291pt;width:270.2pt;height:19.7pt;mso-position-horizontal-relative:page;mso-position-vertical-relative:paragraph;z-index:-950080"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71.010010pt;margin-top:-20.158291pt;width:262.75pt;height:19.7pt;mso-position-horizontal-relative:page;mso-position-vertical-relative:paragraph;z-index:-950056" coordorigin="5420,-403" coordsize="5255,394">
            <v:shape style="position:absolute;left:5420;top:-403;width:5255;height:394" coordorigin="5420,-403" coordsize="5255,394" path="m5420,-10l10675,-10,10675,-403,5420,-403,5420,-10xe" filled="true" fillcolor="#ffffff" stroked="false">
              <v:path arrowok="t"/>
              <v:fill type="solid"/>
            </v:shape>
            <w10:wrap type="none"/>
          </v:group>
        </w:pict>
      </w: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1"/>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68"/>
        <w:gridCol w:w="2333"/>
        <w:gridCol w:w="3145"/>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WIMEX VENTURES</w:t>
            </w:r>
            <w:r>
              <w:rPr>
                <w:rFonts w:ascii="Times New Roman"/>
                <w:spacing w:val="-10"/>
                <w:sz w:val="18"/>
              </w:rPr>
              <w:t> </w:t>
            </w:r>
            <w:r>
              <w:rPr>
                <w:rFonts w:ascii="Times New Roman"/>
                <w:sz w:val="18"/>
              </w:rPr>
              <w:t>LIMITED</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915,471,167.07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21.13%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天津市金泰来贸易有限公司</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483,692,237.98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北京莎菲尔儿童时装有限公司</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249,446,890.21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上海璃澳实业有限公司</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112,300,000.00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运城市空港华雄纺织有限公司</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87,157,186.65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1,848,067,481.91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42.65%</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982" w:firstLine="288"/>
        <w:jc w:val="left"/>
      </w:pPr>
      <w:r>
        <w:rPr/>
        <w:t>本报告期，公司销售费用</w:t>
      </w:r>
      <w:r>
        <w:rPr>
          <w:rFonts w:ascii="Times New Roman" w:hAnsi="Times New Roman" w:cs="Times New Roman" w:eastAsia="Times New Roman" w:hint="default"/>
        </w:rPr>
        <w:t>5,928.02</w:t>
      </w:r>
      <w:r>
        <w:rPr/>
        <w:t>万元，同比增加</w:t>
      </w:r>
      <w:r>
        <w:rPr>
          <w:rFonts w:ascii="Times New Roman" w:hAnsi="Times New Roman" w:cs="Times New Roman" w:eastAsia="Times New Roman" w:hint="default"/>
        </w:rPr>
        <w:t>3.44%</w:t>
      </w:r>
      <w:r>
        <w:rPr/>
        <w:t>；管理费用</w:t>
      </w:r>
      <w:r>
        <w:rPr>
          <w:rFonts w:ascii="Times New Roman" w:hAnsi="Times New Roman" w:cs="Times New Roman" w:eastAsia="Times New Roman" w:hint="default"/>
        </w:rPr>
        <w:t>17,505.96</w:t>
      </w:r>
      <w:r>
        <w:rPr/>
        <w:t>万元，同比增加</w:t>
      </w:r>
      <w:r>
        <w:rPr>
          <w:rFonts w:ascii="宋体" w:hAnsi="宋体" w:cs="宋体" w:eastAsia="宋体" w:hint="default"/>
        </w:rPr>
        <w:t>3</w:t>
      </w:r>
      <w:r>
        <w:rPr>
          <w:rFonts w:ascii="Times New Roman" w:hAnsi="Times New Roman" w:cs="Times New Roman" w:eastAsia="Times New Roman" w:hint="default"/>
        </w:rPr>
        <w:t>4.14%</w:t>
      </w:r>
      <w:r>
        <w:rPr/>
        <w:t>，主要原因系本报告</w:t>
      </w:r>
      <w:r>
        <w:rPr>
          <w:spacing w:val="-3"/>
        </w:rPr>
        <w:t> </w:t>
      </w:r>
      <w:r>
        <w:rPr>
          <w:spacing w:val="-1"/>
        </w:rPr>
        <w:t>期搬迁职工安置费增加所致；财务费用</w:t>
      </w:r>
      <w:r>
        <w:rPr>
          <w:rFonts w:ascii="Times New Roman" w:hAnsi="Times New Roman" w:cs="Times New Roman" w:eastAsia="Times New Roman" w:hint="default"/>
          <w:spacing w:val="-1"/>
        </w:rPr>
        <w:t>11,923.00</w:t>
      </w:r>
      <w:r>
        <w:rPr>
          <w:spacing w:val="-1"/>
        </w:rPr>
        <w:t>万元，同比增加</w:t>
      </w:r>
      <w:r>
        <w:rPr>
          <w:rFonts w:ascii="Times New Roman" w:hAnsi="Times New Roman" w:cs="Times New Roman" w:eastAsia="Times New Roman" w:hint="default"/>
          <w:spacing w:val="-1"/>
        </w:rPr>
        <w:t>49.22%</w:t>
      </w:r>
      <w:r>
        <w:rPr>
          <w:spacing w:val="-1"/>
        </w:rPr>
        <w:t>，主要原因系本报告期发行公司债券计提利息所致；</w:t>
      </w:r>
      <w:r>
        <w:rPr>
          <w:spacing w:val="-45"/>
        </w:rPr>
        <w:t> </w:t>
      </w:r>
      <w:r>
        <w:rPr>
          <w:spacing w:val="-45"/>
        </w:rPr>
      </w:r>
      <w:r>
        <w:rPr/>
        <w:t>所得税费用</w:t>
      </w:r>
      <w:r>
        <w:rPr>
          <w:rFonts w:ascii="Times New Roman" w:hAnsi="Times New Roman" w:cs="Times New Roman" w:eastAsia="Times New Roman" w:hint="default"/>
        </w:rPr>
        <w:t>420.53</w:t>
      </w:r>
      <w:r>
        <w:rPr/>
        <w:t>万元，同比减少</w:t>
      </w:r>
      <w:r>
        <w:rPr>
          <w:rFonts w:ascii="Times New Roman" w:hAnsi="Times New Roman" w:cs="Times New Roman" w:eastAsia="Times New Roman" w:hint="default"/>
        </w:rPr>
        <w:t>12.50%</w:t>
      </w:r>
      <w:r>
        <w:rPr/>
        <w:t>，主要系本报告期递延所得税费用同比减少所致。</w:t>
      </w:r>
    </w:p>
    <w:p>
      <w:pPr>
        <w:spacing w:line="240" w:lineRule="auto" w:before="4"/>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982"/>
        <w:jc w:val="left"/>
      </w:pPr>
      <w:r>
        <w:rPr/>
        <w:t>本报告期，公司研发支出</w:t>
      </w:r>
      <w:r>
        <w:rPr>
          <w:rFonts w:ascii="Times New Roman" w:hAnsi="Times New Roman" w:cs="Times New Roman" w:eastAsia="Times New Roman" w:hint="default"/>
        </w:rPr>
        <w:t>10,747.40</w:t>
      </w:r>
      <w:r>
        <w:rPr/>
        <w:t>万元，占最近一期经审计净资产的比例为</w:t>
      </w:r>
      <w:r>
        <w:rPr>
          <w:rFonts w:ascii="Times New Roman" w:hAnsi="Times New Roman" w:cs="Times New Roman" w:eastAsia="Times New Roman" w:hint="default"/>
        </w:rPr>
        <w:t>4.43%</w:t>
      </w:r>
      <w:r>
        <w:rPr/>
        <w:t>，占营业收入的比例为</w:t>
      </w:r>
      <w:r>
        <w:rPr>
          <w:rFonts w:ascii="Times New Roman" w:hAnsi="Times New Roman" w:cs="Times New Roman" w:eastAsia="Times New Roman" w:hint="default"/>
        </w:rPr>
        <w:t>2.14%</w:t>
      </w:r>
      <w:r>
        <w:rPr/>
        <w:t>。</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5,671,748,226.71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5,835,258,140.29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5,792,920,381.67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6,014,991,477.67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-121,172,154.96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-179,733,337.38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32.58%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259,188,242.67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178,969,682.27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44.82%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253,976,423.89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380,258,710.99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-33.21%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5,211,818.78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-201,289,028.72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102.59%</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1255" w:header="877" w:top="1060" w:bottom="1440" w:left="980" w:right="0"/>
          <w:pgNumType w:start="12"/>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36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3,052,178,922.57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2,780,597,405.31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2,753,359,494.93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2,732,335,661.66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0.77%</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298,819,427.64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48,261,743.65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519.16%</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182,859,091.46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-332,760,622.45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154.95%</w:t>
            </w:r>
          </w:p>
        </w:tc>
      </w:tr>
    </w:tbl>
    <w:p>
      <w:pPr>
        <w:pStyle w:val="BodyText"/>
        <w:spacing w:line="240" w:lineRule="auto" w:before="49"/>
        <w:ind w:right="982"/>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240" w:lineRule="auto" w:before="101"/>
        <w:ind w:right="982"/>
        <w:jc w:val="left"/>
      </w:pPr>
      <w:r>
        <w:rPr/>
        <w:t>√ 适用 □</w:t>
      </w:r>
      <w:r>
        <w:rPr>
          <w:spacing w:val="3"/>
        </w:rPr>
        <w:t> </w:t>
      </w:r>
      <w:r>
        <w:rPr/>
        <w:t>不适用</w:t>
      </w:r>
    </w:p>
    <w:p>
      <w:pPr>
        <w:pStyle w:val="BodyText"/>
        <w:spacing w:line="300" w:lineRule="auto" w:before="117"/>
        <w:ind w:right="1187"/>
        <w:jc w:val="left"/>
      </w:pPr>
      <w:r>
        <w:rPr>
          <w:rFonts w:ascii="Times New Roman" w:hAnsi="Times New Roman" w:cs="Times New Roman" w:eastAsia="Times New Roman" w:hint="default"/>
        </w:rPr>
        <w:t>1</w:t>
      </w:r>
      <w:r>
        <w:rPr/>
        <w:t>、</w:t>
      </w:r>
      <w:r>
        <w:rPr>
          <w:spacing w:val="-18"/>
        </w:rPr>
        <w:t> </w:t>
      </w:r>
      <w:r>
        <w:rPr/>
        <w:t>经营活动产生的现金流量净额比上年同期增加</w:t>
      </w:r>
      <w:r>
        <w:rPr>
          <w:rFonts w:ascii="Times New Roman" w:hAnsi="Times New Roman" w:cs="Times New Roman" w:eastAsia="Times New Roman" w:hint="default"/>
        </w:rPr>
        <w:t>32.58</w:t>
      </w:r>
      <w:r>
        <w:rPr/>
        <w:t>％，主要系本报告期公司购买商品、接受劳务支付的现金同比减少 所致。</w:t>
      </w:r>
    </w:p>
    <w:p>
      <w:pPr>
        <w:pStyle w:val="BodyText"/>
        <w:spacing w:line="240" w:lineRule="auto" w:before="31"/>
        <w:ind w:right="982"/>
        <w:jc w:val="left"/>
      </w:pPr>
      <w:r>
        <w:rPr>
          <w:rFonts w:ascii="Times New Roman" w:hAnsi="Times New Roman" w:cs="Times New Roman" w:eastAsia="Times New Roman" w:hint="default"/>
        </w:rPr>
        <w:t>2</w:t>
      </w:r>
      <w:r>
        <w:rPr/>
        <w:t>、</w:t>
      </w:r>
      <w:r>
        <w:rPr>
          <w:spacing w:val="-17"/>
        </w:rPr>
        <w:t> </w:t>
      </w:r>
      <w:r>
        <w:rPr/>
        <w:t>投资活动现金流入比上年同期增加</w:t>
      </w:r>
      <w:r>
        <w:rPr>
          <w:rFonts w:ascii="Times New Roman" w:hAnsi="Times New Roman" w:cs="Times New Roman" w:eastAsia="Times New Roman" w:hint="default"/>
        </w:rPr>
        <w:t>44.82</w:t>
      </w:r>
      <w:r>
        <w:rPr/>
        <w:t>％，主要系本报告期公司收回委托贷款</w:t>
      </w:r>
      <w:r>
        <w:rPr>
          <w:rFonts w:ascii="Times New Roman" w:hAnsi="Times New Roman" w:cs="Times New Roman" w:eastAsia="Times New Roman" w:hint="default"/>
        </w:rPr>
        <w:t>1</w:t>
      </w:r>
      <w:r>
        <w:rPr/>
        <w:t>亿元影响所致。</w:t>
      </w:r>
    </w:p>
    <w:p>
      <w:pPr>
        <w:pStyle w:val="BodyText"/>
        <w:spacing w:line="300" w:lineRule="auto" w:before="63"/>
        <w:ind w:right="1187"/>
        <w:jc w:val="left"/>
      </w:pPr>
      <w:r>
        <w:rPr>
          <w:rFonts w:ascii="Times New Roman" w:hAnsi="Times New Roman" w:cs="Times New Roman" w:eastAsia="Times New Roman" w:hint="default"/>
        </w:rPr>
        <w:t>3</w:t>
      </w:r>
      <w:r>
        <w:rPr/>
        <w:t>、</w:t>
      </w:r>
      <w:r>
        <w:rPr>
          <w:spacing w:val="-18"/>
        </w:rPr>
        <w:t> </w:t>
      </w:r>
      <w:r>
        <w:rPr/>
        <w:t>投资活动现金流出比上年同期减少</w:t>
      </w:r>
      <w:r>
        <w:rPr>
          <w:rFonts w:ascii="Times New Roman" w:hAnsi="Times New Roman" w:cs="Times New Roman" w:eastAsia="Times New Roman" w:hint="default"/>
        </w:rPr>
        <w:t>33.21</w:t>
      </w:r>
      <w:r>
        <w:rPr/>
        <w:t>％，主要系本报告期公司购置固定资产、无形资产和其他长期资产支付的现金 同比减少所致。</w:t>
      </w:r>
    </w:p>
    <w:p>
      <w:pPr>
        <w:pStyle w:val="BodyText"/>
        <w:spacing w:line="300" w:lineRule="auto" w:before="31"/>
        <w:ind w:right="1120"/>
        <w:jc w:val="left"/>
      </w:pPr>
      <w:r>
        <w:rPr>
          <w:rFonts w:ascii="Times New Roman" w:hAnsi="Times New Roman" w:cs="Times New Roman" w:eastAsia="Times New Roman" w:hint="default"/>
        </w:rPr>
        <w:t>4</w:t>
      </w:r>
      <w:r>
        <w:rPr/>
        <w:t>、</w:t>
      </w:r>
      <w:r>
        <w:rPr>
          <w:spacing w:val="-41"/>
        </w:rPr>
        <w:t> </w:t>
      </w:r>
      <w:r>
        <w:rPr/>
        <w:t>投资活动产生的现金流量净额比上年同期增加</w:t>
      </w:r>
      <w:r>
        <w:rPr>
          <w:rFonts w:ascii="Times New Roman" w:hAnsi="Times New Roman" w:cs="Times New Roman" w:eastAsia="Times New Roman" w:hint="default"/>
        </w:rPr>
        <w:t>102.59</w:t>
      </w:r>
      <w:r>
        <w:rPr/>
        <w:t>％，主要系本报告期公司购置固定资产、无形资产和其他长期资产 支付的现金同比减少所致。</w:t>
      </w:r>
    </w:p>
    <w:p>
      <w:pPr>
        <w:pStyle w:val="BodyText"/>
        <w:spacing w:line="338" w:lineRule="auto" w:before="72"/>
        <w:ind w:right="1709"/>
        <w:jc w:val="left"/>
      </w:pPr>
      <w:r>
        <w:rPr>
          <w:rFonts w:ascii="Times New Roman" w:hAnsi="Times New Roman" w:cs="Times New Roman" w:eastAsia="Times New Roman" w:hint="default"/>
        </w:rPr>
        <w:t>5</w:t>
      </w:r>
      <w:r>
        <w:rPr/>
        <w:t>、筹资活动产生的现金流量净额比上年同期增加</w:t>
      </w:r>
      <w:r>
        <w:rPr>
          <w:rFonts w:ascii="Times New Roman" w:hAnsi="Times New Roman" w:cs="Times New Roman" w:eastAsia="Times New Roman" w:hint="default"/>
        </w:rPr>
        <w:t>519.16</w:t>
      </w:r>
      <w:r>
        <w:rPr/>
        <w:t>％，主要系本报告期公司收到发行公司债券资金影响所致。 报告期内公司经营活动的现金流量与本年度净利润存在重大差异的原因说明</w:t>
      </w:r>
    </w:p>
    <w:p>
      <w:pPr>
        <w:pStyle w:val="BodyText"/>
        <w:spacing w:line="240" w:lineRule="auto" w:before="43"/>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982"/>
        <w:jc w:val="left"/>
      </w:pPr>
      <w:r>
        <w:rPr>
          <w:spacing w:val="-1"/>
        </w:rPr>
        <w:t>报告期内公司经营活动产生的现金流量净额为</w:t>
      </w:r>
      <w:r>
        <w:rPr>
          <w:rFonts w:ascii="Times New Roman" w:hAnsi="Times New Roman" w:cs="Times New Roman" w:eastAsia="Times New Roman" w:hint="default"/>
          <w:spacing w:val="-1"/>
        </w:rPr>
        <w:t>-12,117.22</w:t>
      </w:r>
      <w:r>
        <w:rPr>
          <w:spacing w:val="-1"/>
        </w:rPr>
        <w:t>万元，与本年度净利润</w:t>
      </w:r>
      <w:r>
        <w:rPr>
          <w:rFonts w:ascii="Times New Roman" w:hAnsi="Times New Roman" w:cs="Times New Roman" w:eastAsia="Times New Roman" w:hint="default"/>
          <w:spacing w:val="-1"/>
        </w:rPr>
        <w:t>1,170.03</w:t>
      </w:r>
      <w:r>
        <w:rPr>
          <w:spacing w:val="-1"/>
        </w:rPr>
        <w:t>万元相差</w:t>
      </w:r>
      <w:r>
        <w:rPr>
          <w:rFonts w:ascii="Times New Roman" w:hAnsi="Times New Roman" w:cs="Times New Roman" w:eastAsia="Times New Roman" w:hint="default"/>
          <w:spacing w:val="-1"/>
        </w:rPr>
        <w:t>13,287.25</w:t>
      </w:r>
      <w:r>
        <w:rPr>
          <w:spacing w:val="-1"/>
        </w:rPr>
        <w:t>万元，差异原因主</w:t>
      </w:r>
      <w:r>
        <w:rPr>
          <w:spacing w:val="-82"/>
        </w:rPr>
        <w:t> </w:t>
      </w:r>
      <w:r>
        <w:rPr>
          <w:spacing w:val="-82"/>
        </w:rPr>
      </w:r>
      <w:r>
        <w:rPr/>
        <w:t>要为本年度确认搬迁补偿及土地房屋征收补偿所致。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2"/>
        <w:spacing w:line="240" w:lineRule="auto"/>
        <w:ind w:right="982"/>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棉纺织业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4,978,359,108.92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4,741,586,791.85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1,764,147,436.62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1,620,251,491.64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758,429,923.95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734,599,877.25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1,259,150,935.01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1,239,618,130.88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涤纶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14,848,198.97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14,951,917.48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1,175,051,954.31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1,129,154,062.06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6,730,660.06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3,011,312.54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52.57%</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3,662,690,924.92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3,474,772,573.97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55"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9"/>
        <w:gridCol w:w="1370"/>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1,315,668,184.00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1,266,814,217.88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3.71%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78.52%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82.78%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3" w:right="0"/>
              <w:jc w:val="left"/>
              <w:rPr>
                <w:rFonts w:ascii="Times New Roman" w:hAnsi="Times New Roman" w:cs="Times New Roman" w:eastAsia="Times New Roman" w:hint="default"/>
                <w:sz w:val="18"/>
                <w:szCs w:val="18"/>
              </w:rPr>
            </w:pPr>
            <w:r>
              <w:rPr>
                <w:rFonts w:ascii="Times New Roman"/>
                <w:sz w:val="18"/>
              </w:rPr>
              <w:t>-2.24%</w:t>
            </w:r>
          </w:p>
        </w:tc>
      </w:tr>
    </w:tbl>
    <w:p>
      <w:pPr>
        <w:pStyle w:val="BodyText"/>
        <w:spacing w:line="240" w:lineRule="auto" w:before="49"/>
        <w:ind w:right="982"/>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43"/>
        <w:gridCol w:w="1063"/>
        <w:gridCol w:w="1457"/>
        <w:gridCol w:w="1063"/>
        <w:gridCol w:w="798"/>
        <w:gridCol w:w="2628"/>
      </w:tblGrid>
      <w:tr>
        <w:trPr>
          <w:trHeight w:val="206" w:hRule="exact"/>
        </w:trPr>
        <w:tc>
          <w:tcPr>
            <w:tcW w:w="1346" w:type="dxa"/>
            <w:vMerge w:val="restart"/>
            <w:tcBorders>
              <w:top w:val="single" w:sz="4" w:space="0" w:color="000000"/>
              <w:left w:val="single" w:sz="4" w:space="0" w:color="000000"/>
              <w:right w:val="single" w:sz="4" w:space="0" w:color="000000"/>
            </w:tcBorders>
            <w:shd w:val="clear" w:color="auto" w:fill="D2D2D2"/>
          </w:tcPr>
          <w:p>
            <w:pPr/>
          </w:p>
        </w:tc>
        <w:tc>
          <w:tcPr>
            <w:tcW w:w="24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5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628" w:type="dxa"/>
            <w:vMerge w:val="restart"/>
            <w:tcBorders>
              <w:top w:val="single" w:sz="4" w:space="0" w:color="000000"/>
              <w:left w:val="single" w:sz="4" w:space="0" w:color="000000"/>
              <w:right w:val="single" w:sz="4" w:space="0" w:color="000000"/>
            </w:tcBorders>
            <w:shd w:val="clear" w:color="auto" w:fill="D2D2D2"/>
          </w:tcPr>
          <w:p>
            <w:pPr/>
          </w:p>
        </w:tc>
      </w:tr>
      <w:tr>
        <w:trPr>
          <w:trHeight w:val="175"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2407" w:type="dxa"/>
            <w:gridSpan w:val="2"/>
            <w:vMerge/>
            <w:tcBorders>
              <w:left w:val="single" w:sz="4" w:space="0" w:color="000000"/>
              <w:bottom w:val="single" w:sz="4" w:space="0" w:color="000000"/>
              <w:right w:val="single" w:sz="4" w:space="0" w:color="000000"/>
            </w:tcBorders>
            <w:shd w:val="clear" w:color="auto" w:fill="D2D2D2"/>
          </w:tcPr>
          <w:p>
            <w:pPr/>
          </w:p>
        </w:tc>
        <w:tc>
          <w:tcPr>
            <w:tcW w:w="2520" w:type="dxa"/>
            <w:gridSpan w:val="2"/>
            <w:vMerge/>
            <w:tcBorders>
              <w:left w:val="single" w:sz="4" w:space="0" w:color="000000"/>
              <w:bottom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628"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8"/>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8"/>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vMerge/>
            <w:tcBorders>
              <w:left w:val="single" w:sz="4" w:space="0" w:color="000000"/>
              <w:right w:val="single" w:sz="4" w:space="0" w:color="000000"/>
            </w:tcBorders>
            <w:shd w:val="clear" w:color="auto" w:fill="D2D2D2"/>
          </w:tcPr>
          <w:p>
            <w:pPr/>
          </w:p>
        </w:tc>
        <w:tc>
          <w:tcPr>
            <w:tcW w:w="26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77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4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2628"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43"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457"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628"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4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62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812,518,423.01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622,850,267.43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w:t>
            </w:r>
          </w:p>
        </w:tc>
        <w:tc>
          <w:tcPr>
            <w:tcW w:w="262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62,562,173.12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81,063,196.57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c>
          <w:tcPr>
            <w:tcW w:w="262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1,155,569,008.33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20.21%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1,003,892,395.89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w:t>
            </w:r>
          </w:p>
        </w:tc>
        <w:tc>
          <w:tcPr>
            <w:tcW w:w="262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183,949,854.21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188,760,689.37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c>
          <w:tcPr>
            <w:tcW w:w="262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38,652,615.79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43,276,552.73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c>
          <w:tcPr>
            <w:tcW w:w="262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1,667,203,262.46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29.16%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1,497,737,214.72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0.85%</w:t>
            </w:r>
          </w:p>
        </w:tc>
        <w:tc>
          <w:tcPr>
            <w:tcW w:w="262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492,974,656.62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605,496,934.74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w:t>
            </w:r>
          </w:p>
        </w:tc>
        <w:tc>
          <w:tcPr>
            <w:tcW w:w="262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931,116,982.67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963,898,035.45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w:t>
            </w:r>
          </w:p>
        </w:tc>
        <w:tc>
          <w:tcPr>
            <w:tcW w:w="2628"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33"/>
        <w:gridCol w:w="1063"/>
        <w:gridCol w:w="1457"/>
        <w:gridCol w:w="1063"/>
        <w:gridCol w:w="798"/>
        <w:gridCol w:w="2628"/>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3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628" w:type="dxa"/>
            <w:vMerge w:val="restart"/>
            <w:tcBorders>
              <w:top w:val="single" w:sz="4" w:space="0" w:color="000000"/>
              <w:left w:val="single" w:sz="4" w:space="0" w:color="000000"/>
              <w:right w:val="single" w:sz="4" w:space="0" w:color="000000"/>
            </w:tcBorders>
            <w:shd w:val="clear" w:color="auto" w:fill="D2D2D2"/>
          </w:tcPr>
          <w:p>
            <w:pPr/>
          </w:p>
        </w:tc>
      </w:tr>
      <w:tr>
        <w:trPr>
          <w:trHeight w:val="17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396" w:type="dxa"/>
            <w:gridSpan w:val="2"/>
            <w:vMerge/>
            <w:tcBorders>
              <w:left w:val="single" w:sz="4" w:space="0" w:color="000000"/>
              <w:bottom w:val="single" w:sz="4" w:space="0" w:color="000000"/>
              <w:right w:val="single" w:sz="4" w:space="0" w:color="000000"/>
            </w:tcBorders>
            <w:shd w:val="clear" w:color="auto" w:fill="D2D2D2"/>
          </w:tcPr>
          <w:p>
            <w:pPr/>
          </w:p>
        </w:tc>
        <w:tc>
          <w:tcPr>
            <w:tcW w:w="2520" w:type="dxa"/>
            <w:gridSpan w:val="2"/>
            <w:vMerge/>
            <w:tcBorders>
              <w:left w:val="single" w:sz="4" w:space="0" w:color="000000"/>
              <w:bottom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628"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9"/>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9"/>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vMerge/>
            <w:tcBorders>
              <w:left w:val="single" w:sz="4" w:space="0" w:color="000000"/>
              <w:right w:val="single" w:sz="4" w:space="0" w:color="000000"/>
            </w:tcBorders>
            <w:shd w:val="clear" w:color="auto" w:fill="D2D2D2"/>
          </w:tcPr>
          <w:p>
            <w:pPr/>
          </w:p>
        </w:tc>
        <w:tc>
          <w:tcPr>
            <w:tcW w:w="26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77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4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2628"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33"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457"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628"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4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62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1,520,417,697.95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26.60%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1,519,044,639.95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w:t>
            </w:r>
          </w:p>
        </w:tc>
        <w:tc>
          <w:tcPr>
            <w:tcW w:w="262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262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286,075,962.87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274,933,118.07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262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429,660,836.94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459,999,846.38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w:t>
            </w:r>
          </w:p>
        </w:tc>
        <w:tc>
          <w:tcPr>
            <w:tcW w:w="262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276,162,329.58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515,013,125.90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26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5" w:right="71"/>
              <w:jc w:val="left"/>
              <w:rPr>
                <w:rFonts w:ascii="宋体" w:hAnsi="宋体" w:cs="宋体" w:eastAsia="宋体" w:hint="default"/>
                <w:sz w:val="18"/>
                <w:szCs w:val="18"/>
              </w:rPr>
            </w:pPr>
            <w:r>
              <w:rPr>
                <w:rFonts w:ascii="宋体" w:hAnsi="宋体" w:cs="宋体" w:eastAsia="宋体" w:hint="default"/>
                <w:sz w:val="18"/>
                <w:szCs w:val="18"/>
              </w:rPr>
              <w:t>本报告期公司归还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亿元短期融 资券影响所致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621,952,566.67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10.88%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10.88%</w:t>
            </w:r>
          </w:p>
        </w:tc>
        <w:tc>
          <w:tcPr>
            <w:tcW w:w="26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97" w:lineRule="auto" w:before="49"/>
              <w:ind w:left="25" w:right="116"/>
              <w:jc w:val="left"/>
              <w:rPr>
                <w:rFonts w:ascii="宋体" w:hAnsi="宋体" w:cs="宋体" w:eastAsia="宋体" w:hint="default"/>
                <w:sz w:val="18"/>
                <w:szCs w:val="18"/>
              </w:rPr>
            </w:pPr>
            <w:r>
              <w:rPr>
                <w:rFonts w:ascii="宋体" w:hAnsi="宋体" w:cs="宋体" w:eastAsia="宋体" w:hint="default"/>
                <w:sz w:val="18"/>
                <w:szCs w:val="18"/>
              </w:rPr>
              <w:t>本报告期公司发行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亿元公司 债券影响所致</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after="0" w:line="240" w:lineRule="auto"/>
        <w:jc w:val="right"/>
        <w:sectPr>
          <w:pgSz w:w="11910" w:h="16840"/>
          <w:pgMar w:header="877" w:footer="1255" w:top="1060" w:bottom="14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175"/>
        <w:gridCol w:w="1214"/>
        <w:gridCol w:w="1190"/>
        <w:gridCol w:w="1195"/>
        <w:gridCol w:w="1191"/>
        <w:gridCol w:w="1201"/>
        <w:gridCol w:w="1196"/>
        <w:gridCol w:w="1195"/>
      </w:tblGrid>
      <w:tr>
        <w:trPr>
          <w:trHeight w:val="161" w:hRule="exact"/>
        </w:trPr>
        <w:tc>
          <w:tcPr>
            <w:tcW w:w="1175" w:type="dxa"/>
            <w:vMerge w:val="restart"/>
            <w:tcBorders>
              <w:top w:val="single" w:sz="4" w:space="0" w:color="000000"/>
              <w:left w:val="single" w:sz="4" w:space="0" w:color="000000"/>
              <w:right w:val="single" w:sz="4" w:space="0" w:color="000000"/>
            </w:tcBorders>
            <w:shd w:val="clear" w:color="auto" w:fill="D2D2D2"/>
          </w:tcPr>
          <w:p>
            <w:pPr/>
          </w:p>
        </w:tc>
        <w:tc>
          <w:tcPr>
            <w:tcW w:w="1214" w:type="dxa"/>
            <w:vMerge w:val="restart"/>
            <w:tcBorders>
              <w:top w:val="single" w:sz="4" w:space="0" w:color="000000"/>
              <w:left w:val="single" w:sz="4" w:space="0" w:color="000000"/>
              <w:right w:val="single" w:sz="4" w:space="0" w:color="000000"/>
            </w:tcBorders>
            <w:shd w:val="clear" w:color="auto" w:fill="D2D2D2"/>
          </w:tcPr>
          <w:p>
            <w:pP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75" w:type="dxa"/>
            <w:vMerge/>
            <w:tcBorders>
              <w:left w:val="single" w:sz="4" w:space="0" w:color="000000"/>
              <w:bottom w:val="nil" w:sz="6" w:space="0" w:color="auto"/>
              <w:right w:val="single" w:sz="4" w:space="0" w:color="000000"/>
            </w:tcBorders>
            <w:shd w:val="clear" w:color="auto" w:fill="D2D2D2"/>
          </w:tcPr>
          <w:p>
            <w:pPr/>
          </w:p>
        </w:tc>
        <w:tc>
          <w:tcPr>
            <w:tcW w:w="1214"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6" w:right="5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5" w:type="dxa"/>
            <w:vMerge/>
            <w:tcBorders>
              <w:left w:val="single" w:sz="4" w:space="0" w:color="000000"/>
              <w:right w:val="single" w:sz="4" w:space="0" w:color="000000"/>
            </w:tcBorders>
            <w:shd w:val="clear" w:color="auto" w:fill="D2D2D2"/>
          </w:tcPr>
          <w:p>
            <w:pPr/>
          </w:p>
        </w:tc>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03" w:right="47"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75" w:type="dxa"/>
            <w:vMerge w:val="restart"/>
            <w:tcBorders>
              <w:top w:val="nil" w:sz="6" w:space="0" w:color="auto"/>
              <w:left w:val="single" w:sz="4" w:space="0" w:color="000000"/>
              <w:right w:val="single" w:sz="4" w:space="0" w:color="000000"/>
            </w:tcBorders>
            <w:shd w:val="clear" w:color="auto" w:fill="D2D2D2"/>
          </w:tcPr>
          <w:p>
            <w:pPr/>
          </w:p>
        </w:tc>
        <w:tc>
          <w:tcPr>
            <w:tcW w:w="1214" w:type="dxa"/>
            <w:vMerge w:val="restart"/>
            <w:tcBorders>
              <w:top w:val="nil" w:sz="6" w:space="0" w:color="auto"/>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bottom w:val="nil" w:sz="6" w:space="0" w:color="auto"/>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1175"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8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1"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6" w:lineRule="auto" w:before="22"/>
              <w:ind w:left="12" w:right="71"/>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1,635,043.00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157,325.00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1,364,003.30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14,326,793.60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1,471,054.70</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15,797,848.30</w:t>
            </w:r>
          </w:p>
        </w:tc>
      </w:tr>
      <w:tr>
        <w:trPr>
          <w:trHeight w:val="401"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15,961,836.60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157,325.00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1,471,054.70</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1,364,003.30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15,797,848.30</w:t>
            </w:r>
          </w:p>
        </w:tc>
      </w:tr>
      <w:tr>
        <w:trPr>
          <w:trHeight w:val="403"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15,961,836.60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157,325.00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1,471,054.70</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1,364,003.30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15,797,848.30</w:t>
            </w:r>
          </w:p>
        </w:tc>
      </w:tr>
      <w:tr>
        <w:trPr>
          <w:trHeight w:val="403"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both"/>
      </w:pPr>
      <w:r>
        <w:rPr/>
        <w:t>报告期内公司主要资产计量属性是否发生重大变化</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982"/>
        <w:jc w:val="left"/>
      </w:pPr>
      <w:r>
        <w:rPr>
          <w:rFonts w:ascii="Times New Roman" w:hAnsi="Times New Roman" w:cs="Times New Roman" w:eastAsia="Times New Roman" w:hint="default"/>
        </w:rPr>
        <w:t>1</w:t>
      </w:r>
      <w:r>
        <w:rPr/>
        <w:t>、人才优势 </w:t>
      </w:r>
      <w:r>
        <w:rPr>
          <w:spacing w:val="-2"/>
        </w:rPr>
        <w:t>公司现有享受国家级政府津贴、省部级政府津贴、国家级突出贡献中青年专家等省部以上政府科技人才</w:t>
      </w:r>
      <w:r>
        <w:rPr>
          <w:rFonts w:ascii="Times New Roman" w:hAnsi="Times New Roman" w:cs="Times New Roman" w:eastAsia="Times New Roman" w:hint="default"/>
          <w:spacing w:val="-2"/>
        </w:rPr>
        <w:t>24</w:t>
      </w:r>
      <w:r>
        <w:rPr>
          <w:spacing w:val="-2"/>
        </w:rPr>
        <w:t>人，硕士</w:t>
      </w:r>
      <w:r>
        <w:rPr>
          <w:rFonts w:ascii="Times New Roman" w:hAnsi="Times New Roman" w:cs="Times New Roman" w:eastAsia="Times New Roman" w:hint="default"/>
          <w:spacing w:val="-2"/>
        </w:rPr>
        <w:t>8</w:t>
      </w:r>
      <w:r>
        <w:rPr>
          <w:spacing w:val="-2"/>
        </w:rPr>
        <w:t>人，</w:t>
      </w:r>
    </w:p>
    <w:p>
      <w:pPr>
        <w:pStyle w:val="BodyText"/>
        <w:spacing w:line="230" w:lineRule="exact"/>
        <w:ind w:right="0"/>
        <w:jc w:val="both"/>
      </w:pPr>
      <w:r>
        <w:rPr>
          <w:rFonts w:ascii="Times New Roman" w:hAnsi="Times New Roman" w:cs="Times New Roman" w:eastAsia="Times New Roman" w:hint="default"/>
        </w:rPr>
        <w:t>2</w:t>
      </w:r>
      <w:r>
        <w:rPr/>
        <w:t>名中国工程院士为公司技术顾问，各类科技人员</w:t>
      </w:r>
      <w:r>
        <w:rPr>
          <w:rFonts w:ascii="Times New Roman" w:hAnsi="Times New Roman" w:cs="Times New Roman" w:eastAsia="Times New Roman" w:hint="default"/>
        </w:rPr>
        <w:t>603</w:t>
      </w:r>
      <w:r>
        <w:rPr/>
        <w:t>人。公司与全国主要纺织人才培养院校建立了畅通的人才培养和输送渠</w:t>
      </w:r>
    </w:p>
    <w:p>
      <w:pPr>
        <w:pStyle w:val="BodyText"/>
        <w:spacing w:line="300" w:lineRule="auto" w:before="63"/>
        <w:ind w:right="982"/>
        <w:jc w:val="left"/>
      </w:pPr>
      <w:r>
        <w:rPr/>
        <w:t>道</w:t>
      </w:r>
      <w:r>
        <w:rPr>
          <w:rFonts w:ascii="Times New Roman" w:hAnsi="Times New Roman" w:cs="Times New Roman" w:eastAsia="Times New Roman" w:hint="default"/>
        </w:rPr>
        <w:t>,</w:t>
      </w:r>
      <w:r>
        <w:rPr/>
        <w:t>并与河北科技大学合作联合开办纺织工程专科和本科学历教育，分期、分层次、分专业为公司培养纺织企业专业技术和</w:t>
      </w:r>
      <w:r>
        <w:rPr>
          <w:spacing w:val="-46"/>
        </w:rPr>
        <w:t> </w:t>
      </w:r>
      <w:r>
        <w:rPr>
          <w:spacing w:val="-46"/>
        </w:rPr>
      </w:r>
      <w:r>
        <w:rPr/>
        <w:t>管理人才。</w:t>
      </w:r>
    </w:p>
    <w:p>
      <w:pPr>
        <w:pStyle w:val="BodyText"/>
        <w:spacing w:line="340" w:lineRule="auto" w:before="72"/>
        <w:ind w:left="513" w:right="982"/>
        <w:jc w:val="left"/>
      </w:pPr>
      <w:r>
        <w:rPr>
          <w:rFonts w:ascii="Times New Roman" w:hAnsi="Times New Roman" w:cs="Times New Roman" w:eastAsia="Times New Roman" w:hint="default"/>
        </w:rPr>
        <w:t>2</w:t>
      </w:r>
      <w:r>
        <w:rPr/>
        <w:t>、研发优势 </w:t>
      </w:r>
      <w:r>
        <w:rPr>
          <w:spacing w:val="-2"/>
        </w:rPr>
        <w:t>公司拥有国家认定的企业技术中心和国家认可实验室，每年投入大量经费用于购置研发所需的试验仪器和设备，为新产</w:t>
      </w:r>
    </w:p>
    <w:p>
      <w:pPr>
        <w:pStyle w:val="BodyText"/>
        <w:spacing w:line="300" w:lineRule="auto" w:before="1"/>
        <w:ind w:right="1132"/>
        <w:jc w:val="both"/>
      </w:pPr>
      <w:r>
        <w:rPr>
          <w:spacing w:val="-2"/>
        </w:rPr>
        <w:t>品和新技术的研发提供了强有力保障。公司共有专利成果</w:t>
      </w:r>
      <w:r>
        <w:rPr>
          <w:rFonts w:ascii="Times New Roman" w:hAnsi="Times New Roman" w:cs="Times New Roman" w:eastAsia="Times New Roman" w:hint="default"/>
          <w:spacing w:val="-2"/>
        </w:rPr>
        <w:t>106</w:t>
      </w:r>
      <w:r>
        <w:rPr>
          <w:spacing w:val="-2"/>
        </w:rPr>
        <w:t>项，其中</w:t>
      </w:r>
      <w:r>
        <w:rPr>
          <w:rFonts w:ascii="Times New Roman" w:hAnsi="Times New Roman" w:cs="Times New Roman" w:eastAsia="Times New Roman" w:hint="default"/>
          <w:spacing w:val="-2"/>
        </w:rPr>
        <w:t>86</w:t>
      </w:r>
      <w:r>
        <w:rPr>
          <w:spacing w:val="-2"/>
        </w:rPr>
        <w:t>项已取得国家授权证书。有</w:t>
      </w:r>
      <w:r>
        <w:rPr>
          <w:rFonts w:ascii="Times New Roman" w:hAnsi="Times New Roman" w:cs="Times New Roman" w:eastAsia="Times New Roman" w:hint="default"/>
          <w:spacing w:val="-2"/>
        </w:rPr>
        <w:t>15</w:t>
      </w:r>
      <w:r>
        <w:rPr>
          <w:spacing w:val="-2"/>
        </w:rPr>
        <w:t>个产品入围</w:t>
      </w:r>
      <w:r>
        <w:rPr>
          <w:rFonts w:ascii="Times New Roman" w:hAnsi="Times New Roman" w:cs="Times New Roman" w:eastAsia="Times New Roman" w:hint="default"/>
          <w:spacing w:val="-2"/>
        </w:rPr>
        <w:t>“</w:t>
      </w:r>
      <w:r>
        <w:rPr>
          <w:spacing w:val="-2"/>
        </w:rPr>
        <w:t>中国流行</w:t>
      </w:r>
      <w:r>
        <w:rPr>
          <w:spacing w:val="-49"/>
        </w:rPr>
        <w:t> </w:t>
      </w:r>
      <w:r>
        <w:rPr>
          <w:spacing w:val="-49"/>
        </w:rPr>
      </w:r>
      <w:r>
        <w:rPr/>
        <w:t>面料</w:t>
      </w:r>
      <w:r>
        <w:rPr>
          <w:rFonts w:ascii="Times New Roman" w:hAnsi="Times New Roman" w:cs="Times New Roman" w:eastAsia="Times New Roman" w:hint="default"/>
        </w:rPr>
        <w:t>”</w:t>
      </w:r>
      <w:r>
        <w:rPr/>
        <w:t>。</w:t>
      </w:r>
      <w:r>
        <w:rPr>
          <w:rFonts w:ascii="Times New Roman" w:hAnsi="Times New Roman" w:cs="Times New Roman" w:eastAsia="Times New Roman" w:hint="default"/>
        </w:rPr>
        <w:t>2012</w:t>
      </w:r>
      <w:r>
        <w:rPr/>
        <w:t>年开发新品种</w:t>
      </w:r>
      <w:r>
        <w:rPr>
          <w:rFonts w:ascii="Times New Roman" w:hAnsi="Times New Roman" w:cs="Times New Roman" w:eastAsia="Times New Roman" w:hint="default"/>
        </w:rPr>
        <w:t>891</w:t>
      </w:r>
      <w:r>
        <w:rPr/>
        <w:t>个，投产</w:t>
      </w:r>
      <w:r>
        <w:rPr>
          <w:rFonts w:ascii="Times New Roman" w:hAnsi="Times New Roman" w:cs="Times New Roman" w:eastAsia="Times New Roman" w:hint="default"/>
        </w:rPr>
        <w:t>534</w:t>
      </w:r>
      <w:r>
        <w:rPr/>
        <w:t>个，新产品产值占比超过总产值一半。曾荣获全国纺织科学技术贡献奖、产品开</w:t>
      </w:r>
      <w:r>
        <w:rPr>
          <w:spacing w:val="-75"/>
        </w:rPr>
        <w:t> </w:t>
      </w:r>
      <w:r>
        <w:rPr>
          <w:spacing w:val="-75"/>
        </w:rPr>
      </w:r>
      <w:r>
        <w:rPr/>
        <w:t>发贡献奖等荣誉称号。</w:t>
      </w:r>
    </w:p>
    <w:p>
      <w:pPr>
        <w:pStyle w:val="BodyText"/>
        <w:spacing w:line="240" w:lineRule="auto" w:before="70"/>
        <w:ind w:left="513" w:right="982"/>
        <w:jc w:val="left"/>
      </w:pPr>
      <w:r>
        <w:rPr>
          <w:rFonts w:ascii="Times New Roman" w:hAnsi="Times New Roman" w:cs="Times New Roman" w:eastAsia="Times New Roman" w:hint="default"/>
        </w:rPr>
        <w:t>3</w:t>
      </w:r>
      <w:r>
        <w:rPr/>
        <w:t>、质量优势</w:t>
      </w:r>
    </w:p>
    <w:p>
      <w:pPr>
        <w:pStyle w:val="BodyText"/>
        <w:spacing w:line="300" w:lineRule="auto" w:before="103"/>
        <w:ind w:right="1131" w:firstLine="360"/>
        <w:jc w:val="both"/>
      </w:pPr>
      <w:r>
        <w:rPr/>
        <w:t>公司产品获得</w:t>
      </w:r>
      <w:r>
        <w:rPr>
          <w:rFonts w:ascii="Times New Roman" w:hAnsi="Times New Roman" w:cs="Times New Roman" w:eastAsia="Times New Roman" w:hint="default"/>
        </w:rPr>
        <w:t>“</w:t>
      </w:r>
      <w:r>
        <w:rPr/>
        <w:t>中国质量认证中心</w:t>
      </w:r>
      <w:r>
        <w:rPr>
          <w:rFonts w:ascii="Times New Roman" w:hAnsi="Times New Roman" w:cs="Times New Roman" w:eastAsia="Times New Roman" w:hint="default"/>
        </w:rPr>
        <w:t>”</w:t>
      </w:r>
      <w:r>
        <w:rPr/>
        <w:t>颁发的</w:t>
      </w:r>
      <w:r>
        <w:rPr>
          <w:rFonts w:ascii="Times New Roman" w:hAnsi="Times New Roman" w:cs="Times New Roman" w:eastAsia="Times New Roman" w:hint="default"/>
        </w:rPr>
        <w:t>ISO9001</w:t>
      </w:r>
      <w:r>
        <w:rPr/>
        <w:t>质量管理体系证书，</w:t>
      </w:r>
      <w:r>
        <w:rPr>
          <w:rFonts w:ascii="Times New Roman" w:hAnsi="Times New Roman" w:cs="Times New Roman" w:eastAsia="Times New Roman" w:hint="default"/>
        </w:rPr>
        <w:t>32</w:t>
      </w:r>
      <w:r>
        <w:rPr/>
        <w:t>个国家和地区通认的</w:t>
      </w:r>
      <w:r>
        <w:rPr>
          <w:rFonts w:ascii="Times New Roman" w:hAnsi="Times New Roman" w:cs="Times New Roman" w:eastAsia="Times New Roman" w:hint="default"/>
        </w:rPr>
        <w:t>IQNet</w:t>
      </w:r>
      <w:r>
        <w:rPr>
          <w:rFonts w:ascii="Times New Roman" w:hAnsi="Times New Roman" w:cs="Times New Roman" w:eastAsia="Times New Roman" w:hint="default"/>
          <w:spacing w:val="44"/>
        </w:rPr>
        <w:t> </w:t>
      </w:r>
      <w:r>
        <w:rPr/>
        <w:t>证书，国际环保纺 织协会</w:t>
      </w:r>
      <w:r>
        <w:rPr>
          <w:rFonts w:ascii="Times New Roman" w:hAnsi="Times New Roman" w:cs="Times New Roman" w:eastAsia="Times New Roman" w:hint="default"/>
        </w:rPr>
        <w:t>Oeko-Tex</w:t>
      </w:r>
      <w:r>
        <w:rPr>
          <w:rFonts w:ascii="Times New Roman" w:hAnsi="Times New Roman" w:cs="Times New Roman" w:eastAsia="Times New Roman" w:hint="default"/>
          <w:spacing w:val="-27"/>
        </w:rPr>
        <w:t> </w:t>
      </w:r>
      <w:r>
        <w:rPr>
          <w:rFonts w:ascii="Times New Roman" w:hAnsi="Times New Roman" w:cs="Times New Roman" w:eastAsia="Times New Roman" w:hint="default"/>
        </w:rPr>
        <w:t>Standard</w:t>
      </w:r>
      <w:r>
        <w:rPr>
          <w:rFonts w:ascii="Times New Roman" w:hAnsi="Times New Roman" w:cs="Times New Roman" w:eastAsia="Times New Roman" w:hint="default"/>
          <w:spacing w:val="-25"/>
        </w:rPr>
        <w:t> </w:t>
      </w:r>
      <w:r>
        <w:rPr>
          <w:rFonts w:ascii="Times New Roman" w:hAnsi="Times New Roman" w:cs="Times New Roman" w:eastAsia="Times New Roman" w:hint="default"/>
        </w:rPr>
        <w:t>100</w:t>
      </w:r>
      <w:r>
        <w:rPr>
          <w:rFonts w:ascii="Times New Roman" w:hAnsi="Times New Roman" w:cs="Times New Roman" w:eastAsia="Times New Roman" w:hint="default"/>
          <w:spacing w:val="-7"/>
        </w:rPr>
        <w:t> </w:t>
      </w:r>
      <w:r>
        <w:rPr/>
        <w:t>Ⅰ级认证，拥有中国棉纺织行业最具影响力产品品牌</w:t>
      </w:r>
      <w:r>
        <w:rPr>
          <w:rFonts w:ascii="Times New Roman" w:hAnsi="Times New Roman" w:cs="Times New Roman" w:eastAsia="Times New Roman" w:hint="default"/>
        </w:rPr>
        <w:t>2</w:t>
      </w:r>
      <w:r>
        <w:rPr/>
        <w:t>个、河北省名牌产品</w:t>
      </w:r>
      <w:r>
        <w:rPr>
          <w:rFonts w:ascii="Times New Roman" w:hAnsi="Times New Roman" w:cs="Times New Roman" w:eastAsia="Times New Roman" w:hint="default"/>
        </w:rPr>
        <w:t>2</w:t>
      </w:r>
      <w:r>
        <w:rPr/>
        <w:t>个、河北省著名商 标</w:t>
      </w:r>
      <w:r>
        <w:rPr>
          <w:rFonts w:ascii="Times New Roman" w:hAnsi="Times New Roman" w:cs="Times New Roman" w:eastAsia="Times New Roman" w:hint="default"/>
        </w:rPr>
        <w:t>3</w:t>
      </w:r>
      <w:r>
        <w:rPr/>
        <w:t>个，荣获石家庄市首届政府质量奖。</w:t>
      </w:r>
    </w:p>
    <w:p>
      <w:pPr>
        <w:pStyle w:val="BodyText"/>
        <w:spacing w:line="338" w:lineRule="auto" w:before="53"/>
        <w:ind w:left="513" w:right="1123"/>
        <w:jc w:val="left"/>
      </w:pPr>
      <w:r>
        <w:rPr>
          <w:rFonts w:ascii="Times New Roman" w:hAnsi="Times New Roman" w:cs="Times New Roman" w:eastAsia="Times New Roman" w:hint="default"/>
        </w:rPr>
        <w:t>4</w:t>
      </w:r>
      <w:r>
        <w:rPr/>
        <w:t>、土地资源优势 公司棉一、棉二、棉三、棉四和第五等</w:t>
      </w:r>
      <w:r>
        <w:rPr>
          <w:rFonts w:ascii="Times New Roman" w:hAnsi="Times New Roman" w:cs="Times New Roman" w:eastAsia="Times New Roman" w:hint="default"/>
        </w:rPr>
        <w:t>5</w:t>
      </w:r>
      <w:r>
        <w:rPr/>
        <w:t>个分公司地处石家庄主城区黄金地段，占地面积</w:t>
      </w:r>
      <w:r>
        <w:rPr>
          <w:rFonts w:ascii="Times New Roman" w:hAnsi="Times New Roman" w:cs="Times New Roman" w:eastAsia="Times New Roman" w:hint="default"/>
        </w:rPr>
        <w:t>1230</w:t>
      </w:r>
      <w:r>
        <w:rPr/>
        <w:t>亩。石家庄市政府</w:t>
      </w:r>
      <w:r>
        <w:rPr>
          <w:rFonts w:ascii="Times New Roman" w:hAnsi="Times New Roman" w:cs="Times New Roman" w:eastAsia="Times New Roman" w:hint="default"/>
        </w:rPr>
        <w:t>2007</w:t>
      </w:r>
      <w:r>
        <w:rPr/>
        <w:t>年</w:t>
      </w:r>
    </w:p>
    <w:p>
      <w:pPr>
        <w:pStyle w:val="BodyText"/>
        <w:spacing w:line="230" w:lineRule="exact"/>
        <w:ind w:right="0"/>
        <w:jc w:val="both"/>
      </w:pPr>
      <w:r>
        <w:rPr/>
        <w:t>第</w:t>
      </w:r>
      <w:r>
        <w:rPr>
          <w:rFonts w:ascii="Times New Roman" w:hAnsi="Times New Roman" w:cs="Times New Roman" w:eastAsia="Times New Roman" w:hint="default"/>
        </w:rPr>
        <w:t>65</w:t>
      </w:r>
      <w:r>
        <w:rPr/>
        <w:t>号常务会议纪要确定，常山股份市内厂区土地拍卖净收益的</w:t>
      </w:r>
      <w:r>
        <w:rPr>
          <w:rFonts w:ascii="Times New Roman" w:hAnsi="Times New Roman" w:cs="Times New Roman" w:eastAsia="Times New Roman" w:hint="default"/>
        </w:rPr>
        <w:t>90%</w:t>
      </w:r>
      <w:r>
        <w:rPr/>
        <w:t>将返还企业。</w:t>
      </w:r>
    </w:p>
    <w:p>
      <w:pPr>
        <w:spacing w:after="0" w:line="230" w:lineRule="exact"/>
        <w:jc w:val="both"/>
        <w:sectPr>
          <w:pgSz w:w="11910" w:h="16840"/>
          <w:pgMar w:header="877" w:footer="1255" w:top="1060" w:bottom="14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年投资额（元）</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982"/>
        <w:jc w:val="left"/>
        <w:rPr>
          <w:b w:val="0"/>
          <w:bCs w:val="0"/>
        </w:rPr>
      </w:pPr>
      <w:r>
        <w:rPr/>
        <w:pict>
          <v:shape style="position:absolute;margin-left:145.940002pt;margin-top:51.143669pt;width:84.15pt;height:17.650pt;mso-position-horizontal-relative:page;mso-position-vertical-relative:paragraph;z-index:-950032" type="#_x0000_t202" filled="false" stroked="false">
            <v:textbox inset="0,0,0,0">
              <w:txbxContent>
                <w:p>
                  <w:pPr>
                    <w:pStyle w:val="BodyText"/>
                    <w:spacing w:line="240" w:lineRule="auto" w:before="8"/>
                    <w:ind w:left="0" w:right="0"/>
                    <w:jc w:val="left"/>
                  </w:pPr>
                  <w:r>
                    <w:rPr/>
                    <w:t>成本（元）</w:t>
                  </w:r>
                </w:p>
              </w:txbxContent>
            </v:textbox>
            <w10:wrap type="none"/>
          </v:shape>
        </w:pict>
      </w:r>
      <w:r>
        <w:rPr/>
        <w:pict>
          <v:shape style="position:absolute;margin-left:189.410004pt;margin-top:51.143669pt;width:84.25pt;height:17.650pt;mso-position-horizontal-relative:page;mso-position-vertical-relative:paragraph;z-index:-950008" type="#_x0000_t202" filled="false" stroked="false">
            <v:textbox inset="0,0,0,0">
              <w:txbxContent>
                <w:p>
                  <w:pPr>
                    <w:pStyle w:val="BodyText"/>
                    <w:spacing w:line="240" w:lineRule="auto" w:before="8"/>
                    <w:ind w:left="0" w:right="0"/>
                    <w:jc w:val="left"/>
                  </w:pPr>
                  <w:r>
                    <w:rPr/>
                    <w:t>数量（股）</w:t>
                  </w:r>
                </w:p>
              </w:txbxContent>
            </v:textbox>
            <w10:wrap type="none"/>
          </v:shape>
        </w:pict>
      </w:r>
      <w:r>
        <w:rPr/>
        <w:pict>
          <v:shape style="position:absolute;margin-left:276.410004pt;margin-top:51.143669pt;width:84.15pt;height:17.650pt;mso-position-horizontal-relative:page;mso-position-vertical-relative:paragraph;z-index:-949984" type="#_x0000_t202" filled="false" stroked="false">
            <v:textbox inset="0,0,0,0">
              <w:txbxContent>
                <w:p>
                  <w:pPr>
                    <w:pStyle w:val="BodyText"/>
                    <w:spacing w:line="240" w:lineRule="auto" w:before="8"/>
                    <w:ind w:left="0" w:right="0"/>
                    <w:jc w:val="left"/>
                  </w:pPr>
                  <w:r>
                    <w:rPr/>
                    <w:t>数量（股）</w:t>
                  </w:r>
                </w:p>
              </w:txbxContent>
            </v:textbox>
            <w10:wrap type="none"/>
          </v:shape>
        </w:pict>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5"/>
        <w:gridCol w:w="881"/>
        <w:gridCol w:w="869"/>
        <w:gridCol w:w="872"/>
        <w:gridCol w:w="869"/>
        <w:gridCol w:w="869"/>
        <w:gridCol w:w="869"/>
        <w:gridCol w:w="869"/>
        <w:gridCol w:w="869"/>
        <w:gridCol w:w="870"/>
        <w:gridCol w:w="853"/>
      </w:tblGrid>
      <w:tr>
        <w:trPr>
          <w:trHeight w:val="715" w:hRule="exact"/>
        </w:trPr>
        <w:tc>
          <w:tcPr>
            <w:tcW w:w="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最初投资</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期初持股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4"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
              <w:jc w:val="right"/>
              <w:rPr>
                <w:rFonts w:ascii="宋体" w:hAnsi="宋体" w:cs="宋体" w:eastAsia="宋体" w:hint="default"/>
                <w:sz w:val="18"/>
                <w:szCs w:val="18"/>
              </w:rPr>
            </w:pPr>
            <w:r>
              <w:rPr>
                <w:rFonts w:ascii="宋体" w:hAnsi="宋体" w:cs="宋体" w:eastAsia="宋体" w:hint="default"/>
                <w:sz w:val="18"/>
                <w:szCs w:val="18"/>
              </w:rPr>
              <w:t>期末持股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9" w:right="68"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713" w:hRule="exact"/>
        </w:trPr>
        <w:tc>
          <w:tcPr>
            <w:tcW w:w="8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交通银行</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5,139,369.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3,197,945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0.01%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3,197,945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15,797,848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319,794.52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4"/>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8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购入</w:t>
            </w:r>
          </w:p>
        </w:tc>
      </w:tr>
      <w:tr>
        <w:trPr>
          <w:trHeight w:val="1027" w:hRule="exact"/>
        </w:trPr>
        <w:tc>
          <w:tcPr>
            <w:tcW w:w="8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both"/>
              <w:rPr>
                <w:rFonts w:ascii="宋体" w:hAnsi="宋体" w:cs="宋体" w:eastAsia="宋体" w:hint="default"/>
                <w:sz w:val="18"/>
                <w:szCs w:val="18"/>
              </w:rPr>
            </w:pPr>
            <w:r>
              <w:rPr>
                <w:rFonts w:ascii="宋体" w:hAnsi="宋体" w:cs="宋体" w:eastAsia="宋体" w:hint="default"/>
                <w:sz w:val="18"/>
                <w:szCs w:val="18"/>
              </w:rPr>
              <w:t>河北银行 股份有限 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25,933,500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28,170,940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1.41%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28,170,940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1.41%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25,933,500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4,789,059.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14"/>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购入</w:t>
            </w:r>
          </w:p>
        </w:tc>
      </w:tr>
      <w:tr>
        <w:trPr>
          <w:trHeight w:val="1337" w:hRule="exact"/>
        </w:trPr>
        <w:tc>
          <w:tcPr>
            <w:tcW w:w="8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2" w:right="120"/>
              <w:jc w:val="both"/>
              <w:rPr>
                <w:rFonts w:ascii="宋体" w:hAnsi="宋体" w:cs="宋体" w:eastAsia="宋体" w:hint="default"/>
                <w:sz w:val="18"/>
                <w:szCs w:val="18"/>
              </w:rPr>
            </w:pPr>
            <w:r>
              <w:rPr>
                <w:rFonts w:ascii="宋体" w:hAnsi="宋体" w:cs="宋体" w:eastAsia="宋体" w:hint="default"/>
                <w:sz w:val="18"/>
                <w:szCs w:val="18"/>
              </w:rPr>
              <w:t>河北国信 投资控股 集团股份 有限公司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信托公司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283,445.00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0.15%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283,445.00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23" w:right="114"/>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购入</w:t>
            </w:r>
          </w:p>
        </w:tc>
      </w:tr>
      <w:tr>
        <w:trPr>
          <w:trHeight w:val="715" w:hRule="exact"/>
        </w:trPr>
        <w:tc>
          <w:tcPr>
            <w:tcW w:w="17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31,356,314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31,568,885</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31,568,885</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42,014,793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5,108,854.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830"/>
        <w:gridCol w:w="787"/>
        <w:gridCol w:w="797"/>
        <w:gridCol w:w="798"/>
        <w:gridCol w:w="796"/>
        <w:gridCol w:w="799"/>
        <w:gridCol w:w="794"/>
        <w:gridCol w:w="800"/>
        <w:gridCol w:w="796"/>
        <w:gridCol w:w="769"/>
      </w:tblGrid>
      <w:tr>
        <w:trPr>
          <w:trHeight w:val="161" w:hRule="exact"/>
        </w:trPr>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 w:right="33" w:firstLine="9"/>
              <w:jc w:val="left"/>
              <w:rPr>
                <w:rFonts w:ascii="宋体" w:hAnsi="宋体" w:cs="宋体" w:eastAsia="宋体" w:hint="default"/>
                <w:sz w:val="18"/>
                <w:szCs w:val="18"/>
              </w:rPr>
            </w:pPr>
            <w:r>
              <w:rPr>
                <w:rFonts w:ascii="宋体" w:hAnsi="宋体" w:cs="宋体" w:eastAsia="宋体" w:hint="default"/>
                <w:sz w:val="18"/>
                <w:szCs w:val="18"/>
              </w:rPr>
              <w:t>最初投资 成本</w:t>
            </w:r>
          </w:p>
        </w:tc>
        <w:tc>
          <w:tcPr>
            <w:tcW w:w="797" w:type="dxa"/>
            <w:vMerge w:val="restart"/>
            <w:tcBorders>
              <w:top w:val="single" w:sz="4" w:space="0" w:color="000000"/>
              <w:left w:val="single" w:sz="4" w:space="0" w:color="000000"/>
              <w:right w:val="nil" w:sz="6" w:space="0" w:color="auto"/>
            </w:tcBorders>
            <w:shd w:val="clear" w:color="auto" w:fill="D2D2D2"/>
          </w:tcPr>
          <w:p>
            <w:pPr>
              <w:pStyle w:val="TableParagraph"/>
              <w:spacing w:line="310" w:lineRule="exact" w:before="11"/>
              <w:ind w:left="22" w:right="37" w:firstLine="9"/>
              <w:jc w:val="left"/>
              <w:rPr>
                <w:rFonts w:ascii="宋体" w:hAnsi="宋体" w:cs="宋体" w:eastAsia="宋体" w:hint="default"/>
                <w:sz w:val="18"/>
                <w:szCs w:val="18"/>
              </w:rPr>
            </w:pPr>
            <w:r>
              <w:rPr>
                <w:rFonts w:ascii="宋体" w:hAnsi="宋体" w:cs="宋体" w:eastAsia="宋体" w:hint="default"/>
                <w:sz w:val="18"/>
                <w:szCs w:val="18"/>
              </w:rPr>
              <w:t>期初持股 数量</w:t>
            </w:r>
          </w:p>
        </w:tc>
        <w:tc>
          <w:tcPr>
            <w:tcW w:w="798" w:type="dxa"/>
            <w:vMerge w:val="restart"/>
            <w:tcBorders>
              <w:top w:val="single" w:sz="4" w:space="0" w:color="000000"/>
              <w:left w:val="single" w:sz="4" w:space="0" w:color="000000"/>
              <w:right w:val="nil" w:sz="6" w:space="0" w:color="auto"/>
            </w:tcBorders>
            <w:shd w:val="clear" w:color="auto" w:fill="D2D2D2"/>
          </w:tcPr>
          <w:p>
            <w:pPr>
              <w:pStyle w:val="TableParagraph"/>
              <w:spacing w:line="310" w:lineRule="exact" w:before="11"/>
              <w:ind w:left="22" w:right="38" w:firstLine="9"/>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期初持股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796" w:type="dxa"/>
            <w:vMerge w:val="restart"/>
            <w:tcBorders>
              <w:top w:val="single" w:sz="4" w:space="0" w:color="000000"/>
              <w:left w:val="single" w:sz="4" w:space="0" w:color="000000"/>
              <w:right w:val="nil" w:sz="6" w:space="0" w:color="auto"/>
            </w:tcBorders>
            <w:shd w:val="clear" w:color="auto" w:fill="D2D2D2"/>
          </w:tcPr>
          <w:p>
            <w:pPr>
              <w:pStyle w:val="TableParagraph"/>
              <w:spacing w:line="314" w:lineRule="auto" w:before="49"/>
              <w:ind w:left="23" w:right="35" w:firstLine="9"/>
              <w:jc w:val="left"/>
              <w:rPr>
                <w:rFonts w:ascii="宋体" w:hAnsi="宋体" w:cs="宋体" w:eastAsia="宋体" w:hint="default"/>
                <w:sz w:val="18"/>
                <w:szCs w:val="18"/>
              </w:rPr>
            </w:pPr>
            <w:r>
              <w:rPr>
                <w:rFonts w:ascii="宋体" w:hAnsi="宋体" w:cs="宋体" w:eastAsia="宋体" w:hint="default"/>
                <w:sz w:val="18"/>
                <w:szCs w:val="18"/>
              </w:rPr>
              <w:t>期末持股 数量</w:t>
            </w:r>
          </w:p>
        </w:tc>
        <w:tc>
          <w:tcPr>
            <w:tcW w:w="799" w:type="dxa"/>
            <w:vMerge w:val="restart"/>
            <w:tcBorders>
              <w:top w:val="single" w:sz="4" w:space="0" w:color="000000"/>
              <w:left w:val="single" w:sz="4" w:space="0" w:color="000000"/>
              <w:right w:val="nil" w:sz="6" w:space="0" w:color="auto"/>
            </w:tcBorders>
            <w:shd w:val="clear" w:color="auto" w:fill="D2D2D2"/>
          </w:tcPr>
          <w:p>
            <w:pPr>
              <w:pStyle w:val="TableParagraph"/>
              <w:spacing w:line="310" w:lineRule="exact" w:before="11"/>
              <w:ind w:left="22" w:right="41" w:firstLine="9"/>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期末持股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 w:right="30"/>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 w:right="35"/>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12" w:right="31"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7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78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nil" w:sz="6" w:space="0" w:color="auto"/>
            </w:tcBorders>
            <w:shd w:val="clear" w:color="auto" w:fill="D2D2D2"/>
          </w:tcPr>
          <w:p>
            <w:pPr/>
          </w:p>
        </w:tc>
        <w:tc>
          <w:tcPr>
            <w:tcW w:w="798" w:type="dxa"/>
            <w:vMerge/>
            <w:tcBorders>
              <w:left w:val="single" w:sz="4" w:space="0" w:color="000000"/>
              <w:bottom w:val="nil" w:sz="6" w:space="0" w:color="auto"/>
              <w:right w:val="nil" w:sz="6" w:space="0" w:color="auto"/>
            </w:tcBorders>
            <w:shd w:val="clear" w:color="auto" w:fill="D2D2D2"/>
          </w:tcPr>
          <w:p>
            <w:pPr/>
          </w:p>
        </w:tc>
        <w:tc>
          <w:tcPr>
            <w:tcW w:w="796" w:type="dxa"/>
            <w:vMerge/>
            <w:tcBorders>
              <w:left w:val="single" w:sz="4" w:space="0" w:color="000000"/>
              <w:right w:val="nil" w:sz="6" w:space="0" w:color="auto"/>
            </w:tcBorders>
            <w:shd w:val="clear" w:color="auto" w:fill="D2D2D2"/>
          </w:tcPr>
          <w:p>
            <w:pPr/>
          </w:p>
        </w:tc>
        <w:tc>
          <w:tcPr>
            <w:tcW w:w="799" w:type="dxa"/>
            <w:vMerge/>
            <w:tcBorders>
              <w:left w:val="single" w:sz="4" w:space="0" w:color="000000"/>
              <w:bottom w:val="nil" w:sz="6" w:space="0" w:color="auto"/>
              <w:right w:val="nil" w:sz="6" w:space="0" w:color="auto"/>
            </w:tcBorders>
            <w:shd w:val="clear" w:color="auto" w:fill="D2D2D2"/>
          </w:tcPr>
          <w:p>
            <w:pPr/>
          </w:p>
        </w:tc>
        <w:tc>
          <w:tcPr>
            <w:tcW w:w="794"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7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61" w:hRule="exact"/>
        </w:trPr>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nil" w:sz="6" w:space="0" w:color="auto"/>
            </w:tcBorders>
            <w:shd w:val="clear" w:color="auto" w:fill="D2D2D2"/>
          </w:tcPr>
          <w:p>
            <w:pPr/>
          </w:p>
        </w:tc>
        <w:tc>
          <w:tcPr>
            <w:tcW w:w="798" w:type="dxa"/>
            <w:tcBorders>
              <w:top w:val="nil" w:sz="6" w:space="0" w:color="auto"/>
              <w:left w:val="single" w:sz="4" w:space="0" w:color="000000"/>
              <w:bottom w:val="single" w:sz="4" w:space="0" w:color="000000"/>
              <w:right w:val="nil" w:sz="6" w:space="0" w:color="auto"/>
            </w:tcBorders>
            <w:shd w:val="clear" w:color="auto" w:fill="D2D2D2"/>
          </w:tcPr>
          <w:p>
            <w:pPr/>
          </w:p>
        </w:tc>
        <w:tc>
          <w:tcPr>
            <w:tcW w:w="796" w:type="dxa"/>
            <w:vMerge/>
            <w:tcBorders>
              <w:left w:val="single" w:sz="4" w:space="0" w:color="000000"/>
              <w:bottom w:val="single" w:sz="4" w:space="0" w:color="000000"/>
              <w:right w:val="nil" w:sz="6" w:space="0" w:color="auto"/>
            </w:tcBorders>
            <w:shd w:val="clear" w:color="auto" w:fill="D2D2D2"/>
          </w:tcPr>
          <w:p>
            <w:pPr/>
          </w:p>
        </w:tc>
        <w:tc>
          <w:tcPr>
            <w:tcW w:w="799" w:type="dxa"/>
            <w:tcBorders>
              <w:top w:val="nil" w:sz="6" w:space="0" w:color="auto"/>
              <w:left w:val="single" w:sz="4" w:space="0" w:color="000000"/>
              <w:bottom w:val="single" w:sz="4" w:space="0" w:color="000000"/>
              <w:right w:val="nil" w:sz="6" w:space="0" w:color="auto"/>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7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42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pict>
          <v:shape style="position:absolute;margin-left:193.462997pt;margin-top:-38.308281pt;width:62.35pt;height:17.650pt;mso-position-horizontal-relative:page;mso-position-vertical-relative:paragraph;z-index:-949960" type="#_x0000_t202" filled="false" stroked="false">
            <v:textbox inset="0,0,0,0">
              <w:txbxContent>
                <w:p>
                  <w:pPr>
                    <w:pStyle w:val="BodyText"/>
                    <w:spacing w:line="240" w:lineRule="auto" w:before="8"/>
                    <w:ind w:left="0" w:right="0"/>
                    <w:jc w:val="left"/>
                  </w:pPr>
                  <w:r>
                    <w:rPr/>
                    <w:t>（元）</w:t>
                  </w:r>
                </w:p>
              </w:txbxContent>
            </v:textbox>
            <w10:wrap type="none"/>
          </v:shape>
        </w:pict>
      </w:r>
      <w:r>
        <w:rPr/>
        <w:pict>
          <v:shape style="position:absolute;margin-left:233.207001pt;margin-top:-38.308281pt;width:62.45pt;height:17.650pt;mso-position-horizontal-relative:page;mso-position-vertical-relative:paragraph;z-index:-949936" type="#_x0000_t202" filled="false" stroked="false">
            <v:textbox inset="0,0,0,0">
              <w:txbxContent>
                <w:p>
                  <w:pPr>
                    <w:pStyle w:val="BodyText"/>
                    <w:spacing w:line="240" w:lineRule="auto" w:before="8"/>
                    <w:ind w:left="0" w:right="0"/>
                    <w:jc w:val="left"/>
                  </w:pPr>
                  <w:r>
                    <w:rPr/>
                    <w:t>（股）</w:t>
                  </w:r>
                </w:p>
              </w:txbxContent>
            </v:textbox>
            <w10:wrap type="none"/>
          </v:shape>
        </w:pict>
      </w:r>
      <w:r>
        <w:rPr/>
        <w:pict>
          <v:shape style="position:absolute;margin-left:291.049988pt;margin-top:-38.308281pt;width:44.45pt;height:17.650pt;mso-position-horizontal-relative:page;mso-position-vertical-relative:paragraph;z-index:-949912" type="#_x0000_t202" filled="false" stroked="false">
            <v:textbox inset="0,0,0,0">
              <w:txbxContent>
                <w:p>
                  <w:pPr>
                    <w:pStyle w:val="BodyText"/>
                    <w:spacing w:line="240" w:lineRule="auto" w:before="8"/>
                    <w:ind w:left="0" w:right="0"/>
                    <w:jc w:val="left"/>
                  </w:pPr>
                  <w:r>
                    <w:rPr/>
                    <w:t>）</w:t>
                  </w:r>
                </w:p>
              </w:txbxContent>
            </v:textbox>
            <w10:wrap type="none"/>
          </v:shape>
        </w:pict>
      </w:r>
      <w:r>
        <w:rPr/>
        <w:pict>
          <v:shape style="position:absolute;margin-left:313.006989pt;margin-top:-38.308281pt;width:62.45pt;height:17.650pt;mso-position-horizontal-relative:page;mso-position-vertical-relative:paragraph;z-index:-949888" type="#_x0000_t202" filled="false" stroked="false">
            <v:textbox inset="0,0,0,0">
              <w:txbxContent>
                <w:p>
                  <w:pPr>
                    <w:pStyle w:val="BodyText"/>
                    <w:spacing w:line="240" w:lineRule="auto" w:before="8"/>
                    <w:ind w:left="0" w:right="0"/>
                    <w:jc w:val="left"/>
                  </w:pPr>
                  <w:r>
                    <w:rPr/>
                    <w:t>（股）</w:t>
                  </w:r>
                </w:p>
              </w:txbxContent>
            </v:textbox>
            <w10:wrap type="none"/>
          </v:shape>
        </w:pict>
      </w:r>
      <w:r>
        <w:rPr/>
        <w:pict>
          <v:shape style="position:absolute;margin-left:370.75pt;margin-top:-38.308281pt;width:44.4pt;height:17.650pt;mso-position-horizontal-relative:page;mso-position-vertical-relative:paragraph;z-index:-949864" type="#_x0000_t202" filled="false" stroked="false">
            <v:textbox inset="0,0,0,0">
              <w:txbxContent>
                <w:p>
                  <w:pPr>
                    <w:pStyle w:val="BodyText"/>
                    <w:spacing w:line="240" w:lineRule="auto" w:before="8"/>
                    <w:ind w:left="0" w:right="0"/>
                    <w:jc w:val="left"/>
                  </w:pPr>
                  <w:r>
                    <w:rPr/>
                    <w:t>）</w:t>
                  </w:r>
                </w:p>
              </w:txbxContent>
            </v:textbox>
            <w10:wrap type="none"/>
          </v:shape>
        </w:pict>
      </w:r>
      <w:r>
        <w:rPr/>
        <w:t>持有其他上市公司股权情况的说明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54.411716pt;width:135pt;height:77pt;mso-position-horizontal-relative:page;mso-position-vertical-relative:paragraph;z-index:-949816" coordorigin="9206,1088" coordsize="2700,1540">
            <v:shape style="position:absolute;left:9206;top:1088;width:2700;height:1540" type="#_x0000_t75" stroked="false">
              <v:imagedata r:id="rId16" o:title=""/>
            </v:shape>
            <v:shape style="position:absolute;left:10593;top:144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w:t>
                    </w:r>
                  </w:p>
                </w:txbxContent>
              </v:textbox>
              <w10:wrap type="none"/>
            </v:shape>
            <w10:wrap type="none"/>
          </v:group>
        </w:pict>
      </w: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2"/>
        <w:gridCol w:w="798"/>
        <w:gridCol w:w="794"/>
        <w:gridCol w:w="807"/>
        <w:gridCol w:w="799"/>
        <w:gridCol w:w="797"/>
        <w:gridCol w:w="800"/>
        <w:gridCol w:w="797"/>
        <w:gridCol w:w="799"/>
        <w:gridCol w:w="797"/>
        <w:gridCol w:w="799"/>
        <w:gridCol w:w="792"/>
      </w:tblGrid>
      <w:tr>
        <w:trPr>
          <w:trHeight w:val="715"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1" w:right="30" w:hanging="272"/>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2" w:right="3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29"/>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 w:right="38"/>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5"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 w:right="29"/>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5" w:right="33"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6" w:right="29"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1"/>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 w:right="29"/>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5"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关联关系</w:t>
            </w:r>
          </w:p>
        </w:tc>
      </w:tr>
    </w:tbl>
    <w:p>
      <w:pPr>
        <w:spacing w:after="0" w:line="240" w:lineRule="auto"/>
        <w:jc w:val="left"/>
        <w:rPr>
          <w:rFonts w:ascii="宋体" w:hAnsi="宋体" w:cs="宋体" w:eastAsia="宋体" w:hint="default"/>
          <w:sz w:val="18"/>
          <w:szCs w:val="18"/>
        </w:rPr>
        <w:sectPr>
          <w:headerReference w:type="default" r:id="rId18"/>
          <w:footerReference w:type="default" r:id="rId19"/>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80"/>
        <w:gridCol w:w="810"/>
        <w:gridCol w:w="794"/>
        <w:gridCol w:w="807"/>
        <w:gridCol w:w="799"/>
        <w:gridCol w:w="797"/>
        <w:gridCol w:w="800"/>
        <w:gridCol w:w="798"/>
        <w:gridCol w:w="798"/>
        <w:gridCol w:w="799"/>
        <w:gridCol w:w="798"/>
        <w:gridCol w:w="792"/>
      </w:tblGrid>
      <w:tr>
        <w:trPr>
          <w:trHeight w:val="404"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539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316" w:lineRule="auto"/>
              <w:ind w:left="22" w:right="69"/>
              <w:jc w:val="both"/>
              <w:rPr>
                <w:rFonts w:ascii="宋体" w:hAnsi="宋体" w:cs="宋体" w:eastAsia="宋体" w:hint="default"/>
                <w:sz w:val="18"/>
                <w:szCs w:val="18"/>
              </w:rPr>
            </w:pPr>
            <w:r>
              <w:rPr>
                <w:rFonts w:ascii="宋体" w:hAnsi="宋体" w:cs="宋体" w:eastAsia="宋体" w:hint="default"/>
                <w:sz w:val="18"/>
                <w:szCs w:val="18"/>
              </w:rPr>
              <w:t>报告期衍生品持仓的风险分析及控制措施说明（包括但不限 于市场风险、流动性风险、信用风险、操作风险、法律风险 等）</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19"/>
              <w:jc w:val="left"/>
              <w:rPr>
                <w:rFonts w:ascii="宋体" w:hAnsi="宋体" w:cs="宋体" w:eastAsia="宋体" w:hint="default"/>
                <w:sz w:val="18"/>
                <w:szCs w:val="18"/>
              </w:rPr>
            </w:pPr>
            <w:r>
              <w:rPr>
                <w:rFonts w:ascii="宋体" w:hAnsi="宋体" w:cs="宋体" w:eastAsia="宋体" w:hint="default"/>
                <w:sz w:val="18"/>
                <w:szCs w:val="18"/>
              </w:rPr>
              <w:t>风险分析：产品价格波动风险：因价格变化使持有的期货合 约的价值发生变化的风险，价格波动使投资者的期望利益受 损。流动性风险：棉花期货交易面临期货合约流通量风险和 公司资金量风险。信用风险：由于交易对手不履行合约责任 而导致的风险。操作风险：因信息系统或内部控制方面的缺 陷而导致意外损失的可能。法律风险：在期货交易中，由于 相关行为与相应的法规发生冲突，致使无法获得当初所期待 </w:t>
            </w:r>
            <w:r>
              <w:rPr>
                <w:rFonts w:ascii="宋体" w:hAnsi="宋体" w:cs="宋体" w:eastAsia="宋体" w:hint="default"/>
                <w:spacing w:val="-2"/>
                <w:sz w:val="18"/>
                <w:szCs w:val="18"/>
              </w:rPr>
              <w:t>的经济效果甚至蒙受损失的风险。控制措施说明：</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户的经纪公司均为具备经纪资格的合法公司，并与之签订了 经纪合同。</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、公司资金较充裕，具有一定的期货投资经验。 公司制定了《衍生品交易业务制度》对期货业务进行管理， 可最大限度避免制度不完善、工作程序不恰当等造成的操作 </w:t>
            </w:r>
            <w:r>
              <w:rPr>
                <w:rFonts w:ascii="宋体" w:hAnsi="宋体" w:cs="宋体" w:eastAsia="宋体" w:hint="default"/>
                <w:spacing w:val="-2"/>
                <w:sz w:val="18"/>
                <w:szCs w:val="18"/>
              </w:rPr>
              <w:t>风险。</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、在每一次业务开展前，首先制定详细的投资策略与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计划，将风险降至可以承受的程度，并充分评估投资风险与 </w:t>
            </w:r>
            <w:r>
              <w:rPr>
                <w:rFonts w:ascii="宋体" w:hAnsi="宋体" w:cs="宋体" w:eastAsia="宋体" w:hint="default"/>
                <w:spacing w:val="-2"/>
                <w:sz w:val="18"/>
                <w:szCs w:val="18"/>
              </w:rPr>
              <w:t>收益。</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、在每一次业务开展过程中，由公司审计部对投资过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程进行监控，授权操作部门及时将有关情况进行上报，确保 风险可控。</w:t>
            </w:r>
          </w:p>
        </w:tc>
      </w:tr>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9"/>
              <w:jc w:val="left"/>
              <w:rPr>
                <w:rFonts w:ascii="宋体" w:hAnsi="宋体" w:cs="宋体" w:eastAsia="宋体" w:hint="default"/>
                <w:sz w:val="18"/>
                <w:szCs w:val="18"/>
              </w:rPr>
            </w:pPr>
            <w:r>
              <w:rPr>
                <w:rFonts w:ascii="宋体" w:hAnsi="宋体" w:cs="宋体" w:eastAsia="宋体" w:hint="default"/>
                <w:sz w:val="18"/>
                <w:szCs w:val="18"/>
              </w:rPr>
              <w:t>已投资衍生品报告期内市场价格或产品公允价值变动的情 况，对衍生品公允价值的分析应披露具体使用的方法及相关 假设与参数的设定</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2" w:right="72"/>
              <w:jc w:val="left"/>
              <w:rPr>
                <w:rFonts w:ascii="宋体" w:hAnsi="宋体" w:cs="宋体" w:eastAsia="宋体" w:hint="default"/>
                <w:sz w:val="18"/>
                <w:szCs w:val="18"/>
              </w:rPr>
            </w:pPr>
            <w:r>
              <w:rPr>
                <w:rFonts w:ascii="宋体" w:hAnsi="宋体" w:cs="宋体" w:eastAsia="宋体" w:hint="default"/>
                <w:sz w:val="18"/>
                <w:szCs w:val="18"/>
              </w:rPr>
              <w:t>公司持有的棉花期货合约的公允价值依据期货交易所公布的 合约结算价确定。</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报告期公司衍生品的会计政策及会计核算具体原则与上一报 告期相比是否发生重大变化的说明</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报告期公司衍生品的会计政策及会计核算具体原则与上一报 告期相比没有发生重大变化。</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独立董事对公司衍生品投资及风险控制情况的专项意见</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982"/>
        <w:jc w:val="left"/>
      </w:pPr>
      <w:r>
        <w:rPr/>
        <w:t>报告期末衍生品投资的持仓情况</w:t>
      </w:r>
    </w:p>
    <w:p>
      <w:pPr>
        <w:pStyle w:val="BodyText"/>
        <w:spacing w:line="240" w:lineRule="auto" w:before="115"/>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0" w:right="1138"/>
        <w:jc w:val="right"/>
      </w:pPr>
      <w:r>
        <w:rPr/>
        <w:pict>
          <v:shape style="position:absolute;margin-left:56.400002pt;margin-top:-18.528284pt;width:479.4pt;height:92.1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6"/>
                    <w:gridCol w:w="1913"/>
                    <w:gridCol w:w="1916"/>
                    <w:gridCol w:w="1902"/>
                    <w:gridCol w:w="1927"/>
                  </w:tblGrid>
                  <w:tr>
                    <w:trPr>
                      <w:trHeight w:val="71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合约种类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期初合约金额（元）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期末合约金额（元）</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报告期损益情况</w:t>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50" w:firstLine="28"/>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期末合约金额占公司报 告期末净资产比例（</w:t>
                        </w:r>
                        <w:r>
                          <w:rPr>
                            <w:rFonts w:ascii="Times New Roman" w:hAnsi="Times New Roman" w:cs="Times New Roman" w:eastAsia="Times New Roman" w:hint="default"/>
                            <w:sz w:val="18"/>
                            <w:szCs w:val="18"/>
                          </w:rPr>
                          <w:t>%</w:t>
                        </w:r>
                      </w:p>
                    </w:tc>
                  </w:tr>
                  <w:tr>
                    <w:trPr>
                      <w:trHeight w:val="718" w:hRule="exact"/>
                    </w:trPr>
                    <w:tc>
                      <w:tcPr>
                        <w:tcW w:w="19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棉花期货合约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1,635,043.00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10" w:right="0"/>
                          <w:jc w:val="left"/>
                          <w:rPr>
                            <w:rFonts w:ascii="Times New Roman" w:hAnsi="Times New Roman" w:cs="Times New Roman" w:eastAsia="Times New Roman" w:hint="default"/>
                            <w:sz w:val="18"/>
                            <w:szCs w:val="18"/>
                          </w:rPr>
                        </w:pPr>
                        <w:r>
                          <w:rPr>
                            <w:rFonts w:ascii="Times New Roman"/>
                            <w:sz w:val="18"/>
                          </w:rPr>
                          <w:t>-271,039.70</w:t>
                        </w:r>
                      </w:p>
                    </w:tc>
                    <w:tc>
                      <w:tcPr>
                        <w:tcW w:w="1927"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1,635,043.00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357" w:lineRule="auto" w:before="44"/>
        <w:ind w:right="8414"/>
        <w:jc w:val="left"/>
      </w:pPr>
      <w:r>
        <w:rPr/>
        <w:t>说明 上述投资为公司的自有资金。</w:t>
      </w:r>
    </w:p>
    <w:p>
      <w:pPr>
        <w:spacing w:line="240" w:lineRule="auto" w:before="6"/>
        <w:rPr>
          <w:rFonts w:ascii="宋体" w:hAnsi="宋体" w:cs="宋体" w:eastAsia="宋体" w:hint="default"/>
          <w:sz w:val="20"/>
          <w:szCs w:val="20"/>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23.33572pt;width:135pt;height:77pt;mso-position-horizontal-relative:page;mso-position-vertical-relative:paragraph;z-index:1480" coordorigin="9206,467" coordsize="2700,1540">
            <v:shape style="position:absolute;left:9206;top:467;width:2700;height:1540" type="#_x0000_t75" stroked="false">
              <v:imagedata r:id="rId16" o:title=""/>
            </v:shape>
            <v:shape style="position:absolute;left:10593;top:827;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17</w:t>
                    </w:r>
                  </w:p>
                </w:txbxContent>
              </v:textbox>
              <w10:wrap type="none"/>
            </v:shape>
            <w10:wrap type="none"/>
          </v:group>
        </w:pict>
      </w:r>
      <w:r>
        <w:rPr/>
        <w:t>单位：万元</w:t>
      </w:r>
    </w:p>
    <w:p>
      <w:pPr>
        <w:spacing w:after="0" w:line="240" w:lineRule="auto"/>
        <w:jc w:val="right"/>
        <w:sectPr>
          <w:headerReference w:type="default" r:id="rId20"/>
          <w:footerReference w:type="default" r:id="rId21"/>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949696" coordorigin="9206,15298" coordsize="2700,1540">
            <v:shape style="position:absolute;left:9206;top:15298;width:2700;height:1540" type="#_x0000_t75" stroked="false">
              <v:imagedata r:id="rId16"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18</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515"/>
        <w:gridCol w:w="958"/>
        <w:gridCol w:w="1184"/>
        <w:gridCol w:w="1181"/>
        <w:gridCol w:w="1184"/>
        <w:gridCol w:w="1181"/>
        <w:gridCol w:w="1184"/>
        <w:gridCol w:w="1181"/>
      </w:tblGrid>
      <w:tr>
        <w:trPr>
          <w:trHeight w:val="1025" w:hRule="exact"/>
        </w:trPr>
        <w:tc>
          <w:tcPr>
            <w:tcW w:w="1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94"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是否关联方</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8"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5"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99" w:right="45" w:hanging="452"/>
              <w:jc w:val="left"/>
              <w:rPr>
                <w:rFonts w:ascii="宋体" w:hAnsi="宋体" w:cs="宋体" w:eastAsia="宋体" w:hint="default"/>
                <w:sz w:val="18"/>
                <w:szCs w:val="18"/>
              </w:rPr>
            </w:pPr>
            <w:r>
              <w:rPr>
                <w:rFonts w:ascii="宋体" w:hAnsi="宋体" w:cs="宋体" w:eastAsia="宋体" w:hint="default"/>
                <w:sz w:val="18"/>
                <w:szCs w:val="18"/>
              </w:rPr>
              <w:t>担保人或抵押 物</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5" w:right="43" w:hanging="360"/>
              <w:jc w:val="left"/>
              <w:rPr>
                <w:rFonts w:ascii="宋体" w:hAnsi="宋体" w:cs="宋体" w:eastAsia="宋体" w:hint="default"/>
                <w:sz w:val="18"/>
                <w:szCs w:val="18"/>
              </w:rPr>
            </w:pPr>
            <w:r>
              <w:rPr>
                <w:rFonts w:ascii="宋体" w:hAnsi="宋体" w:cs="宋体" w:eastAsia="宋体" w:hint="default"/>
                <w:sz w:val="18"/>
                <w:szCs w:val="18"/>
              </w:rPr>
              <w:t>贷款对象资金 用途</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7" w:right="44" w:hanging="180"/>
              <w:jc w:val="left"/>
              <w:rPr>
                <w:rFonts w:ascii="宋体" w:hAnsi="宋体" w:cs="宋体" w:eastAsia="宋体" w:hint="default"/>
                <w:sz w:val="18"/>
                <w:szCs w:val="18"/>
              </w:rPr>
            </w:pPr>
            <w:r>
              <w:rPr>
                <w:rFonts w:ascii="宋体" w:hAnsi="宋体" w:cs="宋体" w:eastAsia="宋体" w:hint="default"/>
                <w:sz w:val="18"/>
                <w:szCs w:val="18"/>
              </w:rPr>
              <w:t>展期、逾期或 诉讼事项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5" w:right="43"/>
              <w:jc w:val="both"/>
              <w:rPr>
                <w:rFonts w:ascii="宋体" w:hAnsi="宋体" w:cs="宋体" w:eastAsia="宋体" w:hint="default"/>
                <w:sz w:val="18"/>
                <w:szCs w:val="18"/>
              </w:rPr>
            </w:pPr>
            <w:r>
              <w:rPr>
                <w:rFonts w:ascii="宋体" w:hAnsi="宋体" w:cs="宋体" w:eastAsia="宋体" w:hint="default"/>
                <w:sz w:val="18"/>
                <w:szCs w:val="18"/>
              </w:rPr>
              <w:t>展期、逾期或 诉讼事项等风 险的应对措施</w:t>
            </w:r>
          </w:p>
        </w:tc>
      </w:tr>
      <w:tr>
        <w:trPr>
          <w:trHeight w:val="715" w:hRule="exact"/>
        </w:trPr>
        <w:tc>
          <w:tcPr>
            <w:tcW w:w="15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4" w:right="39"/>
              <w:jc w:val="left"/>
              <w:rPr>
                <w:rFonts w:ascii="宋体" w:hAnsi="宋体" w:cs="宋体" w:eastAsia="宋体" w:hint="default"/>
                <w:sz w:val="18"/>
                <w:szCs w:val="18"/>
              </w:rPr>
            </w:pPr>
            <w:r>
              <w:rPr>
                <w:rFonts w:ascii="宋体" w:hAnsi="宋体" w:cs="宋体" w:eastAsia="宋体" w:hint="default"/>
                <w:sz w:val="18"/>
                <w:szCs w:val="18"/>
              </w:rPr>
              <w:t>石家庄市国有资本 经营有限公司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w:t>
            </w:r>
          </w:p>
        </w:tc>
        <w:tc>
          <w:tcPr>
            <w:tcW w:w="118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8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982"/>
        <w:jc w:val="left"/>
      </w:pPr>
      <w:r>
        <w:rPr/>
        <w:t>说明</w:t>
      </w:r>
    </w:p>
    <w:p>
      <w:pPr>
        <w:pStyle w:val="BodyText"/>
        <w:spacing w:line="240" w:lineRule="auto" w:before="115"/>
        <w:ind w:left="657" w:right="982"/>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日经公司董事会四届二十六次会议审议通过，本公司通过上海浦东发展银行股份有限公司石家庄分行，</w:t>
      </w:r>
    </w:p>
    <w:p>
      <w:pPr>
        <w:pStyle w:val="BodyText"/>
        <w:spacing w:line="309" w:lineRule="auto" w:before="63"/>
        <w:ind w:right="1133"/>
        <w:jc w:val="both"/>
      </w:pPr>
      <w:r>
        <w:rPr>
          <w:spacing w:val="-2"/>
        </w:rPr>
        <w:t>以委托贷款的方式向石家庄市国有资本经营有限公司发放贷款人民币</w:t>
      </w:r>
      <w:r>
        <w:rPr>
          <w:rFonts w:ascii="Times New Roman" w:hAnsi="Times New Roman" w:cs="Times New Roman" w:eastAsia="Times New Roman" w:hint="default"/>
          <w:spacing w:val="-2"/>
        </w:rPr>
        <w:t>1</w:t>
      </w:r>
      <w:r>
        <w:rPr>
          <w:spacing w:val="-2"/>
        </w:rPr>
        <w:t>亿元，期限自发放贷款之日起</w:t>
      </w:r>
      <w:r>
        <w:rPr>
          <w:rFonts w:ascii="Times New Roman" w:hAnsi="Times New Roman" w:cs="Times New Roman" w:eastAsia="Times New Roman" w:hint="default"/>
          <w:spacing w:val="-2"/>
        </w:rPr>
        <w:t>3</w:t>
      </w:r>
      <w:r>
        <w:rPr>
          <w:spacing w:val="-2"/>
        </w:rPr>
        <w:t>个月，年利率</w:t>
      </w:r>
      <w:r>
        <w:rPr>
          <w:rFonts w:ascii="Times New Roman" w:hAnsi="Times New Roman" w:cs="Times New Roman" w:eastAsia="Times New Roman" w:hint="default"/>
          <w:spacing w:val="-2"/>
        </w:rPr>
        <w:t>12%</w:t>
      </w:r>
      <w:r>
        <w:rPr>
          <w:spacing w:val="-2"/>
        </w:rPr>
        <w:t>，公</w:t>
      </w:r>
      <w:r>
        <w:rPr>
          <w:spacing w:val="-49"/>
        </w:rPr>
        <w:t> </w:t>
      </w:r>
      <w:r>
        <w:rPr>
          <w:spacing w:val="-2"/>
        </w:rPr>
        <w:t>司在委托贷款发放之前将资金划入浦发银行石家庄分行委托资金专户。委托贷款有关结算业务由浦发银行石家庄分行按中国</w:t>
      </w:r>
      <w:r>
        <w:rPr>
          <w:spacing w:val="-64"/>
        </w:rPr>
        <w:t> </w:t>
      </w:r>
      <w:r>
        <w:rPr>
          <w:spacing w:val="-64"/>
        </w:rPr>
      </w:r>
      <w:r>
        <w:rPr/>
        <w:t>人民银行有关规定执行。本息已于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24</w:t>
      </w:r>
      <w:r>
        <w:rPr/>
        <w:t>日一次性结清。以上投资资金为公司的自有资金。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6"/>
        <w:ind w:right="0"/>
        <w:jc w:val="both"/>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77"/>
        <w:gridCol w:w="5481"/>
      </w:tblGrid>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120,315.28</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63,525.62</w:t>
            </w:r>
          </w:p>
        </w:tc>
      </w:tr>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118,586.13</w:t>
            </w:r>
          </w:p>
        </w:tc>
      </w:tr>
      <w:tr>
        <w:trPr>
          <w:trHeight w:val="404"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公司募集资金净额为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120,315.28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月非公开发行股票（</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股）募集资金净额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58,323.28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万元，专项</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用于公司生产技术投资项目建设；</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月发行公司债募集资金净额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61,992 </w:t>
            </w:r>
            <w:r>
              <w:rPr>
                <w:rFonts w:ascii="宋体" w:hAnsi="宋体" w:cs="宋体" w:eastAsia="宋体" w:hint="default"/>
                <w:sz w:val="18"/>
                <w:szCs w:val="18"/>
              </w:rPr>
              <w:t>万元，用于公司补充流动资金及偿还部分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银行贷款。截至本报告末募集资金余额为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1,729.15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万元，全部为非公开发行股票募集资金。</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8"/>
        <w:gridCol w:w="781"/>
        <w:gridCol w:w="780"/>
        <w:gridCol w:w="780"/>
        <w:gridCol w:w="780"/>
        <w:gridCol w:w="780"/>
        <w:gridCol w:w="780"/>
        <w:gridCol w:w="781"/>
        <w:gridCol w:w="780"/>
        <w:gridCol w:w="780"/>
      </w:tblGrid>
      <w:tr>
        <w:trPr>
          <w:trHeight w:val="133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0"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开发高档多组分纤维 服装面料项目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43,039.04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43,039.04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1,533.62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41,298.73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95.96%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1,361.55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headerReference w:type="default" r:id="rId22"/>
          <w:footerReference w:type="default" r:id="rId23"/>
          <w:pgSz w:w="11910" w:h="16840"/>
          <w:pgMar w:header="877" w:footer="0" w:top="1060" w:bottom="0" w:left="980" w:right="0"/>
        </w:sectPr>
      </w:pPr>
    </w:p>
    <w:p>
      <w:pPr>
        <w:spacing w:line="240" w:lineRule="auto" w:before="0"/>
        <w:rPr>
          <w:rFonts w:ascii="宋体" w:hAnsi="宋体" w:cs="宋体" w:eastAsia="宋体" w:hint="default"/>
          <w:sz w:val="20"/>
          <w:szCs w:val="20"/>
        </w:rPr>
      </w:pPr>
      <w:r>
        <w:rPr/>
        <w:pict>
          <v:shape style="position:absolute;margin-left:57pt;margin-top:71.999985pt;width:478.7pt;height:689.5pt;mso-position-horizontal-relative:page;mso-position-vertical-relative:page;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0"/>
                    <w:gridCol w:w="772"/>
                    <w:gridCol w:w="786"/>
                    <w:gridCol w:w="780"/>
                    <w:gridCol w:w="780"/>
                    <w:gridCol w:w="786"/>
                    <w:gridCol w:w="774"/>
                    <w:gridCol w:w="774"/>
                    <w:gridCol w:w="793"/>
                    <w:gridCol w:w="774"/>
                    <w:gridCol w:w="780"/>
                  </w:tblGrid>
                  <w:tr>
                    <w:trPr>
                      <w:trHeight w:val="1025" w:hRule="exact"/>
                    </w:trPr>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 w:right="117"/>
                          <w:jc w:val="left"/>
                          <w:rPr>
                            <w:rFonts w:ascii="宋体" w:hAnsi="宋体" w:cs="宋体" w:eastAsia="宋体" w:hint="default"/>
                            <w:sz w:val="18"/>
                            <w:szCs w:val="18"/>
                          </w:rPr>
                        </w:pPr>
                        <w:r>
                          <w:rPr>
                            <w:rFonts w:ascii="宋体" w:hAnsi="宋体" w:cs="宋体" w:eastAsia="宋体" w:hint="default"/>
                            <w:sz w:val="18"/>
                            <w:szCs w:val="18"/>
                          </w:rPr>
                          <w:t>高档纺织产品开发与 生产技术改造项目</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15,295.40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15,295.40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15,295.40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100%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520.91</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16"/>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58,334.44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58,334.44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1,533.62</w:t>
                        </w:r>
                      </w:p>
                    </w:tc>
                    <w:tc>
                      <w:tcPr>
                        <w:tcW w:w="78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56,594.13</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0" w:right="0"/>
                          <w:jc w:val="left"/>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1,882.46</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5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8"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16"/>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58,334.44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58,334.44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1,533.62</w:t>
                        </w:r>
                      </w:p>
                    </w:tc>
                    <w:tc>
                      <w:tcPr>
                        <w:tcW w:w="78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56,594.13</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0" w:right="0"/>
                          <w:jc w:val="left"/>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1,882.46</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1133" w:hRule="exact"/>
                    </w:trPr>
                    <w:tc>
                      <w:tcPr>
                        <w:tcW w:w="1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shd w:val="clear" w:color="auto" w:fill="C6ECCC"/>
                      </w:tcPr>
                      <w:p>
                        <w:pPr>
                          <w:pStyle w:val="TableParagraph"/>
                          <w:spacing w:line="240" w:lineRule="auto" w:before="44"/>
                          <w:ind w:left="379" w:right="0"/>
                          <w:jc w:val="left"/>
                          <w:rPr>
                            <w:rFonts w:ascii="宋体" w:hAnsi="宋体" w:cs="宋体" w:eastAsia="宋体" w:hint="default"/>
                            <w:sz w:val="18"/>
                            <w:szCs w:val="18"/>
                          </w:rPr>
                        </w:pPr>
                        <w:r>
                          <w:rPr>
                            <w:rFonts w:ascii="宋体" w:hAnsi="宋体" w:cs="宋体" w:eastAsia="宋体" w:hint="default"/>
                            <w:sz w:val="18"/>
                            <w:szCs w:val="18"/>
                          </w:rPr>
                          <w:t>开发高档多组分纤维服</w:t>
                        </w:r>
                        <w:r>
                          <w:rPr>
                            <w:rFonts w:ascii="宋体" w:hAnsi="宋体" w:cs="宋体" w:eastAsia="宋体" w:hint="default"/>
                            <w:spacing w:val="-3"/>
                            <w:sz w:val="18"/>
                            <w:szCs w:val="18"/>
                          </w:rPr>
                          <w:t>装</w:t>
                        </w:r>
                        <w:r>
                          <w:rPr>
                            <w:rFonts w:ascii="宋体" w:hAnsi="宋体" w:cs="宋体" w:eastAsia="宋体" w:hint="default"/>
                            <w:sz w:val="18"/>
                            <w:szCs w:val="18"/>
                          </w:rPr>
                          <w:t>面料项目承诺投资总额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89"/>
                            <w:sz w:val="18"/>
                            <w:szCs w:val="18"/>
                          </w:rPr>
                          <w:t>，</w:t>
                        </w:r>
                        <w:r>
                          <w:rPr>
                            <w:rFonts w:ascii="宋体" w:hAnsi="宋体" w:cs="宋体" w:eastAsia="宋体" w:hint="default"/>
                            <w:sz w:val="18"/>
                            <w:szCs w:val="18"/>
                          </w:rPr>
                          <w:t>其中募集资金</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43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自筹资金</w:t>
                        </w:r>
                        <w:r>
                          <w:rPr>
                            <w:rFonts w:ascii="宋体" w:hAnsi="宋体" w:cs="宋体" w:eastAsia="宋体" w:hint="default"/>
                            <w:spacing w:val="-62"/>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截至</w:t>
                        </w:r>
                        <w:r>
                          <w:rPr>
                            <w:rFonts w:ascii="宋体" w:hAnsi="宋体" w:cs="宋体" w:eastAsia="宋体" w:hint="default"/>
                            <w:spacing w:val="-62"/>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项目已使用募集资金</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41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剩余资金</w:t>
                        </w:r>
                        <w:r>
                          <w:rPr>
                            <w:rFonts w:ascii="宋体" w:hAnsi="宋体" w:cs="宋体" w:eastAsia="宋体" w:hint="default"/>
                            <w:spacing w:val="-62"/>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万元为未付的质保金和部分设备尾款。本报告期内，该项目设备于</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年初开始陆续调试完毕，投</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入使用</w:t>
                        </w:r>
                        <w:r>
                          <w:rPr>
                            <w:rFonts w:ascii="宋体" w:hAnsi="宋体" w:cs="宋体" w:eastAsia="宋体" w:hint="default"/>
                            <w:spacing w:val="-10"/>
                            <w:sz w:val="18"/>
                            <w:szCs w:val="18"/>
                          </w:rPr>
                          <w:t>，</w:t>
                        </w:r>
                        <w:r>
                          <w:rPr>
                            <w:rFonts w:ascii="宋体" w:hAnsi="宋体" w:cs="宋体" w:eastAsia="宋体" w:hint="default"/>
                            <w:sz w:val="18"/>
                            <w:szCs w:val="18"/>
                          </w:rPr>
                          <w:t>并逐步产生收益</w:t>
                        </w:r>
                        <w:r>
                          <w:rPr>
                            <w:rFonts w:ascii="宋体" w:hAnsi="宋体" w:cs="宋体" w:eastAsia="宋体" w:hint="default"/>
                            <w:spacing w:val="-10"/>
                            <w:sz w:val="18"/>
                            <w:szCs w:val="18"/>
                          </w:rPr>
                          <w:t>。</w:t>
                        </w:r>
                        <w:r>
                          <w:rPr>
                            <w:rFonts w:ascii="宋体" w:hAnsi="宋体" w:cs="宋体" w:eastAsia="宋体" w:hint="default"/>
                            <w:spacing w:val="-3"/>
                            <w:sz w:val="18"/>
                            <w:szCs w:val="18"/>
                          </w:rPr>
                          <w:t>按</w:t>
                        </w:r>
                        <w:r>
                          <w:rPr>
                            <w:rFonts w:ascii="宋体" w:hAnsi="宋体" w:cs="宋体" w:eastAsia="宋体" w:hint="default"/>
                            <w:sz w:val="18"/>
                            <w:szCs w:val="18"/>
                          </w:rPr>
                          <w:t>承诺于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年度产生</w:t>
                        </w:r>
                        <w:r>
                          <w:rPr>
                            <w:rFonts w:ascii="宋体" w:hAnsi="宋体" w:cs="宋体" w:eastAsia="宋体" w:hint="default"/>
                            <w:spacing w:val="-3"/>
                            <w:sz w:val="18"/>
                            <w:szCs w:val="18"/>
                          </w:rPr>
                          <w:t>效</w:t>
                        </w:r>
                        <w:r>
                          <w:rPr>
                            <w:rFonts w:ascii="宋体" w:hAnsi="宋体" w:cs="宋体" w:eastAsia="宋体" w:hint="default"/>
                            <w:sz w:val="18"/>
                            <w:szCs w:val="18"/>
                          </w:rPr>
                          <w:t>益</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10"/>
                            <w:sz w:val="18"/>
                            <w:szCs w:val="18"/>
                          </w:rPr>
                          <w:t>元</w:t>
                        </w:r>
                        <w:r>
                          <w:rPr>
                            <w:rFonts w:ascii="宋体" w:hAnsi="宋体" w:cs="宋体" w:eastAsia="宋体" w:hint="default"/>
                            <w:sz w:val="18"/>
                            <w:szCs w:val="18"/>
                          </w:rPr>
                          <w:t>（平均税后利润</w:t>
                        </w:r>
                        <w:r>
                          <w:rPr>
                            <w:rFonts w:ascii="宋体" w:hAnsi="宋体" w:cs="宋体" w:eastAsia="宋体" w:hint="default"/>
                            <w:spacing w:val="-92"/>
                            <w:sz w:val="18"/>
                            <w:szCs w:val="18"/>
                          </w:rPr>
                          <w:t>）</w:t>
                        </w:r>
                        <w:r>
                          <w:rPr>
                            <w:rFonts w:ascii="宋体" w:hAnsi="宋体" w:cs="宋体" w:eastAsia="宋体" w:hint="default"/>
                            <w:spacing w:val="-1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实际为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1,361.55 </w:t>
                        </w:r>
                        <w:r>
                          <w:rPr>
                            <w:rFonts w:ascii="宋体" w:hAnsi="宋体" w:cs="宋体" w:eastAsia="宋体" w:hint="default"/>
                            <w:sz w:val="18"/>
                            <w:szCs w:val="18"/>
                          </w:rPr>
                          <w:t>万元。</w:t>
                        </w:r>
                      </w:p>
                      <w:p>
                        <w:pPr>
                          <w:pStyle w:val="TableParagraph"/>
                          <w:spacing w:line="240" w:lineRule="auto" w:before="102"/>
                          <w:ind w:right="43"/>
                          <w:jc w:val="center"/>
                          <w:rPr>
                            <w:rFonts w:ascii="宋体" w:hAnsi="宋体" w:cs="宋体" w:eastAsia="宋体" w:hint="default"/>
                            <w:sz w:val="18"/>
                            <w:szCs w:val="18"/>
                          </w:rPr>
                        </w:pPr>
                        <w:r>
                          <w:rPr>
                            <w:rFonts w:ascii="宋体" w:hAnsi="宋体" w:cs="宋体" w:eastAsia="宋体" w:hint="default"/>
                            <w:sz w:val="18"/>
                            <w:szCs w:val="18"/>
                          </w:rPr>
                          <w:t>高档纺织产品开发与生产技术改造项目已于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月底完工，</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年全年应产生效益</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35</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万元（平均税后利润</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年度实际为</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w:t>
                        </w:r>
                      </w:p>
                      <w:p>
                        <w:pPr>
                          <w:pStyle w:val="TableParagraph"/>
                          <w:spacing w:line="309" w:lineRule="auto" w:before="103"/>
                          <w:ind w:left="16" w:right="2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1"/>
                            <w:sz w:val="18"/>
                            <w:szCs w:val="18"/>
                          </w:rPr>
                          <w:t> </w:t>
                        </w:r>
                        <w:r>
                          <w:rPr>
                            <w:rFonts w:ascii="宋体" w:hAnsi="宋体" w:cs="宋体" w:eastAsia="宋体" w:hint="default"/>
                            <w:spacing w:val="-2"/>
                            <w:sz w:val="18"/>
                            <w:szCs w:val="18"/>
                          </w:rPr>
                          <w:t>年纺织行业持续低迷，外销市场需求萎缩，内销市场竞争加剧，特别是国内棉价远高于国</w:t>
                        </w:r>
                        <w:r>
                          <w:rPr>
                            <w:rFonts w:ascii="宋体" w:hAnsi="宋体" w:cs="宋体" w:eastAsia="宋体" w:hint="default"/>
                            <w:sz w:val="18"/>
                            <w:szCs w:val="18"/>
                          </w:rPr>
                          <w:t> 际棉价，能源、用工、融资等成本不断攀升使纺织企业的利润被挤压，造成募集资金投资项目实现 收益低于预计效益。</w:t>
                        </w:r>
                      </w:p>
                    </w:tc>
                  </w:tr>
                  <w:tr>
                    <w:trPr>
                      <w:trHeight w:val="1016" w:hRule="exact"/>
                    </w:trPr>
                    <w:tc>
                      <w:tcPr>
                        <w:tcW w:w="17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1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shd w:val="clear" w:color="auto" w:fill="C6ECCC"/>
                      </w:tcPr>
                      <w:p>
                        <w:pPr/>
                      </w:p>
                    </w:tc>
                  </w:tr>
                  <w:tr>
                    <w:trPr>
                      <w:trHeight w:val="1138"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shd w:val="clear" w:color="auto" w:fill="C6ECCC"/>
                      </w:tcPr>
                      <w:p>
                        <w:pP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715"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60"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1" w:hRule="exact"/>
                    </w:trPr>
                    <w:tc>
                      <w:tcPr>
                        <w:tcW w:w="1760"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42" w:hRule="exact"/>
                    </w:trPr>
                    <w:tc>
                      <w:tcPr>
                        <w:tcW w:w="17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63" w:hRule="exact"/>
                    </w:trPr>
                    <w:tc>
                      <w:tcPr>
                        <w:tcW w:w="1760"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shd w:val="clear" w:color="auto" w:fill="C6ECCC"/>
                      </w:tcPr>
                      <w:p>
                        <w:pPr>
                          <w:pStyle w:val="TableParagraph"/>
                          <w:spacing w:line="309" w:lineRule="auto" w:before="49"/>
                          <w:ind w:left="16" w:right="20" w:firstLine="362"/>
                          <w:jc w:val="both"/>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经公司董事会四届二次会议、</w:t>
                        </w:r>
                        <w:r>
                          <w:rPr>
                            <w:rFonts w:ascii="Times New Roman" w:hAnsi="Times New Roman" w:cs="Times New Roman" w:eastAsia="Times New Roman" w:hint="default"/>
                            <w:spacing w:val="-3"/>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年第二次临时股东大会审议通过关于变更募集 资金投资项目实施地点议案。由原承诺租赁全资子公司常山恒新的厂房进行项目建设和产品生产变 更为在石家庄市正定纺织服装基地</w:t>
                        </w:r>
                        <w:r>
                          <w:rPr>
                            <w:rFonts w:ascii="Times New Roman" w:hAnsi="Times New Roman" w:cs="Times New Roman" w:eastAsia="Times New Roman" w:hint="default"/>
                            <w:sz w:val="18"/>
                            <w:szCs w:val="18"/>
                          </w:rPr>
                          <w:t>——</w:t>
                        </w:r>
                        <w:r>
                          <w:rPr>
                            <w:rFonts w:ascii="宋体" w:hAnsi="宋体" w:cs="宋体" w:eastAsia="宋体" w:hint="default"/>
                            <w:sz w:val="18"/>
                            <w:szCs w:val="18"/>
                          </w:rPr>
                          <w:t>常山纺织工业园实施。</w:t>
                        </w:r>
                      </w:p>
                    </w:tc>
                  </w:tr>
                  <w:tr>
                    <w:trPr>
                      <w:trHeight w:val="562"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shd w:val="clear" w:color="auto" w:fill="C6ECCC"/>
                      </w:tcPr>
                      <w:p>
                        <w:pPr/>
                      </w:p>
                    </w:tc>
                  </w:tr>
                  <w:tr>
                    <w:trPr>
                      <w:trHeight w:val="715"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07" w:hRule="exact"/>
                    </w:trPr>
                    <w:tc>
                      <w:tcPr>
                        <w:tcW w:w="1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4" w:hRule="exact"/>
                    </w:trPr>
                    <w:tc>
                      <w:tcPr>
                        <w:tcW w:w="176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gridSpan w:val="10"/>
                        <w:vMerge/>
                        <w:tcBorders>
                          <w:left w:val="single" w:sz="10" w:space="0" w:color="D2D2D2"/>
                          <w:bottom w:val="single" w:sz="4" w:space="0" w:color="000000"/>
                          <w:right w:val="single" w:sz="4" w:space="0" w:color="000000"/>
                        </w:tcBorders>
                      </w:tcPr>
                      <w:p>
                        <w:pPr/>
                      </w:p>
                    </w:tc>
                  </w:tr>
                  <w:tr>
                    <w:trPr>
                      <w:trHeight w:val="509" w:hRule="exact"/>
                    </w:trPr>
                    <w:tc>
                      <w:tcPr>
                        <w:tcW w:w="1760"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shd w:val="clear" w:color="auto" w:fill="C6ECCC"/>
                      </w:tcPr>
                      <w:p>
                        <w:pPr>
                          <w:pStyle w:val="TableParagraph"/>
                          <w:spacing w:line="300" w:lineRule="auto" w:before="49"/>
                          <w:ind w:left="16" w:right="22"/>
                          <w:jc w:val="left"/>
                          <w:rPr>
                            <w:rFonts w:ascii="宋体" w:hAnsi="宋体" w:cs="宋体" w:eastAsia="宋体" w:hint="default"/>
                            <w:sz w:val="18"/>
                            <w:szCs w:val="18"/>
                          </w:rPr>
                        </w:pPr>
                        <w:r>
                          <w:rPr>
                            <w:rFonts w:ascii="宋体" w:hAnsi="宋体" w:cs="宋体" w:eastAsia="宋体" w:hint="default"/>
                            <w:sz w:val="18"/>
                            <w:szCs w:val="18"/>
                          </w:rPr>
                          <w:t>截至报告期末募集资金结余的金额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1,729.15 </w:t>
                        </w:r>
                        <w:r>
                          <w:rPr>
                            <w:rFonts w:ascii="宋体" w:hAnsi="宋体" w:cs="宋体" w:eastAsia="宋体" w:hint="default"/>
                            <w:sz w:val="18"/>
                            <w:szCs w:val="18"/>
                          </w:rPr>
                          <w:t>万元。结余原因：为该项目未付的质保金和部分设备尾 款。</w:t>
                        </w:r>
                      </w:p>
                    </w:tc>
                  </w:tr>
                  <w:tr>
                    <w:trPr>
                      <w:trHeight w:val="206"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shd w:val="clear" w:color="auto" w:fill="C6ECCC"/>
                      </w:tcPr>
                      <w:p>
                        <w:pP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gridSpan w:val="10"/>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尚未使用的募集资金用途未变化，均存储于募集资金专户。</w:t>
                        </w:r>
                      </w:p>
                    </w:tc>
                  </w:tr>
                  <w:tr>
                    <w:trPr>
                      <w:trHeight w:val="1027"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gridSpan w:val="10"/>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before="44"/>
        <w:ind w:left="0" w:right="1136"/>
        <w:jc w:val="right"/>
      </w:pPr>
      <w:r>
        <w:rPr/>
        <w:t>，</w:t>
      </w:r>
    </w:p>
    <w:p>
      <w:pPr>
        <w:spacing w:after="0" w:line="240" w:lineRule="auto"/>
        <w:jc w:val="right"/>
        <w:sectPr>
          <w:footerReference w:type="default" r:id="rId24"/>
          <w:pgSz w:w="11910" w:h="16840"/>
          <w:pgMar w:footer="1340" w:header="877" w:top="1060" w:bottom="1600" w:left="980" w:right="0"/>
          <w:pgNumType w:start="19"/>
        </w:sectPr>
      </w:pPr>
    </w:p>
    <w:p>
      <w:pPr>
        <w:spacing w:line="240" w:lineRule="auto" w:before="10"/>
        <w:rPr>
          <w:rFonts w:ascii="宋体" w:hAnsi="宋体" w:cs="宋体" w:eastAsia="宋体" w:hint="default"/>
          <w:sz w:val="24"/>
          <w:szCs w:val="24"/>
        </w:rPr>
      </w:pPr>
      <w:r>
        <w:rPr/>
        <w:pict>
          <v:shape style="position:absolute;margin-left:245.690002pt;margin-top:670.295959pt;width:53.55pt;height:84.85pt;mso-position-horizontal-relative:page;mso-position-vertical-relative:page;z-index:-9496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39"/>
                    <w:ind w:left="0" w:right="0"/>
                    <w:jc w:val="left"/>
                  </w:pPr>
                  <w:r>
                    <w:rPr/>
                    <w:t>，</w:t>
                  </w:r>
                </w:p>
              </w:txbxContent>
            </v:textbox>
            <w10:wrap type="none"/>
          </v:shape>
        </w:pict>
      </w: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9"/>
        <w:gridCol w:w="957"/>
        <w:gridCol w:w="959"/>
        <w:gridCol w:w="956"/>
        <w:gridCol w:w="945"/>
        <w:gridCol w:w="968"/>
        <w:gridCol w:w="955"/>
        <w:gridCol w:w="970"/>
        <w:gridCol w:w="934"/>
      </w:tblGrid>
      <w:tr>
        <w:trPr>
          <w:trHeight w:val="161" w:hRule="exact"/>
        </w:trPr>
        <w:tc>
          <w:tcPr>
            <w:tcW w:w="958" w:type="dxa"/>
            <w:vMerge w:val="restart"/>
            <w:tcBorders>
              <w:top w:val="single" w:sz="4" w:space="0" w:color="000000"/>
              <w:left w:val="single" w:sz="4" w:space="0" w:color="000000"/>
              <w:right w:val="single" w:sz="4" w:space="0" w:color="000000"/>
            </w:tcBorders>
            <w:shd w:val="clear" w:color="auto" w:fill="D2D2D2"/>
          </w:tcPr>
          <w:p>
            <w:pPr/>
          </w:p>
        </w:tc>
        <w:tc>
          <w:tcPr>
            <w:tcW w:w="959" w:type="dxa"/>
            <w:vMerge w:val="restart"/>
            <w:tcBorders>
              <w:top w:val="single" w:sz="4" w:space="0" w:color="000000"/>
              <w:left w:val="single" w:sz="4" w:space="0" w:color="000000"/>
              <w:right w:val="single" w:sz="4" w:space="0" w:color="000000"/>
            </w:tcBorders>
            <w:shd w:val="clear" w:color="auto" w:fill="D2D2D2"/>
          </w:tcPr>
          <w:p>
            <w:pPr/>
          </w:p>
        </w:tc>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9"/>
              <w:ind w:left="22"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9" w:type="dxa"/>
            <w:vMerge w:val="restart"/>
            <w:tcBorders>
              <w:top w:val="single" w:sz="4" w:space="0" w:color="000000"/>
              <w:left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45"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9"/>
              <w:ind w:left="23" w:right="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 (1)</w:t>
            </w:r>
          </w:p>
        </w:tc>
        <w:tc>
          <w:tcPr>
            <w:tcW w:w="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vMerge w:val="restart"/>
            <w:tcBorders>
              <w:top w:val="single" w:sz="4" w:space="0" w:color="000000"/>
              <w:left w:val="single" w:sz="4" w:space="0" w:color="000000"/>
              <w:right w:val="single" w:sz="4" w:space="0" w:color="000000"/>
            </w:tcBorders>
            <w:shd w:val="clear" w:color="auto" w:fill="D2D2D2"/>
          </w:tcPr>
          <w:p>
            <w:pPr/>
          </w:p>
        </w:tc>
        <w:tc>
          <w:tcPr>
            <w:tcW w:w="970" w:type="dxa"/>
            <w:vMerge w:val="restart"/>
            <w:tcBorders>
              <w:top w:val="single" w:sz="4" w:space="0" w:color="000000"/>
              <w:left w:val="single" w:sz="4" w:space="0" w:color="000000"/>
              <w:right w:val="single" w:sz="4" w:space="0" w:color="000000"/>
            </w:tcBorders>
            <w:shd w:val="clear" w:color="auto" w:fill="D2D2D2"/>
          </w:tcPr>
          <w:p>
            <w:pP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11"/>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56" w:hRule="exact"/>
        </w:trPr>
        <w:tc>
          <w:tcPr>
            <w:tcW w:w="958" w:type="dxa"/>
            <w:vMerge/>
            <w:tcBorders>
              <w:left w:val="single" w:sz="4" w:space="0" w:color="000000"/>
              <w:bottom w:val="nil" w:sz="6" w:space="0" w:color="auto"/>
              <w:right w:val="single" w:sz="4" w:space="0" w:color="000000"/>
            </w:tcBorders>
            <w:shd w:val="clear" w:color="auto" w:fill="D2D2D2"/>
          </w:tcPr>
          <w:p>
            <w:pPr/>
          </w:p>
        </w:tc>
        <w:tc>
          <w:tcPr>
            <w:tcW w:w="959" w:type="dxa"/>
            <w:vMerge/>
            <w:tcBorders>
              <w:left w:val="single" w:sz="4" w:space="0" w:color="000000"/>
              <w:bottom w:val="nil" w:sz="6" w:space="0" w:color="auto"/>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9" w:type="dxa"/>
            <w:vMerge/>
            <w:tcBorders>
              <w:left w:val="single" w:sz="4" w:space="0" w:color="000000"/>
              <w:bottom w:val="nil" w:sz="6" w:space="0" w:color="auto"/>
              <w:right w:val="single" w:sz="4" w:space="0" w:color="000000"/>
            </w:tcBorders>
            <w:shd w:val="clear" w:color="auto" w:fill="D2D2D2"/>
          </w:tcPr>
          <w:p>
            <w:pP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45" w:type="dxa"/>
            <w:vMerge/>
            <w:tcBorders>
              <w:left w:val="single" w:sz="4" w:space="0" w:color="000000"/>
              <w:right w:val="single" w:sz="4" w:space="0" w:color="000000"/>
            </w:tcBorders>
            <w:shd w:val="clear" w:color="auto" w:fill="D2D2D2"/>
          </w:tcPr>
          <w:p>
            <w:pPr/>
          </w:p>
        </w:tc>
        <w:tc>
          <w:tcPr>
            <w:tcW w:w="9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4"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vMerge/>
            <w:tcBorders>
              <w:left w:val="single" w:sz="4" w:space="0" w:color="000000"/>
              <w:bottom w:val="nil" w:sz="6" w:space="0" w:color="auto"/>
              <w:right w:val="single" w:sz="4" w:space="0" w:color="000000"/>
            </w:tcBorders>
            <w:shd w:val="clear" w:color="auto" w:fill="D2D2D2"/>
          </w:tcPr>
          <w:p>
            <w:pPr/>
          </w:p>
        </w:tc>
        <w:tc>
          <w:tcPr>
            <w:tcW w:w="970"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r>
      <w:tr>
        <w:trPr>
          <w:trHeight w:val="706" w:hRule="exact"/>
        </w:trPr>
        <w:tc>
          <w:tcPr>
            <w:tcW w:w="9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7" w:type="dxa"/>
            <w:vMerge/>
            <w:tcBorders>
              <w:left w:val="single" w:sz="4" w:space="0" w:color="000000"/>
              <w:right w:val="single" w:sz="4" w:space="0" w:color="000000"/>
            </w:tcBorders>
            <w:shd w:val="clear" w:color="auto" w:fill="D2D2D2"/>
          </w:tcPr>
          <w:p>
            <w:pPr/>
          </w:p>
        </w:tc>
        <w:tc>
          <w:tcPr>
            <w:tcW w:w="9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vMerge/>
            <w:tcBorders>
              <w:left w:val="single" w:sz="4" w:space="0" w:color="000000"/>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968" w:type="dxa"/>
            <w:vMerge/>
            <w:tcBorders>
              <w:left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04" w:right="35"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34" w:type="dxa"/>
            <w:vMerge/>
            <w:tcBorders>
              <w:left w:val="single" w:sz="4" w:space="0" w:color="000000"/>
              <w:right w:val="single" w:sz="4" w:space="0" w:color="000000"/>
            </w:tcBorders>
            <w:shd w:val="clear" w:color="auto" w:fill="D2D2D2"/>
          </w:tcPr>
          <w:p>
            <w:pPr/>
          </w:p>
        </w:tc>
      </w:tr>
      <w:tr>
        <w:trPr>
          <w:trHeight w:val="156" w:hRule="exact"/>
        </w:trPr>
        <w:tc>
          <w:tcPr>
            <w:tcW w:w="958" w:type="dxa"/>
            <w:vMerge w:val="restart"/>
            <w:tcBorders>
              <w:top w:val="nil" w:sz="6" w:space="0" w:color="auto"/>
              <w:left w:val="single" w:sz="4" w:space="0" w:color="000000"/>
              <w:right w:val="single" w:sz="4" w:space="0" w:color="000000"/>
            </w:tcBorders>
            <w:shd w:val="clear" w:color="auto" w:fill="D2D2D2"/>
          </w:tcPr>
          <w:p>
            <w:pPr/>
          </w:p>
        </w:tc>
        <w:tc>
          <w:tcPr>
            <w:tcW w:w="959" w:type="dxa"/>
            <w:vMerge w:val="restart"/>
            <w:tcBorders>
              <w:top w:val="nil" w:sz="6" w:space="0" w:color="auto"/>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9" w:type="dxa"/>
            <w:vMerge w:val="restart"/>
            <w:tcBorders>
              <w:top w:val="nil" w:sz="6" w:space="0" w:color="auto"/>
              <w:left w:val="single" w:sz="4" w:space="0" w:color="000000"/>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968" w:type="dxa"/>
            <w:vMerge/>
            <w:tcBorders>
              <w:left w:val="single" w:sz="4" w:space="0" w:color="000000"/>
              <w:bottom w:val="nil" w:sz="6" w:space="0" w:color="auto"/>
              <w:right w:val="single" w:sz="4" w:space="0" w:color="000000"/>
            </w:tcBorders>
            <w:shd w:val="clear" w:color="auto" w:fill="D2D2D2"/>
          </w:tcPr>
          <w:p>
            <w:pPr/>
          </w:p>
        </w:tc>
        <w:tc>
          <w:tcPr>
            <w:tcW w:w="955" w:type="dxa"/>
            <w:vMerge w:val="restart"/>
            <w:tcBorders>
              <w:top w:val="nil" w:sz="6" w:space="0" w:color="auto"/>
              <w:left w:val="single" w:sz="4" w:space="0" w:color="000000"/>
              <w:right w:val="single" w:sz="4" w:space="0" w:color="000000"/>
            </w:tcBorders>
            <w:shd w:val="clear" w:color="auto" w:fill="D2D2D2"/>
          </w:tcPr>
          <w:p>
            <w:pPr/>
          </w:p>
        </w:tc>
        <w:tc>
          <w:tcPr>
            <w:tcW w:w="970" w:type="dxa"/>
            <w:vMerge w:val="restart"/>
            <w:tcBorders>
              <w:top w:val="nil" w:sz="6" w:space="0" w:color="auto"/>
              <w:left w:val="single" w:sz="4" w:space="0" w:color="000000"/>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r>
      <w:tr>
        <w:trPr>
          <w:trHeight w:val="161" w:hRule="exact"/>
        </w:trPr>
        <w:tc>
          <w:tcPr>
            <w:tcW w:w="958" w:type="dxa"/>
            <w:vMerge/>
            <w:tcBorders>
              <w:left w:val="single" w:sz="4" w:space="0" w:color="000000"/>
              <w:bottom w:val="single" w:sz="4" w:space="0" w:color="000000"/>
              <w:right w:val="single" w:sz="4" w:space="0" w:color="000000"/>
            </w:tcBorders>
            <w:shd w:val="clear" w:color="auto" w:fill="D2D2D2"/>
          </w:tcPr>
          <w:p>
            <w:pPr/>
          </w:p>
        </w:tc>
        <w:tc>
          <w:tcPr>
            <w:tcW w:w="959" w:type="dxa"/>
            <w:vMerge/>
            <w:tcBorders>
              <w:left w:val="single" w:sz="4" w:space="0" w:color="000000"/>
              <w:bottom w:val="single" w:sz="4" w:space="0" w:color="000000"/>
              <w:right w:val="single" w:sz="4" w:space="0" w:color="000000"/>
            </w:tcBorders>
            <w:shd w:val="clear" w:color="auto" w:fill="D2D2D2"/>
          </w:tcPr>
          <w:p>
            <w:pPr/>
          </w:p>
        </w:tc>
        <w:tc>
          <w:tcPr>
            <w:tcW w:w="957" w:type="dxa"/>
            <w:vMerge/>
            <w:tcBorders>
              <w:left w:val="single" w:sz="4" w:space="0" w:color="000000"/>
              <w:bottom w:val="single" w:sz="4" w:space="0" w:color="000000"/>
              <w:right w:val="single" w:sz="4" w:space="0" w:color="000000"/>
            </w:tcBorders>
            <w:shd w:val="clear" w:color="auto" w:fill="D2D2D2"/>
          </w:tcPr>
          <w:p>
            <w:pPr/>
          </w:p>
        </w:tc>
        <w:tc>
          <w:tcPr>
            <w:tcW w:w="959" w:type="dxa"/>
            <w:vMerge/>
            <w:tcBorders>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45" w:type="dxa"/>
            <w:vMerge/>
            <w:tcBorders>
              <w:left w:val="single" w:sz="4" w:space="0" w:color="000000"/>
              <w:bottom w:val="single" w:sz="4" w:space="0" w:color="000000"/>
              <w:right w:val="single" w:sz="4" w:space="0" w:color="000000"/>
            </w:tcBorders>
            <w:shd w:val="clear" w:color="auto" w:fill="D2D2D2"/>
          </w:tcPr>
          <w:p>
            <w:pPr/>
          </w:p>
        </w:tc>
        <w:tc>
          <w:tcPr>
            <w:tcW w:w="9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13" w:space="0" w:color="D2D2D2"/>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87" w:type="dxa"/>
            <w:gridSpan w:val="7"/>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t>主要子公司、参股公司情况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0"/>
        <w:gridCol w:w="1079"/>
        <w:gridCol w:w="943"/>
        <w:gridCol w:w="941"/>
        <w:gridCol w:w="943"/>
        <w:gridCol w:w="941"/>
        <w:gridCol w:w="943"/>
        <w:gridCol w:w="941"/>
        <w:gridCol w:w="809"/>
        <w:gridCol w:w="1078"/>
      </w:tblGrid>
      <w:tr>
        <w:trPr>
          <w:trHeight w:val="710" w:hRule="exact"/>
        </w:trPr>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3" w:hanging="92"/>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37"/>
              <w:jc w:val="center"/>
              <w:rPr>
                <w:rFonts w:ascii="宋体" w:hAnsi="宋体" w:cs="宋体" w:eastAsia="宋体" w:hint="default"/>
                <w:sz w:val="18"/>
                <w:szCs w:val="18"/>
              </w:rPr>
            </w:pPr>
            <w:r>
              <w:rPr>
                <w:rFonts w:ascii="宋体" w:hAnsi="宋体" w:cs="宋体" w:eastAsia="宋体" w:hint="default"/>
                <w:sz w:val="18"/>
                <w:szCs w:val="18"/>
              </w:rPr>
              <w:t>净利润（元）</w:t>
            </w:r>
          </w:p>
        </w:tc>
      </w:tr>
      <w:tr>
        <w:trPr>
          <w:trHeight w:val="4462" w:hRule="exact"/>
        </w:trPr>
        <w:tc>
          <w:tcPr>
            <w:tcW w:w="9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2" w:right="194"/>
              <w:jc w:val="both"/>
              <w:rPr>
                <w:rFonts w:ascii="宋体" w:hAnsi="宋体" w:cs="宋体" w:eastAsia="宋体" w:hint="default"/>
                <w:sz w:val="18"/>
                <w:szCs w:val="18"/>
              </w:rPr>
            </w:pPr>
            <w:r>
              <w:rPr>
                <w:rFonts w:ascii="宋体" w:hAnsi="宋体" w:cs="宋体" w:eastAsia="宋体" w:hint="default"/>
                <w:sz w:val="18"/>
                <w:szCs w:val="18"/>
              </w:rPr>
              <w:t>石家庄常 山恒新纺 织有限公 司</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棉纺织业</w:t>
            </w:r>
          </w:p>
        </w:tc>
        <w:tc>
          <w:tcPr>
            <w:tcW w:w="9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3" w:right="5"/>
              <w:jc w:val="left"/>
              <w:rPr>
                <w:rFonts w:ascii="宋体" w:hAnsi="宋体" w:cs="宋体" w:eastAsia="宋体" w:hint="default"/>
                <w:sz w:val="18"/>
                <w:szCs w:val="18"/>
              </w:rPr>
            </w:pPr>
            <w:r>
              <w:rPr>
                <w:rFonts w:ascii="宋体" w:hAnsi="宋体" w:cs="宋体" w:eastAsia="宋体" w:hint="default"/>
                <w:sz w:val="18"/>
                <w:szCs w:val="18"/>
              </w:rPr>
              <w:t>主要从事 天然纤维、 功能型纤 维、纺织 </w:t>
            </w:r>
            <w:r>
              <w:rPr>
                <w:rFonts w:ascii="宋体" w:hAnsi="宋体" w:cs="宋体" w:eastAsia="宋体" w:hint="default"/>
                <w:spacing w:val="-3"/>
                <w:sz w:val="18"/>
                <w:szCs w:val="18"/>
              </w:rPr>
              <w:t>品、服装的</w:t>
            </w:r>
            <w:r>
              <w:rPr>
                <w:rFonts w:ascii="宋体" w:hAnsi="宋体" w:cs="宋体" w:eastAsia="宋体" w:hint="default"/>
                <w:sz w:val="18"/>
                <w:szCs w:val="18"/>
              </w:rPr>
              <w:t> 研究开发 制造销售； 本企业科 </w:t>
            </w:r>
            <w:r>
              <w:rPr>
                <w:rFonts w:ascii="宋体" w:hAnsi="宋体" w:cs="宋体" w:eastAsia="宋体" w:hint="default"/>
                <w:spacing w:val="-3"/>
                <w:sz w:val="18"/>
                <w:szCs w:val="18"/>
              </w:rPr>
              <w:t>研产品、技</w:t>
            </w:r>
            <w:r>
              <w:rPr>
                <w:rFonts w:ascii="宋体" w:hAnsi="宋体" w:cs="宋体" w:eastAsia="宋体" w:hint="default"/>
                <w:sz w:val="18"/>
                <w:szCs w:val="18"/>
              </w:rPr>
              <w:t> 术成果推 广及转让； 天然纤维、 化学纤维 经销。</w:t>
            </w:r>
          </w:p>
        </w:tc>
        <w:tc>
          <w:tcPr>
            <w:tcW w:w="9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750,003,25</w:t>
            </w:r>
          </w:p>
          <w:p>
            <w:pPr>
              <w:pStyle w:val="TableParagraph"/>
              <w:spacing w:line="240" w:lineRule="auto" w:before="102"/>
              <w:ind w:left="597" w:right="0"/>
              <w:jc w:val="left"/>
              <w:rPr>
                <w:rFonts w:ascii="Times New Roman" w:hAnsi="Times New Roman" w:cs="Times New Roman" w:eastAsia="Times New Roman" w:hint="default"/>
                <w:sz w:val="18"/>
                <w:szCs w:val="18"/>
              </w:rPr>
            </w:pPr>
            <w:r>
              <w:rPr>
                <w:rFonts w:ascii="Times New Roman"/>
                <w:sz w:val="18"/>
              </w:rPr>
              <w:t>7.46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227,649,65</w:t>
            </w:r>
          </w:p>
          <w:p>
            <w:pPr>
              <w:pStyle w:val="TableParagraph"/>
              <w:spacing w:line="240" w:lineRule="auto" w:before="102"/>
              <w:ind w:left="597" w:right="0"/>
              <w:jc w:val="left"/>
              <w:rPr>
                <w:rFonts w:ascii="Times New Roman" w:hAnsi="Times New Roman" w:cs="Times New Roman" w:eastAsia="Times New Roman" w:hint="default"/>
                <w:sz w:val="18"/>
                <w:szCs w:val="18"/>
              </w:rPr>
            </w:pPr>
            <w:r>
              <w:rPr>
                <w:rFonts w:ascii="Times New Roman"/>
                <w:sz w:val="18"/>
              </w:rPr>
              <w:t>2.82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641,215,46</w:t>
            </w:r>
          </w:p>
          <w:p>
            <w:pPr>
              <w:pStyle w:val="TableParagraph"/>
              <w:spacing w:line="240" w:lineRule="auto" w:before="102"/>
              <w:ind w:left="595" w:right="0"/>
              <w:jc w:val="left"/>
              <w:rPr>
                <w:rFonts w:ascii="Times New Roman" w:hAnsi="Times New Roman" w:cs="Times New Roman" w:eastAsia="Times New Roman" w:hint="default"/>
                <w:sz w:val="18"/>
                <w:szCs w:val="18"/>
              </w:rPr>
            </w:pPr>
            <w:r>
              <w:rPr>
                <w:rFonts w:ascii="Times New Roman"/>
                <w:sz w:val="18"/>
              </w:rPr>
              <w:t>0.23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3,329,610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8,967,911.50</w:t>
            </w:r>
          </w:p>
        </w:tc>
      </w:tr>
      <w:tr>
        <w:trPr>
          <w:trHeight w:val="3795" w:hRule="exact"/>
        </w:trPr>
        <w:tc>
          <w:tcPr>
            <w:tcW w:w="9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22" w:right="195"/>
              <w:jc w:val="both"/>
              <w:rPr>
                <w:rFonts w:ascii="宋体" w:hAnsi="宋体" w:cs="宋体" w:eastAsia="宋体" w:hint="default"/>
                <w:sz w:val="18"/>
                <w:szCs w:val="18"/>
              </w:rPr>
            </w:pPr>
            <w:r>
              <w:rPr>
                <w:rFonts w:ascii="宋体" w:hAnsi="宋体" w:cs="宋体" w:eastAsia="宋体" w:hint="default"/>
                <w:sz w:val="18"/>
                <w:szCs w:val="18"/>
              </w:rPr>
              <w:t>石家庄常 山恒荣进 出口贸易 有限公司</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贸易公司</w:t>
            </w:r>
          </w:p>
        </w:tc>
        <w:tc>
          <w:tcPr>
            <w:tcW w:w="9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主要从事 自营和代 理各类商 品和技术 </w:t>
            </w:r>
            <w:r>
              <w:rPr>
                <w:rFonts w:ascii="宋体" w:hAnsi="宋体" w:cs="宋体" w:eastAsia="宋体" w:hint="default"/>
                <w:spacing w:val="-3"/>
                <w:sz w:val="18"/>
                <w:szCs w:val="18"/>
              </w:rPr>
              <w:t>进出口，机</w:t>
            </w:r>
            <w:r>
              <w:rPr>
                <w:rFonts w:ascii="宋体" w:hAnsi="宋体" w:cs="宋体" w:eastAsia="宋体" w:hint="default"/>
                <w:sz w:val="18"/>
                <w:szCs w:val="18"/>
              </w:rPr>
              <w:t> 电设备及 </w:t>
            </w:r>
            <w:r>
              <w:rPr>
                <w:rFonts w:ascii="宋体" w:hAnsi="宋体" w:cs="宋体" w:eastAsia="宋体" w:hint="default"/>
                <w:spacing w:val="-3"/>
                <w:sz w:val="18"/>
                <w:szCs w:val="18"/>
              </w:rPr>
              <w:t>零配件，车</w:t>
            </w:r>
            <w:r>
              <w:rPr>
                <w:rFonts w:ascii="宋体" w:hAnsi="宋体" w:cs="宋体" w:eastAsia="宋体" w:hint="default"/>
                <w:sz w:val="18"/>
                <w:szCs w:val="18"/>
              </w:rPr>
              <w:t> </w:t>
            </w:r>
            <w:r>
              <w:rPr>
                <w:rFonts w:ascii="宋体" w:hAnsi="宋体" w:cs="宋体" w:eastAsia="宋体" w:hint="default"/>
                <w:spacing w:val="-3"/>
                <w:sz w:val="18"/>
                <w:szCs w:val="18"/>
              </w:rPr>
              <w:t>辆配件，金</w:t>
            </w:r>
            <w:r>
              <w:rPr>
                <w:rFonts w:ascii="宋体" w:hAnsi="宋体" w:cs="宋体" w:eastAsia="宋体" w:hint="default"/>
                <w:sz w:val="18"/>
                <w:szCs w:val="18"/>
              </w:rPr>
              <w:t> </w:t>
            </w:r>
            <w:r>
              <w:rPr>
                <w:rFonts w:ascii="宋体" w:hAnsi="宋体" w:cs="宋体" w:eastAsia="宋体" w:hint="default"/>
                <w:spacing w:val="-3"/>
                <w:sz w:val="18"/>
                <w:szCs w:val="18"/>
              </w:rPr>
              <w:t>属材料，化</w:t>
            </w:r>
            <w:r>
              <w:rPr>
                <w:rFonts w:ascii="宋体" w:hAnsi="宋体" w:cs="宋体" w:eastAsia="宋体" w:hint="default"/>
                <w:sz w:val="18"/>
                <w:szCs w:val="18"/>
              </w:rPr>
              <w:t> 工产品</w:t>
            </w:r>
            <w:r>
              <w:rPr>
                <w:rFonts w:ascii="Times New Roman" w:hAnsi="Times New Roman" w:cs="Times New Roman" w:eastAsia="Times New Roman" w:hint="default"/>
                <w:sz w:val="18"/>
                <w:szCs w:val="18"/>
              </w:rPr>
              <w:t>(</w:t>
            </w:r>
            <w:r>
              <w:rPr>
                <w:rFonts w:ascii="宋体" w:hAnsi="宋体" w:cs="宋体" w:eastAsia="宋体" w:hint="default"/>
                <w:sz w:val="18"/>
                <w:szCs w:val="18"/>
              </w:rPr>
              <w:t>危 险品除外</w:t>
            </w:r>
            <w:r>
              <w:rPr>
                <w:rFonts w:ascii="Times New Roman" w:hAnsi="Times New Roman" w:cs="Times New Roman" w:eastAsia="Times New Roman" w:hint="default"/>
                <w:sz w:val="18"/>
                <w:szCs w:val="18"/>
              </w:rPr>
              <w:t>) </w:t>
            </w:r>
            <w:r>
              <w:rPr>
                <w:rFonts w:ascii="宋体" w:hAnsi="宋体" w:cs="宋体" w:eastAsia="宋体" w:hint="default"/>
                <w:sz w:val="18"/>
                <w:szCs w:val="18"/>
              </w:rPr>
              <w:t>建筑装饰</w:t>
            </w:r>
          </w:p>
        </w:tc>
        <w:tc>
          <w:tcPr>
            <w:tcW w:w="9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96"/>
              <w:jc w:val="right"/>
              <w:rPr>
                <w:rFonts w:ascii="Times New Roman" w:hAnsi="Times New Roman" w:cs="Times New Roman" w:eastAsia="Times New Roman" w:hint="default"/>
                <w:sz w:val="18"/>
                <w:szCs w:val="18"/>
              </w:rPr>
            </w:pPr>
            <w:r>
              <w:rPr>
                <w:rFonts w:ascii="Times New Roman"/>
                <w:spacing w:val="-1"/>
                <w:sz w:val="18"/>
              </w:rPr>
              <w:t>50,000,000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157,615,45</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9.33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68,497,445.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983,142,94</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8.65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9,005,980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74" w:right="0"/>
              <w:jc w:val="center"/>
              <w:rPr>
                <w:rFonts w:ascii="Times New Roman" w:hAnsi="Times New Roman" w:cs="Times New Roman" w:eastAsia="Times New Roman" w:hint="default"/>
                <w:sz w:val="18"/>
                <w:szCs w:val="18"/>
              </w:rPr>
            </w:pPr>
            <w:r>
              <w:rPr>
                <w:rFonts w:ascii="Times New Roman"/>
                <w:sz w:val="18"/>
              </w:rPr>
              <w:t>7,741,001.58</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r>
        <w:rPr/>
        <w:pict>
          <v:shape style="position:absolute;margin-left:245.690002pt;margin-top:72.475983pt;width:53.55pt;height:95.7pt;mso-position-horizontal-relative:page;mso-position-vertical-relative:page;z-index:-9496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left="0" w:right="0"/>
                    <w:jc w:val="left"/>
                  </w:pPr>
                  <w:r>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950"/>
        <w:gridCol w:w="1079"/>
        <w:gridCol w:w="943"/>
        <w:gridCol w:w="941"/>
        <w:gridCol w:w="943"/>
        <w:gridCol w:w="941"/>
        <w:gridCol w:w="943"/>
        <w:gridCol w:w="941"/>
        <w:gridCol w:w="809"/>
        <w:gridCol w:w="1078"/>
      </w:tblGrid>
      <w:tr>
        <w:trPr>
          <w:trHeight w:val="1923" w:hRule="exact"/>
        </w:trPr>
        <w:tc>
          <w:tcPr>
            <w:tcW w:w="95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8"/>
              <w:ind w:left="23" w:right="19"/>
              <w:jc w:val="left"/>
              <w:rPr>
                <w:rFonts w:ascii="宋体" w:hAnsi="宋体" w:cs="宋体" w:eastAsia="宋体" w:hint="default"/>
                <w:sz w:val="18"/>
                <w:szCs w:val="18"/>
              </w:rPr>
            </w:pPr>
            <w:r>
              <w:rPr>
                <w:rFonts w:ascii="宋体" w:hAnsi="宋体" w:cs="宋体" w:eastAsia="宋体" w:hint="default"/>
                <w:spacing w:val="-3"/>
                <w:sz w:val="18"/>
                <w:szCs w:val="18"/>
              </w:rPr>
              <w:t>材料，纺织</w:t>
            </w:r>
            <w:r>
              <w:rPr>
                <w:rFonts w:ascii="宋体" w:hAnsi="宋体" w:cs="宋体" w:eastAsia="宋体" w:hint="default"/>
                <w:sz w:val="18"/>
                <w:szCs w:val="18"/>
              </w:rPr>
              <w:t> 原料</w:t>
            </w:r>
            <w:r>
              <w:rPr>
                <w:rFonts w:ascii="Times New Roman" w:hAnsi="Times New Roman" w:cs="Times New Roman" w:eastAsia="Times New Roman" w:hint="default"/>
                <w:sz w:val="18"/>
                <w:szCs w:val="18"/>
              </w:rPr>
              <w:t>(</w:t>
            </w:r>
            <w:r>
              <w:rPr>
                <w:rFonts w:ascii="宋体" w:hAnsi="宋体" w:cs="宋体" w:eastAsia="宋体" w:hint="default"/>
                <w:sz w:val="18"/>
                <w:szCs w:val="18"/>
              </w:rPr>
              <w:t>棉花 收购除外</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百货，五金</w:t>
            </w:r>
            <w:r>
              <w:rPr>
                <w:rFonts w:ascii="宋体" w:hAnsi="宋体" w:cs="宋体" w:eastAsia="宋体" w:hint="default"/>
                <w:sz w:val="18"/>
                <w:szCs w:val="18"/>
              </w:rPr>
              <w:t> 交电的销 售业务。</w:t>
            </w:r>
          </w:p>
        </w:tc>
        <w:tc>
          <w:tcPr>
            <w:tcW w:w="94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9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195"/>
              <w:jc w:val="both"/>
              <w:rPr>
                <w:rFonts w:ascii="宋体" w:hAnsi="宋体" w:cs="宋体" w:eastAsia="宋体" w:hint="default"/>
                <w:sz w:val="18"/>
                <w:szCs w:val="18"/>
              </w:rPr>
            </w:pPr>
            <w:r>
              <w:rPr>
                <w:rFonts w:ascii="宋体" w:hAnsi="宋体" w:cs="宋体" w:eastAsia="宋体" w:hint="default"/>
                <w:sz w:val="18"/>
                <w:szCs w:val="18"/>
              </w:rPr>
              <w:t>石家庄常 山赵州纺 织有限公 司</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棉纺织业</w:t>
            </w:r>
          </w:p>
        </w:tc>
        <w:tc>
          <w:tcPr>
            <w:tcW w:w="9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5"/>
              <w:jc w:val="left"/>
              <w:rPr>
                <w:rFonts w:ascii="宋体" w:hAnsi="宋体" w:cs="宋体" w:eastAsia="宋体" w:hint="default"/>
                <w:sz w:val="18"/>
                <w:szCs w:val="18"/>
              </w:rPr>
            </w:pPr>
            <w:r>
              <w:rPr>
                <w:rFonts w:ascii="宋体" w:hAnsi="宋体" w:cs="宋体" w:eastAsia="宋体" w:hint="default"/>
                <w:sz w:val="18"/>
                <w:szCs w:val="18"/>
              </w:rPr>
              <w:t>主要从事 纺织产品、 针织产品、 服装印染 </w:t>
            </w:r>
            <w:r>
              <w:rPr>
                <w:rFonts w:ascii="宋体" w:hAnsi="宋体" w:cs="宋体" w:eastAsia="宋体" w:hint="default"/>
                <w:spacing w:val="-3"/>
                <w:sz w:val="18"/>
                <w:szCs w:val="18"/>
              </w:rPr>
              <w:t>加工；棉花</w:t>
            </w:r>
            <w:r>
              <w:rPr>
                <w:rFonts w:ascii="宋体" w:hAnsi="宋体" w:cs="宋体" w:eastAsia="宋体" w:hint="default"/>
                <w:sz w:val="18"/>
                <w:szCs w:val="18"/>
              </w:rPr>
              <w:t> 的收购加 工批发零 售等</w:t>
            </w:r>
          </w:p>
        </w:tc>
        <w:tc>
          <w:tcPr>
            <w:tcW w:w="9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10,500,000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46,239,740.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-34,697,779</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38,016,315.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-11,371,9</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63.51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-13,490,645.9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360" w:lineRule="auto" w:before="49"/>
        <w:ind w:right="8054"/>
        <w:jc w:val="left"/>
      </w:pPr>
      <w:r>
        <w:rPr/>
        <w:t>主要子公司、参股公司情况说明 报告期内取得和处置子公司的情况</w:t>
      </w:r>
    </w:p>
    <w:p>
      <w:pPr>
        <w:pStyle w:val="BodyText"/>
        <w:spacing w:line="240" w:lineRule="auto" w:before="25"/>
        <w:ind w:right="98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2"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1027"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49"/>
              <w:ind w:left="22" w:right="60"/>
              <w:jc w:val="both"/>
              <w:rPr>
                <w:rFonts w:ascii="宋体" w:hAnsi="宋体" w:cs="宋体" w:eastAsia="宋体" w:hint="default"/>
                <w:sz w:val="18"/>
                <w:szCs w:val="18"/>
              </w:rPr>
            </w:pPr>
            <w:r>
              <w:rPr>
                <w:rFonts w:ascii="宋体" w:hAnsi="宋体" w:cs="宋体" w:eastAsia="宋体" w:hint="default"/>
                <w:sz w:val="18"/>
                <w:szCs w:val="18"/>
              </w:rPr>
              <w:t>整体改造优化升级 项目</w:t>
            </w:r>
            <w:r>
              <w:rPr>
                <w:rFonts w:ascii="Times New Roman" w:hAnsi="Times New Roman" w:cs="Times New Roman" w:eastAsia="Times New Roman" w:hint="default"/>
                <w:sz w:val="18"/>
                <w:szCs w:val="18"/>
              </w:rPr>
              <w:t>-</w:t>
            </w:r>
            <w:r>
              <w:rPr>
                <w:rFonts w:ascii="宋体" w:hAnsi="宋体" w:cs="宋体" w:eastAsia="宋体" w:hint="default"/>
                <w:sz w:val="18"/>
                <w:szCs w:val="18"/>
              </w:rPr>
              <w:t>高档服装面料 项目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23,930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97%</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未产生收益</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23,930</w:t>
            </w:r>
          </w:p>
        </w:tc>
        <w:tc>
          <w:tcPr>
            <w:tcW w:w="159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81,201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713" w:hRule="exact"/>
        </w:trPr>
        <w:tc>
          <w:tcPr>
            <w:tcW w:w="9567" w:type="dxa"/>
            <w:gridSpan w:val="6"/>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9" w:firstLine="362"/>
              <w:jc w:val="left"/>
              <w:rPr>
                <w:rFonts w:ascii="宋体" w:hAnsi="宋体" w:cs="宋体" w:eastAsia="宋体" w:hint="default"/>
                <w:sz w:val="18"/>
                <w:szCs w:val="18"/>
              </w:rPr>
            </w:pPr>
            <w:r>
              <w:rPr>
                <w:rFonts w:ascii="宋体" w:hAnsi="宋体" w:cs="宋体" w:eastAsia="宋体" w:hint="default"/>
                <w:spacing w:val="-1"/>
                <w:sz w:val="18"/>
                <w:szCs w:val="18"/>
              </w:rPr>
              <w:t>公司的“整体改造优化升级项目”之高档服装面料项目中的厂房、公用工程及设施已基本完工，部分生产线已陆续试</w:t>
            </w:r>
            <w:r>
              <w:rPr>
                <w:rFonts w:ascii="宋体" w:hAnsi="宋体" w:cs="宋体" w:eastAsia="宋体" w:hint="default"/>
                <w:sz w:val="18"/>
                <w:szCs w:val="18"/>
              </w:rPr>
              <w:t> 投产，部分设备及配套设备正在陆续到货、安装调试。截至报告期末，已累计投资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81,201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18"/>
          <w:szCs w:val="18"/>
        </w:rPr>
      </w:pPr>
    </w:p>
    <w:p>
      <w:pPr>
        <w:pStyle w:val="Heading2"/>
        <w:spacing w:line="240" w:lineRule="auto" w:before="26"/>
        <w:ind w:right="982"/>
        <w:jc w:val="left"/>
        <w:rPr>
          <w:b w:val="0"/>
          <w:bCs w:val="0"/>
        </w:rPr>
      </w:pP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无</w:t>
      </w:r>
    </w:p>
    <w:p>
      <w:pPr>
        <w:spacing w:line="240" w:lineRule="auto" w:before="3"/>
        <w:rPr>
          <w:rFonts w:ascii="宋体" w:hAnsi="宋体" w:cs="宋体" w:eastAsia="宋体" w:hint="default"/>
          <w:sz w:val="25"/>
          <w:szCs w:val="25"/>
        </w:rPr>
      </w:pPr>
    </w:p>
    <w:p>
      <w:pPr>
        <w:pStyle w:val="Heading2"/>
        <w:spacing w:line="240" w:lineRule="auto"/>
        <w:ind w:right="982"/>
        <w:jc w:val="left"/>
        <w:rPr>
          <w:b w:val="0"/>
          <w:bCs w:val="0"/>
        </w:rPr>
      </w:pPr>
      <w:r>
        <w:rPr/>
        <w:t>八、公司未来发展的展望</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982" w:hanging="361"/>
        <w:jc w:val="left"/>
      </w:pPr>
      <w:r>
        <w:rPr/>
        <w:t>（一）所处行业竞争格局和发展趋势 </w:t>
      </w:r>
      <w:r>
        <w:rPr>
          <w:spacing w:val="-2"/>
        </w:rPr>
        <w:t>近年来，在快速发展过程中，我国纺织工业大而不强等问题日渐凸显，尤其是自主创新能力亟待全面提升，节能环保工</w:t>
      </w:r>
    </w:p>
    <w:p>
      <w:pPr>
        <w:pStyle w:val="BodyText"/>
        <w:spacing w:line="222" w:lineRule="exact"/>
        <w:ind w:right="982"/>
        <w:jc w:val="left"/>
      </w:pPr>
      <w:r>
        <w:rPr/>
        <w:t>作亟待加快推进，同质化过度竞争亟待有效遏制。加上用工、能源等各种成本持续增加，国内外棉花价差不断扩大，要素资</w:t>
      </w:r>
    </w:p>
    <w:p>
      <w:pPr>
        <w:pStyle w:val="BodyText"/>
        <w:spacing w:line="316" w:lineRule="auto" w:before="76"/>
        <w:ind w:right="1034"/>
        <w:jc w:val="left"/>
      </w:pPr>
      <w:r>
        <w:rPr/>
        <w:t>源约束日益突出，人口红利、棉花资源红利等中国纺织工业的传统比较优势正在逐渐丧失，以及国际经济形势的严重影响， 作为出口导向型、劳动密集型传统产业，纺织工业发展遇到了前所未有的困难。</w:t>
      </w:r>
    </w:p>
    <w:p>
      <w:pPr>
        <w:spacing w:after="0" w:line="316"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3" w:firstLine="360"/>
        <w:jc w:val="both"/>
      </w:pPr>
      <w:r>
        <w:rPr>
          <w:spacing w:val="-2"/>
        </w:rPr>
        <w:t>目前，我国纺织工业已经进入到从规模数量增长阶段，到深度转型调整周期。以往一味依靠数量增长、规模扩张和低成</w:t>
      </w:r>
      <w:r>
        <w:rPr/>
        <w:t> </w:t>
      </w:r>
      <w:r>
        <w:rPr>
          <w:spacing w:val="-2"/>
        </w:rPr>
        <w:t>本、低价格优势的发展模式难以为继，今后必须走专业化、差异化、精品化和环保型、功能型、创新型的特色发展之路，必</w:t>
      </w:r>
      <w:r>
        <w:rPr>
          <w:spacing w:val="-73"/>
        </w:rPr>
        <w:t> </w:t>
      </w:r>
      <w:r>
        <w:rPr>
          <w:spacing w:val="-73"/>
        </w:rPr>
      </w:r>
      <w:r>
        <w:rPr>
          <w:spacing w:val="-2"/>
        </w:rPr>
        <w:t>须依靠提高科技贡献率、品牌贡献率、劳动生产率、劳动者素质和产品附加值，依靠技术创新、产品创新、营销创新、管理</w:t>
      </w:r>
      <w:r>
        <w:rPr>
          <w:spacing w:val="-73"/>
        </w:rPr>
        <w:t> </w:t>
      </w:r>
      <w:r>
        <w:rPr>
          <w:spacing w:val="-73"/>
        </w:rPr>
      </w:r>
      <w:r>
        <w:rPr/>
        <w:t>创新和商业模式创新，加快技术进步，发展自主品牌，实现转型升级。</w:t>
      </w:r>
    </w:p>
    <w:p>
      <w:pPr>
        <w:pStyle w:val="BodyText"/>
        <w:spacing w:line="357" w:lineRule="auto" w:before="58"/>
        <w:ind w:left="513" w:right="982" w:hanging="361"/>
        <w:jc w:val="left"/>
      </w:pPr>
      <w:r>
        <w:rPr/>
        <w:t>（二）发展战略 </w:t>
      </w:r>
      <w:r>
        <w:rPr>
          <w:spacing w:val="-2"/>
        </w:rPr>
        <w:t>以提高增长质量和经济效益为中心，以搬迁改造为契机，围绕到</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末营业收入、实现利税和在岗员工人均收入比</w:t>
      </w:r>
    </w:p>
    <w:p>
      <w:pPr>
        <w:pStyle w:val="BodyText"/>
        <w:spacing w:line="214" w:lineRule="exact"/>
        <w:ind w:right="982"/>
        <w:jc w:val="left"/>
      </w:pPr>
      <w:r>
        <w:rPr>
          <w:rFonts w:ascii="Times New Roman" w:hAnsi="Times New Roman" w:cs="Times New Roman" w:eastAsia="Times New Roman" w:hint="default"/>
        </w:rPr>
        <w:t>“</w:t>
      </w:r>
      <w:r>
        <w:rPr/>
        <w:t>十一五</w:t>
      </w:r>
      <w:r>
        <w:rPr>
          <w:rFonts w:ascii="Times New Roman" w:hAnsi="Times New Roman" w:cs="Times New Roman" w:eastAsia="Times New Roman" w:hint="default"/>
        </w:rPr>
        <w:t>”</w:t>
      </w:r>
      <w:r>
        <w:rPr/>
        <w:t>末翻一番的奋斗目标，按照</w:t>
      </w:r>
      <w:r>
        <w:rPr>
          <w:rFonts w:ascii="Times New Roman" w:hAnsi="Times New Roman" w:cs="Times New Roman" w:eastAsia="Times New Roman" w:hint="default"/>
        </w:rPr>
        <w:t>“</w:t>
      </w:r>
      <w:r>
        <w:rPr/>
        <w:t>主业升级、开发突破、适度多元</w:t>
      </w:r>
      <w:r>
        <w:rPr>
          <w:rFonts w:ascii="Times New Roman" w:hAnsi="Times New Roman" w:cs="Times New Roman" w:eastAsia="Times New Roman" w:hint="default"/>
        </w:rPr>
        <w:t>”</w:t>
      </w:r>
      <w:r>
        <w:rPr/>
        <w:t>的发展战略，强化创新驱动，深化</w:t>
      </w:r>
      <w:r>
        <w:rPr>
          <w:rFonts w:ascii="Times New Roman" w:hAnsi="Times New Roman" w:cs="Times New Roman" w:eastAsia="Times New Roman" w:hint="default"/>
        </w:rPr>
        <w:t>“</w:t>
      </w:r>
      <w:r>
        <w:rPr/>
        <w:t>两化</w:t>
      </w:r>
      <w:r>
        <w:rPr>
          <w:rFonts w:ascii="Times New Roman" w:hAnsi="Times New Roman" w:cs="Times New Roman" w:eastAsia="Times New Roman" w:hint="default"/>
        </w:rPr>
        <w:t>”</w:t>
      </w:r>
      <w:r>
        <w:rPr/>
        <w:t>融合，加快</w:t>
      </w:r>
    </w:p>
    <w:p>
      <w:pPr>
        <w:pStyle w:val="BodyText"/>
        <w:spacing w:line="307" w:lineRule="auto" w:before="63"/>
        <w:ind w:right="982"/>
        <w:jc w:val="left"/>
      </w:pPr>
      <w:r>
        <w:rPr>
          <w:spacing w:val="-2"/>
        </w:rPr>
        <w:t>转型升级，打造正定园区全国重要新型功能化面料研发基地、高新区常山恒新全国重要高档环保纱线研发基地、市内老厂区</w:t>
      </w:r>
      <w:r>
        <w:rPr>
          <w:spacing w:val="-63"/>
        </w:rPr>
        <w:t> </w:t>
      </w:r>
      <w:r>
        <w:rPr>
          <w:spacing w:val="-63"/>
        </w:rPr>
      </w:r>
      <w:r>
        <w:rPr/>
        <w:t>省会重要现代商贸服务基地</w:t>
      </w:r>
      <w:r>
        <w:rPr>
          <w:rFonts w:ascii="Times New Roman" w:hAnsi="Times New Roman" w:cs="Times New Roman" w:eastAsia="Times New Roman" w:hint="default"/>
        </w:rPr>
        <w:t>“</w:t>
      </w:r>
      <w:r>
        <w:rPr/>
        <w:t>三大支撑</w:t>
      </w:r>
      <w:r>
        <w:rPr>
          <w:rFonts w:ascii="Times New Roman" w:hAnsi="Times New Roman" w:cs="Times New Roman" w:eastAsia="Times New Roman" w:hint="default"/>
        </w:rPr>
        <w:t>”</w:t>
      </w:r>
      <w:r>
        <w:rPr/>
        <w:t>，形成纺织主业、地产开发、贸易投资</w:t>
      </w:r>
      <w:r>
        <w:rPr>
          <w:rFonts w:ascii="Times New Roman" w:hAnsi="Times New Roman" w:cs="Times New Roman" w:eastAsia="Times New Roman" w:hint="default"/>
        </w:rPr>
        <w:t>“</w:t>
      </w:r>
      <w:r>
        <w:rPr/>
        <w:t>三大业务板块</w:t>
      </w:r>
      <w:r>
        <w:rPr>
          <w:rFonts w:ascii="Times New Roman" w:hAnsi="Times New Roman" w:cs="Times New Roman" w:eastAsia="Times New Roman" w:hint="default"/>
        </w:rPr>
        <w:t>”</w:t>
      </w:r>
      <w:r>
        <w:rPr/>
        <w:t>，抓好强研发、精制造、大贸 易、创品牌、调结构、细管理</w:t>
      </w:r>
      <w:r>
        <w:rPr>
          <w:rFonts w:ascii="Times New Roman" w:hAnsi="Times New Roman" w:cs="Times New Roman" w:eastAsia="Times New Roman" w:hint="default"/>
        </w:rPr>
        <w:t>“</w:t>
      </w:r>
      <w:r>
        <w:rPr/>
        <w:t>六个重点</w:t>
      </w:r>
      <w:r>
        <w:rPr>
          <w:rFonts w:ascii="Times New Roman" w:hAnsi="Times New Roman" w:cs="Times New Roman" w:eastAsia="Times New Roman" w:hint="default"/>
        </w:rPr>
        <w:t>”</w:t>
      </w:r>
      <w:r>
        <w:rPr/>
        <w:t>，实现从简单追求产品数量到追求技术含量、从简单追求规模产值到追求附加值、 </w:t>
      </w:r>
      <w:r>
        <w:rPr>
          <w:spacing w:val="-2"/>
        </w:rPr>
        <w:t>从简单生产销售到产业链经营、从产品主导到品牌创造、从单一棉纺织主业到多元经营、从传统科学管理到现代信息化管理</w:t>
      </w:r>
      <w:r>
        <w:rPr>
          <w:spacing w:val="-65"/>
        </w:rPr>
        <w:t> </w:t>
      </w:r>
      <w:r>
        <w:rPr>
          <w:spacing w:val="-65"/>
        </w:rPr>
      </w:r>
      <w:r>
        <w:rPr>
          <w:rFonts w:ascii="Times New Roman" w:hAnsi="Times New Roman" w:cs="Times New Roman" w:eastAsia="Times New Roman" w:hint="default"/>
          <w:spacing w:val="-3"/>
        </w:rPr>
        <w:t>“</w:t>
      </w:r>
      <w:r>
        <w:rPr>
          <w:spacing w:val="-3"/>
        </w:rPr>
        <w:t>六大转变</w:t>
      </w:r>
      <w:r>
        <w:rPr>
          <w:rFonts w:ascii="Times New Roman" w:hAnsi="Times New Roman" w:cs="Times New Roman" w:eastAsia="Times New Roman" w:hint="default"/>
          <w:spacing w:val="-3"/>
        </w:rPr>
        <w:t>”</w:t>
      </w:r>
      <w:r>
        <w:rPr>
          <w:spacing w:val="-3"/>
        </w:rPr>
        <w:t>，把握队伍建设和资金保障</w:t>
      </w:r>
      <w:r>
        <w:rPr>
          <w:rFonts w:ascii="Times New Roman" w:hAnsi="Times New Roman" w:cs="Times New Roman" w:eastAsia="Times New Roman" w:hint="default"/>
          <w:spacing w:val="-3"/>
        </w:rPr>
        <w:t>“</w:t>
      </w:r>
      <w:r>
        <w:rPr>
          <w:spacing w:val="-3"/>
        </w:rPr>
        <w:t>两大关键</w:t>
      </w:r>
      <w:r>
        <w:rPr>
          <w:rFonts w:ascii="Times New Roman" w:hAnsi="Times New Roman" w:cs="Times New Roman" w:eastAsia="Times New Roman" w:hint="default"/>
          <w:spacing w:val="-3"/>
        </w:rPr>
        <w:t>”</w:t>
      </w:r>
      <w:r>
        <w:rPr>
          <w:spacing w:val="-3"/>
        </w:rPr>
        <w:t>，努力建成质量效益不断提高、员工收入不断增长的现代化新型纺织企业，</w:t>
      </w:r>
      <w:r>
        <w:rPr>
          <w:spacing w:val="-55"/>
        </w:rPr>
        <w:t> </w:t>
      </w:r>
      <w:r>
        <w:rPr>
          <w:spacing w:val="-55"/>
        </w:rPr>
      </w:r>
      <w:r>
        <w:rPr/>
        <w:t>为全面建成小康社会做出应有贡献。</w:t>
      </w:r>
    </w:p>
    <w:p>
      <w:pPr>
        <w:pStyle w:val="BodyText"/>
        <w:spacing w:line="240" w:lineRule="auto" w:before="67"/>
        <w:ind w:left="297" w:right="982"/>
        <w:jc w:val="left"/>
      </w:pPr>
      <w:r>
        <w:rPr/>
        <w:t>（三）新年度经营计划</w:t>
      </w:r>
    </w:p>
    <w:p>
      <w:pPr>
        <w:pStyle w:val="BodyText"/>
        <w:spacing w:line="309" w:lineRule="auto" w:before="117"/>
        <w:ind w:right="1134" w:firstLine="360"/>
        <w:jc w:val="both"/>
      </w:pPr>
      <w:r>
        <w:rPr>
          <w:rFonts w:ascii="Times New Roman" w:hAnsi="Times New Roman" w:cs="Times New Roman" w:eastAsia="Times New Roman" w:hint="default"/>
        </w:rPr>
        <w:t>1</w:t>
      </w:r>
      <w:r>
        <w:rPr/>
        <w:t>、要提高公司盈利能力，一是市内未搬迁老企业要提高产量，增加销售收入；二是恒新和正定园区要提高产品产量和 </w:t>
      </w:r>
      <w:r>
        <w:rPr>
          <w:spacing w:val="-2"/>
        </w:rPr>
        <w:t>附加值，发挥自身设备和技术优势，提高收入和效益水平；三是进出口公司要做大做强，提高盈利能力；四是提高研发创新</w:t>
      </w:r>
      <w:r>
        <w:rPr>
          <w:spacing w:val="-67"/>
        </w:rPr>
        <w:t> </w:t>
      </w:r>
      <w:r>
        <w:rPr>
          <w:spacing w:val="-67"/>
        </w:rPr>
      </w:r>
      <w:r>
        <w:rPr/>
        <w:t>能力，推进信息化建设，强化品牌运作，提高产品创效能力。</w:t>
      </w:r>
    </w:p>
    <w:p>
      <w:pPr>
        <w:pStyle w:val="BodyText"/>
        <w:spacing w:line="300" w:lineRule="auto" w:before="62"/>
        <w:ind w:right="1124" w:firstLine="360"/>
        <w:jc w:val="left"/>
      </w:pPr>
      <w:r>
        <w:rPr>
          <w:rFonts w:ascii="Times New Roman" w:hAnsi="Times New Roman" w:cs="Times New Roman" w:eastAsia="Times New Roman" w:hint="default"/>
        </w:rPr>
        <w:t>2</w:t>
      </w:r>
      <w:r>
        <w:rPr/>
        <w:t>、要有序推进老厂搬迁，一是要做好人员分流安置，设备改造再利用、搬迁和废旧设备的处置工作；二是做好搬迁企 业的土地规划、招拍挂出让和房地产开发的准备工作，尽快启动。</w:t>
      </w:r>
    </w:p>
    <w:p>
      <w:pPr>
        <w:pStyle w:val="BodyText"/>
        <w:spacing w:line="300" w:lineRule="auto" w:before="72"/>
        <w:ind w:right="1124" w:firstLine="360"/>
        <w:jc w:val="left"/>
      </w:pPr>
      <w:r>
        <w:rPr>
          <w:rFonts w:ascii="Times New Roman" w:hAnsi="Times New Roman" w:cs="Times New Roman" w:eastAsia="Times New Roman" w:hint="default"/>
        </w:rPr>
        <w:t>3</w:t>
      </w:r>
      <w:r>
        <w:rPr/>
        <w:t>、要加快正定园区的项目建设，一是加快后续的设备安装，力争下半年开车生产，尽早形成生产能力，以弥补老厂搬 迁产能减少的损失；二是加快新用地指标的争取和土地征收工作。</w:t>
      </w:r>
    </w:p>
    <w:p>
      <w:pPr>
        <w:pStyle w:val="BodyText"/>
        <w:spacing w:line="357" w:lineRule="auto" w:before="72"/>
        <w:ind w:left="513" w:right="982" w:hanging="361"/>
        <w:jc w:val="left"/>
      </w:pPr>
      <w:r>
        <w:rPr/>
        <w:t>（四）资金需求、使用和来源情况 </w:t>
      </w:r>
      <w:r>
        <w:rPr>
          <w:spacing w:val="-2"/>
        </w:rPr>
        <w:t>未来几年，公司将建设正定纺织工业园、介入房地产开发和业务适度多元化，资金来源主要有以下几条渠道：一是通过</w:t>
      </w:r>
    </w:p>
    <w:p>
      <w:pPr>
        <w:pStyle w:val="BodyText"/>
        <w:spacing w:line="224" w:lineRule="exact"/>
        <w:ind w:right="982"/>
        <w:jc w:val="left"/>
      </w:pPr>
      <w:r>
        <w:rPr/>
        <w:t>市区土地出让筹集主要建设资金；二是积极争取债券融资；三是利用自筹资金；四是引进战略投资者投资。</w:t>
      </w:r>
    </w:p>
    <w:p>
      <w:pPr>
        <w:pStyle w:val="BodyText"/>
        <w:spacing w:line="240" w:lineRule="auto" w:before="117"/>
        <w:ind w:right="982"/>
        <w:jc w:val="left"/>
      </w:pPr>
      <w:r>
        <w:rPr/>
        <w:t>（五）未来发展中的风险因素及对策</w:t>
      </w:r>
    </w:p>
    <w:p>
      <w:pPr>
        <w:pStyle w:val="BodyText"/>
        <w:spacing w:line="300" w:lineRule="auto" w:before="117"/>
        <w:ind w:right="982" w:firstLine="288"/>
        <w:jc w:val="left"/>
      </w:pPr>
      <w:r>
        <w:rPr>
          <w:rFonts w:ascii="Times New Roman" w:hAnsi="Times New Roman" w:cs="Times New Roman" w:eastAsia="Times New Roman" w:hint="default"/>
        </w:rPr>
        <w:t>1</w:t>
      </w:r>
      <w:r>
        <w:rPr/>
        <w:t>、公司棉纺织主业经营亏损的风险。报告期内，受国内棉价远高于国际棉价、劳动力成本增加、融资成本提高等因素 </w:t>
      </w:r>
      <w:r>
        <w:rPr>
          <w:spacing w:val="-2"/>
        </w:rPr>
        <w:t>影响，公司的主业经营出现较大亏损。公司预计，</w:t>
      </w:r>
      <w:r>
        <w:rPr>
          <w:rFonts w:ascii="Times New Roman" w:hAnsi="Times New Roman" w:cs="Times New Roman" w:eastAsia="Times New Roman" w:hint="default"/>
          <w:spacing w:val="-2"/>
        </w:rPr>
        <w:t>2013</w:t>
      </w:r>
      <w:r>
        <w:rPr>
          <w:spacing w:val="-2"/>
        </w:rPr>
        <w:t>年上述不利因素还将持续对公司产生影响，同时随着市内老厂停产搬</w:t>
      </w:r>
      <w:r>
        <w:rPr>
          <w:spacing w:val="-60"/>
        </w:rPr>
        <w:t> </w:t>
      </w:r>
      <w:r>
        <w:rPr>
          <w:spacing w:val="-60"/>
        </w:rPr>
      </w:r>
      <w:r>
        <w:rPr/>
        <w:t>迁的进行，产品产销量将受到一定影响，</w:t>
      </w:r>
      <w:r>
        <w:rPr>
          <w:rFonts w:ascii="Times New Roman" w:hAnsi="Times New Roman" w:cs="Times New Roman" w:eastAsia="Times New Roman" w:hint="default"/>
        </w:rPr>
        <w:t>2013</w:t>
      </w:r>
      <w:r>
        <w:rPr/>
        <w:t>年公司的棉纺织主业仍将面临困难局面。</w:t>
      </w:r>
    </w:p>
    <w:p>
      <w:pPr>
        <w:pStyle w:val="BodyText"/>
        <w:spacing w:line="350" w:lineRule="auto" w:before="51"/>
        <w:ind w:left="513" w:right="982"/>
        <w:jc w:val="left"/>
      </w:pPr>
      <w:r>
        <w:rPr/>
        <w:t>对策：公司将根据市场形势，按照年初制定的年度经营计划，做好各项重点工作，扭转主业经营困难局面。 </w:t>
      </w:r>
      <w:r>
        <w:rPr>
          <w:rFonts w:ascii="Times New Roman" w:hAnsi="Times New Roman" w:cs="Times New Roman" w:eastAsia="Times New Roman" w:hint="default"/>
        </w:rPr>
        <w:t>2</w:t>
      </w:r>
      <w:r>
        <w:rPr/>
        <w:t>、公司实施整体搬迁的风险。公司将实施整体搬迁，由此将带来员工分流安置、老厂区停工损失等风险。 </w:t>
      </w:r>
      <w:r>
        <w:rPr>
          <w:spacing w:val="-2"/>
        </w:rPr>
        <w:t>对策：公司将秉持</w:t>
      </w:r>
      <w:r>
        <w:rPr>
          <w:rFonts w:ascii="Times New Roman" w:hAnsi="Times New Roman" w:cs="Times New Roman" w:eastAsia="Times New Roman" w:hint="default"/>
          <w:spacing w:val="-2"/>
        </w:rPr>
        <w:t>“</w:t>
      </w:r>
      <w:r>
        <w:rPr>
          <w:spacing w:val="-2"/>
        </w:rPr>
        <w:t>发展至上，员工为本</w:t>
      </w:r>
      <w:r>
        <w:rPr>
          <w:rFonts w:ascii="Times New Roman" w:hAnsi="Times New Roman" w:cs="Times New Roman" w:eastAsia="Times New Roman" w:hint="default"/>
          <w:spacing w:val="-2"/>
        </w:rPr>
        <w:t>”</w:t>
      </w:r>
      <w:r>
        <w:rPr>
          <w:spacing w:val="-2"/>
        </w:rPr>
        <w:t>的理念，结合新老厂区用工需求，完善员工分流安置方案，做到员工分流安置</w:t>
      </w:r>
    </w:p>
    <w:p>
      <w:pPr>
        <w:pStyle w:val="BodyText"/>
        <w:spacing w:line="207" w:lineRule="exact"/>
        <w:ind w:right="982"/>
        <w:jc w:val="left"/>
      </w:pPr>
      <w:r>
        <w:rPr/>
        <w:t>平稳有序；尽快提高园区新设备达产达效水平，坚持增量先行、存量跟进，搞好产品和市场衔接，减少停工损失；加快正定</w:t>
      </w:r>
    </w:p>
    <w:p>
      <w:pPr>
        <w:pStyle w:val="BodyText"/>
        <w:spacing w:line="240" w:lineRule="auto" w:before="76"/>
        <w:ind w:right="982"/>
        <w:jc w:val="left"/>
      </w:pPr>
      <w:r>
        <w:rPr/>
        <w:t>园区项目建设，提高产量，增加销售收入和盈利能力，保障主业经营稳中有增。</w:t>
      </w:r>
    </w:p>
    <w:p>
      <w:pPr>
        <w:pStyle w:val="BodyText"/>
        <w:spacing w:line="300" w:lineRule="auto" w:before="115"/>
        <w:ind w:right="982" w:firstLine="360"/>
        <w:jc w:val="left"/>
      </w:pPr>
      <w:r>
        <w:rPr>
          <w:rFonts w:ascii="Times New Roman" w:hAnsi="Times New Roman" w:cs="Times New Roman" w:eastAsia="Times New Roman" w:hint="default"/>
          <w:spacing w:val="-2"/>
        </w:rPr>
        <w:t>3</w:t>
      </w:r>
      <w:r>
        <w:rPr>
          <w:spacing w:val="-2"/>
        </w:rPr>
        <w:t>、介入房地产行业的风险。国家一直着力对房地产市场进行调控，同时公司介入房地产又面临新业务突破、合作磨合、</w:t>
      </w:r>
      <w:r>
        <w:rPr/>
        <w:t> 自身经验不足等方面的风险。</w:t>
      </w:r>
    </w:p>
    <w:p>
      <w:pPr>
        <w:pStyle w:val="BodyText"/>
        <w:spacing w:line="316" w:lineRule="auto" w:before="72"/>
        <w:ind w:right="982" w:firstLine="360"/>
        <w:jc w:val="left"/>
      </w:pPr>
      <w:r>
        <w:rPr>
          <w:spacing w:val="-2"/>
        </w:rPr>
        <w:t>对策：公司将密切关注房地产行业宏观调控政策变化给行业带来的影响，及时跟踪和掌握土地供给情况及房地产市场走</w:t>
      </w:r>
      <w:r>
        <w:rPr/>
        <w:t> </w:t>
      </w:r>
      <w:r>
        <w:rPr>
          <w:spacing w:val="-4"/>
        </w:rPr>
        <w:t>势，选择合适介入时机，减少因政策变化所带来的负面影响；公司将优选合作伙伴，通过合作开发控制房地产开发经营风险；</w:t>
      </w:r>
      <w:r>
        <w:rPr>
          <w:spacing w:val="-46"/>
        </w:rPr>
        <w:t> </w:t>
      </w:r>
      <w:r>
        <w:rPr>
          <w:spacing w:val="-46"/>
        </w:rPr>
      </w:r>
      <w:r>
        <w:rPr/>
        <w:t>公司将充分利用搬迁的政策优势和厂区的地理位置优势，提高开发收益。</w:t>
      </w:r>
    </w:p>
    <w:p>
      <w:pPr>
        <w:spacing w:line="240" w:lineRule="auto" w:before="11"/>
        <w:rPr>
          <w:rFonts w:ascii="宋体" w:hAnsi="宋体" w:cs="宋体" w:eastAsia="宋体" w:hint="default"/>
          <w:sz w:val="20"/>
          <w:szCs w:val="20"/>
        </w:rPr>
      </w:pPr>
    </w:p>
    <w:p>
      <w:pPr>
        <w:pStyle w:val="Heading2"/>
        <w:spacing w:line="240" w:lineRule="auto"/>
        <w:ind w:right="982"/>
        <w:jc w:val="left"/>
        <w:rPr>
          <w:b w:val="0"/>
          <w:bCs w:val="0"/>
        </w:rPr>
      </w:pPr>
      <w:r>
        <w:rPr/>
        <w:t>九、董事会对会计师事务所本报告期“非标准审计报告”的说明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无</w:t>
      </w:r>
    </w:p>
    <w:p>
      <w:pPr>
        <w:spacing w:after="0" w:line="240" w:lineRule="auto"/>
        <w:jc w:val="left"/>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十、与上年度财务报告相比，会计政策、会计估计和核算方法发生变化的情况说明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无</w:t>
      </w:r>
    </w:p>
    <w:p>
      <w:pPr>
        <w:spacing w:line="240" w:lineRule="auto" w:before="3"/>
        <w:rPr>
          <w:rFonts w:ascii="宋体" w:hAnsi="宋体" w:cs="宋体" w:eastAsia="宋体" w:hint="default"/>
          <w:sz w:val="25"/>
          <w:szCs w:val="25"/>
        </w:rPr>
      </w:pPr>
    </w:p>
    <w:p>
      <w:pPr>
        <w:pStyle w:val="Heading2"/>
        <w:spacing w:line="240" w:lineRule="auto"/>
        <w:ind w:right="982"/>
        <w:jc w:val="left"/>
        <w:rPr>
          <w:b w:val="0"/>
          <w:bCs w:val="0"/>
        </w:rPr>
      </w:pPr>
      <w:r>
        <w:rPr/>
        <w:t>十一、报告期内发生重大会计差错更正需追溯重述的情况说明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无</w:t>
      </w:r>
    </w:p>
    <w:p>
      <w:pPr>
        <w:spacing w:line="240" w:lineRule="auto" w:before="3"/>
        <w:rPr>
          <w:rFonts w:ascii="宋体" w:hAnsi="宋体" w:cs="宋体" w:eastAsia="宋体" w:hint="default"/>
          <w:sz w:val="25"/>
          <w:szCs w:val="25"/>
        </w:rPr>
      </w:pPr>
    </w:p>
    <w:p>
      <w:pPr>
        <w:pStyle w:val="Heading2"/>
        <w:spacing w:line="240" w:lineRule="auto"/>
        <w:ind w:right="982"/>
        <w:jc w:val="left"/>
        <w:rPr>
          <w:b w:val="0"/>
          <w:bCs w:val="0"/>
        </w:rPr>
      </w:pPr>
      <w:r>
        <w:rPr/>
        <w:t>十二、与上年度财务报告相比，合并报表范围发生变化的情况说明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无</w:t>
      </w:r>
    </w:p>
    <w:p>
      <w:pPr>
        <w:spacing w:line="240" w:lineRule="auto" w:before="4"/>
        <w:rPr>
          <w:rFonts w:ascii="宋体" w:hAnsi="宋体" w:cs="宋体" w:eastAsia="宋体" w:hint="default"/>
          <w:sz w:val="25"/>
          <w:szCs w:val="25"/>
        </w:rPr>
      </w:pPr>
    </w:p>
    <w:p>
      <w:pPr>
        <w:pStyle w:val="Heading2"/>
        <w:spacing w:line="240" w:lineRule="auto"/>
        <w:ind w:right="982"/>
        <w:jc w:val="left"/>
        <w:rPr>
          <w:b w:val="0"/>
          <w:bCs w:val="0"/>
        </w:rPr>
      </w:pPr>
      <w:r>
        <w:rPr/>
        <w:t>十三、公司利润分配及分红派息情况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1201" w:hanging="361"/>
        <w:jc w:val="left"/>
      </w:pPr>
      <w:r>
        <w:rPr/>
        <w:t>报告期内利润分配政策特别是现金分红政策的制定、执行或调整情况 公司按照中国证监会《关于进一步落实上市公司现金分红有关事项的通知》（证监发</w:t>
      </w:r>
      <w:r>
        <w:rPr>
          <w:rFonts w:ascii="Times New Roman" w:hAnsi="Times New Roman" w:cs="Times New Roman" w:eastAsia="Times New Roman" w:hint="default"/>
        </w:rPr>
        <w:t>[2012]37</w:t>
      </w:r>
      <w:r>
        <w:rPr>
          <w:rFonts w:ascii="Times New Roman" w:hAnsi="Times New Roman" w:cs="Times New Roman" w:eastAsia="Times New Roman" w:hint="default"/>
          <w:spacing w:val="27"/>
        </w:rPr>
        <w:t> </w:t>
      </w:r>
      <w:r>
        <w:rPr/>
        <w:t>号）等文件的要求，对</w:t>
      </w:r>
    </w:p>
    <w:p>
      <w:pPr>
        <w:pStyle w:val="BodyText"/>
        <w:spacing w:line="212" w:lineRule="exact"/>
        <w:ind w:right="982"/>
        <w:jc w:val="left"/>
      </w:pPr>
      <w:r>
        <w:rPr/>
        <w:t>《公司章程》中关于利润分配的相关条款进行了修改，并经公司董事会四届二十七次会议和</w:t>
      </w: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t>年第一次临时股东大会批</w:t>
      </w:r>
    </w:p>
    <w:p>
      <w:pPr>
        <w:pStyle w:val="BodyText"/>
        <w:spacing w:line="316" w:lineRule="auto" w:before="63"/>
        <w:ind w:right="982"/>
        <w:jc w:val="left"/>
      </w:pPr>
      <w:r>
        <w:rPr>
          <w:spacing w:val="-2"/>
        </w:rPr>
        <w:t>准。该次修订明确了现金分红的条件、分红比例、期间间隔等内容，对独立董事的作用发挥、公众投资者特别是中小股东的</w:t>
      </w:r>
      <w:r>
        <w:rPr>
          <w:spacing w:val="-67"/>
        </w:rPr>
        <w:t> </w:t>
      </w:r>
      <w:r>
        <w:rPr>
          <w:spacing w:val="-67"/>
        </w:rPr>
      </w:r>
      <w:r>
        <w:rPr/>
        <w:t>利益保护做出了明确规定。</w:t>
      </w:r>
    </w:p>
    <w:p>
      <w:pPr>
        <w:pStyle w:val="BodyText"/>
        <w:spacing w:line="357" w:lineRule="auto" w:before="59"/>
        <w:ind w:right="3916"/>
        <w:jc w:val="left"/>
      </w:pPr>
      <w:r>
        <w:rPr/>
        <w:t>公司报告期利润分配预案及资本公积金转增股本预案符合公司章程等的相关规定。 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300" w:lineRule="auto" w:before="6"/>
        <w:ind w:right="982" w:firstLine="360"/>
        <w:jc w:val="left"/>
      </w:pPr>
      <w:r>
        <w:rPr>
          <w:rFonts w:ascii="Times New Roman" w:hAnsi="Times New Roman" w:cs="Times New Roman" w:eastAsia="Times New Roman" w:hint="default"/>
          <w:spacing w:val="-5"/>
        </w:rPr>
        <w:t>2010</w:t>
      </w:r>
      <w:r>
        <w:rPr>
          <w:spacing w:val="-5"/>
        </w:rPr>
        <w:t>年度公司利润分配预案为：以</w:t>
      </w:r>
      <w:r>
        <w:rPr>
          <w:rFonts w:ascii="Times New Roman" w:hAnsi="Times New Roman" w:cs="Times New Roman" w:eastAsia="Times New Roman" w:hint="default"/>
          <w:spacing w:val="-5"/>
        </w:rPr>
        <w:t>2010</w:t>
      </w:r>
      <w:r>
        <w:rPr>
          <w:spacing w:val="-5"/>
        </w:rPr>
        <w:t>年末总股份</w:t>
      </w:r>
      <w:r>
        <w:rPr>
          <w:rFonts w:ascii="Times New Roman" w:hAnsi="Times New Roman" w:cs="Times New Roman" w:eastAsia="Times New Roman" w:hint="default"/>
          <w:spacing w:val="-5"/>
        </w:rPr>
        <w:t>718,861,000</w:t>
      </w:r>
      <w:r>
        <w:rPr>
          <w:spacing w:val="-5"/>
        </w:rPr>
        <w:t>股为基数，向全体股东每</w:t>
      </w:r>
      <w:r>
        <w:rPr>
          <w:rFonts w:ascii="Times New Roman" w:hAnsi="Times New Roman" w:cs="Times New Roman" w:eastAsia="Times New Roman" w:hint="default"/>
          <w:spacing w:val="-5"/>
        </w:rPr>
        <w:t>10</w:t>
      </w:r>
      <w:r>
        <w:rPr>
          <w:spacing w:val="-5"/>
        </w:rPr>
        <w:t>股派发现金红利</w:t>
      </w:r>
      <w:r>
        <w:rPr>
          <w:rFonts w:ascii="Times New Roman" w:hAnsi="Times New Roman" w:cs="Times New Roman" w:eastAsia="Times New Roman" w:hint="default"/>
          <w:spacing w:val="-5"/>
        </w:rPr>
        <w:t>0.20</w:t>
      </w:r>
      <w:r>
        <w:rPr>
          <w:spacing w:val="-5"/>
        </w:rPr>
        <w:t>元（含税），</w:t>
      </w:r>
      <w:r>
        <w:rPr/>
        <w:t> 共计派发现金</w:t>
      </w:r>
      <w:r>
        <w:rPr>
          <w:rFonts w:ascii="Times New Roman" w:hAnsi="Times New Roman" w:cs="Times New Roman" w:eastAsia="Times New Roman" w:hint="default"/>
        </w:rPr>
        <w:t>14,377,220.00</w:t>
      </w:r>
      <w:r>
        <w:rPr/>
        <w:t>元，剩余未分配利润结转下年。不进行资本公积金转增股本。</w:t>
      </w:r>
    </w:p>
    <w:p>
      <w:pPr>
        <w:pStyle w:val="BodyText"/>
        <w:spacing w:line="307" w:lineRule="auto" w:before="51"/>
        <w:ind w:right="1130" w:firstLine="504"/>
        <w:jc w:val="both"/>
      </w:pPr>
      <w:r>
        <w:rPr>
          <w:rFonts w:ascii="Times New Roman" w:hAnsi="Times New Roman" w:cs="Times New Roman" w:eastAsia="Times New Roman" w:hint="default"/>
          <w:spacing w:val="-1"/>
        </w:rPr>
        <w:t>2011</w:t>
      </w:r>
      <w:r>
        <w:rPr>
          <w:spacing w:val="-1"/>
        </w:rPr>
        <w:t>年度公司利润分配预案为：</w:t>
      </w:r>
      <w:r>
        <w:rPr>
          <w:rFonts w:ascii="Times New Roman" w:hAnsi="Times New Roman" w:cs="Times New Roman" w:eastAsia="Times New Roman" w:hint="default"/>
          <w:spacing w:val="-1"/>
        </w:rPr>
        <w:t>2012</w:t>
      </w:r>
      <w:r>
        <w:rPr>
          <w:spacing w:val="-1"/>
        </w:rPr>
        <w:t>年，公司可能面临更为困难的主业经营形势；新园区还要进行厂房建设，购置新</w:t>
      </w:r>
      <w:r>
        <w:rPr/>
        <w:t> </w:t>
      </w:r>
      <w:r>
        <w:rPr>
          <w:spacing w:val="-2"/>
        </w:rPr>
        <w:t>设备；随着公司定向增发募资项目和公司自筹资金项目陆续投产，都需要更多的资金投入。为保障项目建设进度、设备购置</w:t>
      </w:r>
      <w:r>
        <w:rPr>
          <w:spacing w:val="-63"/>
        </w:rPr>
        <w:t> </w:t>
      </w:r>
      <w:r>
        <w:rPr>
          <w:spacing w:val="-63"/>
        </w:rPr>
      </w:r>
      <w:r>
        <w:rPr>
          <w:spacing w:val="-2"/>
        </w:rPr>
        <w:t>和满足生产经营资金需求，实现公司稳健和可持续发展，</w:t>
      </w:r>
      <w:r>
        <w:rPr>
          <w:rFonts w:ascii="Times New Roman" w:hAnsi="Times New Roman" w:cs="Times New Roman" w:eastAsia="Times New Roman" w:hint="default"/>
          <w:spacing w:val="-2"/>
        </w:rPr>
        <w:t>2011</w:t>
      </w:r>
      <w:r>
        <w:rPr>
          <w:spacing w:val="-2"/>
        </w:rPr>
        <w:t>年度公司不进行现金分红，不实施公积金和未分配利润转增股</w:t>
      </w:r>
      <w:r>
        <w:rPr>
          <w:spacing w:val="-63"/>
        </w:rPr>
        <w:t> </w:t>
      </w:r>
      <w:r>
        <w:rPr>
          <w:spacing w:val="-63"/>
        </w:rPr>
      </w:r>
      <w:r>
        <w:rPr/>
        <w:t>本。</w:t>
      </w:r>
    </w:p>
    <w:p>
      <w:pPr>
        <w:pStyle w:val="BodyText"/>
        <w:spacing w:line="309" w:lineRule="auto" w:before="67"/>
        <w:ind w:right="1124" w:firstLine="576"/>
        <w:jc w:val="left"/>
      </w:pPr>
      <w:r>
        <w:rPr>
          <w:rFonts w:ascii="Times New Roman" w:hAnsi="Times New Roman" w:cs="Times New Roman" w:eastAsia="Times New Roman" w:hint="default"/>
        </w:rPr>
        <w:t>2012</w:t>
      </w:r>
      <w:r>
        <w:rPr/>
        <w:t>年度公司利润分配预案为：</w:t>
      </w:r>
      <w:r>
        <w:rPr>
          <w:rFonts w:ascii="Times New Roman" w:hAnsi="Times New Roman" w:cs="Times New Roman" w:eastAsia="Times New Roman" w:hint="default"/>
        </w:rPr>
        <w:t>2013</w:t>
      </w:r>
      <w:r>
        <w:rPr/>
        <w:t>年，纺织行业面临的形势依然不容乐观；公司正定纺织园区仍在持续建设中； </w:t>
      </w:r>
      <w:r>
        <w:rPr>
          <w:spacing w:val="-2"/>
        </w:rPr>
        <w:t>市内老厂搬迁及职工安置已经启动，预计支出较大；公司自筹资金项目的陆续投产，都需要大量资金，而市内启动搬迁老厂</w:t>
      </w:r>
      <w:r>
        <w:rPr>
          <w:spacing w:val="-64"/>
        </w:rPr>
        <w:t> </w:t>
      </w:r>
      <w:r>
        <w:rPr>
          <w:spacing w:val="-64"/>
        </w:rPr>
      </w:r>
      <w:r>
        <w:rPr>
          <w:spacing w:val="-2"/>
        </w:rPr>
        <w:t>的土地出让正在加紧谋划和运作。为保障项目建设进度、新增生产线尽快投产、搬迁及安置平稳进行和满足当前生产经营资</w:t>
      </w:r>
      <w:r>
        <w:rPr>
          <w:spacing w:val="-66"/>
        </w:rPr>
        <w:t> </w:t>
      </w:r>
      <w:r>
        <w:rPr>
          <w:spacing w:val="-66"/>
        </w:rPr>
      </w:r>
      <w:r>
        <w:rPr/>
        <w:t>金需求，实现公司稳健和可持续发展，为股东创造更大和更长远的利益， </w:t>
      </w:r>
      <w:r>
        <w:rPr>
          <w:rFonts w:ascii="Times New Roman" w:hAnsi="Times New Roman" w:cs="Times New Roman" w:eastAsia="Times New Roman" w:hint="default"/>
        </w:rPr>
        <w:t>2012</w:t>
      </w:r>
      <w:r>
        <w:rPr/>
        <w:t>年度公司不进行现金分红，不实施公积金和 未分配利润转增股本。</w:t>
      </w:r>
    </w:p>
    <w:p>
      <w:pPr>
        <w:pStyle w:val="BodyText"/>
        <w:spacing w:line="240" w:lineRule="auto" w:before="65"/>
        <w:ind w:right="982"/>
        <w:jc w:val="left"/>
      </w:pPr>
      <w:r>
        <w:rPr/>
        <w:t>公司近三年现金分红情况表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11,763,142.83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57,284,042.20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14,377,220.00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54,614,304.40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26.33%</w:t>
            </w:r>
          </w:p>
        </w:tc>
      </w:tr>
    </w:tbl>
    <w:p>
      <w:pPr>
        <w:pStyle w:val="BodyText"/>
        <w:spacing w:line="240" w:lineRule="auto" w:before="49"/>
        <w:ind w:right="982"/>
        <w:jc w:val="left"/>
      </w:pPr>
      <w:r>
        <w:rPr/>
        <w:t>公司报告期内盈利且母公司未分配利润为正但未提出现金红利分配预案</w:t>
      </w:r>
    </w:p>
    <w:p>
      <w:pPr>
        <w:pStyle w:val="BodyText"/>
        <w:spacing w:line="240" w:lineRule="auto" w:before="117"/>
        <w:ind w:right="982"/>
        <w:jc w:val="left"/>
      </w:pPr>
      <w:r>
        <w:rPr/>
        <w:t>√ 适用 □</w:t>
      </w:r>
      <w:r>
        <w:rPr>
          <w:spacing w:val="3"/>
        </w:rPr>
        <w:t> </w:t>
      </w:r>
      <w:r>
        <w:rPr/>
        <w:t>不适用</w:t>
      </w:r>
    </w:p>
    <w:p>
      <w:pPr>
        <w:spacing w:after="0" w:line="240" w:lineRule="auto"/>
        <w:jc w:val="left"/>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47" w:right="44" w:hanging="1801"/>
              <w:jc w:val="left"/>
              <w:rPr>
                <w:rFonts w:ascii="宋体" w:hAnsi="宋体" w:cs="宋体" w:eastAsia="宋体" w:hint="default"/>
                <w:sz w:val="18"/>
                <w:szCs w:val="18"/>
              </w:rPr>
            </w:pPr>
            <w:r>
              <w:rPr>
                <w:rFonts w:ascii="宋体" w:hAnsi="宋体" w:cs="宋体" w:eastAsia="宋体" w:hint="default"/>
                <w:sz w:val="18"/>
                <w:szCs w:val="18"/>
              </w:rPr>
              <w:t>报告期内盈利且母公司未分配利润为正但未提出现金红利分 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7"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2586"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0"/>
              <w:ind w:left="22" w:right="17" w:firstLine="362"/>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年，纺织行业面临的形势依然不容乐观；公司正定 纺织园区仍在持续建设中；市内老厂搬迁及职工安置已经启 动，预计支出较大；公司自筹资金项目的陆续投产，都需要 大量资金，而市内启动搬迁老厂的土地出让正在加紧谋划和 运作。为保障项目建设进度、新增生产线尽快投产、搬迁及 安置平稳进行和满足当前生产经营资金需求，实现公司稳健 和可持续发展，为股东创造更大和更长远的利益，</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 </w:t>
            </w:r>
            <w:r>
              <w:rPr>
                <w:rFonts w:ascii="宋体" w:hAnsi="宋体" w:cs="宋体" w:eastAsia="宋体" w:hint="default"/>
                <w:spacing w:val="-4"/>
                <w:sz w:val="18"/>
                <w:szCs w:val="18"/>
              </w:rPr>
              <w:t>公司不进行现金分红，不实施</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未分配的利润将继续留存公司用于再发展。</w:t>
            </w:r>
          </w:p>
        </w:tc>
      </w:tr>
    </w:tbl>
    <w:p>
      <w:pPr>
        <w:spacing w:line="240" w:lineRule="auto" w:before="1"/>
        <w:rPr>
          <w:rFonts w:ascii="宋体" w:hAnsi="宋体" w:cs="宋体" w:eastAsia="宋体" w:hint="default"/>
          <w:sz w:val="18"/>
          <w:szCs w:val="18"/>
        </w:rPr>
      </w:pPr>
    </w:p>
    <w:p>
      <w:pPr>
        <w:pStyle w:val="Heading2"/>
        <w:spacing w:line="240" w:lineRule="auto" w:before="26"/>
        <w:ind w:right="982"/>
        <w:jc w:val="left"/>
        <w:rPr>
          <w:b w:val="0"/>
          <w:bCs w:val="0"/>
        </w:rPr>
      </w:pPr>
      <w:r>
        <w:rPr/>
        <w:pict>
          <v:shape style="position:absolute;margin-left:173.028pt;margin-top:-66.884384pt;width:361.95pt;height:54.6pt;mso-position-horizontal-relative:page;mso-position-vertical-relative:paragraph;z-index:-94960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21"/>
                      <w:szCs w:val="21"/>
                    </w:rPr>
                  </w:pPr>
                </w:p>
                <w:p>
                  <w:pPr>
                    <w:pStyle w:val="BodyText"/>
                    <w:spacing w:line="240" w:lineRule="auto"/>
                    <w:ind w:left="0" w:right="0"/>
                    <w:jc w:val="left"/>
                  </w:pPr>
                  <w:r>
                    <w:rPr/>
                    <w:t>公积金和未分配利润转增股本。</w:t>
                  </w:r>
                </w:p>
              </w:txbxContent>
            </v:textbox>
            <w10:wrap type="none"/>
          </v:shape>
        </w:pict>
      </w:r>
      <w:r>
        <w:rPr/>
        <w:t>十四、社会责任情况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（一）</w:t>
      </w:r>
      <w:r>
        <w:rPr>
          <w:spacing w:val="-18"/>
        </w:rPr>
        <w:t> </w:t>
      </w:r>
      <w:r>
        <w:rPr/>
        <w:t>本报告期公司不披露专项社会责任报告。</w:t>
      </w:r>
    </w:p>
    <w:p>
      <w:pPr>
        <w:pStyle w:val="BodyText"/>
        <w:spacing w:line="240" w:lineRule="auto" w:before="115"/>
        <w:ind w:right="982"/>
        <w:jc w:val="left"/>
      </w:pPr>
      <w:r>
        <w:rPr/>
        <w:t>（二）报告期内公司履行社会责任的情况</w:t>
      </w:r>
    </w:p>
    <w:p>
      <w:pPr>
        <w:pStyle w:val="BodyText"/>
        <w:spacing w:line="300" w:lineRule="auto" w:before="117"/>
        <w:ind w:right="1124"/>
        <w:jc w:val="left"/>
      </w:pPr>
      <w:r>
        <w:rPr>
          <w:rFonts w:ascii="Times New Roman" w:hAnsi="Times New Roman" w:cs="Times New Roman" w:eastAsia="Times New Roman" w:hint="default"/>
        </w:rPr>
        <w:t>1</w:t>
      </w:r>
      <w:r>
        <w:rPr/>
        <w:t>、公司不断完善治理结构，严格管理，不存在违规担保、关联方违规占用资金、内幕交易等损害投资者债权人等利益相关 者的行为。</w:t>
      </w:r>
    </w:p>
    <w:p>
      <w:pPr>
        <w:pStyle w:val="BodyText"/>
        <w:spacing w:line="240" w:lineRule="auto" w:before="72"/>
        <w:ind w:right="982"/>
        <w:jc w:val="left"/>
      </w:pPr>
      <w:r>
        <w:rPr>
          <w:rFonts w:ascii="Times New Roman" w:hAnsi="Times New Roman" w:cs="Times New Roman" w:eastAsia="Times New Roman" w:hint="default"/>
        </w:rPr>
        <w:t>2</w:t>
      </w:r>
      <w:r>
        <w:rPr/>
        <w:t>、公司守法诚信经营，与上下游客户建立了和谐共盈的合作关系。</w:t>
      </w:r>
    </w:p>
    <w:p>
      <w:pPr>
        <w:pStyle w:val="BodyText"/>
        <w:spacing w:line="240" w:lineRule="auto" w:before="101"/>
        <w:ind w:right="982"/>
        <w:jc w:val="left"/>
      </w:pPr>
      <w:r>
        <w:rPr>
          <w:rFonts w:ascii="Times New Roman" w:hAnsi="Times New Roman" w:cs="Times New Roman" w:eastAsia="Times New Roman" w:hint="default"/>
        </w:rPr>
        <w:t>3</w:t>
      </w:r>
      <w:r>
        <w:rPr/>
        <w:t>、公司严格按照《劳动合同法》要求签订劳动合同，按照国家相关规定为职工缴纳各项社会保险，尊重员工各项权利。</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十五、报告期内接待调研、沟通、采访等活动登记表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石家庄中茂海悦酒 店</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网上业绩交流会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公司投资者</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年度业绩有关情况</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自然人投资者</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了解公司日常生产经营情 况、整体搬迁进展情况和 定向增发项目进展情况</w:t>
            </w:r>
          </w:p>
        </w:tc>
      </w:tr>
    </w:tbl>
    <w:p>
      <w:pPr>
        <w:spacing w:after="0" w:line="316" w:lineRule="auto"/>
        <w:jc w:val="both"/>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right="3577"/>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2"/>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 媒体质疑情况</w:t>
      </w:r>
    </w:p>
    <w:p>
      <w:pPr>
        <w:pStyle w:val="BodyText"/>
        <w:spacing w:line="340" w:lineRule="auto" w:before="36"/>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本年度公司无媒体质疑事项。</w:t>
      </w:r>
    </w:p>
    <w:p>
      <w:pPr>
        <w:spacing w:line="240" w:lineRule="auto" w:before="4"/>
        <w:rPr>
          <w:rFonts w:ascii="宋体" w:hAnsi="宋体" w:cs="宋体" w:eastAsia="宋体" w:hint="default"/>
          <w:sz w:val="19"/>
          <w:szCs w:val="19"/>
        </w:rPr>
      </w:pPr>
    </w:p>
    <w:p>
      <w:pPr>
        <w:pStyle w:val="Heading2"/>
        <w:spacing w:line="240" w:lineRule="auto"/>
        <w:ind w:right="982"/>
        <w:jc w:val="left"/>
        <w:rPr>
          <w:b w:val="0"/>
          <w:bCs w:val="0"/>
        </w:rPr>
      </w:pPr>
      <w:r>
        <w:rPr/>
        <w:t>二、上市公司发生控股股东及其关联方非经营性占用资金情况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947"/>
        <w:gridCol w:w="968"/>
        <w:gridCol w:w="958"/>
        <w:gridCol w:w="959"/>
        <w:gridCol w:w="956"/>
        <w:gridCol w:w="957"/>
        <w:gridCol w:w="956"/>
        <w:gridCol w:w="955"/>
        <w:gridCol w:w="958"/>
        <w:gridCol w:w="958"/>
      </w:tblGrid>
      <w:tr>
        <w:trPr>
          <w:trHeight w:val="161" w:hRule="exact"/>
        </w:trPr>
        <w:tc>
          <w:tcPr>
            <w:tcW w:w="947" w:type="dxa"/>
            <w:tcBorders>
              <w:top w:val="single" w:sz="4" w:space="0" w:color="000000"/>
              <w:left w:val="single" w:sz="4" w:space="0" w:color="000000"/>
              <w:bottom w:val="nil" w:sz="6" w:space="0" w:color="auto"/>
              <w:right w:val="single" w:sz="4" w:space="0" w:color="000000"/>
            </w:tcBorders>
            <w:shd w:val="clear" w:color="auto" w:fill="D2D2D2"/>
          </w:tcPr>
          <w:p>
            <w:pPr/>
          </w:p>
        </w:tc>
        <w:tc>
          <w:tcPr>
            <w:tcW w:w="968" w:type="dxa"/>
            <w:vMerge w:val="restart"/>
            <w:tcBorders>
              <w:top w:val="single" w:sz="4" w:space="0" w:color="000000"/>
              <w:left w:val="single" w:sz="4" w:space="0" w:color="000000"/>
              <w:right w:val="single" w:sz="4" w:space="0" w:color="000000"/>
            </w:tcBorders>
            <w:shd w:val="clear" w:color="auto" w:fill="D2D2D2"/>
          </w:tcPr>
          <w:p>
            <w:pPr/>
          </w:p>
        </w:tc>
        <w:tc>
          <w:tcPr>
            <w:tcW w:w="958" w:type="dxa"/>
            <w:vMerge w:val="restart"/>
            <w:tcBorders>
              <w:top w:val="single" w:sz="4" w:space="0" w:color="000000"/>
              <w:left w:val="single" w:sz="4" w:space="0" w:color="000000"/>
              <w:right w:val="single" w:sz="4" w:space="0" w:color="000000"/>
            </w:tcBorders>
            <w:shd w:val="clear" w:color="auto" w:fill="D2D2D2"/>
          </w:tcPr>
          <w:p>
            <w:pPr/>
          </w:p>
        </w:tc>
        <w:tc>
          <w:tcPr>
            <w:tcW w:w="959"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1" w:right="23" w:hanging="89"/>
              <w:jc w:val="left"/>
              <w:rPr>
                <w:rFonts w:ascii="宋体" w:hAnsi="宋体" w:cs="宋体" w:eastAsia="宋体" w:hint="default"/>
                <w:sz w:val="18"/>
                <w:szCs w:val="18"/>
              </w:rPr>
            </w:pPr>
            <w:r>
              <w:rPr>
                <w:rFonts w:ascii="宋体" w:hAnsi="宋体" w:cs="宋体" w:eastAsia="宋体" w:hint="default"/>
                <w:sz w:val="18"/>
                <w:szCs w:val="18"/>
              </w:rPr>
              <w:t>报告期新增 占用金额</w:t>
            </w:r>
          </w:p>
          <w:p>
            <w:pPr>
              <w:pStyle w:val="TableParagraph"/>
              <w:spacing w:line="240" w:lineRule="auto" w:before="19"/>
              <w:ind w:left="11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 w:right="21"/>
              <w:jc w:val="center"/>
              <w:rPr>
                <w:rFonts w:ascii="宋体" w:hAnsi="宋体" w:cs="宋体" w:eastAsia="宋体" w:hint="default"/>
                <w:sz w:val="18"/>
                <w:szCs w:val="18"/>
              </w:rPr>
            </w:pPr>
            <w:r>
              <w:rPr>
                <w:rFonts w:ascii="宋体" w:hAnsi="宋体" w:cs="宋体" w:eastAsia="宋体" w:hint="default"/>
                <w:sz w:val="18"/>
                <w:szCs w:val="18"/>
              </w:rPr>
              <w:t>报告期偿还 总金额（万 元）</w:t>
            </w: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94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4" w:right="11" w:hanging="181"/>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68" w:type="dxa"/>
            <w:vMerge/>
            <w:tcBorders>
              <w:left w:val="single" w:sz="4" w:space="0" w:color="000000"/>
              <w:bottom w:val="nil" w:sz="6" w:space="0" w:color="auto"/>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c>
          <w:tcPr>
            <w:tcW w:w="9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95" w:right="23" w:hanging="272"/>
              <w:jc w:val="left"/>
              <w:rPr>
                <w:rFonts w:ascii="宋体" w:hAnsi="宋体" w:cs="宋体" w:eastAsia="宋体" w:hint="default"/>
                <w:sz w:val="18"/>
                <w:szCs w:val="18"/>
              </w:rPr>
            </w:pPr>
            <w:r>
              <w:rPr>
                <w:rFonts w:ascii="宋体" w:hAnsi="宋体" w:cs="宋体" w:eastAsia="宋体" w:hint="default"/>
                <w:sz w:val="18"/>
                <w:szCs w:val="18"/>
              </w:rPr>
              <w:t>期初数（万 元）</w:t>
            </w:r>
          </w:p>
        </w:tc>
        <w:tc>
          <w:tcPr>
            <w:tcW w:w="956"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91" w:right="23" w:hanging="269"/>
              <w:jc w:val="left"/>
              <w:rPr>
                <w:rFonts w:ascii="宋体" w:hAnsi="宋体" w:cs="宋体" w:eastAsia="宋体" w:hint="default"/>
                <w:sz w:val="18"/>
                <w:szCs w:val="18"/>
              </w:rPr>
            </w:pPr>
            <w:r>
              <w:rPr>
                <w:rFonts w:ascii="宋体" w:hAnsi="宋体" w:cs="宋体" w:eastAsia="宋体" w:hint="default"/>
                <w:sz w:val="18"/>
                <w:szCs w:val="18"/>
              </w:rPr>
              <w:t>期末数（万 元）</w:t>
            </w:r>
          </w:p>
        </w:tc>
        <w:tc>
          <w:tcPr>
            <w:tcW w:w="95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394" w:hRule="exact"/>
        </w:trPr>
        <w:tc>
          <w:tcPr>
            <w:tcW w:w="947" w:type="dxa"/>
            <w:vMerge/>
            <w:tcBorders>
              <w:left w:val="single" w:sz="4" w:space="0" w:color="000000"/>
              <w:right w:val="single" w:sz="4" w:space="0" w:color="000000"/>
            </w:tcBorders>
            <w:shd w:val="clear" w:color="auto" w:fill="D2D2D2"/>
          </w:tcPr>
          <w:p>
            <w:pPr/>
          </w:p>
        </w:tc>
        <w:tc>
          <w:tcPr>
            <w:tcW w:w="9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9"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5"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r>
      <w:tr>
        <w:trPr>
          <w:trHeight w:val="156" w:hRule="exact"/>
        </w:trPr>
        <w:tc>
          <w:tcPr>
            <w:tcW w:w="947" w:type="dxa"/>
            <w:vMerge/>
            <w:tcBorders>
              <w:left w:val="single" w:sz="4" w:space="0" w:color="000000"/>
              <w:bottom w:val="nil" w:sz="6" w:space="0" w:color="auto"/>
              <w:right w:val="single" w:sz="4" w:space="0" w:color="000000"/>
            </w:tcBorders>
            <w:shd w:val="clear" w:color="auto" w:fill="D2D2D2"/>
          </w:tcPr>
          <w:p>
            <w:pPr/>
          </w:p>
        </w:tc>
        <w:tc>
          <w:tcPr>
            <w:tcW w:w="968" w:type="dxa"/>
            <w:vMerge w:val="restart"/>
            <w:tcBorders>
              <w:top w:val="nil" w:sz="6" w:space="0" w:color="auto"/>
              <w:left w:val="single" w:sz="4" w:space="0" w:color="000000"/>
              <w:right w:val="single" w:sz="4" w:space="0" w:color="000000"/>
            </w:tcBorders>
            <w:shd w:val="clear" w:color="auto" w:fill="D2D2D2"/>
          </w:tcPr>
          <w:p>
            <w:pPr/>
          </w:p>
        </w:tc>
        <w:tc>
          <w:tcPr>
            <w:tcW w:w="958" w:type="dxa"/>
            <w:vMerge w:val="restart"/>
            <w:tcBorders>
              <w:top w:val="nil" w:sz="6" w:space="0" w:color="auto"/>
              <w:left w:val="single" w:sz="4" w:space="0" w:color="000000"/>
              <w:right w:val="single" w:sz="4" w:space="0" w:color="000000"/>
            </w:tcBorders>
            <w:shd w:val="clear" w:color="auto" w:fill="D2D2D2"/>
          </w:tcPr>
          <w:p>
            <w:pPr/>
          </w:p>
        </w:tc>
        <w:tc>
          <w:tcPr>
            <w:tcW w:w="959"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955" w:type="dxa"/>
            <w:vMerge/>
            <w:tcBorders>
              <w:left w:val="single" w:sz="4" w:space="0" w:color="000000"/>
              <w:bottom w:val="nil" w:sz="6" w:space="0" w:color="auto"/>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47" w:type="dxa"/>
            <w:tcBorders>
              <w:top w:val="nil" w:sz="6" w:space="0" w:color="auto"/>
              <w:left w:val="single" w:sz="4" w:space="0" w:color="000000"/>
              <w:bottom w:val="single" w:sz="4" w:space="0" w:color="000000"/>
              <w:right w:val="single" w:sz="4" w:space="0" w:color="000000"/>
            </w:tcBorders>
            <w:shd w:val="clear" w:color="auto" w:fill="D2D2D2"/>
          </w:tcPr>
          <w:p>
            <w:pPr/>
          </w:p>
        </w:tc>
        <w:tc>
          <w:tcPr>
            <w:tcW w:w="968"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959"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957" w:type="dxa"/>
            <w:vMerge/>
            <w:tcBorders>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期末合计值占期末净资产的比例</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982"/>
        <w:jc w:val="left"/>
        <w:rPr>
          <w:b w:val="0"/>
          <w:bCs w:val="0"/>
        </w:rPr>
      </w:pPr>
      <w:r>
        <w:rPr/>
        <w:t>三、破产重整相关事项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982"/>
        <w:jc w:val="left"/>
        <w:rPr>
          <w:b w:val="0"/>
          <w:bCs w:val="0"/>
        </w:rPr>
      </w:pPr>
      <w:r>
        <w:rPr/>
        <w:t>四、资产交易事项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50"/>
        <w:gridCol w:w="749"/>
        <w:gridCol w:w="749"/>
        <w:gridCol w:w="747"/>
        <w:gridCol w:w="1217"/>
        <w:gridCol w:w="1121"/>
        <w:gridCol w:w="746"/>
        <w:gridCol w:w="624"/>
        <w:gridCol w:w="874"/>
        <w:gridCol w:w="997"/>
        <w:gridCol w:w="996"/>
      </w:tblGrid>
      <w:tr>
        <w:trPr>
          <w:trHeight w:val="2585" w:hRule="exact"/>
        </w:trPr>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9" w:right="99"/>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8" w:right="98"/>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8" w:right="9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4" w:lineRule="auto"/>
              <w:ind w:left="278" w:right="98"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62" w:firstLine="38"/>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w:t>
            </w:r>
          </w:p>
          <w:p>
            <w:pPr>
              <w:pStyle w:val="TableParagraph"/>
              <w:spacing w:line="319" w:lineRule="auto" w:before="19"/>
              <w:ind w:left="62" w:right="62"/>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5"/>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 献的净利润</w:t>
            </w:r>
          </w:p>
          <w:p>
            <w:pPr>
              <w:pStyle w:val="TableParagraph"/>
              <w:spacing w:line="319" w:lineRule="auto" w:before="19"/>
              <w:ind w:left="59" w:right="60"/>
              <w:jc w:val="center"/>
              <w:rPr>
                <w:rFonts w:ascii="宋体" w:hAnsi="宋体" w:cs="宋体" w:eastAsia="宋体" w:hint="default"/>
                <w:sz w:val="18"/>
                <w:szCs w:val="18"/>
              </w:rPr>
            </w:pPr>
            <w:r>
              <w:rPr>
                <w:rFonts w:ascii="宋体" w:hAnsi="宋体" w:cs="宋体" w:eastAsia="宋体" w:hint="default"/>
                <w:spacing w:val="-16"/>
                <w:sz w:val="18"/>
                <w:szCs w:val="18"/>
              </w:rPr>
              <w:t>（万元）（适</w:t>
            </w:r>
            <w:r>
              <w:rPr>
                <w:rFonts w:ascii="宋体" w:hAnsi="宋体" w:cs="宋体" w:eastAsia="宋体" w:hint="default"/>
                <w:sz w:val="18"/>
                <w:szCs w:val="18"/>
              </w:rPr>
              <w:t> 用于同一控 制下的企业 合并）</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率</w:t>
            </w:r>
            <w:r>
              <w:rPr>
                <w:rFonts w:ascii="Times New Roman" w:hAnsi="Times New Roman" w:cs="Times New Roman" w:eastAsia="Times New Roman"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38" w:right="3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7"/>
                <w:sz w:val="18"/>
                <w:szCs w:val="18"/>
              </w:rPr>
              <w:t>关系（适用</w:t>
            </w:r>
            <w:r>
              <w:rPr>
                <w:rFonts w:ascii="宋体" w:hAnsi="宋体" w:cs="宋体" w:eastAsia="宋体" w:hint="default"/>
                <w:sz w:val="18"/>
                <w:szCs w:val="18"/>
              </w:rPr>
              <w:t> 关联交易 情形</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pStyle w:val="BodyText"/>
        <w:spacing w:line="240" w:lineRule="auto" w:before="49"/>
        <w:ind w:right="982"/>
        <w:jc w:val="left"/>
      </w:pPr>
      <w:r>
        <w:rPr/>
        <w:pict>
          <v:shape style="position:absolute;margin-left:234.287003pt;margin-top:-80.548279pt;width:87.65pt;height:20pt;mso-position-horizontal-relative:page;mso-position-vertical-relative:paragraph;z-index:-949576" type="#_x0000_t202" filled="false" stroked="false">
            <v:textbox inset="0,0,0,0">
              <w:txbxContent>
                <w:p>
                  <w:pPr>
                    <w:spacing w:line="240" w:lineRule="auto" w:before="7"/>
                    <w:rPr>
                      <w:rFonts w:ascii="宋体" w:hAnsi="宋体" w:cs="宋体" w:eastAsia="宋体" w:hint="default"/>
                      <w:b/>
                      <w:bCs/>
                      <w:sz w:val="12"/>
                      <w:szCs w:val="12"/>
                    </w:rPr>
                  </w:pPr>
                </w:p>
                <w:p>
                  <w:pPr>
                    <w:pStyle w:val="BodyText"/>
                    <w:spacing w:line="240" w:lineRule="auto"/>
                    <w:ind w:left="0" w:right="0"/>
                    <w:jc w:val="left"/>
                  </w:pPr>
                  <w:r>
                    <w:rPr/>
                    <w:t>（万元）</w:t>
                  </w:r>
                </w:p>
              </w:txbxContent>
            </v:textbox>
            <w10:wrap type="none"/>
          </v:shape>
        </w:pict>
      </w:r>
      <w:r>
        <w:rPr/>
        <w:t>收购资产情况概述</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4"/>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8"/>
        <w:gridCol w:w="683"/>
        <w:gridCol w:w="684"/>
        <w:gridCol w:w="684"/>
        <w:gridCol w:w="684"/>
        <w:gridCol w:w="682"/>
        <w:gridCol w:w="684"/>
        <w:gridCol w:w="684"/>
        <w:gridCol w:w="681"/>
        <w:gridCol w:w="682"/>
        <w:gridCol w:w="667"/>
      </w:tblGrid>
      <w:tr>
        <w:trPr>
          <w:trHeight w:val="69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0"/>
              <w:ind w:left="246" w:right="65"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0"/>
              <w:ind w:left="158" w:right="65" w:hanging="92"/>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0"/>
              <w:ind w:left="69" w:right="66"/>
              <w:jc w:val="left"/>
              <w:rPr>
                <w:rFonts w:ascii="宋体" w:hAnsi="宋体" w:cs="宋体" w:eastAsia="宋体" w:hint="default"/>
                <w:sz w:val="18"/>
                <w:szCs w:val="18"/>
              </w:rPr>
            </w:pPr>
            <w:r>
              <w:rPr>
                <w:rFonts w:ascii="宋体" w:hAnsi="宋体" w:cs="宋体" w:eastAsia="宋体" w:hint="default"/>
                <w:sz w:val="18"/>
                <w:szCs w:val="18"/>
              </w:rPr>
              <w:t>交易价 格（万</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0"/>
              <w:ind w:left="66" w:right="65"/>
              <w:jc w:val="left"/>
              <w:rPr>
                <w:rFonts w:ascii="宋体" w:hAnsi="宋体" w:cs="宋体" w:eastAsia="宋体" w:hint="default"/>
                <w:sz w:val="18"/>
                <w:szCs w:val="18"/>
              </w:rPr>
            </w:pPr>
            <w:r>
              <w:rPr>
                <w:rFonts w:ascii="宋体" w:hAnsi="宋体" w:cs="宋体" w:eastAsia="宋体" w:hint="default"/>
                <w:sz w:val="18"/>
                <w:szCs w:val="18"/>
              </w:rPr>
              <w:t>本期初 起至出</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出售产 生的损</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资产出 售为上</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资产出 售定价</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0"/>
              <w:ind w:left="67" w:right="62"/>
              <w:jc w:val="left"/>
              <w:rPr>
                <w:rFonts w:ascii="宋体" w:hAnsi="宋体" w:cs="宋体" w:eastAsia="宋体" w:hint="default"/>
                <w:sz w:val="18"/>
                <w:szCs w:val="18"/>
              </w:rPr>
            </w:pPr>
            <w:r>
              <w:rPr>
                <w:rFonts w:ascii="宋体" w:hAnsi="宋体" w:cs="宋体" w:eastAsia="宋体" w:hint="default"/>
                <w:sz w:val="18"/>
                <w:szCs w:val="18"/>
              </w:rPr>
              <w:t>是否为 关联交</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0"/>
              <w:ind w:left="69" w:right="62"/>
              <w:jc w:val="left"/>
              <w:rPr>
                <w:rFonts w:ascii="宋体" w:hAnsi="宋体" w:cs="宋体" w:eastAsia="宋体" w:hint="default"/>
                <w:sz w:val="18"/>
                <w:szCs w:val="18"/>
              </w:rPr>
            </w:pPr>
            <w:r>
              <w:rPr>
                <w:rFonts w:ascii="宋体" w:hAnsi="宋体" w:cs="宋体" w:eastAsia="宋体" w:hint="default"/>
                <w:sz w:val="18"/>
                <w:szCs w:val="18"/>
              </w:rPr>
              <w:t>与交易 对方的</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所涉及 的资产</w:t>
            </w:r>
          </w:p>
        </w:tc>
        <w:tc>
          <w:tcPr>
            <w:tcW w:w="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0"/>
              <w:ind w:left="64" w:right="64"/>
              <w:jc w:val="left"/>
              <w:rPr>
                <w:rFonts w:ascii="宋体" w:hAnsi="宋体" w:cs="宋体" w:eastAsia="宋体" w:hint="default"/>
                <w:sz w:val="18"/>
                <w:szCs w:val="18"/>
              </w:rPr>
            </w:pPr>
            <w:r>
              <w:rPr>
                <w:rFonts w:ascii="宋体" w:hAnsi="宋体" w:cs="宋体" w:eastAsia="宋体" w:hint="default"/>
                <w:sz w:val="18"/>
                <w:szCs w:val="18"/>
              </w:rPr>
              <w:t>所涉及 的债权</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0"/>
              <w:ind w:left="243" w:right="66"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0"/>
              <w:ind w:left="243" w:right="5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4"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7"/>
        <w:gridCol w:w="684"/>
        <w:gridCol w:w="684"/>
        <w:gridCol w:w="684"/>
        <w:gridCol w:w="684"/>
        <w:gridCol w:w="683"/>
        <w:gridCol w:w="683"/>
        <w:gridCol w:w="684"/>
        <w:gridCol w:w="680"/>
        <w:gridCol w:w="694"/>
        <w:gridCol w:w="656"/>
      </w:tblGrid>
      <w:tr>
        <w:trPr>
          <w:trHeight w:val="2230"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7" w:right="65"/>
              <w:jc w:val="both"/>
              <w:rPr>
                <w:rFonts w:ascii="宋体" w:hAnsi="宋体" w:cs="宋体" w:eastAsia="宋体" w:hint="default"/>
                <w:sz w:val="18"/>
                <w:szCs w:val="18"/>
              </w:rPr>
            </w:pPr>
            <w:r>
              <w:rPr>
                <w:rFonts w:ascii="宋体" w:hAnsi="宋体" w:cs="宋体" w:eastAsia="宋体" w:hint="default"/>
                <w:sz w:val="18"/>
                <w:szCs w:val="18"/>
              </w:rPr>
              <w:t>售日该 资产为 上市公 司贡献 的净利 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58" w:right="65" w:hanging="92"/>
              <w:jc w:val="left"/>
              <w:rPr>
                <w:rFonts w:ascii="宋体" w:hAnsi="宋体" w:cs="宋体" w:eastAsia="宋体" w:hint="default"/>
                <w:sz w:val="18"/>
                <w:szCs w:val="18"/>
              </w:rPr>
            </w:pPr>
            <w:r>
              <w:rPr>
                <w:rFonts w:ascii="宋体" w:hAnsi="宋体" w:cs="宋体" w:eastAsia="宋体" w:hint="default"/>
                <w:sz w:val="18"/>
                <w:szCs w:val="18"/>
              </w:rPr>
              <w:t>益（万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7" w:right="65"/>
              <w:jc w:val="center"/>
              <w:rPr>
                <w:rFonts w:ascii="宋体" w:hAnsi="宋体" w:cs="宋体" w:eastAsia="宋体" w:hint="default"/>
                <w:sz w:val="18"/>
                <w:szCs w:val="18"/>
              </w:rPr>
            </w:pPr>
            <w:r>
              <w:rPr>
                <w:rFonts w:ascii="宋体" w:hAnsi="宋体" w:cs="宋体" w:eastAsia="宋体" w:hint="default"/>
                <w:sz w:val="18"/>
                <w:szCs w:val="18"/>
              </w:rPr>
              <w:t>市公司 贡献的 净利润 占利润 总额的 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8" w:right="62"/>
              <w:jc w:val="both"/>
              <w:rPr>
                <w:rFonts w:ascii="宋体" w:hAnsi="宋体" w:cs="宋体" w:eastAsia="宋体" w:hint="default"/>
                <w:sz w:val="18"/>
                <w:szCs w:val="18"/>
              </w:rPr>
            </w:pPr>
            <w:r>
              <w:rPr>
                <w:rFonts w:ascii="宋体" w:hAnsi="宋体" w:cs="宋体" w:eastAsia="宋体" w:hint="default"/>
                <w:sz w:val="18"/>
                <w:szCs w:val="18"/>
              </w:rPr>
              <w:t>关联关 系（适 用关联 交易情 形）</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5"/>
              <w:jc w:val="both"/>
              <w:rPr>
                <w:rFonts w:ascii="宋体" w:hAnsi="宋体" w:cs="宋体" w:eastAsia="宋体" w:hint="default"/>
                <w:sz w:val="18"/>
                <w:szCs w:val="18"/>
              </w:rPr>
            </w:pPr>
            <w:r>
              <w:rPr>
                <w:rFonts w:ascii="宋体" w:hAnsi="宋体" w:cs="宋体" w:eastAsia="宋体" w:hint="default"/>
                <w:sz w:val="18"/>
                <w:szCs w:val="18"/>
              </w:rPr>
              <w:t>产权是 否已全 部过户</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4" w:right="63"/>
              <w:jc w:val="both"/>
              <w:rPr>
                <w:rFonts w:ascii="宋体" w:hAnsi="宋体" w:cs="宋体" w:eastAsia="宋体" w:hint="default"/>
                <w:sz w:val="18"/>
                <w:szCs w:val="18"/>
              </w:rPr>
            </w:pPr>
            <w:r>
              <w:rPr>
                <w:rFonts w:ascii="宋体" w:hAnsi="宋体" w:cs="宋体" w:eastAsia="宋体" w:hint="default"/>
                <w:sz w:val="18"/>
                <w:szCs w:val="18"/>
              </w:rPr>
              <w:t>债务是 否已全 部转移</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462"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4"/>
              <w:ind w:left="22" w:right="108"/>
              <w:jc w:val="both"/>
              <w:rPr>
                <w:rFonts w:ascii="宋体" w:hAnsi="宋体" w:cs="宋体" w:eastAsia="宋体" w:hint="default"/>
                <w:sz w:val="18"/>
                <w:szCs w:val="18"/>
              </w:rPr>
            </w:pPr>
            <w:r>
              <w:rPr>
                <w:rFonts w:ascii="宋体" w:hAnsi="宋体" w:cs="宋体" w:eastAsia="宋体" w:hint="default"/>
                <w:sz w:val="18"/>
                <w:szCs w:val="18"/>
              </w:rPr>
              <w:t>石家庄 市桥东 区房屋 征收管 理办公 室</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4" w:lineRule="auto"/>
              <w:ind w:left="23" w:right="60"/>
              <w:jc w:val="both"/>
              <w:rPr>
                <w:rFonts w:ascii="宋体" w:hAnsi="宋体" w:cs="宋体" w:eastAsia="宋体" w:hint="default"/>
                <w:sz w:val="18"/>
                <w:szCs w:val="18"/>
              </w:rPr>
            </w:pPr>
            <w:r>
              <w:rPr>
                <w:rFonts w:ascii="宋体" w:hAnsi="宋体" w:cs="宋体" w:eastAsia="宋体" w:hint="default"/>
                <w:sz w:val="18"/>
                <w:szCs w:val="18"/>
              </w:rPr>
              <w:t>公司所 属位于 石家庄 市槐安 东路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号的土 地及房 屋</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5,500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-11.21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根据评 估结果 协商确 定</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4"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12" w:right="92"/>
              <w:jc w:val="both"/>
              <w:rPr>
                <w:rFonts w:ascii="宋体" w:hAnsi="宋体" w:cs="宋体" w:eastAsia="宋体" w:hint="default"/>
                <w:sz w:val="18"/>
                <w:szCs w:val="18"/>
              </w:rPr>
            </w:pPr>
            <w:r>
              <w:rPr>
                <w:rFonts w:ascii="宋体" w:hAnsi="宋体" w:cs="宋体" w:eastAsia="宋体" w:hint="default"/>
                <w:sz w:val="18"/>
                <w:szCs w:val="18"/>
              </w:rPr>
              <w:t>中国证 券报、 证券时 报、巨 潮资讯</w:t>
            </w:r>
          </w:p>
          <w:p>
            <w:pPr>
              <w:pStyle w:val="TableParagraph"/>
              <w:spacing w:line="316" w:lineRule="auto" w:before="19"/>
              <w:ind w:left="12" w:right="92"/>
              <w:jc w:val="left"/>
              <w:rPr>
                <w:rFonts w:ascii="宋体" w:hAnsi="宋体" w:cs="宋体" w:eastAsia="宋体" w:hint="default"/>
                <w:sz w:val="18"/>
                <w:szCs w:val="18"/>
              </w:rPr>
            </w:pPr>
            <w:r>
              <w:rPr>
                <w:rFonts w:ascii="宋体" w:hAnsi="宋体" w:cs="宋体" w:eastAsia="宋体" w:hint="default"/>
                <w:sz w:val="18"/>
                <w:szCs w:val="18"/>
              </w:rPr>
              <w:t>《关于 签订 ‘征收 补偿协 议书’ 的公 告》</w:t>
            </w:r>
          </w:p>
          <w:p>
            <w:pPr>
              <w:pStyle w:val="TableParagraph"/>
              <w:spacing w:line="300" w:lineRule="auto" w:before="19"/>
              <w:ind w:left="12" w:right="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2012- 037</w:t>
            </w:r>
            <w:r>
              <w:rPr>
                <w:rFonts w:ascii="宋体" w:hAnsi="宋体" w:cs="宋体" w:eastAsia="宋体" w:hint="default"/>
                <w:sz w:val="18"/>
                <w:szCs w:val="18"/>
              </w:rPr>
              <w:t>）</w:t>
            </w:r>
          </w:p>
        </w:tc>
      </w:tr>
    </w:tbl>
    <w:p>
      <w:pPr>
        <w:pStyle w:val="BodyText"/>
        <w:spacing w:line="360" w:lineRule="auto" w:before="49"/>
        <w:ind w:left="441" w:right="982" w:hanging="289"/>
        <w:jc w:val="left"/>
      </w:pPr>
      <w:r>
        <w:rPr/>
        <w:t>出售资产情况概述 </w:t>
      </w:r>
      <w:r>
        <w:rPr>
          <w:spacing w:val="-1"/>
        </w:rPr>
        <w:t>本公司所属位于石家庄市槐安东路</w:t>
      </w:r>
      <w:r>
        <w:rPr>
          <w:rFonts w:ascii="Times New Roman" w:hAnsi="Times New Roman" w:cs="Times New Roman" w:eastAsia="Times New Roman" w:hint="default"/>
          <w:spacing w:val="-1"/>
        </w:rPr>
        <w:t>19</w:t>
      </w:r>
      <w:r>
        <w:rPr>
          <w:spacing w:val="-1"/>
        </w:rPr>
        <w:t>号之土地及房屋由石家庄市桥东区房屋征收管理办公室征收。内容详见</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p>
    <w:p>
      <w:pPr>
        <w:pStyle w:val="BodyText"/>
        <w:spacing w:line="213" w:lineRule="exact"/>
        <w:ind w:right="982"/>
        <w:jc w:val="left"/>
      </w:pPr>
      <w:r>
        <w:rPr>
          <w:rFonts w:ascii="Times New Roman" w:hAnsi="Times New Roman" w:cs="Times New Roman" w:eastAsia="Times New Roman" w:hint="default"/>
        </w:rPr>
        <w:t>25</w:t>
      </w:r>
      <w:r>
        <w:rPr/>
        <w:t>日中国证券报、证券时报、巨潮资讯刊载的《关于签订</w:t>
      </w:r>
      <w:r>
        <w:rPr>
          <w:rFonts w:ascii="Times New Roman" w:hAnsi="Times New Roman" w:cs="Times New Roman" w:eastAsia="Times New Roman" w:hint="default"/>
        </w:rPr>
        <w:t>„</w:t>
      </w:r>
      <w:r>
        <w:rPr/>
        <w:t>征收补偿协议书</w:t>
      </w:r>
      <w:r>
        <w:rPr>
          <w:rFonts w:ascii="Times New Roman" w:hAnsi="Times New Roman" w:cs="Times New Roman" w:eastAsia="Times New Roman" w:hint="default"/>
        </w:rPr>
        <w:t>‟</w:t>
      </w:r>
      <w:r>
        <w:rPr/>
        <w:t>的公告》（公告编号：</w:t>
      </w:r>
      <w:r>
        <w:rPr>
          <w:rFonts w:ascii="Times New Roman" w:hAnsi="Times New Roman" w:cs="Times New Roman" w:eastAsia="Times New Roman" w:hint="default"/>
        </w:rPr>
        <w:t>2012-037</w:t>
      </w:r>
      <w:r>
        <w:rPr/>
        <w:t>）。</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982"/>
        <w:jc w:val="left"/>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无</w:t>
      </w:r>
    </w:p>
    <w:p>
      <w:pPr>
        <w:spacing w:line="240" w:lineRule="auto" w:before="3"/>
        <w:rPr>
          <w:rFonts w:ascii="宋体" w:hAnsi="宋体" w:cs="宋体" w:eastAsia="宋体" w:hint="default"/>
          <w:sz w:val="25"/>
          <w:szCs w:val="25"/>
        </w:rPr>
      </w:pPr>
    </w:p>
    <w:p>
      <w:pPr>
        <w:pStyle w:val="Heading2"/>
        <w:spacing w:line="240" w:lineRule="auto"/>
        <w:ind w:right="982"/>
        <w:jc w:val="left"/>
        <w:rPr>
          <w:b w:val="0"/>
          <w:bCs w:val="0"/>
        </w:rPr>
      </w:pPr>
      <w:r>
        <w:rPr/>
        <w:t>六、重大关联交易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800"/>
        <w:gridCol w:w="799"/>
        <w:gridCol w:w="797"/>
        <w:gridCol w:w="800"/>
        <w:gridCol w:w="797"/>
        <w:gridCol w:w="799"/>
        <w:gridCol w:w="797"/>
        <w:gridCol w:w="794"/>
        <w:gridCol w:w="797"/>
      </w:tblGrid>
      <w:tr>
        <w:trPr>
          <w:trHeight w:val="1020"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5" w:right="32"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4"/>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91" w:hRule="exact"/>
        </w:trPr>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6"/>
              <w:ind w:left="24" w:right="41"/>
              <w:jc w:val="both"/>
              <w:rPr>
                <w:rFonts w:ascii="宋体" w:hAnsi="宋体" w:cs="宋体" w:eastAsia="宋体" w:hint="default"/>
                <w:sz w:val="18"/>
                <w:szCs w:val="18"/>
              </w:rPr>
            </w:pPr>
            <w:r>
              <w:rPr>
                <w:rFonts w:ascii="宋体" w:hAnsi="宋体" w:cs="宋体" w:eastAsia="宋体" w:hint="default"/>
                <w:sz w:val="18"/>
                <w:szCs w:val="18"/>
              </w:rPr>
              <w:t>石家庄常 山纺织集 团供销公</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left="271" w:right="0"/>
              <w:jc w:val="left"/>
              <w:rPr>
                <w:rFonts w:ascii="Times New Roman" w:hAnsi="Times New Roman" w:cs="Times New Roman" w:eastAsia="Times New Roman" w:hint="default"/>
                <w:sz w:val="18"/>
                <w:szCs w:val="18"/>
              </w:rPr>
            </w:pPr>
            <w:r>
              <w:rPr>
                <w:rFonts w:ascii="Times New Roman"/>
                <w:sz w:val="18"/>
              </w:rPr>
              <w:t>865.41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left="300" w:right="0"/>
              <w:jc w:val="left"/>
              <w:rPr>
                <w:rFonts w:ascii="Times New Roman" w:hAnsi="Times New Roman" w:cs="Times New Roman" w:eastAsia="Times New Roman" w:hint="default"/>
                <w:sz w:val="18"/>
                <w:szCs w:val="18"/>
              </w:rPr>
            </w:pPr>
            <w:r>
              <w:rPr>
                <w:rFonts w:ascii="Times New Roman"/>
                <w:sz w:val="18"/>
              </w:rPr>
              <w:t>0.18%</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现款结算</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left="23" w:right="0"/>
              <w:jc w:val="left"/>
              <w:rPr>
                <w:rFonts w:ascii="Times New Roman" w:hAnsi="Times New Roman" w:cs="Times New Roman" w:eastAsia="Times New Roman" w:hint="default"/>
                <w:sz w:val="18"/>
                <w:szCs w:val="18"/>
              </w:rPr>
            </w:pPr>
            <w:r>
              <w:rPr>
                <w:rFonts w:ascii="Times New Roman"/>
                <w:sz w:val="18"/>
              </w:rPr>
              <w:t>865.41</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949528" coordorigin="9206,15298" coordsize="2700,1540">
            <v:shape style="position:absolute;left:9206;top:15298;width:2700;height:1540" type="#_x0000_t75" stroked="false">
              <v:imagedata r:id="rId16"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27</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9"/>
        <w:gridCol w:w="797"/>
        <w:gridCol w:w="800"/>
        <w:gridCol w:w="799"/>
        <w:gridCol w:w="797"/>
        <w:gridCol w:w="800"/>
        <w:gridCol w:w="798"/>
        <w:gridCol w:w="798"/>
        <w:gridCol w:w="797"/>
        <w:gridCol w:w="796"/>
        <w:gridCol w:w="796"/>
      </w:tblGrid>
      <w:tr>
        <w:trPr>
          <w:trHeight w:val="363" w:hRule="exact"/>
        </w:trPr>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0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649" w:hRule="exact"/>
        </w:trPr>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石家庄常 山纺织集 团进出口 贸易有限 责任公司</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0.51%</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现款结算</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2,557.9</w:t>
            </w:r>
          </w:p>
        </w:tc>
        <w:tc>
          <w:tcPr>
            <w:tcW w:w="79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339" w:hRule="exact"/>
        </w:trPr>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石家庄常 山纺织贸 易有限责 任公司</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43"/>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55.12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现款结算</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55.12</w:t>
            </w:r>
          </w:p>
        </w:tc>
        <w:tc>
          <w:tcPr>
            <w:tcW w:w="79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649" w:hRule="exact"/>
        </w:trPr>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石家庄常 山纺织集 团经编实 业有限公 司</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4" w:right="43"/>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2,686.72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0.53%</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现款结算</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2,686.72</w:t>
            </w:r>
          </w:p>
        </w:tc>
        <w:tc>
          <w:tcPr>
            <w:tcW w:w="79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651" w:hRule="exact"/>
        </w:trPr>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石家庄常 山纺织集 团第四实 业有限公 司</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现款结算</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50.31</w:t>
            </w:r>
          </w:p>
        </w:tc>
        <w:tc>
          <w:tcPr>
            <w:tcW w:w="79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337" w:hRule="exact"/>
        </w:trPr>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石家庄常 山纺织集 团有限责 任公司</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现款结算</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0.74</w:t>
            </w:r>
          </w:p>
        </w:tc>
        <w:tc>
          <w:tcPr>
            <w:tcW w:w="79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339" w:hRule="exact"/>
        </w:trPr>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石家庄常 山纺织集 团供销公 司</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43"/>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8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w w:val="95"/>
                <w:sz w:val="18"/>
              </w:rPr>
              <w:t>7,164.62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1.65%</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现款结算</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7,164.62</w:t>
            </w:r>
          </w:p>
        </w:tc>
        <w:tc>
          <w:tcPr>
            <w:tcW w:w="79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649" w:hRule="exact"/>
        </w:trPr>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石家庄常 山纺织集 团进出口 贸易有限 责任公司</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8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5,585.47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现款结算</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5,585.47</w:t>
            </w:r>
          </w:p>
        </w:tc>
        <w:tc>
          <w:tcPr>
            <w:tcW w:w="79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652" w:hRule="exact"/>
        </w:trPr>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石家庄常 山纺织集 团经编实 业有限公 司</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4" w:right="43"/>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8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4,386.24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现款结算</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4,386.24</w:t>
            </w:r>
          </w:p>
        </w:tc>
        <w:tc>
          <w:tcPr>
            <w:tcW w:w="79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298" w:hRule="exact"/>
        </w:trPr>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石家庄常 山纺织集 团第四实 业有限公</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4"/>
              <w:ind w:left="24" w:right="43"/>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8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146.57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0.03%</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现款结算</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sz w:val="18"/>
              </w:rPr>
              <w:t>146.57</w:t>
            </w:r>
          </w:p>
        </w:tc>
        <w:tc>
          <w:tcPr>
            <w:tcW w:w="79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after="0"/>
        <w:sectPr>
          <w:headerReference w:type="default" r:id="rId25"/>
          <w:footerReference w:type="default" r:id="rId26"/>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pStyle w:val="BodyText"/>
        <w:spacing w:line="240" w:lineRule="auto" w:before="44"/>
        <w:ind w:left="0" w:right="1134"/>
        <w:jc w:val="right"/>
      </w:pPr>
      <w:r>
        <w:rPr/>
        <w:pict>
          <v:shape style="position:absolute;margin-left:57pt;margin-top:-259.738281pt;width:478.8pt;height:279.650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85"/>
                    <w:gridCol w:w="799"/>
                    <w:gridCol w:w="797"/>
                    <w:gridCol w:w="800"/>
                    <w:gridCol w:w="799"/>
                    <w:gridCol w:w="797"/>
                    <w:gridCol w:w="800"/>
                    <w:gridCol w:w="798"/>
                    <w:gridCol w:w="798"/>
                    <w:gridCol w:w="797"/>
                    <w:gridCol w:w="796"/>
                    <w:gridCol w:w="796"/>
                  </w:tblGrid>
                  <w:tr>
                    <w:trPr>
                      <w:trHeight w:val="363" w:hRule="exact"/>
                    </w:trPr>
                    <w:tc>
                      <w:tcPr>
                        <w:tcW w:w="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0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025" w:hRule="exact"/>
                    </w:trPr>
                    <w:tc>
                      <w:tcPr>
                        <w:tcW w:w="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12" w:right="41"/>
                          <w:jc w:val="both"/>
                          <w:rPr>
                            <w:rFonts w:ascii="宋体" w:hAnsi="宋体" w:cs="宋体" w:eastAsia="宋体" w:hint="default"/>
                            <w:sz w:val="18"/>
                            <w:szCs w:val="18"/>
                          </w:rPr>
                        </w:pPr>
                        <w:r>
                          <w:rPr>
                            <w:rFonts w:ascii="宋体" w:hAnsi="宋体" w:cs="宋体" w:eastAsia="宋体" w:hint="default"/>
                            <w:sz w:val="18"/>
                            <w:szCs w:val="18"/>
                          </w:rPr>
                          <w:t>石家庄化 工化纤有 限公司</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8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center"/>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0.06%</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center"/>
                          <w:rPr>
                            <w:rFonts w:ascii="宋体" w:hAnsi="宋体" w:cs="宋体" w:eastAsia="宋体" w:hint="default"/>
                            <w:sz w:val="18"/>
                            <w:szCs w:val="18"/>
                          </w:rPr>
                        </w:pPr>
                        <w:r>
                          <w:rPr>
                            <w:rFonts w:ascii="宋体" w:hAnsi="宋体" w:cs="宋体" w:eastAsia="宋体" w:hint="default"/>
                            <w:sz w:val="18"/>
                            <w:szCs w:val="18"/>
                          </w:rPr>
                          <w:t>现款结算</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266.45</w:t>
                        </w:r>
                      </w:p>
                    </w:tc>
                    <w:tc>
                      <w:tcPr>
                        <w:tcW w:w="79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1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23,765.55</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31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7"/>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80" w:type="dxa"/>
                        <w:gridSpan w:val="8"/>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316" w:lineRule="auto" w:before="49"/>
                          <w:ind w:left="11" w:right="44" w:firstLine="362"/>
                          <w:jc w:val="both"/>
                          <w:rPr>
                            <w:rFonts w:ascii="宋体" w:hAnsi="宋体" w:cs="宋体" w:eastAsia="宋体" w:hint="default"/>
                            <w:sz w:val="18"/>
                            <w:szCs w:val="18"/>
                          </w:rPr>
                        </w:pPr>
                        <w:r>
                          <w:rPr>
                            <w:rFonts w:ascii="宋体" w:hAnsi="宋体" w:cs="宋体" w:eastAsia="宋体" w:hint="default"/>
                            <w:sz w:val="18"/>
                            <w:szCs w:val="18"/>
                          </w:rPr>
                          <w:t>公司向上述关联方采购公司生产所需原材料及销售棉纱、坯布，属于正常的 上下游产业链贸易，符合本公司业务特点及业务发展的需要，关联交易将持续存 在。</w:t>
                        </w:r>
                      </w:p>
                    </w:tc>
                  </w:tr>
                  <w:tr>
                    <w:trPr>
                      <w:trHeight w:val="161" w:hRule="exact"/>
                    </w:trPr>
                    <w:tc>
                      <w:tcPr>
                        <w:tcW w:w="318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380" w:type="dxa"/>
                        <w:gridSpan w:val="8"/>
                        <w:vMerge w:val="restart"/>
                        <w:tcBorders>
                          <w:top w:val="single" w:sz="4" w:space="0" w:color="000000"/>
                          <w:left w:val="single" w:sz="10" w:space="0" w:color="D2D2D2"/>
                          <w:right w:val="single" w:sz="4" w:space="0" w:color="000000"/>
                        </w:tcBorders>
                        <w:shd w:val="clear" w:color="auto" w:fill="C6ECCC"/>
                      </w:tcPr>
                      <w:p>
                        <w:pPr>
                          <w:pStyle w:val="TableParagraph"/>
                          <w:spacing w:line="316" w:lineRule="auto" w:before="49"/>
                          <w:ind w:left="16" w:right="18" w:firstLine="91"/>
                          <w:jc w:val="left"/>
                          <w:rPr>
                            <w:rFonts w:ascii="宋体" w:hAnsi="宋体" w:cs="宋体" w:eastAsia="宋体" w:hint="default"/>
                            <w:sz w:val="18"/>
                            <w:szCs w:val="18"/>
                          </w:rPr>
                        </w:pPr>
                        <w:r>
                          <w:rPr>
                            <w:rFonts w:ascii="宋体" w:hAnsi="宋体" w:cs="宋体" w:eastAsia="宋体" w:hint="default"/>
                            <w:spacing w:val="-2"/>
                            <w:sz w:val="18"/>
                            <w:szCs w:val="18"/>
                          </w:rPr>
                          <w:t>上述关联交易遵循了有偿公平、自愿的商业原则，关联交易定价公允，对公司和</w:t>
                        </w:r>
                        <w:r>
                          <w:rPr>
                            <w:rFonts w:ascii="宋体" w:hAnsi="宋体" w:cs="宋体" w:eastAsia="宋体" w:hint="default"/>
                            <w:sz w:val="18"/>
                            <w:szCs w:val="18"/>
                          </w:rPr>
                          <w:t> 全体股东而言是公平合理的，不影响公司的独立性。</w:t>
                        </w:r>
                      </w:p>
                    </w:tc>
                  </w:tr>
                  <w:tr>
                    <w:trPr>
                      <w:trHeight w:val="394" w:hRule="exact"/>
                    </w:trPr>
                    <w:tc>
                      <w:tcPr>
                        <w:tcW w:w="3181"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80" w:type="dxa"/>
                        <w:gridSpan w:val="8"/>
                        <w:vMerge/>
                        <w:tcBorders>
                          <w:left w:val="single" w:sz="10" w:space="0" w:color="D2D2D2"/>
                          <w:right w:val="single" w:sz="4" w:space="0" w:color="000000"/>
                        </w:tcBorders>
                        <w:shd w:val="clear" w:color="auto" w:fill="C6ECCC"/>
                      </w:tcPr>
                      <w:p>
                        <w:pPr/>
                      </w:p>
                    </w:tc>
                  </w:tr>
                  <w:tr>
                    <w:trPr>
                      <w:trHeight w:val="161" w:hRule="exact"/>
                    </w:trPr>
                    <w:tc>
                      <w:tcPr>
                        <w:tcW w:w="318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380" w:type="dxa"/>
                        <w:gridSpan w:val="8"/>
                        <w:vMerge/>
                        <w:tcBorders>
                          <w:left w:val="single" w:sz="10" w:space="0" w:color="D2D2D2"/>
                          <w:bottom w:val="single" w:sz="4" w:space="0" w:color="000000"/>
                          <w:right w:val="single" w:sz="4" w:space="0" w:color="000000"/>
                        </w:tcBorders>
                        <w:shd w:val="clear" w:color="auto" w:fill="C6ECCC"/>
                      </w:tcPr>
                      <w:p>
                        <w:pPr/>
                      </w:p>
                    </w:tc>
                  </w:tr>
                  <w:tr>
                    <w:trPr>
                      <w:trHeight w:val="713" w:hRule="exact"/>
                    </w:trPr>
                    <w:tc>
                      <w:tcPr>
                        <w:tcW w:w="31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8"/>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80" w:type="dxa"/>
                        <w:gridSpan w:val="8"/>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关联交易占公司采购、销售额的比例较小，不会对其构成依赖。</w:t>
                        </w:r>
                      </w:p>
                    </w:tc>
                  </w:tr>
                  <w:tr>
                    <w:trPr>
                      <w:trHeight w:val="161" w:hRule="exact"/>
                    </w:trPr>
                    <w:tc>
                      <w:tcPr>
                        <w:tcW w:w="318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380" w:type="dxa"/>
                        <w:gridSpan w:val="8"/>
                        <w:vMerge w:val="restart"/>
                        <w:tcBorders>
                          <w:top w:val="single" w:sz="4" w:space="0" w:color="000000"/>
                          <w:left w:val="single" w:sz="10" w:space="0" w:color="D2D2D2"/>
                          <w:right w:val="single" w:sz="4" w:space="0" w:color="000000"/>
                        </w:tcBorders>
                        <w:shd w:val="clear" w:color="auto" w:fill="C6ECCC"/>
                      </w:tcPr>
                      <w:p>
                        <w:pPr>
                          <w:pStyle w:val="TableParagraph"/>
                          <w:spacing w:line="300" w:lineRule="auto" w:before="49"/>
                          <w:ind w:left="16" w:right="14" w:firstLine="362"/>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年年度股东大会审议通过与常山集团签署</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年度日常生产 经营关联交易协议的议案，</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年度预计销售商品发生关联交易 </w:t>
                        </w: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 购买商品发生关联交易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万元，本报告期内实际发生销售商品关联交易</w:t>
                        </w:r>
                      </w:p>
                      <w:p>
                        <w:pPr>
                          <w:pStyle w:val="TableParagraph"/>
                          <w:spacing w:line="240" w:lineRule="auto" w:before="1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6,216.20 </w:t>
                        </w:r>
                        <w:r>
                          <w:rPr>
                            <w:rFonts w:ascii="宋体" w:hAnsi="宋体" w:cs="宋体" w:eastAsia="宋体" w:hint="default"/>
                            <w:sz w:val="18"/>
                            <w:szCs w:val="18"/>
                          </w:rPr>
                          <w:t>万元，发生购买商品关联交易 </w:t>
                        </w:r>
                        <w:r>
                          <w:rPr>
                            <w:rFonts w:ascii="Times New Roman" w:hAnsi="Times New Roman" w:cs="Times New Roman" w:eastAsia="Times New Roman" w:hint="default"/>
                            <w:sz w:val="18"/>
                            <w:szCs w:val="18"/>
                          </w:rPr>
                          <w:t>17,549.35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万元，在股东大会授权范围内</w:t>
                        </w:r>
                      </w:p>
                    </w:tc>
                  </w:tr>
                  <w:tr>
                    <w:trPr>
                      <w:trHeight w:val="1018" w:hRule="exact"/>
                    </w:trPr>
                    <w:tc>
                      <w:tcPr>
                        <w:tcW w:w="3181"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7"/>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80" w:type="dxa"/>
                        <w:gridSpan w:val="8"/>
                        <w:vMerge/>
                        <w:tcBorders>
                          <w:left w:val="single" w:sz="10" w:space="0" w:color="D2D2D2"/>
                          <w:right w:val="single" w:sz="4" w:space="0" w:color="000000"/>
                        </w:tcBorders>
                        <w:shd w:val="clear" w:color="auto" w:fill="C6ECCC"/>
                      </w:tcPr>
                      <w:p>
                        <w:pPr/>
                      </w:p>
                    </w:tc>
                  </w:tr>
                  <w:tr>
                    <w:trPr>
                      <w:trHeight w:val="161" w:hRule="exact"/>
                    </w:trPr>
                    <w:tc>
                      <w:tcPr>
                        <w:tcW w:w="318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380" w:type="dxa"/>
                        <w:gridSpan w:val="8"/>
                        <w:vMerge/>
                        <w:tcBorders>
                          <w:left w:val="single" w:sz="10" w:space="0" w:color="D2D2D2"/>
                          <w:bottom w:val="single" w:sz="4" w:space="0" w:color="000000"/>
                          <w:right w:val="single" w:sz="4" w:space="0" w:color="000000"/>
                        </w:tcBorders>
                        <w:shd w:val="clear" w:color="auto" w:fill="C6ECCC"/>
                      </w:tcPr>
                      <w:p>
                        <w:pP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8"/>
        <w:gridCol w:w="744"/>
        <w:gridCol w:w="737"/>
        <w:gridCol w:w="745"/>
        <w:gridCol w:w="734"/>
        <w:gridCol w:w="732"/>
        <w:gridCol w:w="735"/>
        <w:gridCol w:w="735"/>
        <w:gridCol w:w="732"/>
        <w:gridCol w:w="734"/>
        <w:gridCol w:w="740"/>
        <w:gridCol w:w="732"/>
        <w:gridCol w:w="730"/>
      </w:tblGrid>
      <w:tr>
        <w:trPr>
          <w:trHeight w:val="1337" w:hRule="exact"/>
        </w:trPr>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78" w:right="93"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98" w:right="94"/>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1" w:right="91"/>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1"/>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91" w:right="91"/>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21"/>
              <w:ind w:left="23" w:right="-20"/>
              <w:jc w:val="left"/>
              <w:rPr>
                <w:rFonts w:ascii="宋体" w:hAnsi="宋体" w:cs="宋体" w:eastAsia="宋体" w:hint="default"/>
                <w:sz w:val="18"/>
                <w:szCs w:val="18"/>
              </w:rPr>
            </w:pPr>
            <w:r>
              <w:rPr>
                <w:rFonts w:ascii="宋体" w:hAnsi="宋体" w:cs="宋体" w:eastAsia="宋体" w:hint="default"/>
                <w:sz w:val="18"/>
                <w:szCs w:val="18"/>
              </w:rPr>
              <w:t>（万元）</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1" w:right="89"/>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1" w:right="91"/>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2"/>
              <w:jc w:val="both"/>
              <w:rPr>
                <w:rFonts w:ascii="宋体" w:hAnsi="宋体" w:cs="宋体" w:eastAsia="宋体" w:hint="default"/>
                <w:sz w:val="18"/>
                <w:szCs w:val="18"/>
              </w:rPr>
            </w:pPr>
            <w:r>
              <w:rPr>
                <w:rFonts w:ascii="宋体" w:hAnsi="宋体" w:cs="宋体" w:eastAsia="宋体" w:hint="default"/>
                <w:sz w:val="18"/>
                <w:szCs w:val="18"/>
              </w:rPr>
              <w:t>转让资 产获得 的收益</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68" w:right="8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line="240" w:lineRule="auto" w:before="3"/>
        <w:rPr>
          <w:rFonts w:ascii="宋体" w:hAnsi="宋体" w:cs="宋体" w:eastAsia="宋体" w:hint="default"/>
          <w:b/>
          <w:bCs/>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6"/>
        <w:gridCol w:w="1066"/>
        <w:gridCol w:w="1066"/>
        <w:gridCol w:w="1061"/>
        <w:gridCol w:w="1064"/>
        <w:gridCol w:w="1056"/>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75"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59" w:right="75" w:hanging="180"/>
              <w:jc w:val="left"/>
              <w:rPr>
                <w:rFonts w:ascii="宋体" w:hAnsi="宋体" w:cs="宋体" w:eastAsia="宋体" w:hint="default"/>
                <w:sz w:val="18"/>
                <w:szCs w:val="18"/>
              </w:rPr>
            </w:pPr>
            <w:r>
              <w:rPr>
                <w:rFonts w:ascii="宋体" w:hAnsi="宋体" w:cs="宋体" w:eastAsia="宋体" w:hint="default"/>
                <w:sz w:val="18"/>
                <w:szCs w:val="18"/>
              </w:rPr>
              <w:t>共同投资定 价原则</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59" w:right="74"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9" w:right="75"/>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6" w:right="77"/>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的总资产（万</w:t>
            </w:r>
            <w:r>
              <w:rPr>
                <w:rFonts w:ascii="宋体" w:hAnsi="宋体" w:cs="宋体" w:eastAsia="宋体" w:hint="default"/>
                <w:sz w:val="18"/>
                <w:szCs w:val="18"/>
              </w:rPr>
              <w:t> 元）</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的净资产（万</w:t>
            </w:r>
            <w:r>
              <w:rPr>
                <w:rFonts w:ascii="宋体" w:hAnsi="宋体" w:cs="宋体" w:eastAsia="宋体" w:hint="default"/>
                <w:sz w:val="18"/>
                <w:szCs w:val="18"/>
              </w:rPr>
              <w:t> 元）</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4"/>
                <w:sz w:val="18"/>
                <w:szCs w:val="18"/>
              </w:rPr>
              <w:t>的净利润（万</w:t>
            </w:r>
            <w:r>
              <w:rPr>
                <w:rFonts w:ascii="宋体" w:hAnsi="宋体" w:cs="宋体" w:eastAsia="宋体" w:hint="default"/>
                <w:sz w:val="18"/>
                <w:szCs w:val="18"/>
              </w:rPr>
              <w:t> 元）</w:t>
            </w:r>
          </w:p>
        </w:tc>
      </w:tr>
    </w:tbl>
    <w:p>
      <w:pPr>
        <w:spacing w:line="240" w:lineRule="auto" w:before="3"/>
        <w:rPr>
          <w:rFonts w:ascii="宋体" w:hAnsi="宋体" w:cs="宋体" w:eastAsia="宋体" w:hint="default"/>
          <w:b/>
          <w:bCs/>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是否存在非经营性关联债权债务往来</w:t>
      </w:r>
    </w:p>
    <w:p>
      <w:pPr>
        <w:pStyle w:val="BodyText"/>
        <w:spacing w:line="240" w:lineRule="auto" w:before="118"/>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34"/>
        <w:gridCol w:w="1119"/>
        <w:gridCol w:w="1118"/>
        <w:gridCol w:w="1121"/>
        <w:gridCol w:w="1119"/>
        <w:gridCol w:w="1118"/>
        <w:gridCol w:w="1119"/>
        <w:gridCol w:w="1121"/>
      </w:tblGrid>
      <w:tr>
        <w:trPr>
          <w:trHeight w:val="1027" w:hRule="exact"/>
        </w:trPr>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65" w:right="101"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6" w:right="101"/>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4" w:right="19" w:hanging="351"/>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6" w:right="19" w:hanging="351"/>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t>报告期内，公司无其他重大关联交易。</w:t>
      </w:r>
    </w:p>
    <w:p>
      <w:pPr>
        <w:spacing w:after="0" w:line="240" w:lineRule="auto"/>
        <w:jc w:val="left"/>
        <w:sectPr>
          <w:footerReference w:type="default" r:id="rId27"/>
          <w:pgSz w:w="11910" w:h="16840"/>
          <w:pgMar w:footer="1338" w:header="877" w:top="1060" w:bottom="1520" w:left="980" w:right="0"/>
          <w:pgNumType w:start="28"/>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t>重大关联交易临时报告披露网站相关查询</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58"/>
        <w:gridCol w:w="2650"/>
        <w:gridCol w:w="3449"/>
      </w:tblGrid>
      <w:tr>
        <w:trPr>
          <w:trHeight w:val="401" w:hRule="exact"/>
        </w:trPr>
        <w:tc>
          <w:tcPr>
            <w:tcW w:w="3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7"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bl>
    <w:p>
      <w:pPr>
        <w:spacing w:line="240" w:lineRule="auto" w:before="1"/>
        <w:rPr>
          <w:rFonts w:ascii="宋体" w:hAnsi="宋体" w:cs="宋体" w:eastAsia="宋体" w:hint="default"/>
          <w:sz w:val="18"/>
          <w:szCs w:val="18"/>
        </w:rPr>
      </w:pPr>
    </w:p>
    <w:p>
      <w:pPr>
        <w:pStyle w:val="Heading2"/>
        <w:spacing w:line="240" w:lineRule="auto" w:before="26"/>
        <w:ind w:right="982"/>
        <w:jc w:val="left"/>
        <w:rPr>
          <w:b w:val="0"/>
          <w:bCs w:val="0"/>
        </w:rPr>
      </w:pPr>
      <w:r>
        <w:rPr/>
        <w:t>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9674"/>
        <w:jc w:val="left"/>
      </w:pPr>
      <w:r>
        <w:rPr/>
        <w:t>托管情况说明 不适用</w:t>
      </w:r>
    </w:p>
    <w:p>
      <w:pPr>
        <w:pStyle w:val="BodyText"/>
        <w:spacing w:line="240" w:lineRule="auto" w:before="27"/>
        <w:ind w:right="982"/>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2"/>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9674"/>
        <w:jc w:val="left"/>
      </w:pPr>
      <w:r>
        <w:rPr/>
        <w:t>承包情况说明 不适用</w:t>
      </w:r>
    </w:p>
    <w:p>
      <w:pPr>
        <w:pStyle w:val="BodyText"/>
        <w:spacing w:line="240" w:lineRule="auto" w:before="27"/>
        <w:ind w:right="982"/>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98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9674"/>
        <w:jc w:val="left"/>
      </w:pPr>
      <w:r>
        <w:rPr/>
        <w:t>租赁情况说明 不适用</w:t>
      </w:r>
    </w:p>
    <w:p>
      <w:pPr>
        <w:pStyle w:val="BodyText"/>
        <w:spacing w:line="240" w:lineRule="auto" w:before="27"/>
        <w:ind w:right="982"/>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5"/>
        <w:gridCol w:w="940"/>
        <w:gridCol w:w="935"/>
        <w:gridCol w:w="1212"/>
        <w:gridCol w:w="1179"/>
        <w:gridCol w:w="1097"/>
        <w:gridCol w:w="1015"/>
        <w:gridCol w:w="803"/>
        <w:gridCol w:w="787"/>
      </w:tblGrid>
      <w:tr>
        <w:trPr>
          <w:trHeight w:val="403"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7" w:hRule="exact"/>
        </w:trPr>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08"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7"/>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9"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7"/>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3"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7" w:hRule="exact"/>
        </w:trPr>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4"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bl>
    <w:p>
      <w:pPr>
        <w:spacing w:after="0" w:line="316" w:lineRule="auto"/>
        <w:jc w:val="center"/>
        <w:rPr>
          <w:rFonts w:ascii="宋体" w:hAnsi="宋体" w:cs="宋体" w:eastAsia="宋体" w:hint="default"/>
          <w:sz w:val="18"/>
          <w:szCs w:val="18"/>
        </w:rPr>
        <w:sectPr>
          <w:pgSz w:w="11910" w:h="16840"/>
          <w:pgMar w:header="877" w:footer="1338"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94"/>
        <w:gridCol w:w="931"/>
        <w:gridCol w:w="944"/>
        <w:gridCol w:w="1213"/>
        <w:gridCol w:w="1178"/>
        <w:gridCol w:w="1091"/>
        <w:gridCol w:w="1017"/>
        <w:gridCol w:w="806"/>
        <w:gridCol w:w="787"/>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12" w:right="130"/>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17,161.74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12" w:right="129"/>
              <w:jc w:val="left"/>
              <w:rPr>
                <w:rFonts w:ascii="宋体" w:hAnsi="宋体" w:cs="宋体" w:eastAsia="宋体" w:hint="default"/>
                <w:sz w:val="18"/>
                <w:szCs w:val="18"/>
              </w:rPr>
            </w:pPr>
            <w:r>
              <w:rPr>
                <w:rFonts w:ascii="宋体" w:hAnsi="宋体" w:cs="宋体" w:eastAsia="宋体" w:hint="default"/>
                <w:sz w:val="18"/>
                <w:szCs w:val="18"/>
              </w:rPr>
              <w:t>石家庄常山恒荣进 出口贸易有限公司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14,164.85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2"/>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23,000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71"/>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31,326.59</w:t>
            </w:r>
          </w:p>
        </w:tc>
      </w:tr>
      <w:tr>
        <w:trPr>
          <w:trHeight w:val="720" w:hRule="exact"/>
        </w:trPr>
        <w:tc>
          <w:tcPr>
            <w:tcW w:w="2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62"/>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43,000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5" w:right="71"/>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31,326.59</w:t>
            </w:r>
          </w:p>
        </w:tc>
      </w:tr>
      <w:tr>
        <w:trPr>
          <w:trHeight w:val="396"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6" w:hRule="exact"/>
        </w:trPr>
        <w:tc>
          <w:tcPr>
            <w:tcW w:w="2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23,000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5"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31,326.59</w:t>
            </w:r>
          </w:p>
        </w:tc>
      </w:tr>
      <w:tr>
        <w:trPr>
          <w:trHeight w:val="714" w:hRule="exact"/>
        </w:trPr>
        <w:tc>
          <w:tcPr>
            <w:tcW w:w="2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0"/>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43,000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31,326.59</w:t>
            </w:r>
          </w:p>
        </w:tc>
      </w:tr>
      <w:tr>
        <w:trPr>
          <w:trHeight w:val="407"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z w:val="18"/>
              </w:rPr>
              <w:t>12.91%</w:t>
            </w:r>
          </w:p>
        </w:tc>
      </w:tr>
      <w:tr>
        <w:trPr>
          <w:trHeight w:val="391"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4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879" w:type="dxa"/>
            <w:gridSpan w:val="5"/>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50"/>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879" w:type="dxa"/>
            <w:gridSpan w:val="5"/>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982"/>
        <w:jc w:val="left"/>
      </w:pPr>
      <w:r>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2"/>
        <w:gridCol w:w="868"/>
        <w:gridCol w:w="873"/>
        <w:gridCol w:w="868"/>
        <w:gridCol w:w="872"/>
        <w:gridCol w:w="858"/>
        <w:gridCol w:w="892"/>
        <w:gridCol w:w="859"/>
        <w:gridCol w:w="870"/>
        <w:gridCol w:w="860"/>
      </w:tblGrid>
      <w:tr>
        <w:trPr>
          <w:trHeight w:val="161" w:hRule="exact"/>
        </w:trPr>
        <w:tc>
          <w:tcPr>
            <w:tcW w:w="864" w:type="dxa"/>
            <w:vMerge w:val="restart"/>
            <w:tcBorders>
              <w:top w:val="single" w:sz="4" w:space="0" w:color="000000"/>
              <w:left w:val="single" w:sz="4" w:space="0" w:color="000000"/>
              <w:right w:val="single" w:sz="4" w:space="0" w:color="000000"/>
            </w:tcBorders>
            <w:shd w:val="clear" w:color="auto" w:fill="D2D2D2"/>
          </w:tcPr>
          <w:p>
            <w:pPr/>
          </w:p>
        </w:tc>
        <w:tc>
          <w:tcPr>
            <w:tcW w:w="872" w:type="dxa"/>
            <w:vMerge w:val="restart"/>
            <w:tcBorders>
              <w:top w:val="single" w:sz="4" w:space="0" w:color="000000"/>
              <w:left w:val="single" w:sz="4" w:space="0" w:color="000000"/>
              <w:right w:val="single" w:sz="4" w:space="0" w:color="000000"/>
            </w:tcBorders>
            <w:shd w:val="clear" w:color="auto" w:fill="D2D2D2"/>
          </w:tcPr>
          <w:p>
            <w:pPr/>
          </w:p>
        </w:tc>
        <w:tc>
          <w:tcPr>
            <w:tcW w:w="8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68" w:type="dxa"/>
            <w:vMerge w:val="restart"/>
            <w:tcBorders>
              <w:top w:val="single" w:sz="4" w:space="0" w:color="000000"/>
              <w:left w:val="single" w:sz="4" w:space="0" w:color="000000"/>
              <w:right w:val="single" w:sz="4" w:space="0" w:color="000000"/>
            </w:tcBorders>
            <w:shd w:val="clear" w:color="auto" w:fill="D2D2D2"/>
          </w:tcPr>
          <w:p>
            <w:pPr/>
          </w:p>
        </w:tc>
        <w:tc>
          <w:tcPr>
            <w:tcW w:w="872" w:type="dxa"/>
            <w:vMerge w:val="restart"/>
            <w:tcBorders>
              <w:top w:val="single" w:sz="4" w:space="0" w:color="000000"/>
              <w:left w:val="single" w:sz="4" w:space="0" w:color="000000"/>
              <w:right w:val="single" w:sz="4" w:space="0" w:color="000000"/>
            </w:tcBorders>
            <w:shd w:val="clear" w:color="auto" w:fill="D2D2D2"/>
          </w:tcPr>
          <w:p>
            <w:pPr/>
          </w:p>
        </w:tc>
        <w:tc>
          <w:tcPr>
            <w:tcW w:w="8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 w:right="8" w:hanging="3"/>
              <w:jc w:val="center"/>
              <w:rPr>
                <w:rFonts w:ascii="宋体" w:hAnsi="宋体" w:cs="宋体" w:eastAsia="宋体" w:hint="default"/>
                <w:sz w:val="18"/>
                <w:szCs w:val="18"/>
              </w:rPr>
            </w:pPr>
            <w:r>
              <w:rPr>
                <w:rFonts w:ascii="宋体" w:hAnsi="宋体" w:cs="宋体" w:eastAsia="宋体" w:hint="default"/>
                <w:sz w:val="18"/>
                <w:szCs w:val="18"/>
              </w:rPr>
              <w:t>截至年报 前违规担 </w:t>
            </w:r>
            <w:r>
              <w:rPr>
                <w:rFonts w:ascii="宋体" w:hAnsi="宋体" w:cs="宋体" w:eastAsia="宋体" w:hint="default"/>
                <w:spacing w:val="-18"/>
                <w:sz w:val="18"/>
                <w:szCs w:val="18"/>
              </w:rPr>
              <w:t>保余额（万</w:t>
            </w:r>
            <w:r>
              <w:rPr>
                <w:rFonts w:ascii="宋体" w:hAnsi="宋体" w:cs="宋体" w:eastAsia="宋体" w:hint="default"/>
                <w:sz w:val="18"/>
                <w:szCs w:val="18"/>
              </w:rPr>
              <w:t> 元）</w:t>
            </w:r>
          </w:p>
        </w:tc>
        <w:tc>
          <w:tcPr>
            <w:tcW w:w="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9" w:type="dxa"/>
            <w:vMerge w:val="restart"/>
            <w:tcBorders>
              <w:top w:val="single" w:sz="4" w:space="0" w:color="000000"/>
              <w:left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864" w:type="dxa"/>
            <w:vMerge/>
            <w:tcBorders>
              <w:left w:val="single" w:sz="4" w:space="0" w:color="000000"/>
              <w:bottom w:val="nil" w:sz="6" w:space="0" w:color="auto"/>
              <w:right w:val="single" w:sz="4" w:space="0" w:color="000000"/>
            </w:tcBorders>
            <w:shd w:val="clear" w:color="auto" w:fill="D2D2D2"/>
          </w:tcPr>
          <w:p>
            <w:pPr/>
          </w:p>
        </w:tc>
        <w:tc>
          <w:tcPr>
            <w:tcW w:w="872" w:type="dxa"/>
            <w:vMerge/>
            <w:tcBorders>
              <w:left w:val="single" w:sz="4" w:space="0" w:color="000000"/>
              <w:bottom w:val="nil" w:sz="6" w:space="0" w:color="auto"/>
              <w:right w:val="single" w:sz="4" w:space="0" w:color="000000"/>
            </w:tcBorders>
            <w:shd w:val="clear" w:color="auto" w:fill="D2D2D2"/>
          </w:tcPr>
          <w:p>
            <w:pPr/>
          </w:p>
        </w:tc>
        <w:tc>
          <w:tcPr>
            <w:tcW w:w="8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8" w:right="67"/>
              <w:jc w:val="center"/>
              <w:rPr>
                <w:rFonts w:ascii="宋体" w:hAnsi="宋体" w:cs="宋体" w:eastAsia="宋体" w:hint="default"/>
                <w:sz w:val="18"/>
                <w:szCs w:val="18"/>
              </w:rPr>
            </w:pPr>
            <w:r>
              <w:rPr>
                <w:rFonts w:ascii="宋体" w:hAnsi="宋体" w:cs="宋体" w:eastAsia="宋体" w:hint="default"/>
                <w:sz w:val="18"/>
                <w:szCs w:val="18"/>
              </w:rPr>
              <w:t>违规担保 金额（万 元）</w:t>
            </w:r>
          </w:p>
        </w:tc>
        <w:tc>
          <w:tcPr>
            <w:tcW w:w="87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2" w:right="68"/>
              <w:jc w:val="center"/>
              <w:rPr>
                <w:rFonts w:ascii="Times New Roman" w:hAnsi="Times New Roman" w:cs="Times New Roman" w:eastAsia="Times New Roman" w:hint="default"/>
                <w:sz w:val="18"/>
                <w:szCs w:val="18"/>
              </w:rPr>
            </w:pPr>
            <w:r>
              <w:rPr>
                <w:rFonts w:ascii="宋体" w:hAnsi="宋体" w:cs="宋体" w:eastAsia="宋体" w:hint="default"/>
                <w:sz w:val="18"/>
                <w:szCs w:val="18"/>
              </w:rPr>
              <w:t>占期末净 资产的比 例</w:t>
            </w:r>
            <w:r>
              <w:rPr>
                <w:rFonts w:ascii="Times New Roman" w:hAnsi="Times New Roman" w:cs="Times New Roman" w:eastAsia="Times New Roman" w:hint="default"/>
                <w:sz w:val="18"/>
                <w:szCs w:val="18"/>
              </w:rPr>
              <w:t>(%)</w:t>
            </w:r>
          </w:p>
        </w:tc>
        <w:tc>
          <w:tcPr>
            <w:tcW w:w="868"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858" w:type="dxa"/>
            <w:vMerge/>
            <w:tcBorders>
              <w:left w:val="single" w:sz="4" w:space="0" w:color="000000"/>
              <w:right w:val="single" w:sz="4" w:space="0" w:color="000000"/>
            </w:tcBorders>
            <w:shd w:val="clear" w:color="auto" w:fill="D2D2D2"/>
          </w:tcPr>
          <w:p>
            <w:pPr/>
          </w:p>
        </w:tc>
        <w:tc>
          <w:tcPr>
            <w:tcW w:w="8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0" w:right="79"/>
              <w:jc w:val="center"/>
              <w:rPr>
                <w:rFonts w:ascii="Times New Roman" w:hAnsi="Times New Roman" w:cs="Times New Roman" w:eastAsia="Times New Roman" w:hint="default"/>
                <w:sz w:val="18"/>
                <w:szCs w:val="18"/>
              </w:rPr>
            </w:pPr>
            <w:r>
              <w:rPr>
                <w:rFonts w:ascii="宋体" w:hAnsi="宋体" w:cs="宋体" w:eastAsia="宋体" w:hint="default"/>
                <w:sz w:val="18"/>
                <w:szCs w:val="18"/>
              </w:rPr>
              <w:t>占期末净 资产的比 例</w:t>
            </w:r>
            <w:r>
              <w:rPr>
                <w:rFonts w:ascii="Times New Roman" w:hAnsi="Times New Roman" w:cs="Times New Roman" w:eastAsia="Times New Roman" w:hint="default"/>
                <w:sz w:val="18"/>
                <w:szCs w:val="18"/>
              </w:rPr>
              <w:t>(%)</w:t>
            </w:r>
          </w:p>
        </w:tc>
        <w:tc>
          <w:tcPr>
            <w:tcW w:w="859" w:type="dxa"/>
            <w:vMerge/>
            <w:tcBorders>
              <w:left w:val="single" w:sz="4" w:space="0" w:color="000000"/>
              <w:bottom w:val="nil" w:sz="6" w:space="0" w:color="auto"/>
              <w:right w:val="single" w:sz="4" w:space="0" w:color="000000"/>
            </w:tcBorders>
            <w:shd w:val="clear" w:color="auto" w:fill="D2D2D2"/>
          </w:tcPr>
          <w:p>
            <w:pPr/>
          </w:p>
        </w:tc>
        <w:tc>
          <w:tcPr>
            <w:tcW w:w="8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8" w:right="71"/>
              <w:jc w:val="center"/>
              <w:rPr>
                <w:rFonts w:ascii="宋体" w:hAnsi="宋体" w:cs="宋体" w:eastAsia="宋体" w:hint="default"/>
                <w:sz w:val="18"/>
                <w:szCs w:val="18"/>
              </w:rPr>
            </w:pPr>
            <w:r>
              <w:rPr>
                <w:rFonts w:ascii="宋体" w:hAnsi="宋体" w:cs="宋体" w:eastAsia="宋体" w:hint="default"/>
                <w:sz w:val="18"/>
                <w:szCs w:val="18"/>
              </w:rPr>
              <w:t>预计解除 金额（万 元）</w:t>
            </w:r>
          </w:p>
        </w:tc>
        <w:tc>
          <w:tcPr>
            <w:tcW w:w="8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2" w:right="56"/>
              <w:jc w:val="center"/>
              <w:rPr>
                <w:rFonts w:ascii="宋体" w:hAnsi="宋体" w:cs="宋体" w:eastAsia="宋体" w:hint="default"/>
                <w:sz w:val="18"/>
                <w:szCs w:val="18"/>
              </w:rPr>
            </w:pPr>
            <w:r>
              <w:rPr>
                <w:rFonts w:ascii="宋体" w:hAnsi="宋体" w:cs="宋体" w:eastAsia="宋体" w:hint="default"/>
                <w:sz w:val="18"/>
                <w:szCs w:val="18"/>
              </w:rPr>
              <w:t>预计解除 时间（月 份）</w:t>
            </w:r>
          </w:p>
        </w:tc>
      </w:tr>
      <w:tr>
        <w:trPr>
          <w:trHeight w:val="156" w:hRule="exact"/>
        </w:trPr>
        <w:tc>
          <w:tcPr>
            <w:tcW w:w="86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1"/>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87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71" w:right="68"/>
              <w:jc w:val="left"/>
              <w:rPr>
                <w:rFonts w:ascii="宋体" w:hAnsi="宋体" w:cs="宋体" w:eastAsia="宋体" w:hint="default"/>
                <w:sz w:val="18"/>
                <w:szCs w:val="18"/>
              </w:rPr>
            </w:pPr>
            <w:r>
              <w:rPr>
                <w:rFonts w:ascii="宋体" w:hAnsi="宋体" w:cs="宋体" w:eastAsia="宋体" w:hint="default"/>
                <w:sz w:val="18"/>
                <w:szCs w:val="18"/>
              </w:rPr>
              <w:t>与上市公 司的关系</w:t>
            </w:r>
          </w:p>
        </w:tc>
        <w:tc>
          <w:tcPr>
            <w:tcW w:w="868" w:type="dxa"/>
            <w:vMerge/>
            <w:tcBorders>
              <w:left w:val="single" w:sz="4" w:space="0" w:color="000000"/>
              <w:right w:val="single" w:sz="4" w:space="0" w:color="000000"/>
            </w:tcBorders>
            <w:shd w:val="clear" w:color="auto" w:fill="D2D2D2"/>
          </w:tcPr>
          <w:p>
            <w:pPr/>
          </w:p>
        </w:tc>
        <w:tc>
          <w:tcPr>
            <w:tcW w:w="873" w:type="dxa"/>
            <w:vMerge/>
            <w:tcBorders>
              <w:left w:val="single" w:sz="4" w:space="0" w:color="000000"/>
              <w:right w:val="single" w:sz="4" w:space="0" w:color="000000"/>
            </w:tcBorders>
            <w:shd w:val="clear" w:color="auto" w:fill="D2D2D2"/>
          </w:tcPr>
          <w:p>
            <w:pPr/>
          </w:p>
        </w:tc>
        <w:tc>
          <w:tcPr>
            <w:tcW w:w="868" w:type="dxa"/>
            <w:vMerge/>
            <w:tcBorders>
              <w:left w:val="single" w:sz="4" w:space="0" w:color="000000"/>
              <w:bottom w:val="nil" w:sz="6" w:space="0" w:color="auto"/>
              <w:right w:val="single" w:sz="4" w:space="0" w:color="000000"/>
            </w:tcBorders>
            <w:shd w:val="clear" w:color="auto" w:fill="D2D2D2"/>
          </w:tcPr>
          <w:p>
            <w:pPr/>
          </w:p>
        </w:tc>
        <w:tc>
          <w:tcPr>
            <w:tcW w:w="872" w:type="dxa"/>
            <w:vMerge/>
            <w:tcBorders>
              <w:left w:val="single" w:sz="4" w:space="0" w:color="000000"/>
              <w:bottom w:val="nil" w:sz="6" w:space="0" w:color="auto"/>
              <w:right w:val="single" w:sz="4" w:space="0" w:color="000000"/>
            </w:tcBorders>
            <w:shd w:val="clear" w:color="auto" w:fill="D2D2D2"/>
          </w:tcPr>
          <w:p>
            <w:pPr/>
          </w:p>
        </w:tc>
        <w:tc>
          <w:tcPr>
            <w:tcW w:w="858" w:type="dxa"/>
            <w:vMerge/>
            <w:tcBorders>
              <w:left w:val="single" w:sz="4" w:space="0" w:color="000000"/>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85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69" w:hanging="180"/>
              <w:jc w:val="left"/>
              <w:rPr>
                <w:rFonts w:ascii="宋体" w:hAnsi="宋体" w:cs="宋体" w:eastAsia="宋体" w:hint="default"/>
                <w:sz w:val="18"/>
                <w:szCs w:val="18"/>
              </w:rPr>
            </w:pPr>
            <w:r>
              <w:rPr>
                <w:rFonts w:ascii="宋体" w:hAnsi="宋体" w:cs="宋体" w:eastAsia="宋体" w:hint="default"/>
                <w:sz w:val="18"/>
                <w:szCs w:val="18"/>
              </w:rPr>
              <w:t>预计解除 方式</w:t>
            </w:r>
          </w:p>
        </w:tc>
        <w:tc>
          <w:tcPr>
            <w:tcW w:w="870"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r>
      <w:tr>
        <w:trPr>
          <w:trHeight w:val="391" w:hRule="exact"/>
        </w:trPr>
        <w:tc>
          <w:tcPr>
            <w:tcW w:w="864"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73" w:type="dxa"/>
            <w:vMerge/>
            <w:tcBorders>
              <w:left w:val="single" w:sz="4" w:space="0" w:color="000000"/>
              <w:right w:val="single" w:sz="4" w:space="0" w:color="000000"/>
            </w:tcBorders>
            <w:shd w:val="clear" w:color="auto" w:fill="D2D2D2"/>
          </w:tcPr>
          <w:p>
            <w:pPr/>
          </w:p>
        </w:tc>
        <w:tc>
          <w:tcPr>
            <w:tcW w:w="8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8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58" w:type="dxa"/>
            <w:vMerge/>
            <w:tcBorders>
              <w:left w:val="single" w:sz="4" w:space="0" w:color="000000"/>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859"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r>
      <w:tr>
        <w:trPr>
          <w:trHeight w:val="156" w:hRule="exact"/>
        </w:trPr>
        <w:tc>
          <w:tcPr>
            <w:tcW w:w="864" w:type="dxa"/>
            <w:vMerge/>
            <w:tcBorders>
              <w:left w:val="single" w:sz="4" w:space="0" w:color="000000"/>
              <w:bottom w:val="nil" w:sz="6" w:space="0" w:color="auto"/>
              <w:right w:val="single" w:sz="4" w:space="0" w:color="000000"/>
            </w:tcBorders>
            <w:shd w:val="clear" w:color="auto" w:fill="D2D2D2"/>
          </w:tcPr>
          <w:p>
            <w:pPr/>
          </w:p>
        </w:tc>
        <w:tc>
          <w:tcPr>
            <w:tcW w:w="872" w:type="dxa"/>
            <w:vMerge/>
            <w:tcBorders>
              <w:left w:val="single" w:sz="4" w:space="0" w:color="000000"/>
              <w:bottom w:val="nil" w:sz="6" w:space="0" w:color="auto"/>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73" w:type="dxa"/>
            <w:vMerge/>
            <w:tcBorders>
              <w:left w:val="single" w:sz="4" w:space="0" w:color="000000"/>
              <w:right w:val="single" w:sz="4" w:space="0" w:color="000000"/>
            </w:tcBorders>
            <w:shd w:val="clear" w:color="auto" w:fill="D2D2D2"/>
          </w:tcPr>
          <w:p>
            <w:pPr/>
          </w:p>
        </w:tc>
        <w:tc>
          <w:tcPr>
            <w:tcW w:w="868" w:type="dxa"/>
            <w:vMerge w:val="restart"/>
            <w:tcBorders>
              <w:top w:val="nil" w:sz="6" w:space="0" w:color="auto"/>
              <w:left w:val="single" w:sz="4" w:space="0" w:color="000000"/>
              <w:right w:val="single" w:sz="4" w:space="0" w:color="000000"/>
            </w:tcBorders>
            <w:shd w:val="clear" w:color="auto" w:fill="D2D2D2"/>
          </w:tcPr>
          <w:p>
            <w:pPr/>
          </w:p>
        </w:tc>
        <w:tc>
          <w:tcPr>
            <w:tcW w:w="872" w:type="dxa"/>
            <w:vMerge w:val="restart"/>
            <w:tcBorders>
              <w:top w:val="nil" w:sz="6" w:space="0" w:color="auto"/>
              <w:left w:val="single" w:sz="4" w:space="0" w:color="000000"/>
              <w:right w:val="single" w:sz="4" w:space="0" w:color="000000"/>
            </w:tcBorders>
            <w:shd w:val="clear" w:color="auto" w:fill="D2D2D2"/>
          </w:tcPr>
          <w:p>
            <w:pPr/>
          </w:p>
        </w:tc>
        <w:tc>
          <w:tcPr>
            <w:tcW w:w="858" w:type="dxa"/>
            <w:vMerge/>
            <w:tcBorders>
              <w:left w:val="single" w:sz="4" w:space="0" w:color="000000"/>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859" w:type="dxa"/>
            <w:vMerge/>
            <w:tcBorders>
              <w:left w:val="single" w:sz="4" w:space="0" w:color="000000"/>
              <w:bottom w:val="nil" w:sz="6" w:space="0" w:color="auto"/>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r>
      <w:tr>
        <w:trPr>
          <w:trHeight w:val="156" w:hRule="exact"/>
        </w:trPr>
        <w:tc>
          <w:tcPr>
            <w:tcW w:w="864" w:type="dxa"/>
            <w:vMerge w:val="restart"/>
            <w:tcBorders>
              <w:top w:val="nil" w:sz="6" w:space="0" w:color="auto"/>
              <w:left w:val="single" w:sz="4" w:space="0" w:color="000000"/>
              <w:right w:val="single" w:sz="4" w:space="0" w:color="000000"/>
            </w:tcBorders>
            <w:shd w:val="clear" w:color="auto" w:fill="D2D2D2"/>
          </w:tcPr>
          <w:p>
            <w:pPr/>
          </w:p>
        </w:tc>
        <w:tc>
          <w:tcPr>
            <w:tcW w:w="872" w:type="dxa"/>
            <w:vMerge w:val="restart"/>
            <w:tcBorders>
              <w:top w:val="nil" w:sz="6" w:space="0" w:color="auto"/>
              <w:left w:val="single" w:sz="4" w:space="0" w:color="000000"/>
              <w:right w:val="single" w:sz="4" w:space="0" w:color="000000"/>
            </w:tcBorders>
            <w:shd w:val="clear" w:color="auto" w:fill="D2D2D2"/>
          </w:tcPr>
          <w:p>
            <w:pPr/>
          </w:p>
        </w:tc>
        <w:tc>
          <w:tcPr>
            <w:tcW w:w="868" w:type="dxa"/>
            <w:vMerge/>
            <w:tcBorders>
              <w:left w:val="single" w:sz="4" w:space="0" w:color="000000"/>
              <w:bottom w:val="nil" w:sz="6" w:space="0" w:color="auto"/>
              <w:right w:val="single" w:sz="4" w:space="0" w:color="000000"/>
            </w:tcBorders>
            <w:shd w:val="clear" w:color="auto" w:fill="D2D2D2"/>
          </w:tcPr>
          <w:p>
            <w:pPr/>
          </w:p>
        </w:tc>
        <w:tc>
          <w:tcPr>
            <w:tcW w:w="873" w:type="dxa"/>
            <w:vMerge/>
            <w:tcBorders>
              <w:left w:val="single" w:sz="4" w:space="0" w:color="000000"/>
              <w:bottom w:val="nil" w:sz="6" w:space="0" w:color="auto"/>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858" w:type="dxa"/>
            <w:vMerge/>
            <w:tcBorders>
              <w:left w:val="single" w:sz="4" w:space="0" w:color="000000"/>
              <w:right w:val="single" w:sz="4" w:space="0" w:color="000000"/>
            </w:tcBorders>
            <w:shd w:val="clear" w:color="auto" w:fill="D2D2D2"/>
          </w:tcPr>
          <w:p>
            <w:pPr/>
          </w:p>
        </w:tc>
        <w:tc>
          <w:tcPr>
            <w:tcW w:w="892" w:type="dxa"/>
            <w:vMerge/>
            <w:tcBorders>
              <w:left w:val="single" w:sz="4" w:space="0" w:color="000000"/>
              <w:bottom w:val="nil" w:sz="6" w:space="0" w:color="auto"/>
              <w:right w:val="single" w:sz="4" w:space="0" w:color="000000"/>
            </w:tcBorders>
            <w:shd w:val="clear" w:color="auto" w:fill="D2D2D2"/>
          </w:tcPr>
          <w:p>
            <w:pPr/>
          </w:p>
        </w:tc>
        <w:tc>
          <w:tcPr>
            <w:tcW w:w="859" w:type="dxa"/>
            <w:vMerge w:val="restart"/>
            <w:tcBorders>
              <w:top w:val="nil" w:sz="6" w:space="0" w:color="auto"/>
              <w:left w:val="single" w:sz="4" w:space="0" w:color="000000"/>
              <w:right w:val="single" w:sz="4" w:space="0" w:color="000000"/>
            </w:tcBorders>
            <w:shd w:val="clear" w:color="auto" w:fill="D2D2D2"/>
          </w:tcPr>
          <w:p>
            <w:pPr/>
          </w:p>
        </w:tc>
        <w:tc>
          <w:tcPr>
            <w:tcW w:w="870" w:type="dxa"/>
            <w:vMerge/>
            <w:tcBorders>
              <w:left w:val="single" w:sz="4" w:space="0" w:color="000000"/>
              <w:bottom w:val="nil" w:sz="6" w:space="0" w:color="auto"/>
              <w:right w:val="single" w:sz="4" w:space="0" w:color="000000"/>
            </w:tcBorders>
            <w:shd w:val="clear" w:color="auto" w:fill="D2D2D2"/>
          </w:tcPr>
          <w:p>
            <w:pPr/>
          </w:p>
        </w:tc>
        <w:tc>
          <w:tcPr>
            <w:tcW w:w="86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8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858" w:type="dxa"/>
            <w:vMerge/>
            <w:tcBorders>
              <w:left w:val="single" w:sz="4" w:space="0" w:color="000000"/>
              <w:bottom w:val="single" w:sz="4" w:space="0" w:color="000000"/>
              <w:right w:val="single" w:sz="4" w:space="0" w:color="000000"/>
            </w:tcBorders>
            <w:shd w:val="clear" w:color="auto" w:fill="D2D2D2"/>
          </w:tcPr>
          <w:p>
            <w:pPr/>
          </w:p>
        </w:tc>
        <w:tc>
          <w:tcPr>
            <w:tcW w:w="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9"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0%</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8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pict>
          <v:shape style="position:absolute;margin-left:154.216995pt;margin-top:82.339676pt;width:75.150pt;height:17.650pt;mso-position-horizontal-relative:page;mso-position-vertical-relative:paragraph;z-index:-949480" type="#_x0000_t202" filled="false" stroked="false">
            <v:textbox inset="0,0,0,0">
              <w:txbxContent>
                <w:p>
                  <w:pPr>
                    <w:pStyle w:val="BodyText"/>
                    <w:spacing w:line="240" w:lineRule="auto" w:before="8"/>
                    <w:ind w:left="0" w:right="0"/>
                    <w:jc w:val="left"/>
                  </w:pPr>
                  <w:r>
                    <w:rPr/>
                    <w:t>（如有）</w:t>
                  </w:r>
                </w:p>
              </w:txbxContent>
            </v:textbox>
            <w10:wrap type="none"/>
          </v:shape>
        </w:pict>
      </w:r>
      <w:r>
        <w:rPr/>
        <w:pict>
          <v:shape style="position:absolute;margin-left:197.777008pt;margin-top:74.539673pt;width:75.05pt;height:20pt;mso-position-horizontal-relative:page;mso-position-vertical-relative:paragraph;z-index:-949456" type="#_x0000_t202" filled="false" stroked="false">
            <v:textbox inset="0,0,0,0">
              <w:txbxContent>
                <w:p>
                  <w:pPr>
                    <w:spacing w:line="240" w:lineRule="auto" w:before="7"/>
                    <w:rPr>
                      <w:rFonts w:ascii="宋体" w:hAnsi="宋体" w:cs="宋体" w:eastAsia="宋体" w:hint="default"/>
                      <w:b/>
                      <w:bCs/>
                      <w:sz w:val="12"/>
                      <w:szCs w:val="12"/>
                    </w:rPr>
                  </w:pPr>
                </w:p>
                <w:p>
                  <w:pPr>
                    <w:pStyle w:val="BodyText"/>
                    <w:spacing w:line="240" w:lineRule="auto"/>
                    <w:ind w:left="0" w:right="0"/>
                    <w:jc w:val="left"/>
                  </w:pPr>
                  <w:r>
                    <w:rPr/>
                    <w:t>（如有）</w:t>
                  </w:r>
                </w:p>
              </w:txbxContent>
            </v:textbox>
            <w10:wrap type="none"/>
          </v:shape>
        </w:pict>
      </w:r>
      <w:r>
        <w:rPr/>
        <w:pict>
          <v:shape style="position:absolute;margin-left:275.690002pt;margin-top:56.903675pt;width:84.05pt;height:22.05pt;mso-position-horizontal-relative:page;mso-position-vertical-relative:paragraph;z-index:-949432" type="#_x0000_t202" filled="false" stroked="false">
            <v:textbox inset="0,0,0,0">
              <w:txbxContent>
                <w:p>
                  <w:pPr>
                    <w:spacing w:line="240" w:lineRule="auto" w:before="9"/>
                    <w:rPr>
                      <w:rFonts w:ascii="宋体" w:hAnsi="宋体" w:cs="宋体" w:eastAsia="宋体" w:hint="default"/>
                      <w:b/>
                      <w:bCs/>
                      <w:sz w:val="15"/>
                      <w:szCs w:val="15"/>
                    </w:rPr>
                  </w:pPr>
                </w:p>
                <w:p>
                  <w:pPr>
                    <w:pStyle w:val="BodyText"/>
                    <w:spacing w:line="240" w:lineRule="auto"/>
                    <w:ind w:left="0" w:right="0"/>
                    <w:jc w:val="left"/>
                  </w:pPr>
                  <w:r>
                    <w:rPr/>
                    <w:t>日（如有）</w:t>
                  </w:r>
                </w:p>
              </w:txbxContent>
            </v:textbox>
            <w10:wrap type="none"/>
          </v:shape>
        </w:pict>
      </w:r>
      <w:r>
        <w:rPr>
          <w:rFonts w:ascii="Times New Roman" w:hAnsi="Times New Roman" w:cs="Times New Roman" w:eastAsia="Times New Roman" w:hint="default"/>
        </w:rPr>
        <w:t>3</w:t>
      </w:r>
      <w:r>
        <w:rPr/>
        <w:t>、其他重大合同</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0"/>
        <w:gridCol w:w="869"/>
        <w:gridCol w:w="871"/>
        <w:gridCol w:w="869"/>
        <w:gridCol w:w="871"/>
        <w:gridCol w:w="867"/>
        <w:gridCol w:w="869"/>
        <w:gridCol w:w="869"/>
        <w:gridCol w:w="869"/>
        <w:gridCol w:w="871"/>
        <w:gridCol w:w="869"/>
      </w:tblGrid>
      <w:tr>
        <w:trPr>
          <w:trHeight w:val="1339"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8" w:right="70"/>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firstLine="45"/>
              <w:jc w:val="both"/>
              <w:rPr>
                <w:rFonts w:ascii="宋体" w:hAnsi="宋体" w:cs="宋体" w:eastAsia="宋体" w:hint="default"/>
                <w:sz w:val="18"/>
                <w:szCs w:val="18"/>
              </w:rPr>
            </w:pPr>
            <w:r>
              <w:rPr>
                <w:rFonts w:ascii="宋体" w:hAnsi="宋体" w:cs="宋体" w:eastAsia="宋体" w:hint="default"/>
                <w:sz w:val="18"/>
                <w:szCs w:val="18"/>
              </w:rPr>
              <w:t>合同涉及 资产的账 </w:t>
            </w:r>
            <w:r>
              <w:rPr>
                <w:rFonts w:ascii="宋体" w:hAnsi="宋体" w:cs="宋体" w:eastAsia="宋体" w:hint="default"/>
                <w:spacing w:val="-18"/>
                <w:sz w:val="18"/>
                <w:szCs w:val="18"/>
              </w:rPr>
              <w:t>面价值（万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46"/>
              <w:jc w:val="both"/>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18"/>
                <w:sz w:val="18"/>
                <w:szCs w:val="18"/>
              </w:rPr>
              <w:t>估价值（万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评估基准</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9"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bl>
    <w:p>
      <w:pPr>
        <w:spacing w:after="0" w:line="316" w:lineRule="auto"/>
        <w:jc w:val="both"/>
        <w:rPr>
          <w:rFonts w:ascii="宋体" w:hAnsi="宋体" w:cs="宋体" w:eastAsia="宋体" w:hint="default"/>
          <w:sz w:val="18"/>
          <w:szCs w:val="18"/>
        </w:rPr>
        <w:sectPr>
          <w:pgSz w:w="11910" w:h="16840"/>
          <w:pgMar w:header="877" w:footer="1338" w:top="1060" w:bottom="152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982"/>
        <w:jc w:val="left"/>
        <w:rPr>
          <w:b w:val="0"/>
          <w:bCs w:val="0"/>
        </w:rPr>
      </w:pP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98"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6"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5"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5"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5"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5"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b/>
          <w:bCs/>
          <w:sz w:val="19"/>
          <w:szCs w:val="19"/>
        </w:rPr>
      </w:pPr>
    </w:p>
    <w:p>
      <w:pPr>
        <w:pStyle w:val="Heading3"/>
        <w:spacing w:line="259" w:lineRule="auto" w:before="36"/>
        <w:ind w:right="982"/>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4"/>
        <w:gridCol w:w="1195"/>
        <w:gridCol w:w="1196"/>
        <w:gridCol w:w="1198"/>
        <w:gridCol w:w="1196"/>
        <w:gridCol w:w="1195"/>
        <w:gridCol w:w="1198"/>
        <w:gridCol w:w="1198"/>
      </w:tblGrid>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1" w:hanging="92"/>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1"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bl>
    <w:p>
      <w:pPr>
        <w:spacing w:line="240" w:lineRule="auto" w:before="1"/>
        <w:rPr>
          <w:rFonts w:ascii="宋体" w:hAnsi="宋体" w:cs="宋体" w:eastAsia="宋体" w:hint="default"/>
          <w:b/>
          <w:bCs/>
          <w:sz w:val="18"/>
          <w:szCs w:val="18"/>
        </w:rPr>
      </w:pPr>
    </w:p>
    <w:p>
      <w:pPr>
        <w:pStyle w:val="Heading2"/>
        <w:spacing w:line="240" w:lineRule="auto" w:before="26"/>
        <w:ind w:right="982"/>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中兴财光华会计师事务所有限责任公司</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w:t>
            </w:r>
          </w:p>
        </w:tc>
      </w:tr>
      <w:tr>
        <w:trPr>
          <w:trHeight w:val="404"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姚庚春、王飞</w:t>
            </w:r>
          </w:p>
        </w:tc>
      </w:tr>
    </w:tbl>
    <w:p>
      <w:pPr>
        <w:pStyle w:val="BodyText"/>
        <w:spacing w:line="240" w:lineRule="auto" w:before="49"/>
        <w:ind w:right="982"/>
        <w:jc w:val="left"/>
      </w:pPr>
      <w:r>
        <w:rPr/>
        <w:t>当期是否改聘会计师事务所</w:t>
      </w:r>
    </w:p>
    <w:p>
      <w:pPr>
        <w:pStyle w:val="BodyText"/>
        <w:spacing w:line="338" w:lineRule="auto" w:before="117"/>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319" w:lineRule="auto" w:before="43"/>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本年度，公司聘请中兴财光华会计师事务所有限责任公司为内部控制审计机构，支付报酬</w:t>
      </w:r>
      <w:r>
        <w:rPr>
          <w:rFonts w:ascii="Times New Roman" w:hAnsi="Times New Roman" w:cs="Times New Roman" w:eastAsia="Times New Roman" w:hint="default"/>
          <w:spacing w:val="-2"/>
        </w:rPr>
        <w:t>35</w:t>
      </w:r>
      <w:r>
        <w:rPr>
          <w:spacing w:val="-2"/>
        </w:rPr>
        <w:t>万元；聘请平安证券有限责任公</w:t>
      </w:r>
      <w:r>
        <w:rPr>
          <w:spacing w:val="-64"/>
        </w:rPr>
        <w:t> </w:t>
      </w:r>
      <w:r>
        <w:rPr>
          <w:spacing w:val="-64"/>
        </w:rPr>
      </w:r>
      <w:r>
        <w:rPr/>
        <w:t>司为</w:t>
      </w:r>
      <w:r>
        <w:rPr>
          <w:rFonts w:ascii="Times New Roman" w:hAnsi="Times New Roman" w:cs="Times New Roman" w:eastAsia="Times New Roman" w:hint="default"/>
        </w:rPr>
        <w:t>“11</w:t>
      </w:r>
      <w:r>
        <w:rPr/>
        <w:t>常山债</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保荐人，支付报酬</w:t>
      </w:r>
      <w:r>
        <w:rPr>
          <w:rFonts w:ascii="Times New Roman" w:hAnsi="Times New Roman" w:cs="Times New Roman" w:eastAsia="Times New Roman" w:hint="default"/>
        </w:rPr>
        <w:t>1,008</w:t>
      </w:r>
      <w:r>
        <w:rPr/>
        <w:t>万元。</w:t>
      </w:r>
    </w:p>
    <w:p>
      <w:pPr>
        <w:spacing w:after="0" w:line="319" w:lineRule="auto"/>
        <w:jc w:val="left"/>
        <w:sectPr>
          <w:pgSz w:w="11910" w:h="16840"/>
          <w:pgMar w:header="877" w:footer="1338" w:top="1060" w:bottom="152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十、监事会、独立董事（如适用）对会计师事务所本报告期“非标准审计报告”的说明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无</w:t>
      </w:r>
    </w:p>
    <w:p>
      <w:pPr>
        <w:spacing w:line="240" w:lineRule="auto" w:before="3"/>
        <w:rPr>
          <w:rFonts w:ascii="宋体" w:hAnsi="宋体" w:cs="宋体" w:eastAsia="宋体" w:hint="default"/>
          <w:sz w:val="25"/>
          <w:szCs w:val="25"/>
        </w:rPr>
      </w:pPr>
    </w:p>
    <w:p>
      <w:pPr>
        <w:pStyle w:val="Heading2"/>
        <w:spacing w:line="240" w:lineRule="auto"/>
        <w:ind w:right="982"/>
        <w:jc w:val="left"/>
        <w:rPr>
          <w:b w:val="0"/>
          <w:bCs w:val="0"/>
        </w:rPr>
      </w:pPr>
      <w:r>
        <w:rPr/>
        <w:t>十一、处罚及整改情况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6"/>
        <w:gridCol w:w="1368"/>
        <w:gridCol w:w="1367"/>
        <w:gridCol w:w="1367"/>
      </w:tblGrid>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4"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pStyle w:val="BodyText"/>
        <w:spacing w:line="357" w:lineRule="auto" w:before="49"/>
        <w:ind w:right="9674"/>
        <w:jc w:val="left"/>
      </w:pPr>
      <w:r>
        <w:rPr/>
        <w:t>整改情况说明 无</w:t>
      </w:r>
    </w:p>
    <w:p>
      <w:pPr>
        <w:pStyle w:val="BodyText"/>
        <w:spacing w:line="240" w:lineRule="auto" w:before="29"/>
        <w:ind w:right="982"/>
        <w:jc w:val="left"/>
      </w:pPr>
      <w:r>
        <w:rPr/>
        <w:t>董事、监事、高级管理人员、持股</w:t>
      </w:r>
      <w:r>
        <w:rPr>
          <w:spacing w:val="-45"/>
        </w:rPr>
        <w:t> </w:t>
      </w:r>
      <w:r>
        <w:rPr>
          <w:rFonts w:ascii="Times New Roman" w:hAnsi="Times New Roman" w:cs="Times New Roman" w:eastAsia="Times New Roman" w:hint="default"/>
        </w:rPr>
        <w:t>5%</w:t>
      </w:r>
      <w:r>
        <w:rPr/>
        <w:t>以上的股东涉嫌违规买卖公司股票且公司已披露将收回涉嫌违规所得收益的情况</w:t>
      </w:r>
    </w:p>
    <w:p>
      <w:pPr>
        <w:pStyle w:val="BodyText"/>
        <w:spacing w:line="240" w:lineRule="auto" w:before="101"/>
        <w:ind w:right="982"/>
        <w:jc w:val="left"/>
      </w:pPr>
      <w:r>
        <w:rPr/>
        <w:t>□ 适用 √</w:t>
      </w:r>
      <w:r>
        <w:rPr>
          <w:spacing w:val="3"/>
        </w:rPr>
        <w:t> </w:t>
      </w:r>
      <w:r>
        <w:rPr/>
        <w:t>不适用</w:t>
      </w:r>
    </w:p>
    <w:p>
      <w:pPr>
        <w:spacing w:line="240" w:lineRule="auto" w:before="4"/>
        <w:rPr>
          <w:rFonts w:ascii="宋体" w:hAnsi="宋体" w:cs="宋体" w:eastAsia="宋体" w:hint="default"/>
          <w:sz w:val="25"/>
          <w:szCs w:val="25"/>
        </w:rPr>
      </w:pPr>
    </w:p>
    <w:p>
      <w:pPr>
        <w:pStyle w:val="Heading2"/>
        <w:spacing w:line="240" w:lineRule="auto"/>
        <w:ind w:right="982"/>
        <w:jc w:val="left"/>
        <w:rPr>
          <w:b w:val="0"/>
          <w:bCs w:val="0"/>
        </w:rPr>
      </w:pPr>
      <w:r>
        <w:rPr/>
        <w:t>十二、年度报告披露后面临暂停上市和终止上市情况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无</w:t>
      </w:r>
    </w:p>
    <w:p>
      <w:pPr>
        <w:spacing w:line="240" w:lineRule="auto" w:before="3"/>
        <w:rPr>
          <w:rFonts w:ascii="宋体" w:hAnsi="宋体" w:cs="宋体" w:eastAsia="宋体" w:hint="default"/>
          <w:sz w:val="25"/>
          <w:szCs w:val="25"/>
        </w:rPr>
      </w:pPr>
    </w:p>
    <w:p>
      <w:pPr>
        <w:pStyle w:val="Heading2"/>
        <w:spacing w:line="240" w:lineRule="auto"/>
        <w:ind w:right="982"/>
        <w:jc w:val="left"/>
        <w:rPr>
          <w:b w:val="0"/>
          <w:bCs w:val="0"/>
        </w:rPr>
      </w:pPr>
      <w:r>
        <w:rPr/>
        <w:t>十三、其他重大事项的说明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82" w:firstLine="288"/>
        <w:jc w:val="left"/>
      </w:pPr>
      <w:r>
        <w:rPr>
          <w:rFonts w:ascii="Times New Roman" w:hAnsi="Times New Roman" w:cs="Times New Roman" w:eastAsia="Times New Roman" w:hint="default"/>
        </w:rPr>
        <w:t>2012</w:t>
      </w:r>
      <w:r>
        <w:rPr/>
        <w:t>年度第一期短期融资券发行情况：经中国银行间市场交易商协会备案，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日，公司在全国银行 间债券市场公开发行</w:t>
      </w:r>
      <w:r>
        <w:rPr>
          <w:rFonts w:ascii="Times New Roman" w:hAnsi="Times New Roman" w:cs="Times New Roman" w:eastAsia="Times New Roman" w:hint="default"/>
        </w:rPr>
        <w:t>2012</w:t>
      </w:r>
      <w:r>
        <w:rPr/>
        <w:t>年度第一期短期融资券（简称</w:t>
      </w:r>
      <w:r>
        <w:rPr>
          <w:rFonts w:ascii="Times New Roman" w:hAnsi="Times New Roman" w:cs="Times New Roman" w:eastAsia="Times New Roman" w:hint="default"/>
        </w:rPr>
        <w:t>“12</w:t>
      </w:r>
      <w:r>
        <w:rPr/>
        <w:t>常纺</w:t>
      </w:r>
      <w:r>
        <w:rPr>
          <w:rFonts w:ascii="Times New Roman" w:hAnsi="Times New Roman" w:cs="Times New Roman" w:eastAsia="Times New Roman" w:hint="default"/>
        </w:rPr>
        <w:t>CP001”</w:t>
      </w:r>
      <w:r>
        <w:rPr/>
        <w:t>），短期融资券代码</w:t>
      </w:r>
      <w:r>
        <w:rPr>
          <w:rFonts w:ascii="Times New Roman" w:hAnsi="Times New Roman" w:cs="Times New Roman" w:eastAsia="Times New Roman" w:hint="default"/>
        </w:rPr>
        <w:t>041259051</w:t>
      </w:r>
      <w:r>
        <w:rPr/>
        <w:t>，发行总额为</w:t>
      </w:r>
      <w:r>
        <w:rPr>
          <w:rFonts w:ascii="Times New Roman" w:hAnsi="Times New Roman" w:cs="Times New Roman" w:eastAsia="Times New Roman" w:hint="default"/>
        </w:rPr>
        <w:t>2.7</w:t>
      </w:r>
      <w:r>
        <w:rPr/>
        <w:t>亿元</w:t>
      </w:r>
      <w:r>
        <w:rPr>
          <w:spacing w:val="-66"/>
        </w:rPr>
        <w:t> </w:t>
      </w:r>
      <w:r>
        <w:rPr>
          <w:spacing w:val="-1"/>
        </w:rPr>
        <w:t>人民币，期限</w:t>
      </w:r>
      <w:r>
        <w:rPr>
          <w:rFonts w:ascii="Times New Roman" w:hAnsi="Times New Roman" w:cs="Times New Roman" w:eastAsia="Times New Roman" w:hint="default"/>
          <w:spacing w:val="-1"/>
        </w:rPr>
        <w:t>365</w:t>
      </w:r>
      <w:r>
        <w:rPr>
          <w:spacing w:val="-1"/>
        </w:rPr>
        <w:t>天，每张面值</w:t>
      </w:r>
      <w:r>
        <w:rPr>
          <w:rFonts w:ascii="Times New Roman" w:hAnsi="Times New Roman" w:cs="Times New Roman" w:eastAsia="Times New Roman" w:hint="default"/>
          <w:spacing w:val="-1"/>
        </w:rPr>
        <w:t>100</w:t>
      </w:r>
      <w:r>
        <w:rPr>
          <w:spacing w:val="-1"/>
        </w:rPr>
        <w:t>元，票面年利率为</w:t>
      </w:r>
      <w:r>
        <w:rPr>
          <w:rFonts w:ascii="Times New Roman" w:hAnsi="Times New Roman" w:cs="Times New Roman" w:eastAsia="Times New Roman" w:hint="default"/>
          <w:spacing w:val="-1"/>
        </w:rPr>
        <w:t>6.50%</w:t>
      </w:r>
      <w:r>
        <w:rPr>
          <w:spacing w:val="-1"/>
        </w:rPr>
        <w:t>，主承销商为中信银行股份有限公司，起息日为</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12</w:t>
      </w:r>
      <w:r>
        <w:rPr>
          <w:spacing w:val="-1"/>
        </w:rPr>
        <w:t>日，</w:t>
      </w:r>
      <w:r>
        <w:rPr>
          <w:spacing w:val="-48"/>
        </w:rPr>
        <w:t> </w:t>
      </w:r>
      <w:r>
        <w:rPr/>
        <w:t>计息方式为利随本清，兑付日为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日。本次募集资金主要用于补充生产经营流动资金。</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2"/>
        <w:spacing w:line="240" w:lineRule="auto"/>
        <w:ind w:right="982"/>
        <w:jc w:val="left"/>
        <w:rPr>
          <w:b w:val="0"/>
          <w:bCs w:val="0"/>
        </w:rPr>
      </w:pPr>
      <w:r>
        <w:rPr/>
        <w:t>十四、公司子公司重要事项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无</w:t>
      </w:r>
    </w:p>
    <w:p>
      <w:pPr>
        <w:spacing w:line="240" w:lineRule="auto" w:before="3"/>
        <w:rPr>
          <w:rFonts w:ascii="宋体" w:hAnsi="宋体" w:cs="宋体" w:eastAsia="宋体" w:hint="default"/>
          <w:sz w:val="25"/>
          <w:szCs w:val="25"/>
        </w:rPr>
      </w:pPr>
    </w:p>
    <w:p>
      <w:pPr>
        <w:pStyle w:val="Heading2"/>
        <w:spacing w:line="240" w:lineRule="auto"/>
        <w:ind w:right="982"/>
        <w:jc w:val="left"/>
        <w:rPr>
          <w:b w:val="0"/>
          <w:bCs w:val="0"/>
        </w:rPr>
      </w:pPr>
      <w:r>
        <w:rPr/>
        <w:t>十五、公司发行公司债券的情况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07" w:firstLine="300"/>
        <w:jc w:val="both"/>
      </w:pPr>
      <w:r>
        <w:rPr/>
        <w:t>经公司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日召开的董事会四届十八次会议及公司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日召开的</w:t>
      </w:r>
      <w:r>
        <w:rPr>
          <w:rFonts w:ascii="Times New Roman" w:hAnsi="Times New Roman" w:cs="Times New Roman" w:eastAsia="Times New Roman" w:hint="default"/>
        </w:rPr>
        <w:t>2011</w:t>
      </w:r>
      <w:r>
        <w:rPr/>
        <w:t>年第一次临时股东大会审议通过，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日，经中国证监会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[2011]1650</w:t>
      </w:r>
      <w:r>
        <w:rPr/>
        <w:t>号</w:t>
      </w:r>
      <w:r>
        <w:rPr>
          <w:rFonts w:ascii="Times New Roman" w:hAnsi="Times New Roman" w:cs="Times New Roman" w:eastAsia="Times New Roman" w:hint="default"/>
        </w:rPr>
        <w:t>”</w:t>
      </w:r>
      <w:r>
        <w:rPr/>
        <w:t>文核准，本公司获准发行不超过人民币</w:t>
      </w:r>
      <w:r>
        <w:rPr>
          <w:rFonts w:ascii="Times New Roman" w:hAnsi="Times New Roman" w:cs="Times New Roman" w:eastAsia="Times New Roman" w:hint="default"/>
        </w:rPr>
        <w:t>9</w:t>
      </w:r>
      <w:r>
        <w:rPr/>
        <w:t>亿元的公司债券。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 </w:t>
      </w:r>
      <w:r>
        <w:rPr>
          <w:spacing w:val="-2"/>
        </w:rPr>
        <w:t>月</w:t>
      </w:r>
      <w:r>
        <w:rPr>
          <w:rFonts w:ascii="Times New Roman" w:hAnsi="Times New Roman" w:cs="Times New Roman" w:eastAsia="Times New Roman" w:hint="default"/>
          <w:spacing w:val="-2"/>
        </w:rPr>
        <w:t>13</w:t>
      </w:r>
      <w:r>
        <w:rPr>
          <w:spacing w:val="-2"/>
        </w:rPr>
        <w:t>至</w:t>
      </w:r>
      <w:r>
        <w:rPr>
          <w:rFonts w:ascii="Times New Roman" w:hAnsi="Times New Roman" w:cs="Times New Roman" w:eastAsia="Times New Roman" w:hint="default"/>
          <w:spacing w:val="-2"/>
        </w:rPr>
        <w:t>15</w:t>
      </w:r>
      <w:r>
        <w:rPr>
          <w:spacing w:val="-2"/>
        </w:rPr>
        <w:t>日，本次债券采取网上面向社会公众投资者公开发行和网下面向机构投资者询价配售相结合的方式，发行债券总额</w:t>
      </w:r>
      <w:r>
        <w:rPr>
          <w:spacing w:val="-62"/>
        </w:rPr>
        <w:t> </w:t>
      </w:r>
      <w:r>
        <w:rPr>
          <w:spacing w:val="-62"/>
        </w:rPr>
      </w:r>
      <w:r>
        <w:rPr>
          <w:spacing w:val="-1"/>
        </w:rPr>
        <w:t>为</w:t>
      </w:r>
      <w:r>
        <w:rPr>
          <w:rFonts w:ascii="Times New Roman" w:hAnsi="Times New Roman" w:cs="Times New Roman" w:eastAsia="Times New Roman" w:hint="default"/>
          <w:spacing w:val="-1"/>
        </w:rPr>
        <w:t>6.3</w:t>
      </w:r>
      <w:r>
        <w:rPr>
          <w:spacing w:val="-1"/>
        </w:rPr>
        <w:t>亿元，期限</w:t>
      </w:r>
      <w:r>
        <w:rPr>
          <w:rFonts w:ascii="Times New Roman" w:hAnsi="Times New Roman" w:cs="Times New Roman" w:eastAsia="Times New Roman" w:hint="default"/>
          <w:spacing w:val="-1"/>
        </w:rPr>
        <w:t>3</w:t>
      </w:r>
      <w:r>
        <w:rPr>
          <w:spacing w:val="-1"/>
        </w:rPr>
        <w:t>年，票面利率为</w:t>
      </w:r>
      <w:r>
        <w:rPr>
          <w:rFonts w:ascii="Times New Roman" w:hAnsi="Times New Roman" w:cs="Times New Roman" w:eastAsia="Times New Roman" w:hint="default"/>
          <w:spacing w:val="-1"/>
        </w:rPr>
        <w:t>8.20%</w:t>
      </w:r>
      <w:r>
        <w:rPr>
          <w:spacing w:val="-1"/>
        </w:rPr>
        <w:t>，在债券存续期限的</w:t>
      </w:r>
      <w:r>
        <w:rPr>
          <w:rFonts w:ascii="Times New Roman" w:hAnsi="Times New Roman" w:cs="Times New Roman" w:eastAsia="Times New Roman" w:hint="default"/>
          <w:spacing w:val="-1"/>
        </w:rPr>
        <w:t>3</w:t>
      </w:r>
      <w:r>
        <w:rPr>
          <w:spacing w:val="-1"/>
        </w:rPr>
        <w:t>年内固定不变。本期债券采用单利按年计息，不计复利，逾期</w:t>
      </w:r>
      <w:r>
        <w:rPr/>
        <w:t> 不另计息。每年付息一次，到期一次还本，最后一期利息随本金的兑付一起支付。本期债券起息日为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w:t>
      </w:r>
      <w:r>
        <w:rPr>
          <w:rFonts w:ascii="Times New Roman" w:hAnsi="Times New Roman" w:cs="Times New Roman" w:eastAsia="Times New Roman" w:hint="default"/>
        </w:rPr>
        <w:t>2013 </w:t>
      </w:r>
      <w:r>
        <w:rPr>
          <w:spacing w:val="-2"/>
        </w:rPr>
        <w:t>年至</w:t>
      </w:r>
      <w:r>
        <w:rPr>
          <w:rFonts w:ascii="Times New Roman" w:hAnsi="Times New Roman" w:cs="Times New Roman" w:eastAsia="Times New Roman" w:hint="default"/>
          <w:spacing w:val="-2"/>
        </w:rPr>
        <w:t>2015</w:t>
      </w:r>
      <w:r>
        <w:rPr>
          <w:spacing w:val="-2"/>
        </w:rPr>
        <w:t>年每年的</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13</w:t>
      </w:r>
      <w:r>
        <w:rPr>
          <w:spacing w:val="-2"/>
        </w:rPr>
        <w:t>日为上一个计息年度的付息日（如遇法定节假日或休息日，则顺延至其后的第</w:t>
      </w:r>
      <w:r>
        <w:rPr>
          <w:rFonts w:ascii="Times New Roman" w:hAnsi="Times New Roman" w:cs="Times New Roman" w:eastAsia="Times New Roman" w:hint="default"/>
          <w:spacing w:val="-2"/>
        </w:rPr>
        <w:t>1</w:t>
      </w:r>
      <w:r>
        <w:rPr>
          <w:spacing w:val="-2"/>
        </w:rPr>
        <w:t>个工作日）。本期债</w:t>
      </w:r>
      <w:r>
        <w:rPr>
          <w:spacing w:val="-57"/>
        </w:rPr>
        <w:t> </w:t>
      </w:r>
      <w:r>
        <w:rPr>
          <w:spacing w:val="-57"/>
        </w:rPr>
      </w:r>
      <w:r>
        <w:rPr/>
        <w:t>券的本金支付日为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日（如遇法定节假日或休息日，则顺延至其后的第</w:t>
      </w:r>
      <w:r>
        <w:rPr>
          <w:rFonts w:ascii="Times New Roman" w:hAnsi="Times New Roman" w:cs="Times New Roman" w:eastAsia="Times New Roman" w:hint="default"/>
        </w:rPr>
        <w:t>1</w:t>
      </w:r>
      <w:r>
        <w:rPr/>
        <w:t>个工作日）。</w:t>
      </w:r>
    </w:p>
    <w:p>
      <w:pPr>
        <w:spacing w:after="0" w:line="300" w:lineRule="auto"/>
        <w:jc w:val="both"/>
        <w:sectPr>
          <w:pgSz w:w="11910" w:h="16840"/>
          <w:pgMar w:header="877" w:footer="1338" w:top="1060" w:bottom="15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982"/>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82"/>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032"/>
        <w:gridCol w:w="843"/>
        <w:gridCol w:w="845"/>
        <w:gridCol w:w="845"/>
        <w:gridCol w:w="843"/>
        <w:gridCol w:w="842"/>
        <w:gridCol w:w="842"/>
        <w:gridCol w:w="845"/>
        <w:gridCol w:w="814"/>
        <w:gridCol w:w="816"/>
      </w:tblGrid>
      <w:tr>
        <w:trPr>
          <w:trHeight w:val="401" w:hRule="exact"/>
        </w:trPr>
        <w:tc>
          <w:tcPr>
            <w:tcW w:w="2032" w:type="dxa"/>
            <w:vMerge w:val="restart"/>
            <w:tcBorders>
              <w:top w:val="single" w:sz="4" w:space="0" w:color="000000"/>
              <w:left w:val="single" w:sz="4" w:space="0" w:color="000000"/>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5" w:hRule="exact"/>
        </w:trPr>
        <w:tc>
          <w:tcPr>
            <w:tcW w:w="2032"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bl>
    <w:p>
      <w:pPr>
        <w:pStyle w:val="BodyText"/>
        <w:spacing w:line="357" w:lineRule="auto" w:before="49"/>
        <w:ind w:right="9134"/>
        <w:jc w:val="left"/>
      </w:pPr>
      <w:r>
        <w:rPr/>
        <w:t>股份变动的原因 股份变动的批准情况</w:t>
      </w:r>
    </w:p>
    <w:p>
      <w:pPr>
        <w:pStyle w:val="BodyText"/>
        <w:spacing w:line="360" w:lineRule="auto" w:before="29"/>
        <w:ind w:right="9134"/>
        <w:jc w:val="left"/>
      </w:pPr>
      <w:r>
        <w:rPr/>
        <w:t>□ 适用 √</w:t>
      </w:r>
      <w:r>
        <w:rPr>
          <w:spacing w:val="3"/>
        </w:rPr>
        <w:t> </w:t>
      </w:r>
      <w:r>
        <w:rPr/>
        <w:t>不适用</w:t>
      </w:r>
      <w:r>
        <w:rPr/>
        <w:t> 股份变动的过户情况</w:t>
      </w:r>
    </w:p>
    <w:p>
      <w:pPr>
        <w:pStyle w:val="BodyText"/>
        <w:spacing w:line="240" w:lineRule="auto" w:before="25"/>
        <w:ind w:right="982"/>
        <w:jc w:val="left"/>
      </w:pPr>
      <w:r>
        <w:rPr/>
        <w:t>股份变动对最近一年和最近一期基本每股收益和稀释每股收益、归属于公司普通股股东的每股净资产等财务指标的影响</w:t>
      </w:r>
    </w:p>
    <w:p>
      <w:pPr>
        <w:pStyle w:val="BodyText"/>
        <w:spacing w:line="360" w:lineRule="auto" w:before="117"/>
        <w:ind w:right="6794"/>
        <w:jc w:val="left"/>
      </w:pPr>
      <w:r>
        <w:rPr/>
        <w:t>□ 适用 √</w:t>
      </w:r>
      <w:r>
        <w:rPr>
          <w:spacing w:val="3"/>
        </w:rPr>
        <w:t> </w:t>
      </w:r>
      <w:r>
        <w:rPr/>
        <w:t>不适用</w:t>
      </w:r>
      <w:r>
        <w:rPr/>
        <w:t> 公司认为必要或证券监管机构要求披露的其他内容</w:t>
      </w:r>
    </w:p>
    <w:p>
      <w:pPr>
        <w:spacing w:line="240" w:lineRule="auto" w:before="2"/>
        <w:rPr>
          <w:rFonts w:ascii="宋体" w:hAnsi="宋体" w:cs="宋体" w:eastAsia="宋体" w:hint="default"/>
          <w:sz w:val="18"/>
          <w:szCs w:val="18"/>
        </w:rPr>
      </w:pPr>
    </w:p>
    <w:p>
      <w:pPr>
        <w:pStyle w:val="Heading2"/>
        <w:spacing w:line="240" w:lineRule="auto"/>
        <w:ind w:right="982"/>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pict>
          <v:shape style="position:absolute;margin-left:211.130005pt;margin-top:39.619678pt;width:96.5pt;height:22.05pt;mso-position-horizontal-relative:page;mso-position-vertical-relative:paragraph;z-index:-949408" type="#_x0000_t202" filled="false" stroked="false">
            <v:textbox inset="0,0,0,0">
              <w:txbxContent>
                <w:p>
                  <w:pPr>
                    <w:spacing w:line="240" w:lineRule="auto" w:before="9"/>
                    <w:rPr>
                      <w:rFonts w:ascii="宋体" w:hAnsi="宋体" w:cs="宋体" w:eastAsia="宋体" w:hint="default"/>
                      <w:b/>
                      <w:bCs/>
                      <w:sz w:val="15"/>
                      <w:szCs w:val="15"/>
                    </w:rPr>
                  </w:pPr>
                </w:p>
                <w:p>
                  <w:pPr>
                    <w:pStyle w:val="BodyText"/>
                    <w:spacing w:line="240" w:lineRule="auto"/>
                    <w:ind w:left="0" w:right="0"/>
                    <w:jc w:val="left"/>
                  </w:pPr>
                  <w:r>
                    <w:rPr/>
                    <w:t>（或利率）</w:t>
                  </w:r>
                </w:p>
              </w:txbxContent>
            </v:textbox>
            <w10:wrap type="none"/>
          </v:shape>
        </w:pict>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693"/>
        <w:gridCol w:w="866"/>
        <w:gridCol w:w="1118"/>
        <w:gridCol w:w="1582"/>
        <w:gridCol w:w="1366"/>
        <w:gridCol w:w="1694"/>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0"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发行价格</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7" w:right="46"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68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396" w:hRule="exact"/>
        </w:trPr>
        <w:tc>
          <w:tcPr>
            <w:tcW w:w="968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725"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3"/>
              <w:ind w:left="24" w:right="31"/>
              <w:jc w:val="left"/>
              <w:rPr>
                <w:rFonts w:ascii="宋体" w:hAnsi="宋体" w:cs="宋体" w:eastAsia="宋体" w:hint="default"/>
                <w:sz w:val="18"/>
                <w:szCs w:val="18"/>
              </w:rPr>
            </w:pPr>
            <w:r>
              <w:rPr>
                <w:rFonts w:ascii="宋体" w:hAnsi="宋体" w:cs="宋体" w:eastAsia="宋体" w:hint="default"/>
                <w:sz w:val="18"/>
                <w:szCs w:val="18"/>
              </w:rPr>
              <w:t>公司债（</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常山 债券）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630,000,000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630,000,000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396" w:hRule="exact"/>
        </w:trPr>
        <w:tc>
          <w:tcPr>
            <w:tcW w:w="968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49"/>
        <w:ind w:right="982"/>
        <w:jc w:val="left"/>
      </w:pPr>
      <w:r>
        <w:rPr/>
        <w:t>前三年历次证券发行情况的说明</w:t>
      </w:r>
    </w:p>
    <w:p>
      <w:pPr>
        <w:pStyle w:val="BodyText"/>
        <w:spacing w:line="240" w:lineRule="auto" w:before="117"/>
        <w:ind w:left="224" w:right="982"/>
        <w:jc w:val="left"/>
      </w:pPr>
      <w:r>
        <w:rPr/>
        <w:t>详见第五节重要事项</w:t>
      </w:r>
      <w:r>
        <w:rPr>
          <w:spacing w:val="-18"/>
        </w:rPr>
        <w:t> </w:t>
      </w:r>
      <w:r>
        <w:rPr/>
        <w:t>第十五、公司发行公司债券的情况。</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29"/>
        <w:gridCol w:w="3848"/>
        <w:gridCol w:w="3181"/>
      </w:tblGrid>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9"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bl>
    <w:p>
      <w:pPr>
        <w:spacing w:after="0" w:line="240" w:lineRule="auto"/>
        <w:jc w:val="left"/>
        <w:rPr>
          <w:rFonts w:ascii="宋体" w:hAnsi="宋体" w:cs="宋体" w:eastAsia="宋体" w:hint="default"/>
          <w:sz w:val="18"/>
          <w:szCs w:val="18"/>
        </w:rPr>
        <w:sectPr>
          <w:pgSz w:w="11910" w:h="16840"/>
          <w:pgMar w:header="877" w:footer="1338" w:top="1060" w:bottom="1520" w:left="980" w:right="0"/>
        </w:sectPr>
      </w:pPr>
    </w:p>
    <w:p>
      <w:pPr>
        <w:spacing w:line="240" w:lineRule="auto" w:before="8"/>
        <w:rPr>
          <w:rFonts w:ascii="宋体" w:hAnsi="宋体" w:cs="宋体" w:eastAsia="宋体" w:hint="default"/>
          <w:b/>
          <w:bCs/>
          <w:sz w:val="23"/>
          <w:szCs w:val="23"/>
        </w:rPr>
      </w:pPr>
      <w:r>
        <w:rPr/>
        <w:pict>
          <v:group style="position:absolute;margin-left:460.320007pt;margin-top:764.919983pt;width:135pt;height:77pt;mso-position-horizontal-relative:page;mso-position-vertical-relative:page;z-index:-949360" coordorigin="9206,15298" coordsize="2700,1540">
            <v:shape style="position:absolute;left:9206;top:15298;width:2700;height:1540" type="#_x0000_t75" stroked="false">
              <v:imagedata r:id="rId16"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34</w:t>
                    </w:r>
                  </w:p>
                </w:txbxContent>
              </v:textbox>
              <w10:wrap type="none"/>
            </v:shape>
            <w10:wrap type="none"/>
          </v:group>
        </w:pict>
      </w:r>
    </w:p>
    <w:p>
      <w:pPr>
        <w:pStyle w:val="Heading2"/>
        <w:spacing w:line="240" w:lineRule="auto" w:before="26"/>
        <w:ind w:right="982"/>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365"/>
        <w:gridCol w:w="1377"/>
        <w:gridCol w:w="678"/>
        <w:gridCol w:w="684"/>
        <w:gridCol w:w="682"/>
        <w:gridCol w:w="684"/>
        <w:gridCol w:w="1363"/>
        <w:gridCol w:w="1374"/>
      </w:tblGrid>
      <w:tr>
        <w:trPr>
          <w:trHeight w:val="406"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40,773</w:t>
            </w:r>
          </w:p>
        </w:tc>
        <w:tc>
          <w:tcPr>
            <w:tcW w:w="409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38,110</w:t>
            </w:r>
          </w:p>
        </w:tc>
      </w:tr>
      <w:tr>
        <w:trPr>
          <w:trHeight w:val="39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364" w:type="dxa"/>
            <w:vMerge w:val="restart"/>
            <w:tcBorders>
              <w:top w:val="single" w:sz="4" w:space="0" w:color="000000"/>
              <w:left w:val="single" w:sz="4" w:space="0" w:color="000000"/>
              <w:right w:val="single" w:sz="4" w:space="0" w:color="000000"/>
            </w:tcBorders>
            <w:shd w:val="clear" w:color="auto" w:fill="D2D2D2"/>
          </w:tcPr>
          <w:p>
            <w:pPr/>
          </w:p>
        </w:tc>
        <w:tc>
          <w:tcPr>
            <w:tcW w:w="1365" w:type="dxa"/>
            <w:vMerge w:val="restart"/>
            <w:tcBorders>
              <w:top w:val="single" w:sz="4" w:space="0" w:color="000000"/>
              <w:left w:val="single" w:sz="4" w:space="0" w:color="000000"/>
              <w:right w:val="single" w:sz="4" w:space="0" w:color="000000"/>
            </w:tcBorders>
            <w:shd w:val="clear" w:color="auto" w:fill="D2D2D2"/>
          </w:tcPr>
          <w:p>
            <w:pPr/>
          </w:p>
        </w:tc>
        <w:tc>
          <w:tcPr>
            <w:tcW w:w="1377" w:type="dxa"/>
            <w:vMerge w:val="restart"/>
            <w:tcBorders>
              <w:top w:val="single" w:sz="4" w:space="0" w:color="000000"/>
              <w:left w:val="single" w:sz="4" w:space="0" w:color="000000"/>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5"/>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68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2"/>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276"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5" w:type="dxa"/>
            <w:vMerge/>
            <w:tcBorders>
              <w:left w:val="single" w:sz="4" w:space="0" w:color="000000"/>
              <w:bottom w:val="nil" w:sz="6" w:space="0" w:color="auto"/>
              <w:right w:val="single" w:sz="4" w:space="0" w:color="000000"/>
            </w:tcBorders>
            <w:shd w:val="clear" w:color="auto" w:fill="D2D2D2"/>
          </w:tcPr>
          <w:p>
            <w:pPr/>
          </w:p>
        </w:tc>
        <w:tc>
          <w:tcPr>
            <w:tcW w:w="1377" w:type="dxa"/>
            <w:vMerge/>
            <w:tcBorders>
              <w:left w:val="single" w:sz="4" w:space="0" w:color="000000"/>
              <w:bottom w:val="nil" w:sz="6" w:space="0" w:color="auto"/>
              <w:right w:val="single" w:sz="4" w:space="0" w:color="000000"/>
            </w:tcBorders>
            <w:shd w:val="clear" w:color="auto" w:fill="D2D2D2"/>
          </w:tcPr>
          <w:p>
            <w:pP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 w:right="65"/>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684"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38"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5"/>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5"/>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5"/>
              <w:ind w:left="67"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5" w:type="dxa"/>
            <w:vMerge/>
            <w:tcBorders>
              <w:left w:val="single" w:sz="4" w:space="0" w:color="000000"/>
              <w:bottom w:val="nil" w:sz="6" w:space="0" w:color="auto"/>
              <w:right w:val="single" w:sz="4" w:space="0" w:color="000000"/>
            </w:tcBorders>
            <w:shd w:val="clear" w:color="auto" w:fill="D2D2D2"/>
          </w:tcPr>
          <w:p>
            <w:pPr/>
          </w:p>
        </w:tc>
        <w:tc>
          <w:tcPr>
            <w:tcW w:w="1377"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2" w:hRule="exact"/>
        </w:trPr>
        <w:tc>
          <w:tcPr>
            <w:tcW w:w="1364" w:type="dxa"/>
            <w:vMerge w:val="restart"/>
            <w:tcBorders>
              <w:top w:val="nil" w:sz="6" w:space="0" w:color="auto"/>
              <w:left w:val="single" w:sz="4" w:space="0" w:color="000000"/>
              <w:right w:val="single" w:sz="4" w:space="0" w:color="000000"/>
            </w:tcBorders>
            <w:shd w:val="clear" w:color="auto" w:fill="D2D2D2"/>
          </w:tcPr>
          <w:p>
            <w:pPr/>
          </w:p>
        </w:tc>
        <w:tc>
          <w:tcPr>
            <w:tcW w:w="1365" w:type="dxa"/>
            <w:vMerge w:val="restart"/>
            <w:tcBorders>
              <w:top w:val="nil" w:sz="6" w:space="0" w:color="auto"/>
              <w:left w:val="single" w:sz="4" w:space="0" w:color="000000"/>
              <w:right w:val="single" w:sz="4" w:space="0" w:color="000000"/>
            </w:tcBorders>
            <w:shd w:val="clear" w:color="auto" w:fill="D2D2D2"/>
          </w:tcPr>
          <w:p>
            <w:pPr/>
          </w:p>
        </w:tc>
        <w:tc>
          <w:tcPr>
            <w:tcW w:w="1377" w:type="dxa"/>
            <w:vMerge w:val="restart"/>
            <w:tcBorders>
              <w:top w:val="nil" w:sz="6" w:space="0" w:color="auto"/>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74" w:type="dxa"/>
            <w:vMerge/>
            <w:tcBorders>
              <w:left w:val="single" w:sz="4" w:space="0" w:color="000000"/>
              <w:bottom w:val="nil" w:sz="6" w:space="0" w:color="auto"/>
              <w:right w:val="single" w:sz="4" w:space="0" w:color="000000"/>
            </w:tcBorders>
            <w:shd w:val="clear" w:color="auto" w:fill="D2D2D2"/>
          </w:tcPr>
          <w:p>
            <w:pPr/>
          </w:p>
        </w:tc>
      </w:tr>
      <w:tr>
        <w:trPr>
          <w:trHeight w:val="110" w:hRule="exact"/>
        </w:trPr>
        <w:tc>
          <w:tcPr>
            <w:tcW w:w="1364" w:type="dxa"/>
            <w:vMerge/>
            <w:tcBorders>
              <w:left w:val="single" w:sz="4" w:space="0" w:color="000000"/>
              <w:right w:val="single" w:sz="4" w:space="0" w:color="000000"/>
            </w:tcBorders>
            <w:shd w:val="clear" w:color="auto" w:fill="D2D2D2"/>
          </w:tcPr>
          <w:p>
            <w:pPr/>
          </w:p>
        </w:tc>
        <w:tc>
          <w:tcPr>
            <w:tcW w:w="1365" w:type="dxa"/>
            <w:vMerge/>
            <w:tcBorders>
              <w:left w:val="single" w:sz="4" w:space="0" w:color="000000"/>
              <w:right w:val="single" w:sz="4" w:space="0" w:color="000000"/>
            </w:tcBorders>
            <w:shd w:val="clear" w:color="auto" w:fill="D2D2D2"/>
          </w:tcPr>
          <w:p>
            <w:pPr/>
          </w:p>
        </w:tc>
        <w:tc>
          <w:tcPr>
            <w:tcW w:w="1377" w:type="dxa"/>
            <w:vMerge/>
            <w:tcBorders>
              <w:left w:val="single" w:sz="4" w:space="0" w:color="000000"/>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c>
          <w:tcPr>
            <w:tcW w:w="137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4" w:type="dxa"/>
            <w:vMerge/>
            <w:tcBorders>
              <w:left w:val="single" w:sz="4" w:space="0" w:color="000000"/>
              <w:bottom w:val="single" w:sz="4" w:space="0" w:color="000000"/>
              <w:right w:val="single" w:sz="4" w:space="0" w:color="000000"/>
            </w:tcBorders>
            <w:shd w:val="clear" w:color="auto" w:fill="D2D2D2"/>
          </w:tcPr>
          <w:p>
            <w:pPr/>
          </w:p>
        </w:tc>
        <w:tc>
          <w:tcPr>
            <w:tcW w:w="1365" w:type="dxa"/>
            <w:vMerge/>
            <w:tcBorders>
              <w:left w:val="single" w:sz="4" w:space="0" w:color="000000"/>
              <w:bottom w:val="single" w:sz="4" w:space="0" w:color="000000"/>
              <w:right w:val="single" w:sz="4" w:space="0" w:color="000000"/>
            </w:tcBorders>
            <w:shd w:val="clear" w:color="auto" w:fill="D2D2D2"/>
          </w:tcPr>
          <w:p>
            <w:pPr/>
          </w:p>
        </w:tc>
        <w:tc>
          <w:tcPr>
            <w:tcW w:w="1377" w:type="dxa"/>
            <w:vMerge/>
            <w:tcBorders>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2"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石家庄常山纺织 集团有限责任公 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48.06%</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345,514</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,011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345,514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5,935,143</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长江证券股份有 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0.81%</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吉林省兴国投资 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0.35%</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曹为宇</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0.35%</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林海文</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0.33%</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杨金英</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0.31%</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袁建良</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0.26%</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赵德全</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0.24%</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中信建投证券股 份有限公司客户 信用交易担保证 券账户</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0.24%</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林静如</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0.23%</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42" w:type="dxa"/>
            <w:gridSpan w:val="7"/>
            <w:vMerge w:val="restart"/>
            <w:tcBorders>
              <w:top w:val="single" w:sz="4" w:space="0" w:color="000000"/>
              <w:left w:val="single" w:sz="10" w:space="0" w:color="D2D2D2"/>
              <w:right w:val="single" w:sz="4" w:space="0" w:color="000000"/>
            </w:tcBorders>
            <w:shd w:val="clear" w:color="auto" w:fill="C6ECCC"/>
          </w:tcPr>
          <w:p>
            <w:pPr>
              <w:pStyle w:val="TableParagraph"/>
              <w:spacing w:line="316" w:lineRule="auto" w:before="49"/>
              <w:ind w:left="19" w:right="20" w:firstLine="362"/>
              <w:jc w:val="both"/>
              <w:rPr>
                <w:rFonts w:ascii="宋体" w:hAnsi="宋体" w:cs="宋体" w:eastAsia="宋体" w:hint="default"/>
                <w:sz w:val="18"/>
                <w:szCs w:val="18"/>
              </w:rPr>
            </w:pPr>
            <w:r>
              <w:rPr>
                <w:rFonts w:ascii="宋体" w:hAnsi="宋体" w:cs="宋体" w:eastAsia="宋体" w:hint="default"/>
                <w:spacing w:val="-2"/>
                <w:sz w:val="18"/>
                <w:szCs w:val="18"/>
              </w:rPr>
              <w:t>本公司全部为无限售流通股。本公司第一大股东与其它股东之间无关联关系，也不</w:t>
            </w:r>
            <w:r>
              <w:rPr>
                <w:rFonts w:ascii="宋体" w:hAnsi="宋体" w:cs="宋体" w:eastAsia="宋体" w:hint="default"/>
                <w:sz w:val="18"/>
                <w:szCs w:val="18"/>
              </w:rPr>
              <w:t> </w:t>
            </w:r>
            <w:r>
              <w:rPr>
                <w:rFonts w:ascii="宋体" w:hAnsi="宋体" w:cs="宋体" w:eastAsia="宋体" w:hint="default"/>
                <w:spacing w:val="-2"/>
                <w:sz w:val="18"/>
                <w:szCs w:val="18"/>
              </w:rPr>
              <w:t>属于《上市公司股东持股变动信息披露管理办法》规定的一致行动人。公司未知其它股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东之间是否存在关联关系或属于《上市公司股东持股变动信息披露管理办法》规定的一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致行动人。</w:t>
            </w:r>
          </w:p>
        </w:tc>
      </w:tr>
      <w:tr>
        <w:trPr>
          <w:trHeight w:val="706" w:hRule="exact"/>
        </w:trPr>
        <w:tc>
          <w:tcPr>
            <w:tcW w:w="272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2" w:type="dxa"/>
            <w:gridSpan w:val="7"/>
            <w:vMerge/>
            <w:tcBorders>
              <w:left w:val="single" w:sz="10" w:space="0" w:color="D2D2D2"/>
              <w:right w:val="single" w:sz="4" w:space="0" w:color="000000"/>
            </w:tcBorders>
            <w:shd w:val="clear" w:color="auto" w:fill="C6ECCC"/>
          </w:tcPr>
          <w:p>
            <w:pPr/>
          </w:p>
        </w:tc>
      </w:tr>
      <w:tr>
        <w:trPr>
          <w:trHeight w:val="317"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42" w:type="dxa"/>
            <w:gridSpan w:val="7"/>
            <w:vMerge/>
            <w:tcBorders>
              <w:left w:val="single" w:sz="10" w:space="0" w:color="D2D2D2"/>
              <w:bottom w:val="single" w:sz="4" w:space="0" w:color="000000"/>
              <w:right w:val="single" w:sz="4" w:space="0" w:color="000000"/>
            </w:tcBorders>
            <w:shd w:val="clear" w:color="auto" w:fill="C6ECCC"/>
          </w:tcPr>
          <w:p>
            <w:pPr/>
          </w:p>
        </w:tc>
      </w:tr>
      <w:tr>
        <w:trPr>
          <w:trHeight w:val="396"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8"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0"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bl>
    <w:p>
      <w:pPr>
        <w:spacing w:after="0" w:line="240" w:lineRule="auto"/>
        <w:jc w:val="center"/>
        <w:rPr>
          <w:rFonts w:ascii="宋体" w:hAnsi="宋体" w:cs="宋体" w:eastAsia="宋体" w:hint="default"/>
          <w:sz w:val="18"/>
          <w:szCs w:val="18"/>
        </w:rPr>
        <w:sectPr>
          <w:headerReference w:type="default" r:id="rId28"/>
          <w:footerReference w:type="default" r:id="rId29"/>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732"/>
        <w:gridCol w:w="4102"/>
        <w:gridCol w:w="1369"/>
        <w:gridCol w:w="1368"/>
      </w:tblGrid>
      <w:tr>
        <w:trPr>
          <w:trHeight w:val="401" w:hRule="exact"/>
        </w:trPr>
        <w:tc>
          <w:tcPr>
            <w:tcW w:w="2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17"/>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6"/>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 司</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345,514,011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345,514,011</w:t>
            </w:r>
          </w:p>
        </w:tc>
      </w:tr>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长江证券股份有限公司</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5,791,462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5,791,462</w:t>
            </w:r>
          </w:p>
        </w:tc>
      </w:tr>
      <w:tr>
        <w:trPr>
          <w:trHeight w:val="40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吉林省兴国投资有限公司</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2,530,353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2,530,353</w:t>
            </w:r>
          </w:p>
        </w:tc>
      </w:tr>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曹为宇</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2,487,150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2,487,150</w:t>
            </w:r>
          </w:p>
        </w:tc>
      </w:tr>
      <w:tr>
        <w:trPr>
          <w:trHeight w:val="40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林海文</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2,399,999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2,399,999</w:t>
            </w:r>
          </w:p>
        </w:tc>
      </w:tr>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杨金英</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2,212,551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2,212,551</w:t>
            </w:r>
          </w:p>
        </w:tc>
      </w:tr>
      <w:tr>
        <w:trPr>
          <w:trHeight w:val="40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袁建良</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1,870,000</w:t>
            </w:r>
          </w:p>
        </w:tc>
      </w:tr>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赵德全</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1,741,140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1,741,140</w:t>
            </w:r>
          </w:p>
        </w:tc>
      </w:tr>
      <w:tr>
        <w:trPr>
          <w:trHeight w:val="71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6"/>
              <w:jc w:val="left"/>
              <w:rPr>
                <w:rFonts w:ascii="宋体" w:hAnsi="宋体" w:cs="宋体" w:eastAsia="宋体" w:hint="default"/>
                <w:sz w:val="18"/>
                <w:szCs w:val="18"/>
              </w:rPr>
            </w:pPr>
            <w:r>
              <w:rPr>
                <w:rFonts w:ascii="宋体" w:hAnsi="宋体" w:cs="宋体" w:eastAsia="宋体" w:hint="default"/>
                <w:sz w:val="18"/>
                <w:szCs w:val="18"/>
              </w:rPr>
              <w:t>中信建投证券股份有限公司客户 信用交易担保证券账户</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1,700,069</w:t>
            </w:r>
          </w:p>
        </w:tc>
      </w:tr>
      <w:tr>
        <w:trPr>
          <w:trHeight w:val="40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林静如</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1,658,567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1,658,567</w:t>
            </w:r>
          </w:p>
        </w:tc>
      </w:tr>
      <w:tr>
        <w:trPr>
          <w:trHeight w:val="1338" w:hRule="exact"/>
        </w:trPr>
        <w:tc>
          <w:tcPr>
            <w:tcW w:w="2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39"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20" w:firstLine="362"/>
              <w:jc w:val="both"/>
              <w:rPr>
                <w:rFonts w:ascii="宋体" w:hAnsi="宋体" w:cs="宋体" w:eastAsia="宋体" w:hint="default"/>
                <w:sz w:val="18"/>
                <w:szCs w:val="18"/>
              </w:rPr>
            </w:pPr>
            <w:r>
              <w:rPr>
                <w:rFonts w:ascii="宋体" w:hAnsi="宋体" w:cs="宋体" w:eastAsia="宋体" w:hint="default"/>
                <w:spacing w:val="-2"/>
                <w:sz w:val="18"/>
                <w:szCs w:val="18"/>
              </w:rPr>
              <w:t>本公司全部为无限售流通股。本公司第一大股东与其它股东之间无关联关系，也不</w:t>
            </w:r>
            <w:r>
              <w:rPr>
                <w:rFonts w:ascii="宋体" w:hAnsi="宋体" w:cs="宋体" w:eastAsia="宋体" w:hint="default"/>
                <w:sz w:val="18"/>
                <w:szCs w:val="18"/>
              </w:rPr>
              <w:t> </w:t>
            </w:r>
            <w:r>
              <w:rPr>
                <w:rFonts w:ascii="宋体" w:hAnsi="宋体" w:cs="宋体" w:eastAsia="宋体" w:hint="default"/>
                <w:spacing w:val="-2"/>
                <w:sz w:val="18"/>
                <w:szCs w:val="18"/>
              </w:rPr>
              <w:t>属于《上市公司股东持股变动信息披露管理办法》规定的一致行动人。公司未知其它股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东之间是否存在关联关系或属于《上市公司股东持股变动信息披露管理办法》规定的一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致行动人。</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2"/>
        <w:jc w:val="left"/>
      </w:pPr>
      <w:r>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44"/>
        <w:ind w:left="0" w:right="1138"/>
        <w:jc w:val="right"/>
      </w:pPr>
      <w:r>
        <w:rPr/>
        <w:pict>
          <v:shape style="position:absolute;margin-left:56.400002pt;margin-top:-95.588272pt;width:478.6pt;height:174.5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2"/>
                    <w:gridCol w:w="1095"/>
                    <w:gridCol w:w="888"/>
                    <w:gridCol w:w="1800"/>
                    <w:gridCol w:w="1801"/>
                    <w:gridCol w:w="1792"/>
                  </w:tblGrid>
                  <w:tr>
                    <w:trPr>
                      <w:trHeight w:val="709"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91"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6" w:hRule="exact"/>
                    </w:trPr>
                    <w:tc>
                      <w:tcPr>
                        <w:tcW w:w="2182" w:type="dxa"/>
                        <w:tcBorders>
                          <w:top w:val="single" w:sz="4" w:space="0" w:color="000000"/>
                          <w:left w:val="single" w:sz="4" w:space="0" w:color="000000"/>
                          <w:bottom w:val="nil" w:sz="6" w:space="0" w:color="auto"/>
                          <w:right w:val="single" w:sz="4" w:space="0" w:color="000000"/>
                        </w:tcBorders>
                        <w:shd w:val="clear" w:color="auto" w:fill="C6ECCC"/>
                      </w:tcPr>
                      <w:p>
                        <w:pPr/>
                      </w:p>
                    </w:tc>
                    <w:tc>
                      <w:tcPr>
                        <w:tcW w:w="1095" w:type="dxa"/>
                        <w:vMerge w:val="restart"/>
                        <w:tcBorders>
                          <w:top w:val="single" w:sz="4" w:space="0" w:color="000000"/>
                          <w:left w:val="single" w:sz="4" w:space="0" w:color="000000"/>
                          <w:right w:val="single" w:sz="4" w:space="0" w:color="000000"/>
                        </w:tcBorders>
                        <w:shd w:val="clear" w:color="auto" w:fill="C6ECCC"/>
                      </w:tcPr>
                      <w:p>
                        <w:pPr/>
                      </w:p>
                    </w:tc>
                    <w:tc>
                      <w:tcPr>
                        <w:tcW w:w="888" w:type="dxa"/>
                        <w:vMerge w:val="restart"/>
                        <w:tcBorders>
                          <w:top w:val="single" w:sz="4" w:space="0" w:color="000000"/>
                          <w:left w:val="single" w:sz="10" w:space="0" w:color="C6ECCC"/>
                          <w:right w:val="single" w:sz="10" w:space="0" w:color="C6ECCC"/>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vMerge w:val="restart"/>
                        <w:tcBorders>
                          <w:top w:val="single" w:sz="4" w:space="0" w:color="000000"/>
                          <w:left w:val="single" w:sz="4" w:space="0" w:color="000000"/>
                          <w:right w:val="single" w:sz="4" w:space="0" w:color="000000"/>
                        </w:tcBorders>
                        <w:shd w:val="clear" w:color="auto" w:fill="C6ECCC"/>
                      </w:tcPr>
                      <w:p>
                        <w:pPr/>
                      </w:p>
                    </w:tc>
                    <w:tc>
                      <w:tcPr>
                        <w:tcW w:w="1801" w:type="dxa"/>
                        <w:vMerge w:val="restart"/>
                        <w:tcBorders>
                          <w:top w:val="single" w:sz="4" w:space="0" w:color="000000"/>
                          <w:left w:val="single" w:sz="4" w:space="0" w:color="000000"/>
                          <w:right w:val="single" w:sz="4" w:space="0" w:color="000000"/>
                        </w:tcBorders>
                        <w:shd w:val="clear" w:color="auto" w:fill="C6ECCC"/>
                      </w:tcPr>
                      <w:p>
                        <w:pPr/>
                      </w:p>
                    </w:tc>
                    <w:tc>
                      <w:tcPr>
                        <w:tcW w:w="1792"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53"/>
                          <w:ind w:left="26" w:right="8"/>
                          <w:jc w:val="both"/>
                          <w:rPr>
                            <w:rFonts w:ascii="宋体" w:hAnsi="宋体" w:cs="宋体" w:eastAsia="宋体" w:hint="default"/>
                            <w:sz w:val="18"/>
                            <w:szCs w:val="18"/>
                          </w:rPr>
                        </w:pPr>
                        <w:r>
                          <w:rPr>
                            <w:rFonts w:ascii="宋体" w:hAnsi="宋体" w:cs="宋体" w:eastAsia="宋体" w:hint="default"/>
                            <w:spacing w:val="-6"/>
                            <w:sz w:val="18"/>
                            <w:szCs w:val="18"/>
                          </w:rPr>
                          <w:t>针纺织品开发、制造销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售，纺织配件配材加工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销售等</w:t>
                        </w:r>
                      </w:p>
                    </w:tc>
                  </w:tr>
                  <w:tr>
                    <w:trPr>
                      <w:trHeight w:val="156" w:hRule="exact"/>
                    </w:trPr>
                    <w:tc>
                      <w:tcPr>
                        <w:tcW w:w="2182" w:type="dxa"/>
                        <w:vMerge w:val="restart"/>
                        <w:tcBorders>
                          <w:top w:val="nil" w:sz="6" w:space="0" w:color="auto"/>
                          <w:left w:val="single" w:sz="4" w:space="0" w:color="000000"/>
                          <w:right w:val="single" w:sz="4" w:space="0" w:color="000000"/>
                        </w:tcBorders>
                        <w:shd w:val="clear" w:color="auto" w:fill="C6ECCC"/>
                      </w:tcPr>
                      <w:p>
                        <w:pPr>
                          <w:pStyle w:val="TableParagraph"/>
                          <w:spacing w:line="316" w:lineRule="auto" w:before="49"/>
                          <w:ind w:left="24" w:right="166"/>
                          <w:jc w:val="left"/>
                          <w:rPr>
                            <w:rFonts w:ascii="宋体" w:hAnsi="宋体" w:cs="宋体" w:eastAsia="宋体" w:hint="default"/>
                            <w:sz w:val="18"/>
                            <w:szCs w:val="18"/>
                          </w:rPr>
                        </w:pPr>
                        <w:r>
                          <w:rPr>
                            <w:rFonts w:ascii="宋体" w:hAnsi="宋体" w:cs="宋体" w:eastAsia="宋体" w:hint="default"/>
                            <w:sz w:val="18"/>
                            <w:szCs w:val="18"/>
                          </w:rPr>
                          <w:t>石家庄常山纺织集团有限 责任公司</w:t>
                        </w:r>
                      </w:p>
                    </w:tc>
                    <w:tc>
                      <w:tcPr>
                        <w:tcW w:w="1095" w:type="dxa"/>
                        <w:vMerge/>
                        <w:tcBorders>
                          <w:left w:val="single" w:sz="4" w:space="0" w:color="000000"/>
                          <w:bottom w:val="nil" w:sz="6" w:space="0" w:color="auto"/>
                          <w:right w:val="single" w:sz="4" w:space="0" w:color="000000"/>
                        </w:tcBorders>
                        <w:shd w:val="clear" w:color="auto" w:fill="C6ECCC"/>
                      </w:tcPr>
                      <w:p>
                        <w:pPr/>
                      </w:p>
                    </w:tc>
                    <w:tc>
                      <w:tcPr>
                        <w:tcW w:w="888" w:type="dxa"/>
                        <w:vMerge/>
                        <w:tcBorders>
                          <w:left w:val="single" w:sz="10" w:space="0" w:color="C6ECCC"/>
                          <w:right w:val="single" w:sz="10" w:space="0" w:color="C6ECCC"/>
                        </w:tcBorders>
                      </w:tcPr>
                      <w:p>
                        <w:pPr/>
                      </w:p>
                    </w:tc>
                    <w:tc>
                      <w:tcPr>
                        <w:tcW w:w="1800" w:type="dxa"/>
                        <w:vMerge/>
                        <w:tcBorders>
                          <w:left w:val="single" w:sz="4" w:space="0" w:color="000000"/>
                          <w:bottom w:val="nil" w:sz="6" w:space="0" w:color="auto"/>
                          <w:right w:val="single" w:sz="4" w:space="0" w:color="000000"/>
                        </w:tcBorders>
                        <w:shd w:val="clear" w:color="auto" w:fill="C6ECCC"/>
                      </w:tcPr>
                      <w:p>
                        <w:pPr/>
                      </w:p>
                    </w:tc>
                    <w:tc>
                      <w:tcPr>
                        <w:tcW w:w="1801" w:type="dxa"/>
                        <w:vMerge/>
                        <w:tcBorders>
                          <w:left w:val="single" w:sz="4" w:space="0" w:color="000000"/>
                          <w:bottom w:val="nil" w:sz="6" w:space="0" w:color="auto"/>
                          <w:right w:val="single" w:sz="4" w:space="0" w:color="000000"/>
                        </w:tcBorders>
                        <w:shd w:val="clear" w:color="auto" w:fill="C6ECCC"/>
                      </w:tcPr>
                      <w:p>
                        <w:pPr/>
                      </w:p>
                    </w:tc>
                    <w:tc>
                      <w:tcPr>
                        <w:tcW w:w="1792" w:type="dxa"/>
                        <w:vMerge/>
                        <w:tcBorders>
                          <w:left w:val="single" w:sz="4" w:space="0" w:color="000000"/>
                          <w:right w:val="single" w:sz="4" w:space="0" w:color="000000"/>
                        </w:tcBorders>
                        <w:shd w:val="clear" w:color="auto" w:fill="C6ECCC"/>
                      </w:tcPr>
                      <w:p>
                        <w:pPr/>
                      </w:p>
                    </w:tc>
                  </w:tr>
                  <w:tr>
                    <w:trPr>
                      <w:trHeight w:val="391" w:hRule="exact"/>
                    </w:trPr>
                    <w:tc>
                      <w:tcPr>
                        <w:tcW w:w="2182" w:type="dxa"/>
                        <w:vMerge/>
                        <w:tcBorders>
                          <w:left w:val="single" w:sz="4" w:space="0" w:color="000000"/>
                          <w:right w:val="single" w:sz="4" w:space="0" w:color="000000"/>
                        </w:tcBorders>
                        <w:shd w:val="clear" w:color="auto" w:fill="C6ECCC"/>
                      </w:tcPr>
                      <w:p>
                        <w:pPr/>
                      </w:p>
                    </w:tc>
                    <w:tc>
                      <w:tcPr>
                        <w:tcW w:w="10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888" w:type="dxa"/>
                        <w:vMerge/>
                        <w:tcBorders>
                          <w:left w:val="single" w:sz="10" w:space="0" w:color="C6ECCC"/>
                          <w:right w:val="single" w:sz="10" w:space="0" w:color="C6ECCC"/>
                        </w:tcBorders>
                      </w:tcPr>
                      <w:p>
                        <w:pPr/>
                      </w:p>
                    </w:tc>
                    <w:tc>
                      <w:tcPr>
                        <w:tcW w:w="180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23604417-3</w:t>
                        </w:r>
                      </w:p>
                    </w:tc>
                    <w:tc>
                      <w:tcPr>
                        <w:tcW w:w="180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125,354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792" w:type="dxa"/>
                        <w:vMerge/>
                        <w:tcBorders>
                          <w:left w:val="single" w:sz="4" w:space="0" w:color="000000"/>
                          <w:right w:val="single" w:sz="4" w:space="0" w:color="000000"/>
                        </w:tcBorders>
                        <w:shd w:val="clear" w:color="auto" w:fill="C6ECCC"/>
                      </w:tcPr>
                      <w:p>
                        <w:pPr/>
                      </w:p>
                    </w:tc>
                  </w:tr>
                  <w:tr>
                    <w:trPr>
                      <w:trHeight w:val="156" w:hRule="exact"/>
                    </w:trPr>
                    <w:tc>
                      <w:tcPr>
                        <w:tcW w:w="2182" w:type="dxa"/>
                        <w:vMerge/>
                        <w:tcBorders>
                          <w:left w:val="single" w:sz="4" w:space="0" w:color="000000"/>
                          <w:bottom w:val="nil" w:sz="6" w:space="0" w:color="auto"/>
                          <w:right w:val="single" w:sz="4" w:space="0" w:color="000000"/>
                        </w:tcBorders>
                        <w:shd w:val="clear" w:color="auto" w:fill="C6ECCC"/>
                      </w:tcPr>
                      <w:p>
                        <w:pPr/>
                      </w:p>
                    </w:tc>
                    <w:tc>
                      <w:tcPr>
                        <w:tcW w:w="1095" w:type="dxa"/>
                        <w:vMerge w:val="restart"/>
                        <w:tcBorders>
                          <w:top w:val="nil" w:sz="6" w:space="0" w:color="auto"/>
                          <w:left w:val="single" w:sz="4" w:space="0" w:color="000000"/>
                          <w:right w:val="single" w:sz="4" w:space="0" w:color="000000"/>
                        </w:tcBorders>
                        <w:shd w:val="clear" w:color="auto" w:fill="C6ECCC"/>
                      </w:tcPr>
                      <w:p>
                        <w:pPr/>
                      </w:p>
                    </w:tc>
                    <w:tc>
                      <w:tcPr>
                        <w:tcW w:w="888" w:type="dxa"/>
                        <w:vMerge/>
                        <w:tcBorders>
                          <w:left w:val="single" w:sz="10" w:space="0" w:color="C6ECCC"/>
                          <w:right w:val="single" w:sz="10" w:space="0" w:color="C6ECCC"/>
                        </w:tcBorders>
                      </w:tcPr>
                      <w:p>
                        <w:pPr/>
                      </w:p>
                    </w:tc>
                    <w:tc>
                      <w:tcPr>
                        <w:tcW w:w="1800" w:type="dxa"/>
                        <w:vMerge w:val="restart"/>
                        <w:tcBorders>
                          <w:top w:val="nil" w:sz="6" w:space="0" w:color="auto"/>
                          <w:left w:val="single" w:sz="4" w:space="0" w:color="000000"/>
                          <w:right w:val="single" w:sz="4" w:space="0" w:color="000000"/>
                        </w:tcBorders>
                        <w:shd w:val="clear" w:color="auto" w:fill="C6ECCC"/>
                      </w:tcPr>
                      <w:p>
                        <w:pPr/>
                      </w:p>
                    </w:tc>
                    <w:tc>
                      <w:tcPr>
                        <w:tcW w:w="1801" w:type="dxa"/>
                        <w:vMerge w:val="restart"/>
                        <w:tcBorders>
                          <w:top w:val="nil" w:sz="6" w:space="0" w:color="auto"/>
                          <w:left w:val="single" w:sz="4" w:space="0" w:color="000000"/>
                          <w:right w:val="single" w:sz="4" w:space="0" w:color="000000"/>
                        </w:tcBorders>
                        <w:shd w:val="clear" w:color="auto" w:fill="C6ECCC"/>
                      </w:tcPr>
                      <w:p>
                        <w:pPr/>
                      </w:p>
                    </w:tc>
                    <w:tc>
                      <w:tcPr>
                        <w:tcW w:w="1792" w:type="dxa"/>
                        <w:vMerge/>
                        <w:tcBorders>
                          <w:left w:val="single" w:sz="4" w:space="0" w:color="000000"/>
                          <w:right w:val="single" w:sz="4" w:space="0" w:color="000000"/>
                        </w:tcBorders>
                        <w:shd w:val="clear" w:color="auto" w:fill="C6ECCC"/>
                      </w:tcPr>
                      <w:p>
                        <w:pPr/>
                      </w:p>
                    </w:tc>
                  </w:tr>
                  <w:tr>
                    <w:trPr>
                      <w:trHeight w:val="168" w:hRule="exact"/>
                    </w:trPr>
                    <w:tc>
                      <w:tcPr>
                        <w:tcW w:w="2182" w:type="dxa"/>
                        <w:tcBorders>
                          <w:top w:val="nil" w:sz="6" w:space="0" w:color="auto"/>
                          <w:left w:val="single" w:sz="4" w:space="0" w:color="000000"/>
                          <w:bottom w:val="single" w:sz="4" w:space="0" w:color="000000"/>
                          <w:right w:val="single" w:sz="4" w:space="0" w:color="000000"/>
                        </w:tcBorders>
                        <w:shd w:val="clear" w:color="auto" w:fill="C6ECCC"/>
                      </w:tcPr>
                      <w:p>
                        <w:pPr/>
                      </w:p>
                    </w:tc>
                    <w:tc>
                      <w:tcPr>
                        <w:tcW w:w="1095" w:type="dxa"/>
                        <w:vMerge/>
                        <w:tcBorders>
                          <w:left w:val="single" w:sz="4" w:space="0" w:color="000000"/>
                          <w:bottom w:val="single" w:sz="4" w:space="0" w:color="000000"/>
                          <w:right w:val="single" w:sz="4" w:space="0" w:color="000000"/>
                        </w:tcBorders>
                        <w:shd w:val="clear" w:color="auto" w:fill="C6ECCC"/>
                      </w:tcPr>
                      <w:p>
                        <w:pPr/>
                      </w:p>
                    </w:tc>
                    <w:tc>
                      <w:tcPr>
                        <w:tcW w:w="888" w:type="dxa"/>
                        <w:vMerge/>
                        <w:tcBorders>
                          <w:left w:val="single" w:sz="10" w:space="0" w:color="C6ECCC"/>
                          <w:bottom w:val="single" w:sz="4" w:space="0" w:color="000000"/>
                          <w:right w:val="single" w:sz="10" w:space="0" w:color="C6ECCC"/>
                        </w:tcBorders>
                      </w:tcPr>
                      <w:p>
                        <w:pPr/>
                      </w:p>
                    </w:tc>
                    <w:tc>
                      <w:tcPr>
                        <w:tcW w:w="1800" w:type="dxa"/>
                        <w:vMerge/>
                        <w:tcBorders>
                          <w:left w:val="single" w:sz="4" w:space="0" w:color="000000"/>
                          <w:bottom w:val="single" w:sz="4" w:space="0" w:color="000000"/>
                          <w:right w:val="single" w:sz="4" w:space="0" w:color="000000"/>
                        </w:tcBorders>
                        <w:shd w:val="clear" w:color="auto" w:fill="C6ECCC"/>
                      </w:tcPr>
                      <w:p>
                        <w:pPr/>
                      </w:p>
                    </w:tc>
                    <w:tc>
                      <w:tcPr>
                        <w:tcW w:w="1801" w:type="dxa"/>
                        <w:vMerge/>
                        <w:tcBorders>
                          <w:left w:val="single" w:sz="4" w:space="0" w:color="000000"/>
                          <w:bottom w:val="single" w:sz="4" w:space="0" w:color="000000"/>
                          <w:right w:val="single" w:sz="4" w:space="0" w:color="000000"/>
                        </w:tcBorders>
                        <w:shd w:val="clear" w:color="auto" w:fill="C6ECCC"/>
                      </w:tcPr>
                      <w:p>
                        <w:pPr/>
                      </w:p>
                    </w:tc>
                    <w:tc>
                      <w:tcPr>
                        <w:tcW w:w="1792" w:type="dxa"/>
                        <w:vMerge/>
                        <w:tcBorders>
                          <w:left w:val="single" w:sz="4" w:space="0" w:color="000000"/>
                          <w:bottom w:val="single" w:sz="4" w:space="0" w:color="000000"/>
                          <w:right w:val="single" w:sz="4" w:space="0" w:color="000000"/>
                        </w:tcBorders>
                        <w:shd w:val="clear" w:color="auto" w:fill="C6ECCC"/>
                      </w:tcPr>
                      <w:p>
                        <w:pPr/>
                      </w:p>
                    </w:tc>
                  </w:tr>
                  <w:tr>
                    <w:trPr>
                      <w:trHeight w:val="156" w:hRule="exact"/>
                    </w:trPr>
                    <w:tc>
                      <w:tcPr>
                        <w:tcW w:w="2182" w:type="dxa"/>
                        <w:vMerge w:val="restart"/>
                        <w:tcBorders>
                          <w:top w:val="single" w:sz="4" w:space="0" w:color="000000"/>
                          <w:left w:val="single" w:sz="4" w:space="0" w:color="000000"/>
                          <w:right w:val="single" w:sz="9" w:space="0" w:color="C6ECCC"/>
                        </w:tcBorders>
                        <w:shd w:val="clear" w:color="auto" w:fill="D2D2D2"/>
                      </w:tcPr>
                      <w:p>
                        <w:pPr>
                          <w:pStyle w:val="TableParagraph"/>
                          <w:spacing w:line="314" w:lineRule="auto" w:before="44"/>
                          <w:ind w:left="24" w:right="13"/>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76" w:type="dxa"/>
                        <w:gridSpan w:val="5"/>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1" w:hRule="exact"/>
                    </w:trPr>
                    <w:tc>
                      <w:tcPr>
                        <w:tcW w:w="2182" w:type="dxa"/>
                        <w:vMerge/>
                        <w:tcBorders>
                          <w:left w:val="single" w:sz="4" w:space="0" w:color="000000"/>
                          <w:right w:val="single" w:sz="9" w:space="0" w:color="C6ECCC"/>
                        </w:tcBorders>
                        <w:shd w:val="clear" w:color="auto" w:fill="D2D2D2"/>
                      </w:tcPr>
                      <w:p>
                        <w:pPr/>
                      </w:p>
                    </w:tc>
                    <w:tc>
                      <w:tcPr>
                        <w:tcW w:w="7376" w:type="dxa"/>
                        <w:gridSpan w:val="5"/>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年度常山集团实现营业收入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595,712.64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万元，利润总额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1,685.33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万元，该数据未经审计</w:t>
                        </w:r>
                      </w:p>
                    </w:tc>
                  </w:tr>
                  <w:tr>
                    <w:trPr>
                      <w:trHeight w:val="161" w:hRule="exact"/>
                    </w:trPr>
                    <w:tc>
                      <w:tcPr>
                        <w:tcW w:w="2182" w:type="dxa"/>
                        <w:vMerge/>
                        <w:tcBorders>
                          <w:left w:val="single" w:sz="4" w:space="0" w:color="000000"/>
                          <w:bottom w:val="single" w:sz="4" w:space="0" w:color="000000"/>
                          <w:right w:val="single" w:sz="9" w:space="0" w:color="C6ECCC"/>
                        </w:tcBorders>
                        <w:shd w:val="clear" w:color="auto" w:fill="D2D2D2"/>
                      </w:tcPr>
                      <w:p>
                        <w:pPr/>
                      </w:p>
                    </w:tc>
                    <w:tc>
                      <w:tcPr>
                        <w:tcW w:w="7376" w:type="dxa"/>
                        <w:gridSpan w:val="5"/>
                        <w:tcBorders>
                          <w:top w:val="nil" w:sz="6" w:space="0" w:color="auto"/>
                          <w:left w:val="single" w:sz="4" w:space="0" w:color="000000"/>
                          <w:bottom w:val="single" w:sz="4" w:space="0" w:color="000000"/>
                          <w:right w:val="single" w:sz="4" w:space="0" w:color="000000"/>
                        </w:tcBorders>
                        <w:shd w:val="clear" w:color="auto" w:fill="C6ECCC"/>
                      </w:tcPr>
                      <w:p>
                        <w:pPr/>
                      </w:p>
                    </w:tc>
                  </w:tr>
                  <w:tr>
                    <w:trPr>
                      <w:trHeight w:val="317" w:hRule="exact"/>
                    </w:trPr>
                    <w:tc>
                      <w:tcPr>
                        <w:tcW w:w="2182" w:type="dxa"/>
                        <w:vMerge w:val="restart"/>
                        <w:tcBorders>
                          <w:top w:val="single" w:sz="4" w:space="0" w:color="000000"/>
                          <w:left w:val="single" w:sz="4" w:space="0" w:color="000000"/>
                          <w:right w:val="single" w:sz="9" w:space="0" w:color="C6ECCC"/>
                        </w:tcBorders>
                        <w:shd w:val="clear" w:color="auto" w:fill="D2D2D2"/>
                      </w:tcPr>
                      <w:p>
                        <w:pPr>
                          <w:pStyle w:val="TableParagraph"/>
                          <w:spacing w:line="316" w:lineRule="auto" w:before="49"/>
                          <w:ind w:left="24" w:right="160"/>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6" w:type="dxa"/>
                        <w:gridSpan w:val="5"/>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1" w:hRule="exact"/>
                    </w:trPr>
                    <w:tc>
                      <w:tcPr>
                        <w:tcW w:w="2182" w:type="dxa"/>
                        <w:vMerge/>
                        <w:tcBorders>
                          <w:left w:val="single" w:sz="4" w:space="0" w:color="000000"/>
                          <w:right w:val="single" w:sz="9" w:space="0" w:color="C6ECCC"/>
                        </w:tcBorders>
                        <w:shd w:val="clear" w:color="auto" w:fill="D2D2D2"/>
                      </w:tcPr>
                      <w:p>
                        <w:pPr/>
                      </w:p>
                    </w:tc>
                    <w:tc>
                      <w:tcPr>
                        <w:tcW w:w="7376" w:type="dxa"/>
                        <w:gridSpan w:val="5"/>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控股股东无控股和参股其他境内外上市公司股权的情况。</w:t>
                        </w:r>
                      </w:p>
                    </w:tc>
                  </w:tr>
                  <w:tr>
                    <w:trPr>
                      <w:trHeight w:val="319" w:hRule="exact"/>
                    </w:trPr>
                    <w:tc>
                      <w:tcPr>
                        <w:tcW w:w="2182" w:type="dxa"/>
                        <w:vMerge/>
                        <w:tcBorders>
                          <w:left w:val="single" w:sz="4" w:space="0" w:color="000000"/>
                          <w:bottom w:val="single" w:sz="4" w:space="0" w:color="000000"/>
                          <w:right w:val="single" w:sz="9" w:space="0" w:color="C6ECCC"/>
                        </w:tcBorders>
                        <w:shd w:val="clear" w:color="auto" w:fill="D2D2D2"/>
                      </w:tcPr>
                      <w:p>
                        <w:pPr/>
                      </w:p>
                    </w:tc>
                    <w:tc>
                      <w:tcPr>
                        <w:tcW w:w="7376" w:type="dxa"/>
                        <w:gridSpan w:val="5"/>
                        <w:tcBorders>
                          <w:top w:val="nil" w:sz="6" w:space="0" w:color="auto"/>
                          <w:left w:val="single" w:sz="4" w:space="0" w:color="000000"/>
                          <w:bottom w:val="single" w:sz="4" w:space="0" w:color="000000"/>
                          <w:right w:val="single" w:sz="4" w:space="0" w:color="000000"/>
                        </w:tcBorders>
                        <w:shd w:val="clear" w:color="auto" w:fill="C6ECCC"/>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44"/>
        <w:ind w:right="982"/>
        <w:jc w:val="left"/>
      </w:pPr>
      <w:r>
        <w:rPr/>
        <w:t>报告期控股股东变更</w:t>
      </w:r>
    </w:p>
    <w:p>
      <w:pPr>
        <w:pStyle w:val="BodyText"/>
        <w:spacing w:line="240" w:lineRule="auto" w:before="115"/>
        <w:ind w:right="98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t>法人</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81"/>
        <w:gridCol w:w="1095"/>
        <w:gridCol w:w="888"/>
        <w:gridCol w:w="1800"/>
        <w:gridCol w:w="1801"/>
        <w:gridCol w:w="1802"/>
      </w:tblGrid>
      <w:tr>
        <w:trPr>
          <w:trHeight w:val="715"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bl>
    <w:p>
      <w:pPr>
        <w:spacing w:after="0" w:line="240" w:lineRule="auto"/>
        <w:jc w:val="left"/>
        <w:rPr>
          <w:rFonts w:ascii="宋体" w:hAnsi="宋体" w:cs="宋体" w:eastAsia="宋体" w:hint="default"/>
          <w:sz w:val="18"/>
          <w:szCs w:val="18"/>
        </w:rPr>
        <w:sectPr>
          <w:footerReference w:type="default" r:id="rId30"/>
          <w:pgSz w:w="11910" w:h="16840"/>
          <w:pgMar w:footer="1340" w:header="877" w:top="1060" w:bottom="1540" w:left="980" w:right="0"/>
          <w:pgNumType w:start="35"/>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81"/>
        <w:gridCol w:w="1095"/>
        <w:gridCol w:w="888"/>
        <w:gridCol w:w="1800"/>
        <w:gridCol w:w="1801"/>
        <w:gridCol w:w="1802"/>
      </w:tblGrid>
      <w:tr>
        <w:trPr>
          <w:trHeight w:val="161" w:hRule="exact"/>
        </w:trPr>
        <w:tc>
          <w:tcPr>
            <w:tcW w:w="2181" w:type="dxa"/>
            <w:vMerge w:val="restart"/>
            <w:tcBorders>
              <w:top w:val="single" w:sz="4" w:space="0" w:color="000000"/>
              <w:left w:val="single" w:sz="4" w:space="0" w:color="000000"/>
              <w:right w:val="single" w:sz="4" w:space="0" w:color="000000"/>
            </w:tcBorders>
            <w:shd w:val="clear" w:color="auto" w:fill="C6ECCC"/>
          </w:tcPr>
          <w:p>
            <w:pPr>
              <w:pStyle w:val="TableParagraph"/>
              <w:spacing w:line="319" w:lineRule="auto" w:before="49"/>
              <w:ind w:left="22" w:right="166"/>
              <w:jc w:val="left"/>
              <w:rPr>
                <w:rFonts w:ascii="宋体" w:hAnsi="宋体" w:cs="宋体" w:eastAsia="宋体" w:hint="default"/>
                <w:sz w:val="18"/>
                <w:szCs w:val="18"/>
              </w:rPr>
            </w:pPr>
            <w:r>
              <w:rPr>
                <w:rFonts w:ascii="宋体" w:hAnsi="宋体" w:cs="宋体" w:eastAsia="宋体" w:hint="default"/>
                <w:sz w:val="18"/>
                <w:szCs w:val="18"/>
              </w:rPr>
              <w:t>石家庄国有资产监督管理 委员会</w:t>
            </w:r>
          </w:p>
        </w:tc>
        <w:tc>
          <w:tcPr>
            <w:tcW w:w="1095" w:type="dxa"/>
            <w:tcBorders>
              <w:top w:val="single" w:sz="4" w:space="0" w:color="000000"/>
              <w:left w:val="single" w:sz="4" w:space="0" w:color="000000"/>
              <w:bottom w:val="nil" w:sz="6" w:space="0" w:color="auto"/>
              <w:right w:val="single" w:sz="4" w:space="0" w:color="000000"/>
            </w:tcBorders>
            <w:shd w:val="clear" w:color="auto" w:fill="C6ECCC"/>
          </w:tcPr>
          <w:p>
            <w:pPr/>
          </w:p>
        </w:tc>
        <w:tc>
          <w:tcPr>
            <w:tcW w:w="888" w:type="dxa"/>
            <w:vMerge w:val="restart"/>
            <w:tcBorders>
              <w:top w:val="single" w:sz="4" w:space="0" w:color="000000"/>
              <w:left w:val="single" w:sz="10" w:space="0" w:color="C6ECCC"/>
              <w:right w:val="single" w:sz="10" w:space="0" w:color="C6ECCC"/>
            </w:tcBorders>
          </w:tcPr>
          <w:p>
            <w:pPr/>
          </w:p>
        </w:tc>
        <w:tc>
          <w:tcPr>
            <w:tcW w:w="1800" w:type="dxa"/>
            <w:tcBorders>
              <w:top w:val="single" w:sz="4" w:space="0" w:color="000000"/>
              <w:left w:val="single" w:sz="4" w:space="0" w:color="000000"/>
              <w:bottom w:val="nil" w:sz="6" w:space="0" w:color="auto"/>
              <w:right w:val="single" w:sz="4" w:space="0" w:color="000000"/>
            </w:tcBorders>
            <w:shd w:val="clear" w:color="auto" w:fill="C6ECCC"/>
          </w:tcPr>
          <w:p>
            <w:pPr/>
          </w:p>
        </w:tc>
        <w:tc>
          <w:tcPr>
            <w:tcW w:w="1801" w:type="dxa"/>
            <w:tcBorders>
              <w:top w:val="single" w:sz="4" w:space="0" w:color="000000"/>
              <w:left w:val="single" w:sz="4" w:space="0" w:color="000000"/>
              <w:bottom w:val="nil" w:sz="6" w:space="0" w:color="auto"/>
              <w:right w:val="single" w:sz="4" w:space="0" w:color="000000"/>
            </w:tcBorders>
            <w:shd w:val="clear" w:color="auto" w:fill="C6ECCC"/>
          </w:tcPr>
          <w:p>
            <w:pPr/>
          </w:p>
        </w:tc>
        <w:tc>
          <w:tcPr>
            <w:tcW w:w="1802"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2" w:hRule="exact"/>
        </w:trPr>
        <w:tc>
          <w:tcPr>
            <w:tcW w:w="2181" w:type="dxa"/>
            <w:vMerge/>
            <w:tcBorders>
              <w:left w:val="single" w:sz="4" w:space="0" w:color="000000"/>
              <w:right w:val="single" w:sz="4" w:space="0" w:color="000000"/>
            </w:tcBorders>
            <w:shd w:val="clear" w:color="auto" w:fill="C6ECCC"/>
          </w:tcPr>
          <w:p>
            <w:pPr/>
          </w:p>
        </w:tc>
        <w:tc>
          <w:tcPr>
            <w:tcW w:w="10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毕拉祥</w:t>
            </w:r>
          </w:p>
        </w:tc>
        <w:tc>
          <w:tcPr>
            <w:tcW w:w="888" w:type="dxa"/>
            <w:vMerge/>
            <w:tcBorders>
              <w:left w:val="single" w:sz="10" w:space="0" w:color="C6ECCC"/>
              <w:right w:val="single" w:sz="10" w:space="0" w:color="C6ECCC"/>
            </w:tcBorders>
          </w:tcPr>
          <w:p>
            <w:pPr/>
          </w:p>
        </w:tc>
        <w:tc>
          <w:tcPr>
            <w:tcW w:w="180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76205558-5</w:t>
            </w:r>
          </w:p>
        </w:tc>
        <w:tc>
          <w:tcPr>
            <w:tcW w:w="1801" w:type="dxa"/>
            <w:tcBorders>
              <w:top w:val="nil" w:sz="6" w:space="0" w:color="auto"/>
              <w:left w:val="single" w:sz="4" w:space="0" w:color="000000"/>
              <w:bottom w:val="nil" w:sz="6" w:space="0" w:color="auto"/>
              <w:right w:val="single" w:sz="4" w:space="0" w:color="000000"/>
            </w:tcBorders>
            <w:shd w:val="clear" w:color="auto" w:fill="C6ECCC"/>
          </w:tcPr>
          <w:p>
            <w:pPr/>
          </w:p>
        </w:tc>
        <w:tc>
          <w:tcPr>
            <w:tcW w:w="180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国有资产管理</w:t>
            </w:r>
          </w:p>
        </w:tc>
      </w:tr>
      <w:tr>
        <w:trPr>
          <w:trHeight w:val="168" w:hRule="exact"/>
        </w:trPr>
        <w:tc>
          <w:tcPr>
            <w:tcW w:w="2181" w:type="dxa"/>
            <w:vMerge/>
            <w:tcBorders>
              <w:left w:val="single" w:sz="4" w:space="0" w:color="000000"/>
              <w:bottom w:val="single" w:sz="4" w:space="0" w:color="000000"/>
              <w:right w:val="single" w:sz="4" w:space="0" w:color="000000"/>
            </w:tcBorders>
            <w:shd w:val="clear" w:color="auto" w:fill="C6ECCC"/>
          </w:tcPr>
          <w:p>
            <w:pPr/>
          </w:p>
        </w:tc>
        <w:tc>
          <w:tcPr>
            <w:tcW w:w="1095" w:type="dxa"/>
            <w:tcBorders>
              <w:top w:val="nil" w:sz="6" w:space="0" w:color="auto"/>
              <w:left w:val="single" w:sz="4" w:space="0" w:color="000000"/>
              <w:bottom w:val="single" w:sz="4" w:space="0" w:color="000000"/>
              <w:right w:val="single" w:sz="4" w:space="0" w:color="000000"/>
            </w:tcBorders>
            <w:shd w:val="clear" w:color="auto" w:fill="C6ECCC"/>
          </w:tcPr>
          <w:p>
            <w:pPr/>
          </w:p>
        </w:tc>
        <w:tc>
          <w:tcPr>
            <w:tcW w:w="888" w:type="dxa"/>
            <w:vMerge/>
            <w:tcBorders>
              <w:left w:val="single" w:sz="10" w:space="0" w:color="C6ECCC"/>
              <w:bottom w:val="single" w:sz="4" w:space="0" w:color="000000"/>
              <w:right w:val="single" w:sz="10" w:space="0" w:color="C6ECCC"/>
            </w:tcBorders>
          </w:tcPr>
          <w:p>
            <w:pPr/>
          </w:p>
        </w:tc>
        <w:tc>
          <w:tcPr>
            <w:tcW w:w="1800" w:type="dxa"/>
            <w:tcBorders>
              <w:top w:val="nil" w:sz="6" w:space="0" w:color="auto"/>
              <w:left w:val="single" w:sz="4" w:space="0" w:color="000000"/>
              <w:bottom w:val="single" w:sz="4" w:space="0" w:color="000000"/>
              <w:right w:val="single" w:sz="4" w:space="0" w:color="000000"/>
            </w:tcBorders>
            <w:shd w:val="clear" w:color="auto" w:fill="C6ECCC"/>
          </w:tcPr>
          <w:p>
            <w:pPr/>
          </w:p>
        </w:tc>
        <w:tc>
          <w:tcPr>
            <w:tcW w:w="1801" w:type="dxa"/>
            <w:tcBorders>
              <w:top w:val="nil" w:sz="6" w:space="0" w:color="auto"/>
              <w:left w:val="single" w:sz="4" w:space="0" w:color="000000"/>
              <w:bottom w:val="single" w:sz="4" w:space="0" w:color="000000"/>
              <w:right w:val="single" w:sz="4" w:space="0" w:color="000000"/>
            </w:tcBorders>
            <w:shd w:val="clear" w:color="auto" w:fill="C6ECCC"/>
          </w:tcPr>
          <w:p>
            <w:pPr/>
          </w:p>
        </w:tc>
        <w:tc>
          <w:tcPr>
            <w:tcW w:w="1802"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156" w:hRule="exact"/>
        </w:trPr>
        <w:tc>
          <w:tcPr>
            <w:tcW w:w="2181" w:type="dxa"/>
            <w:vMerge w:val="restart"/>
            <w:tcBorders>
              <w:top w:val="single" w:sz="4" w:space="0" w:color="000000"/>
              <w:left w:val="single" w:sz="4" w:space="0" w:color="000000"/>
              <w:right w:val="single" w:sz="9" w:space="0" w:color="C6ECCC"/>
            </w:tcBorders>
            <w:shd w:val="clear" w:color="auto" w:fill="D2D2D2"/>
          </w:tcPr>
          <w:p>
            <w:pPr>
              <w:pStyle w:val="TableParagraph"/>
              <w:spacing w:line="314" w:lineRule="auto" w:before="44"/>
              <w:ind w:left="22" w:right="13"/>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6" w:type="dxa"/>
            <w:gridSpan w:val="5"/>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1" w:hRule="exact"/>
        </w:trPr>
        <w:tc>
          <w:tcPr>
            <w:tcW w:w="2181" w:type="dxa"/>
            <w:vMerge/>
            <w:tcBorders>
              <w:left w:val="single" w:sz="4" w:space="0" w:color="000000"/>
              <w:right w:val="single" w:sz="9" w:space="0" w:color="C6ECCC"/>
            </w:tcBorders>
            <w:shd w:val="clear" w:color="auto" w:fill="D2D2D2"/>
          </w:tcPr>
          <w:p>
            <w:pPr/>
          </w:p>
        </w:tc>
        <w:tc>
          <w:tcPr>
            <w:tcW w:w="7386" w:type="dxa"/>
            <w:gridSpan w:val="5"/>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181" w:type="dxa"/>
            <w:vMerge/>
            <w:tcBorders>
              <w:left w:val="single" w:sz="4" w:space="0" w:color="000000"/>
              <w:bottom w:val="single" w:sz="4" w:space="0" w:color="000000"/>
              <w:right w:val="single" w:sz="9" w:space="0" w:color="C6ECCC"/>
            </w:tcBorders>
            <w:shd w:val="clear" w:color="auto" w:fill="D2D2D2"/>
          </w:tcPr>
          <w:p>
            <w:pPr/>
          </w:p>
        </w:tc>
        <w:tc>
          <w:tcPr>
            <w:tcW w:w="7386" w:type="dxa"/>
            <w:gridSpan w:val="5"/>
            <w:tcBorders>
              <w:top w:val="nil" w:sz="6" w:space="0" w:color="auto"/>
              <w:left w:val="single" w:sz="4" w:space="0" w:color="000000"/>
              <w:bottom w:val="single" w:sz="4" w:space="0" w:color="000000"/>
              <w:right w:val="single" w:sz="4" w:space="0" w:color="000000"/>
            </w:tcBorders>
            <w:shd w:val="clear" w:color="auto" w:fill="C6ECCC"/>
          </w:tcPr>
          <w:p>
            <w:pPr/>
          </w:p>
        </w:tc>
      </w:tr>
      <w:tr>
        <w:trPr>
          <w:trHeight w:val="317" w:hRule="exact"/>
        </w:trPr>
        <w:tc>
          <w:tcPr>
            <w:tcW w:w="2181" w:type="dxa"/>
            <w:vMerge w:val="restart"/>
            <w:tcBorders>
              <w:top w:val="single" w:sz="4" w:space="0" w:color="000000"/>
              <w:left w:val="single" w:sz="4" w:space="0" w:color="000000"/>
              <w:right w:val="single" w:sz="9" w:space="0" w:color="C6ECCC"/>
            </w:tcBorders>
            <w:shd w:val="clear" w:color="auto" w:fill="D2D2D2"/>
          </w:tcPr>
          <w:p>
            <w:pPr>
              <w:pStyle w:val="TableParagraph"/>
              <w:spacing w:line="316" w:lineRule="auto" w:before="49"/>
              <w:ind w:left="22" w:right="160"/>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86" w:type="dxa"/>
            <w:gridSpan w:val="5"/>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1" w:hRule="exact"/>
        </w:trPr>
        <w:tc>
          <w:tcPr>
            <w:tcW w:w="2181" w:type="dxa"/>
            <w:vMerge/>
            <w:tcBorders>
              <w:left w:val="single" w:sz="4" w:space="0" w:color="000000"/>
              <w:right w:val="single" w:sz="9" w:space="0" w:color="C6ECCC"/>
            </w:tcBorders>
            <w:shd w:val="clear" w:color="auto" w:fill="D2D2D2"/>
          </w:tcPr>
          <w:p>
            <w:pPr/>
          </w:p>
        </w:tc>
        <w:tc>
          <w:tcPr>
            <w:tcW w:w="7386" w:type="dxa"/>
            <w:gridSpan w:val="5"/>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8" w:hRule="exact"/>
        </w:trPr>
        <w:tc>
          <w:tcPr>
            <w:tcW w:w="2181" w:type="dxa"/>
            <w:vMerge/>
            <w:tcBorders>
              <w:left w:val="single" w:sz="4" w:space="0" w:color="000000"/>
              <w:bottom w:val="single" w:sz="4" w:space="0" w:color="000000"/>
              <w:right w:val="single" w:sz="9" w:space="0" w:color="C6ECCC"/>
            </w:tcBorders>
            <w:shd w:val="clear" w:color="auto" w:fill="D2D2D2"/>
          </w:tcPr>
          <w:p>
            <w:pPr/>
          </w:p>
        </w:tc>
        <w:tc>
          <w:tcPr>
            <w:tcW w:w="7386" w:type="dxa"/>
            <w:gridSpan w:val="5"/>
            <w:tcBorders>
              <w:top w:val="nil" w:sz="6" w:space="0" w:color="auto"/>
              <w:left w:val="single" w:sz="4" w:space="0" w:color="000000"/>
              <w:bottom w:val="single" w:sz="4" w:space="0" w:color="000000"/>
              <w:right w:val="single" w:sz="4" w:space="0" w:color="000000"/>
            </w:tcBorders>
            <w:shd w:val="clear" w:color="auto" w:fill="C6ECCC"/>
          </w:tcPr>
          <w:p>
            <w:pPr/>
          </w:p>
        </w:tc>
      </w:tr>
    </w:tbl>
    <w:p>
      <w:pPr>
        <w:pStyle w:val="BodyText"/>
        <w:spacing w:line="240" w:lineRule="auto" w:before="50"/>
        <w:ind w:right="982"/>
        <w:jc w:val="left"/>
      </w:pPr>
      <w:r>
        <w:rPr/>
        <w:t>报告期实际控制人变更</w:t>
      </w:r>
    </w:p>
    <w:p>
      <w:pPr>
        <w:pStyle w:val="BodyText"/>
        <w:spacing w:line="360" w:lineRule="auto" w:before="115"/>
        <w:ind w:right="6794"/>
        <w:jc w:val="left"/>
      </w:pPr>
      <w:r>
        <w:rPr/>
        <w:t>□ 适用 √</w:t>
      </w:r>
      <w:r>
        <w:rPr>
          <w:spacing w:val="3"/>
        </w:rPr>
        <w:t> </w:t>
      </w:r>
      <w:r>
        <w:rPr/>
        <w:t>不适用</w:t>
      </w:r>
      <w:r>
        <w:rPr/>
        <w:t> 公司与实际控制人之间的产权及控制关系的方框图</w:t>
      </w:r>
    </w:p>
    <w:p>
      <w:pPr>
        <w:spacing w:line="240" w:lineRule="auto" w:before="10"/>
        <w:rPr>
          <w:rFonts w:ascii="宋体" w:hAnsi="宋体" w:cs="宋体" w:eastAsia="宋体" w:hint="default"/>
          <w:sz w:val="17"/>
          <w:szCs w:val="17"/>
        </w:rPr>
      </w:pPr>
    </w:p>
    <w:p>
      <w:pPr>
        <w:spacing w:line="6772" w:lineRule="exact"/>
        <w:ind w:left="162" w:right="0" w:firstLine="0"/>
        <w:rPr>
          <w:rFonts w:ascii="宋体" w:hAnsi="宋体" w:cs="宋体" w:eastAsia="宋体" w:hint="default"/>
          <w:sz w:val="20"/>
          <w:szCs w:val="20"/>
        </w:rPr>
      </w:pPr>
      <w:r>
        <w:rPr>
          <w:rFonts w:ascii="宋体" w:hAnsi="宋体" w:cs="宋体" w:eastAsia="宋体" w:hint="default"/>
          <w:position w:val="-134"/>
          <w:sz w:val="20"/>
          <w:szCs w:val="20"/>
        </w:rPr>
        <w:drawing>
          <wp:inline distT="0" distB="0" distL="0" distR="0">
            <wp:extent cx="6123522" cy="4300537"/>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31" cstate="print"/>
                    <a:stretch>
                      <a:fillRect/>
                    </a:stretch>
                  </pic:blipFill>
                  <pic:spPr>
                    <a:xfrm>
                      <a:off x="0" y="0"/>
                      <a:ext cx="6123522" cy="4300537"/>
                    </a:xfrm>
                    <a:prstGeom prst="rect">
                      <a:avLst/>
                    </a:prstGeom>
                  </pic:spPr>
                </pic:pic>
              </a:graphicData>
            </a:graphic>
          </wp:inline>
        </w:drawing>
      </w:r>
      <w:r>
        <w:rPr>
          <w:rFonts w:ascii="宋体" w:hAnsi="宋体" w:cs="宋体" w:eastAsia="宋体" w:hint="default"/>
          <w:position w:val="-134"/>
          <w:sz w:val="20"/>
          <w:szCs w:val="20"/>
        </w:rPr>
      </w:r>
    </w:p>
    <w:p>
      <w:pPr>
        <w:spacing w:line="240" w:lineRule="auto" w:before="13"/>
        <w:rPr>
          <w:rFonts w:ascii="宋体" w:hAnsi="宋体" w:cs="宋体" w:eastAsia="宋体" w:hint="default"/>
          <w:sz w:val="18"/>
          <w:szCs w:val="18"/>
        </w:rPr>
      </w:pPr>
    </w:p>
    <w:p>
      <w:pPr>
        <w:pStyle w:val="BodyText"/>
        <w:spacing w:line="240" w:lineRule="auto"/>
        <w:ind w:right="982"/>
        <w:jc w:val="left"/>
      </w:pPr>
      <w:r>
        <w:rPr/>
        <w:t>实际控制人通过信托或其他资产管理方式控制公司</w:t>
      </w:r>
    </w:p>
    <w:p>
      <w:pPr>
        <w:spacing w:line="240" w:lineRule="auto" w:before="1"/>
        <w:rPr>
          <w:rFonts w:ascii="宋体" w:hAnsi="宋体" w:cs="宋体" w:eastAsia="宋体" w:hint="default"/>
          <w:sz w:val="21"/>
          <w:szCs w:val="21"/>
        </w:rPr>
      </w:pPr>
    </w:p>
    <w:p>
      <w:pPr>
        <w:pStyle w:val="BodyText"/>
        <w:spacing w:line="240" w:lineRule="auto"/>
        <w:ind w:right="98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81"/>
        <w:gridCol w:w="1095"/>
        <w:gridCol w:w="888"/>
        <w:gridCol w:w="1800"/>
        <w:gridCol w:w="1801"/>
        <w:gridCol w:w="1802"/>
      </w:tblGrid>
      <w:tr>
        <w:trPr>
          <w:trHeight w:val="715"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46"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0" w:right="83" w:hanging="632"/>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bl>
    <w:p>
      <w:pPr>
        <w:spacing w:after="0" w:line="316"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982"/>
        <w:jc w:val="left"/>
        <w:rPr>
          <w:b w:val="0"/>
          <w:bCs w:val="0"/>
        </w:rPr>
      </w:pPr>
      <w:r>
        <w:rPr/>
        <w:t>四、公司股东及其一致行动人在报告期提出或实施股份增持计划的情况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318" w:right="21" w:hanging="29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 动人姓名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0" w:right="46"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33" w:right="48" w:hanging="286"/>
              <w:jc w:val="left"/>
              <w:rPr>
                <w:rFonts w:ascii="宋体" w:hAnsi="宋体" w:cs="宋体" w:eastAsia="宋体" w:hint="default"/>
                <w:sz w:val="18"/>
                <w:szCs w:val="18"/>
              </w:rPr>
            </w:pPr>
            <w:r>
              <w:rPr>
                <w:rFonts w:ascii="宋体" w:hAnsi="宋体" w:cs="宋体" w:eastAsia="宋体" w:hint="default"/>
                <w:sz w:val="18"/>
                <w:szCs w:val="18"/>
              </w:rPr>
              <w:t>计划增持股份比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46"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33" w:right="48" w:hanging="286"/>
              <w:jc w:val="left"/>
              <w:rPr>
                <w:rFonts w:ascii="宋体" w:hAnsi="宋体" w:cs="宋体" w:eastAsia="宋体" w:hint="default"/>
                <w:sz w:val="18"/>
                <w:szCs w:val="18"/>
              </w:rPr>
            </w:pPr>
            <w:r>
              <w:rPr>
                <w:rFonts w:ascii="宋体" w:hAnsi="宋体" w:cs="宋体" w:eastAsia="宋体" w:hint="default"/>
                <w:sz w:val="18"/>
                <w:szCs w:val="18"/>
              </w:rPr>
              <w:t>实际增持股份比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6" w:right="48"/>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bl>
    <w:p>
      <w:pPr>
        <w:pStyle w:val="BodyText"/>
        <w:spacing w:line="240" w:lineRule="auto" w:before="49"/>
        <w:ind w:right="982"/>
        <w:jc w:val="left"/>
      </w:pPr>
      <w:r>
        <w:rPr/>
        <w:t>其他情况说明</w:t>
      </w:r>
    </w:p>
    <w:p>
      <w:pPr>
        <w:spacing w:after="0" w:line="240"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982"/>
        <w:jc w:val="left"/>
        <w:rPr>
          <w:b w:val="0"/>
          <w:bCs w:val="0"/>
        </w:rPr>
      </w:pPr>
      <w:bookmarkStart w:name="_TOC_250004"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82"/>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871"/>
        <w:gridCol w:w="869"/>
        <w:gridCol w:w="872"/>
        <w:gridCol w:w="869"/>
        <w:gridCol w:w="871"/>
      </w:tblGrid>
      <w:tr>
        <w:trPr>
          <w:trHeight w:val="102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8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line="240" w:lineRule="auto" w:before="1"/>
        <w:rPr>
          <w:rFonts w:ascii="宋体" w:hAnsi="宋体" w:cs="宋体" w:eastAsia="宋体" w:hint="default"/>
          <w:b/>
          <w:bCs/>
          <w:sz w:val="18"/>
          <w:szCs w:val="18"/>
        </w:rPr>
      </w:pPr>
    </w:p>
    <w:p>
      <w:pPr>
        <w:pStyle w:val="Heading2"/>
        <w:spacing w:line="240" w:lineRule="auto" w:before="26"/>
        <w:ind w:right="982"/>
        <w:jc w:val="left"/>
        <w:rPr>
          <w:b w:val="0"/>
          <w:bCs w:val="0"/>
        </w:rPr>
      </w:pPr>
      <w:r>
        <w:rPr/>
        <w:t>二、任职情况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441" w:right="5695" w:hanging="289"/>
        <w:jc w:val="left"/>
      </w:pPr>
      <w:r>
        <w:rPr/>
        <w:t>公司现任董事、监事、高级管理人员最近</w:t>
      </w:r>
      <w:r>
        <w:rPr>
          <w:spacing w:val="-45"/>
        </w:rPr>
        <w:t> </w:t>
      </w:r>
      <w:r>
        <w:rPr>
          <w:rFonts w:ascii="Times New Roman" w:hAnsi="Times New Roman" w:cs="Times New Roman" w:eastAsia="Times New Roman" w:hint="default"/>
        </w:rPr>
        <w:t>5 </w:t>
      </w:r>
      <w:r>
        <w:rPr/>
        <w:t>年的主要工作经历 公司现任董事、监事、高级管理人员最近</w:t>
      </w:r>
      <w:r>
        <w:rPr>
          <w:rFonts w:ascii="Times New Roman" w:hAnsi="Times New Roman" w:cs="Times New Roman" w:eastAsia="Times New Roman" w:hint="default"/>
        </w:rPr>
        <w:t>5</w:t>
      </w:r>
      <w:r>
        <w:rPr/>
        <w:t>年的主要工作经历</w:t>
      </w:r>
    </w:p>
    <w:p>
      <w:pPr>
        <w:pStyle w:val="BodyText"/>
        <w:spacing w:line="338" w:lineRule="auto" w:before="20"/>
        <w:ind w:left="513" w:right="1123" w:firstLine="144"/>
        <w:jc w:val="left"/>
      </w:pPr>
      <w:r>
        <w:rPr>
          <w:rFonts w:ascii="Times New Roman" w:hAnsi="Times New Roman" w:cs="Times New Roman" w:eastAsia="Times New Roman" w:hint="default"/>
        </w:rPr>
        <w:t>1</w:t>
      </w:r>
      <w:r>
        <w:rPr/>
        <w:t>、董事情况 汤彰明先生，</w:t>
      </w:r>
      <w:r>
        <w:rPr>
          <w:rFonts w:ascii="Times New Roman" w:hAnsi="Times New Roman" w:cs="Times New Roman" w:eastAsia="Times New Roman" w:hint="default"/>
        </w:rPr>
        <w:t>1957</w:t>
      </w:r>
      <w:r>
        <w:rPr/>
        <w:t>年</w:t>
      </w:r>
      <w:r>
        <w:rPr>
          <w:rFonts w:ascii="Times New Roman" w:hAnsi="Times New Roman" w:cs="Times New Roman" w:eastAsia="Times New Roman" w:hint="default"/>
        </w:rPr>
        <w:t>1</w:t>
      </w:r>
      <w:r>
        <w:rPr/>
        <w:t>月出生，中共党员，研究生学历，高级经济师。任石家庄常山纺织集团有限责任公司董事长，本</w:t>
      </w:r>
    </w:p>
    <w:p>
      <w:pPr>
        <w:pStyle w:val="BodyText"/>
        <w:spacing w:line="217" w:lineRule="exact"/>
        <w:ind w:right="982"/>
        <w:jc w:val="left"/>
      </w:pPr>
      <w:r>
        <w:rPr/>
        <w:t>公司董事长，石家庄常山恒新纺织有限公司董事长。</w:t>
      </w:r>
    </w:p>
    <w:p>
      <w:pPr>
        <w:pStyle w:val="BodyText"/>
        <w:spacing w:line="300" w:lineRule="auto" w:before="117"/>
        <w:ind w:right="1135" w:firstLine="360"/>
        <w:jc w:val="both"/>
      </w:pPr>
      <w:r>
        <w:rPr/>
        <w:t>李京朝先生，</w:t>
      </w:r>
      <w:r>
        <w:rPr>
          <w:rFonts w:ascii="Times New Roman" w:hAnsi="Times New Roman" w:cs="Times New Roman" w:eastAsia="Times New Roman" w:hint="default"/>
        </w:rPr>
        <w:t>1956</w:t>
      </w:r>
      <w:r>
        <w:rPr/>
        <w:t>年</w:t>
      </w:r>
      <w:r>
        <w:rPr>
          <w:rFonts w:ascii="Times New Roman" w:hAnsi="Times New Roman" w:cs="Times New Roman" w:eastAsia="Times New Roman" w:hint="default"/>
        </w:rPr>
        <w:t>1</w:t>
      </w:r>
      <w:r>
        <w:rPr/>
        <w:t>月出生，中共党员，大专文化，经济师。曾任本公司董事会秘书、副董事长。现任本公司副董事 长，石家庄常山恒新纺织有限公司董事。</w:t>
      </w:r>
    </w:p>
    <w:p>
      <w:pPr>
        <w:pStyle w:val="BodyText"/>
        <w:spacing w:line="309" w:lineRule="auto" w:before="72"/>
        <w:ind w:right="1133" w:firstLine="360"/>
        <w:jc w:val="both"/>
      </w:pPr>
      <w:r>
        <w:rPr/>
        <w:t>肖荣智先生，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4</w:t>
      </w:r>
      <w:r>
        <w:rPr/>
        <w:t>月出生，中共党员，研究生学历，高级会计师。曾任石家庄纺织集团有限责任公司董事，本公司 </w:t>
      </w:r>
      <w:r>
        <w:rPr>
          <w:spacing w:val="-2"/>
        </w:rPr>
        <w:t>董事、总经理。现任石家庄纺织集团有限责任公司董事，本公司副董事长、总经理，石家庄常山恒新纺织有限公司董事，上</w:t>
      </w:r>
      <w:r>
        <w:rPr>
          <w:spacing w:val="-68"/>
        </w:rPr>
        <w:t> </w:t>
      </w:r>
      <w:r>
        <w:rPr>
          <w:spacing w:val="-68"/>
        </w:rPr>
      </w:r>
      <w:r>
        <w:rPr/>
        <w:t>海常纺恒友国际贸易有限公司、石家庄常山恒荣进出口贸易有限公司执行董事。</w:t>
      </w:r>
    </w:p>
    <w:p>
      <w:pPr>
        <w:pStyle w:val="BodyText"/>
        <w:spacing w:line="300" w:lineRule="auto" w:before="62"/>
        <w:ind w:right="1129" w:firstLine="360"/>
        <w:jc w:val="both"/>
      </w:pPr>
      <w:r>
        <w:rPr>
          <w:spacing w:val="-2"/>
        </w:rPr>
        <w:t>薛建昌先生，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10</w:t>
      </w:r>
      <w:r>
        <w:rPr>
          <w:spacing w:val="-2"/>
        </w:rPr>
        <w:t>月出生，中共党员，大学文化，高级工程师。任本公司董事、副总经理、总工程师，石家庄常山</w:t>
      </w:r>
      <w:r>
        <w:rPr/>
        <w:t> 恒新纺织有限公司董事、总经理。</w:t>
      </w:r>
    </w:p>
    <w:p>
      <w:pPr>
        <w:pStyle w:val="BodyText"/>
        <w:spacing w:line="300" w:lineRule="auto" w:before="72"/>
        <w:ind w:right="1135" w:firstLine="360"/>
        <w:jc w:val="both"/>
      </w:pPr>
      <w:r>
        <w:rPr>
          <w:spacing w:val="-2"/>
        </w:rPr>
        <w:t>马晓峰先生，</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10</w:t>
      </w:r>
      <w:r>
        <w:rPr>
          <w:spacing w:val="-2"/>
        </w:rPr>
        <w:t>月出生，中共党员，大学文化，高级工程师。曾任本公司董事、棉二分公司经理，现任本公司董</w:t>
      </w:r>
      <w:r>
        <w:rPr/>
        <w:t> 事、副总经理、棉二分公司经理。</w:t>
      </w:r>
    </w:p>
    <w:p>
      <w:pPr>
        <w:pStyle w:val="BodyText"/>
        <w:spacing w:line="309" w:lineRule="auto" w:before="72"/>
        <w:ind w:right="1131" w:firstLine="360"/>
        <w:jc w:val="both"/>
      </w:pPr>
      <w:r>
        <w:rPr>
          <w:spacing w:val="-2"/>
        </w:rPr>
        <w:t>王惠君先生，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12</w:t>
      </w:r>
      <w:r>
        <w:rPr>
          <w:spacing w:val="-2"/>
        </w:rPr>
        <w:t>月出生，中共党员，本科学历。曾任石家庄常山纺织集团有限责任公司董事、副总裁，石家庄常</w:t>
      </w:r>
      <w:r>
        <w:rPr/>
        <w:t> </w:t>
      </w:r>
      <w:r>
        <w:rPr>
          <w:spacing w:val="-2"/>
        </w:rPr>
        <w:t>山纺织集团经编实业有限公司董事长，现任石家庄常山纺织集团有限责任公司副董事长、副总裁，本公司董事，石家庄常山</w:t>
      </w:r>
      <w:r>
        <w:rPr>
          <w:spacing w:val="-64"/>
        </w:rPr>
        <w:t> </w:t>
      </w:r>
      <w:r>
        <w:rPr>
          <w:spacing w:val="-64"/>
        </w:rPr>
      </w:r>
      <w:r>
        <w:rPr/>
        <w:t>纺织集团经编实业有限公司董事长。</w:t>
      </w:r>
    </w:p>
    <w:p>
      <w:pPr>
        <w:pStyle w:val="BodyText"/>
        <w:spacing w:line="300" w:lineRule="auto" w:before="62"/>
        <w:ind w:right="1133" w:firstLine="360"/>
        <w:jc w:val="both"/>
      </w:pPr>
      <w:r>
        <w:rPr/>
        <w:t>贾路桥先生，</w:t>
      </w:r>
      <w:r>
        <w:rPr>
          <w:rFonts w:ascii="Times New Roman" w:hAnsi="Times New Roman" w:cs="Times New Roman" w:eastAsia="Times New Roman" w:hint="default"/>
        </w:rPr>
        <w:t>1939</w:t>
      </w:r>
      <w:r>
        <w:rPr/>
        <w:t>年</w:t>
      </w:r>
      <w:r>
        <w:rPr>
          <w:rFonts w:ascii="Times New Roman" w:hAnsi="Times New Roman" w:cs="Times New Roman" w:eastAsia="Times New Roman" w:hint="default"/>
        </w:rPr>
        <w:t>9</w:t>
      </w:r>
      <w:r>
        <w:rPr/>
        <w:t>月出生，中共党员，本科学历，经济学教授。现任中国纺织科学研究院顾问，际华集团股份有限 公司和黑牡丹（集团）股份有限公司独立非执行董事，本公司独立董事。</w:t>
      </w:r>
    </w:p>
    <w:p>
      <w:pPr>
        <w:pStyle w:val="BodyText"/>
        <w:spacing w:line="309" w:lineRule="auto" w:before="72"/>
        <w:ind w:right="1131" w:firstLine="360"/>
        <w:jc w:val="both"/>
      </w:pPr>
      <w:r>
        <w:rPr/>
        <w:t>李万军先生，</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2</w:t>
      </w:r>
      <w:r>
        <w:rPr/>
        <w:t>月出生，中共党员，管理学硕士，高级会计师、注册会计师、注册税务师。曾先后就职于工商银 </w:t>
      </w:r>
      <w:r>
        <w:rPr>
          <w:spacing w:val="-2"/>
        </w:rPr>
        <w:t>行石家庄桥西办会计科，中共河北省委党史办，河北财达证券财务科。现任河北省注册会计师协会副秘书长，沧州明珠塑料</w:t>
      </w:r>
      <w:r>
        <w:rPr>
          <w:spacing w:val="-65"/>
        </w:rPr>
        <w:t> </w:t>
      </w:r>
      <w:r>
        <w:rPr>
          <w:spacing w:val="-65"/>
        </w:rPr>
      </w:r>
      <w:r>
        <w:rPr/>
        <w:t>股份有限公司独立董事，石家庄东方热电股份有限公司独立董事，本公司独立董事。</w:t>
      </w:r>
    </w:p>
    <w:p>
      <w:pPr>
        <w:pStyle w:val="BodyText"/>
        <w:spacing w:line="309" w:lineRule="auto" w:before="65"/>
        <w:ind w:right="1133" w:firstLine="360"/>
        <w:jc w:val="both"/>
      </w:pPr>
      <w:r>
        <w:rPr/>
        <w:t>朱北娜女士，</w:t>
      </w:r>
      <w:r>
        <w:rPr>
          <w:rFonts w:ascii="Times New Roman" w:hAnsi="Times New Roman" w:cs="Times New Roman" w:eastAsia="Times New Roman" w:hint="default"/>
        </w:rPr>
        <w:t>1958</w:t>
      </w:r>
      <w:r>
        <w:rPr/>
        <w:t>年</w:t>
      </w:r>
      <w:r>
        <w:rPr>
          <w:rFonts w:ascii="Times New Roman" w:hAnsi="Times New Roman" w:cs="Times New Roman" w:eastAsia="Times New Roman" w:hint="default"/>
        </w:rPr>
        <w:t>6</w:t>
      </w:r>
      <w:r>
        <w:rPr/>
        <w:t>月出生，中共党员，本科学历，教授级高级工程师。曾任纺织工业部、纺织总会教育司（部）主 </w:t>
      </w:r>
      <w:r>
        <w:rPr>
          <w:spacing w:val="-2"/>
        </w:rPr>
        <w:t>任科员、副处长，中国棉纺织行业协会副秘书长、秘书长、副会长。现任中国棉纺织行业协会会长，河南新野纺织股份有限</w:t>
      </w:r>
      <w:r>
        <w:rPr>
          <w:spacing w:val="-68"/>
        </w:rPr>
        <w:t> </w:t>
      </w:r>
      <w:r>
        <w:rPr>
          <w:spacing w:val="-68"/>
        </w:rPr>
      </w:r>
      <w:r>
        <w:rPr/>
        <w:t>公司独立董事，本公司独立董事。</w:t>
      </w:r>
    </w:p>
    <w:p>
      <w:pPr>
        <w:pStyle w:val="BodyText"/>
        <w:spacing w:line="240" w:lineRule="auto" w:before="62"/>
        <w:ind w:left="657" w:right="982"/>
        <w:jc w:val="left"/>
      </w:pPr>
      <w:r>
        <w:rPr>
          <w:rFonts w:ascii="Times New Roman" w:hAnsi="Times New Roman" w:cs="Times New Roman" w:eastAsia="Times New Roman" w:hint="default"/>
        </w:rPr>
        <w:t>2</w:t>
      </w:r>
      <w:r>
        <w:rPr/>
        <w:t>、监事</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982" w:firstLine="360"/>
        <w:jc w:val="left"/>
      </w:pPr>
      <w:r>
        <w:rPr>
          <w:spacing w:val="-2"/>
        </w:rPr>
        <w:t>邵光毅先生，</w:t>
      </w:r>
      <w:r>
        <w:rPr>
          <w:rFonts w:ascii="Times New Roman" w:hAnsi="Times New Roman" w:cs="Times New Roman" w:eastAsia="Times New Roman" w:hint="default"/>
          <w:spacing w:val="-2"/>
        </w:rPr>
        <w:t>1959</w:t>
      </w:r>
      <w:r>
        <w:rPr>
          <w:spacing w:val="-2"/>
        </w:rPr>
        <w:t>年</w:t>
      </w:r>
      <w:r>
        <w:rPr>
          <w:rFonts w:ascii="Times New Roman" w:hAnsi="Times New Roman" w:cs="Times New Roman" w:eastAsia="Times New Roman" w:hint="default"/>
          <w:spacing w:val="-2"/>
        </w:rPr>
        <w:t>12</w:t>
      </w:r>
      <w:r>
        <w:rPr>
          <w:spacing w:val="-2"/>
        </w:rPr>
        <w:t>月出生，中共党员，大学文化，高级政工师。曾任本公司监事、党委工作部部长，现任本公司监</w:t>
      </w:r>
      <w:r>
        <w:rPr/>
        <w:t> 事会主席、党委工作部部长、石家庄常山赵州纺织有限公司监事会主席。</w:t>
      </w:r>
    </w:p>
    <w:p>
      <w:pPr>
        <w:pStyle w:val="BodyText"/>
        <w:spacing w:line="300" w:lineRule="auto" w:before="72"/>
        <w:ind w:right="1124" w:firstLine="360"/>
        <w:jc w:val="left"/>
      </w:pPr>
      <w:r>
        <w:rPr/>
        <w:t>高俊岐先生，</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4</w:t>
      </w:r>
      <w:r>
        <w:rPr/>
        <w:t>月出生，中共党员，大学文化，高级会计师。曾任本公司总会计师，现任石家庄常山纺织集团有 限责任公司总会计师、本公司监事。</w:t>
      </w:r>
    </w:p>
    <w:p>
      <w:pPr>
        <w:pStyle w:val="BodyText"/>
        <w:spacing w:line="300" w:lineRule="auto" w:before="70"/>
        <w:ind w:right="982" w:firstLine="360"/>
        <w:jc w:val="left"/>
      </w:pPr>
      <w:r>
        <w:rPr>
          <w:spacing w:val="-2"/>
        </w:rPr>
        <w:t>邓中斌先生，</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4</w:t>
      </w:r>
      <w:r>
        <w:rPr>
          <w:spacing w:val="-2"/>
        </w:rPr>
        <w:t>月出生，本科学历，助理工程师，中共党员。曾任棉四分公司经理助理、经理，现任本公司监事、</w:t>
      </w:r>
      <w:r>
        <w:rPr/>
        <w:t> 棉四分公司经理。</w:t>
      </w:r>
    </w:p>
    <w:p>
      <w:pPr>
        <w:pStyle w:val="BodyText"/>
        <w:spacing w:line="338" w:lineRule="auto" w:before="72"/>
        <w:ind w:left="513" w:right="1123" w:firstLine="144"/>
        <w:jc w:val="left"/>
      </w:pPr>
      <w:r>
        <w:rPr>
          <w:rFonts w:ascii="Times New Roman" w:hAnsi="Times New Roman" w:cs="Times New Roman" w:eastAsia="Times New Roman" w:hint="default"/>
        </w:rPr>
        <w:t>3</w:t>
      </w:r>
      <w:r>
        <w:rPr/>
        <w:t>、高级管理人员 胡海清先生，</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3</w:t>
      </w:r>
      <w:r>
        <w:rPr/>
        <w:t>月出生，中共党员，大专文化，经济师。任本公司副总经理，棉一分公司经理。 马韵杰先生，</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9</w:t>
      </w:r>
      <w:r>
        <w:rPr/>
        <w:t>月出生，中共党员，大学文化，经济师。任本公司副总经理。 刘辉先生，</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7</w:t>
      </w:r>
      <w:r>
        <w:rPr/>
        <w:t>月出生，中共党员，本科学历，高级工程师。曾任本公司总经理助理，现任本公司副总经理。 袁立峰先生，</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1</w:t>
      </w:r>
      <w:r>
        <w:rPr/>
        <w:t>月出生，中共党员，本科学历，高级工程师。曾任本公司总经理助理，生产技术部部长，现任本</w:t>
      </w:r>
    </w:p>
    <w:p>
      <w:pPr>
        <w:pStyle w:val="BodyText"/>
        <w:spacing w:line="217" w:lineRule="exact"/>
        <w:ind w:right="982"/>
        <w:jc w:val="left"/>
      </w:pPr>
      <w:r>
        <w:rPr/>
        <w:t>公司副总经理，生产技术部部长。</w:t>
      </w:r>
    </w:p>
    <w:p>
      <w:pPr>
        <w:pStyle w:val="BodyText"/>
        <w:spacing w:line="300" w:lineRule="auto" w:before="115"/>
        <w:ind w:right="982" w:firstLine="360"/>
        <w:jc w:val="left"/>
      </w:pPr>
      <w:r>
        <w:rPr>
          <w:spacing w:val="-2"/>
        </w:rPr>
        <w:t>赵英涛先生，</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10</w:t>
      </w:r>
      <w:r>
        <w:rPr>
          <w:spacing w:val="-2"/>
        </w:rPr>
        <w:t>月出生，中共党员，本科学历，会计师。曾任本公司财务部经理，副总会计师，现任本公司总会</w:t>
      </w:r>
      <w:r>
        <w:rPr/>
        <w:t> 计师。</w:t>
      </w:r>
    </w:p>
    <w:p>
      <w:pPr>
        <w:pStyle w:val="BodyText"/>
        <w:spacing w:line="300" w:lineRule="auto" w:before="72"/>
        <w:ind w:right="1124" w:firstLine="360"/>
        <w:jc w:val="left"/>
      </w:pPr>
      <w:r>
        <w:rPr/>
        <w:t>池俊平先生，</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5</w:t>
      </w:r>
      <w:r>
        <w:rPr/>
        <w:t>月出生，中共党员，本科学历。曾任本公司证券事务代表，董事会秘书，投资发展部部长，现任 本公司董事会秘书，投资发展部部长。</w:t>
      </w:r>
    </w:p>
    <w:p>
      <w:pPr>
        <w:pStyle w:val="BodyText"/>
        <w:spacing w:line="240" w:lineRule="auto" w:before="72"/>
        <w:ind w:right="982"/>
        <w:jc w:val="left"/>
      </w:pPr>
      <w:r>
        <w:rPr/>
        <w:t>在股东单位任职情况</w:t>
      </w:r>
    </w:p>
    <w:p>
      <w:pPr>
        <w:pStyle w:val="BodyText"/>
        <w:spacing w:line="240" w:lineRule="auto" w:before="115"/>
        <w:ind w:right="982"/>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14"/>
        <w:gridCol w:w="3178"/>
        <w:gridCol w:w="1053"/>
        <w:gridCol w:w="1577"/>
        <w:gridCol w:w="1330"/>
        <w:gridCol w:w="1370"/>
      </w:tblGrid>
      <w:tr>
        <w:trPr>
          <w:trHeight w:val="714" w:hRule="exact"/>
        </w:trPr>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5" w:right="65"/>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48"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31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77"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31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77"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31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77"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31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577"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31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577"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56" w:hRule="exact"/>
        </w:trPr>
        <w:tc>
          <w:tcPr>
            <w:tcW w:w="1214" w:type="dxa"/>
            <w:vMerge w:val="restart"/>
            <w:tcBorders>
              <w:top w:val="single" w:sz="4" w:space="0" w:color="000000"/>
              <w:left w:val="single" w:sz="4" w:space="0" w:color="000000"/>
              <w:right w:val="single" w:sz="10" w:space="0" w:color="C6ECCC"/>
            </w:tcBorders>
            <w:shd w:val="clear" w:color="auto" w:fill="D2D2D2"/>
          </w:tcPr>
          <w:p>
            <w:pPr>
              <w:pStyle w:val="TableParagraph"/>
              <w:spacing w:line="316" w:lineRule="auto" w:before="44"/>
              <w:ind w:left="24" w:right="90"/>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508" w:type="dxa"/>
            <w:gridSpan w:val="5"/>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1" w:hRule="exact"/>
        </w:trPr>
        <w:tc>
          <w:tcPr>
            <w:tcW w:w="1214" w:type="dxa"/>
            <w:vMerge/>
            <w:tcBorders>
              <w:left w:val="single" w:sz="4" w:space="0" w:color="000000"/>
              <w:right w:val="single" w:sz="10" w:space="0" w:color="C6ECCC"/>
            </w:tcBorders>
            <w:shd w:val="clear" w:color="auto" w:fill="D2D2D2"/>
          </w:tcPr>
          <w:p>
            <w:pPr/>
          </w:p>
        </w:tc>
        <w:tc>
          <w:tcPr>
            <w:tcW w:w="8508" w:type="dxa"/>
            <w:gridSpan w:val="5"/>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2" w:hRule="exact"/>
        </w:trPr>
        <w:tc>
          <w:tcPr>
            <w:tcW w:w="1214" w:type="dxa"/>
            <w:vMerge/>
            <w:tcBorders>
              <w:left w:val="single" w:sz="4" w:space="0" w:color="000000"/>
              <w:bottom w:val="single" w:sz="4" w:space="0" w:color="000000"/>
              <w:right w:val="single" w:sz="10" w:space="0" w:color="C6ECCC"/>
            </w:tcBorders>
            <w:shd w:val="clear" w:color="auto" w:fill="D2D2D2"/>
          </w:tcPr>
          <w:p>
            <w:pPr/>
          </w:p>
        </w:tc>
        <w:tc>
          <w:tcPr>
            <w:tcW w:w="8508" w:type="dxa"/>
            <w:gridSpan w:val="5"/>
            <w:tcBorders>
              <w:top w:val="nil" w:sz="6" w:space="0" w:color="auto"/>
              <w:left w:val="single" w:sz="4" w:space="0" w:color="000000"/>
              <w:bottom w:val="single" w:sz="4" w:space="0" w:color="000000"/>
              <w:right w:val="single" w:sz="4" w:space="0" w:color="000000"/>
            </w:tcBorders>
            <w:shd w:val="clear" w:color="auto" w:fill="C6ECCC"/>
          </w:tcPr>
          <w:p>
            <w:pPr/>
          </w:p>
        </w:tc>
      </w:tr>
    </w:tbl>
    <w:p>
      <w:pPr>
        <w:pStyle w:val="BodyText"/>
        <w:spacing w:line="240" w:lineRule="auto" w:before="50"/>
        <w:ind w:right="982"/>
        <w:jc w:val="left"/>
      </w:pPr>
      <w:r>
        <w:rPr/>
        <w:t>在其他单位任职情况</w:t>
      </w:r>
    </w:p>
    <w:p>
      <w:pPr>
        <w:pStyle w:val="BodyText"/>
        <w:spacing w:line="240" w:lineRule="auto" w:before="115"/>
        <w:ind w:right="982"/>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565"/>
        <w:gridCol w:w="1325"/>
        <w:gridCol w:w="1385"/>
      </w:tblGrid>
      <w:tr>
        <w:trPr>
          <w:trHeight w:val="708"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9"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李京朝</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贾路桥</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际华集团股份有限公司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独立非执行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205"/>
        <w:gridCol w:w="1040"/>
        <w:gridCol w:w="1577"/>
        <w:gridCol w:w="1325"/>
        <w:gridCol w:w="1385"/>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320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77" w:type="dxa"/>
            <w:tcBorders>
              <w:top w:val="single" w:sz="4" w:space="0" w:color="000000"/>
              <w:left w:val="single" w:sz="13" w:space="0" w:color="C6ECCC"/>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C6ECCC"/>
          </w:tcPr>
          <w:p>
            <w:pPr/>
          </w:p>
        </w:tc>
        <w:tc>
          <w:tcPr>
            <w:tcW w:w="3205" w:type="dxa"/>
            <w:tcBorders>
              <w:top w:val="single" w:sz="4" w:space="0" w:color="000000"/>
              <w:left w:val="single" w:sz="4" w:space="0" w:color="000000"/>
              <w:bottom w:val="nil" w:sz="6" w:space="0" w:color="auto"/>
              <w:right w:val="single" w:sz="4" w:space="0" w:color="000000"/>
            </w:tcBorders>
            <w:shd w:val="clear" w:color="auto" w:fill="C6ECCC"/>
          </w:tcPr>
          <w:p>
            <w:pPr/>
          </w:p>
        </w:tc>
        <w:tc>
          <w:tcPr>
            <w:tcW w:w="1040"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独立非执行 董事</w:t>
            </w:r>
          </w:p>
        </w:tc>
        <w:tc>
          <w:tcPr>
            <w:tcW w:w="1577" w:type="dxa"/>
            <w:vMerge w:val="restart"/>
            <w:tcBorders>
              <w:top w:val="single" w:sz="4" w:space="0" w:color="000000"/>
              <w:left w:val="single" w:sz="13" w:space="0" w:color="C6ECCC"/>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325" w:type="dxa"/>
            <w:vMerge w:val="restart"/>
            <w:tcBorders>
              <w:top w:val="single" w:sz="4" w:space="0" w:color="000000"/>
              <w:left w:val="single" w:sz="4" w:space="0" w:color="000000"/>
              <w:right w:val="single" w:sz="4" w:space="0" w:color="000000"/>
            </w:tcBorders>
          </w:tcPr>
          <w:p>
            <w:pP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20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贾路桥</w:t>
            </w:r>
          </w:p>
        </w:tc>
        <w:tc>
          <w:tcPr>
            <w:tcW w:w="320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黑牡丹（集团）股份有限公司</w:t>
            </w:r>
          </w:p>
        </w:tc>
        <w:tc>
          <w:tcPr>
            <w:tcW w:w="1040" w:type="dxa"/>
            <w:vMerge/>
            <w:tcBorders>
              <w:left w:val="single" w:sz="4" w:space="0" w:color="000000"/>
              <w:right w:val="single" w:sz="4" w:space="0" w:color="000000"/>
            </w:tcBorders>
            <w:shd w:val="clear" w:color="auto" w:fill="C6ECCC"/>
          </w:tcPr>
          <w:p>
            <w:pPr/>
          </w:p>
        </w:tc>
        <w:tc>
          <w:tcPr>
            <w:tcW w:w="1577" w:type="dxa"/>
            <w:vMerge/>
            <w:tcBorders>
              <w:left w:val="single" w:sz="13" w:space="0" w:color="C6ECCC"/>
              <w:right w:val="single" w:sz="4" w:space="0" w:color="000000"/>
            </w:tcBorders>
          </w:tcPr>
          <w:p>
            <w:pPr/>
          </w:p>
        </w:tc>
        <w:tc>
          <w:tcPr>
            <w:tcW w:w="1325" w:type="dxa"/>
            <w:vMerge/>
            <w:tcBorders>
              <w:left w:val="single" w:sz="4" w:space="0" w:color="000000"/>
              <w:right w:val="single" w:sz="4" w:space="0" w:color="000000"/>
            </w:tcBorders>
          </w:tcPr>
          <w:p>
            <w:pPr/>
          </w:p>
        </w:tc>
        <w:tc>
          <w:tcPr>
            <w:tcW w:w="1385"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C6ECCC"/>
          </w:tcPr>
          <w:p>
            <w:pPr/>
          </w:p>
        </w:tc>
        <w:tc>
          <w:tcPr>
            <w:tcW w:w="3205" w:type="dxa"/>
            <w:tcBorders>
              <w:top w:val="nil" w:sz="6" w:space="0" w:color="auto"/>
              <w:left w:val="single" w:sz="4" w:space="0" w:color="000000"/>
              <w:bottom w:val="single" w:sz="4" w:space="0" w:color="000000"/>
              <w:right w:val="single" w:sz="4" w:space="0" w:color="000000"/>
            </w:tcBorders>
            <w:shd w:val="clear" w:color="auto" w:fill="C6ECCC"/>
          </w:tcPr>
          <w:p>
            <w:pPr/>
          </w:p>
        </w:tc>
        <w:tc>
          <w:tcPr>
            <w:tcW w:w="1040" w:type="dxa"/>
            <w:vMerge/>
            <w:tcBorders>
              <w:left w:val="single" w:sz="4" w:space="0" w:color="000000"/>
              <w:bottom w:val="single" w:sz="4" w:space="0" w:color="000000"/>
              <w:right w:val="single" w:sz="4" w:space="0" w:color="000000"/>
            </w:tcBorders>
            <w:shd w:val="clear" w:color="auto" w:fill="C6ECCC"/>
          </w:tcPr>
          <w:p>
            <w:pPr/>
          </w:p>
        </w:tc>
        <w:tc>
          <w:tcPr>
            <w:tcW w:w="1577" w:type="dxa"/>
            <w:vMerge/>
            <w:tcBorders>
              <w:left w:val="single" w:sz="13" w:space="0" w:color="C6ECCC"/>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320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沧州明珠塑料股份有限公司</w:t>
            </w:r>
          </w:p>
        </w:tc>
        <w:tc>
          <w:tcPr>
            <w:tcW w:w="10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77"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320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石家庄东方热电股份有限公司</w:t>
            </w:r>
          </w:p>
        </w:tc>
        <w:tc>
          <w:tcPr>
            <w:tcW w:w="10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77"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朱北娜</w:t>
            </w:r>
          </w:p>
        </w:tc>
        <w:tc>
          <w:tcPr>
            <w:tcW w:w="320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河南新野纺织股份有限公司</w:t>
            </w:r>
          </w:p>
        </w:tc>
        <w:tc>
          <w:tcPr>
            <w:tcW w:w="10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77"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邵光毅</w:t>
            </w:r>
          </w:p>
        </w:tc>
        <w:tc>
          <w:tcPr>
            <w:tcW w:w="320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tc>
        <w:tc>
          <w:tcPr>
            <w:tcW w:w="10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77"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56" w:hRule="exact"/>
        </w:trPr>
        <w:tc>
          <w:tcPr>
            <w:tcW w:w="1200" w:type="dxa"/>
            <w:vMerge w:val="restart"/>
            <w:tcBorders>
              <w:top w:val="single" w:sz="4" w:space="0" w:color="000000"/>
              <w:left w:val="single" w:sz="4" w:space="0" w:color="000000"/>
              <w:right w:val="single" w:sz="10" w:space="0" w:color="C6ECCC"/>
            </w:tcBorders>
            <w:shd w:val="clear" w:color="auto" w:fill="D2D2D2"/>
          </w:tcPr>
          <w:p>
            <w:pPr>
              <w:pStyle w:val="TableParagraph"/>
              <w:spacing w:line="316" w:lineRule="auto" w:before="44"/>
              <w:ind w:left="24" w:right="7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531" w:type="dxa"/>
            <w:gridSpan w:val="5"/>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4" w:hRule="exact"/>
        </w:trPr>
        <w:tc>
          <w:tcPr>
            <w:tcW w:w="1200" w:type="dxa"/>
            <w:vMerge/>
            <w:tcBorders>
              <w:left w:val="single" w:sz="4" w:space="0" w:color="000000"/>
              <w:right w:val="single" w:sz="10" w:space="0" w:color="C6ECCC"/>
            </w:tcBorders>
            <w:shd w:val="clear" w:color="auto" w:fill="D2D2D2"/>
          </w:tcPr>
          <w:p>
            <w:pPr/>
          </w:p>
        </w:tc>
        <w:tc>
          <w:tcPr>
            <w:tcW w:w="8531" w:type="dxa"/>
            <w:gridSpan w:val="5"/>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200" w:type="dxa"/>
            <w:vMerge/>
            <w:tcBorders>
              <w:left w:val="single" w:sz="4" w:space="0" w:color="000000"/>
              <w:bottom w:val="single" w:sz="4" w:space="0" w:color="000000"/>
              <w:right w:val="single" w:sz="10" w:space="0" w:color="C6ECCC"/>
            </w:tcBorders>
            <w:shd w:val="clear" w:color="auto" w:fill="D2D2D2"/>
          </w:tcPr>
          <w:p>
            <w:pPr/>
          </w:p>
        </w:tc>
        <w:tc>
          <w:tcPr>
            <w:tcW w:w="8531" w:type="dxa"/>
            <w:gridSpan w:val="5"/>
            <w:tcBorders>
              <w:top w:val="nil" w:sz="6" w:space="0" w:color="auto"/>
              <w:left w:val="single" w:sz="4" w:space="0" w:color="000000"/>
              <w:bottom w:val="single" w:sz="4" w:space="0" w:color="000000"/>
              <w:right w:val="single" w:sz="4" w:space="0" w:color="000000"/>
            </w:tcBorders>
            <w:shd w:val="clear" w:color="auto" w:fill="C6ECCC"/>
          </w:tcPr>
          <w:p>
            <w:pPr/>
          </w:p>
        </w:tc>
      </w:tr>
    </w:tbl>
    <w:p>
      <w:pPr>
        <w:spacing w:line="240" w:lineRule="auto" w:before="1"/>
        <w:rPr>
          <w:rFonts w:ascii="宋体" w:hAnsi="宋体" w:cs="宋体" w:eastAsia="宋体" w:hint="default"/>
          <w:sz w:val="18"/>
          <w:szCs w:val="18"/>
        </w:rPr>
      </w:pPr>
    </w:p>
    <w:p>
      <w:pPr>
        <w:pStyle w:val="Heading2"/>
        <w:spacing w:line="240" w:lineRule="auto" w:before="26"/>
        <w:ind w:right="982"/>
        <w:jc w:val="left"/>
        <w:rPr>
          <w:b w:val="0"/>
          <w:bCs w:val="0"/>
        </w:rPr>
      </w:pPr>
      <w:r>
        <w:rPr/>
        <w:t>三、董事、监事、高级管理人员报酬情况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982"/>
        <w:jc w:val="left"/>
      </w:pPr>
      <w:r>
        <w:rPr/>
        <w:t>董事、监事、高级管理人员报酬的决策程序、确定依据、实际支付情况 </w:t>
      </w:r>
      <w:r>
        <w:rPr>
          <w:spacing w:val="-2"/>
        </w:rPr>
        <w:t>公司独立董事的津贴由董事会审议后，经股东大会批准执行；公司非独立董事、监事、高级管理人员报酬按《岗位绩效公司</w:t>
      </w:r>
      <w:r>
        <w:rPr>
          <w:spacing w:val="-65"/>
        </w:rPr>
        <w:t> </w:t>
      </w:r>
      <w:r>
        <w:rPr>
          <w:spacing w:val="-65"/>
        </w:rPr>
      </w:r>
      <w:r>
        <w:rPr>
          <w:spacing w:val="-2"/>
        </w:rPr>
        <w:t>制度实施细则》执行；公司非独立董事、监事、高级管理人员报酬按《岗位绩效公司制度实施细则》执行，按月发放，经年</w:t>
      </w:r>
    </w:p>
    <w:p>
      <w:pPr>
        <w:pStyle w:val="BodyText"/>
        <w:spacing w:line="360" w:lineRule="auto" w:before="2"/>
        <w:ind w:right="1214"/>
        <w:jc w:val="left"/>
      </w:pPr>
      <w:r>
        <w:rPr/>
        <w:t>度考核后发放年度薪酬。未在本公司任职的董事、监事未在本公司领取报酬，公司独立董事在本公司领取独立董事津贴。 公司报告期内董事、监事和高级管理人员报酬情况</w:t>
      </w:r>
    </w:p>
    <w:p>
      <w:pPr>
        <w:pStyle w:val="BodyText"/>
        <w:spacing w:line="240" w:lineRule="auto" w:before="27"/>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715"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邹晓珊</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李京朝</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715"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副董事长、总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w:t>
            </w:r>
          </w:p>
        </w:tc>
      </w:tr>
      <w:tr>
        <w:trPr>
          <w:trHeight w:val="713"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董事、副总经 理、总工程师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w:t>
            </w:r>
          </w:p>
        </w:tc>
      </w:tr>
      <w:tr>
        <w:trPr>
          <w:trHeight w:val="715"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马晓峰</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杨纪朝</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w:t>
            </w:r>
          </w:p>
        </w:tc>
      </w:tr>
      <w:tr>
        <w:trPr>
          <w:trHeight w:val="404"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贾路桥</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赵 </w:t>
            </w:r>
            <w:r>
              <w:rPr>
                <w:rFonts w:ascii="宋体" w:hAnsi="宋体" w:cs="宋体" w:eastAsia="宋体" w:hint="default"/>
                <w:spacing w:val="2"/>
                <w:sz w:val="18"/>
                <w:szCs w:val="18"/>
              </w:rPr>
              <w:t> </w:t>
            </w:r>
            <w:r>
              <w:rPr>
                <w:rFonts w:ascii="宋体" w:hAnsi="宋体" w:cs="宋体" w:eastAsia="宋体" w:hint="default"/>
                <w:sz w:val="18"/>
                <w:szCs w:val="18"/>
              </w:rPr>
              <w:t>凯</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王卫国</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w:t>
            </w:r>
            <w:r>
              <w:rPr>
                <w:rFonts w:ascii="宋体" w:hAnsi="宋体" w:cs="宋体" w:eastAsia="宋体" w:hint="default"/>
                <w:spacing w:val="1"/>
                <w:sz w:val="18"/>
                <w:szCs w:val="18"/>
              </w:rPr>
              <w:t> </w:t>
            </w:r>
            <w:r>
              <w:rPr>
                <w:rFonts w:ascii="宋体" w:hAnsi="宋体" w:cs="宋体" w:eastAsia="宋体" w:hint="default"/>
                <w:sz w:val="18"/>
                <w:szCs w:val="18"/>
              </w:rPr>
              <w:t>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邵光毅</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w:t>
            </w:r>
            <w:r>
              <w:rPr>
                <w:rFonts w:ascii="宋体" w:hAnsi="宋体" w:cs="宋体" w:eastAsia="宋体" w:hint="default"/>
                <w:spacing w:val="1"/>
                <w:sz w:val="18"/>
                <w:szCs w:val="18"/>
              </w:rPr>
              <w:t> </w:t>
            </w:r>
            <w:r>
              <w:rPr>
                <w:rFonts w:ascii="宋体" w:hAnsi="宋体" w:cs="宋体" w:eastAsia="宋体" w:hint="default"/>
                <w:sz w:val="18"/>
                <w:szCs w:val="18"/>
              </w:rPr>
              <w:t>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胡海清</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马韵杰</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5.1</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朱北娜</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邓中斌</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5.1</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袁立峰</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赵英涛</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93.55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11.84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105.39</w:t>
            </w:r>
          </w:p>
        </w:tc>
      </w:tr>
    </w:tbl>
    <w:p>
      <w:pPr>
        <w:pStyle w:val="BodyText"/>
        <w:spacing w:line="240" w:lineRule="auto" w:before="49"/>
        <w:ind w:right="982"/>
        <w:jc w:val="left"/>
      </w:pPr>
      <w:r>
        <w:rPr/>
        <w:t>公司董事、监事、高级管理人员报告期内被授予的股权激励情况</w:t>
      </w:r>
    </w:p>
    <w:p>
      <w:pPr>
        <w:pStyle w:val="BodyText"/>
        <w:spacing w:line="240" w:lineRule="auto" w:before="115"/>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四、公司董事、监事、高级管理人员离职和解聘情况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29"/>
        <w:gridCol w:w="1330"/>
        <w:gridCol w:w="1330"/>
        <w:gridCol w:w="1593"/>
        <w:gridCol w:w="3948"/>
      </w:tblGrid>
      <w:tr>
        <w:trPr>
          <w:trHeight w:val="403"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3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邹晓珊</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3" w:hRule="exact"/>
        </w:trPr>
        <w:tc>
          <w:tcPr>
            <w:tcW w:w="13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杨纪朝</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1" w:hRule="exact"/>
        </w:trPr>
        <w:tc>
          <w:tcPr>
            <w:tcW w:w="13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赵凯</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监事会换届</w:t>
            </w:r>
          </w:p>
        </w:tc>
      </w:tr>
      <w:tr>
        <w:trPr>
          <w:trHeight w:val="404" w:hRule="exact"/>
        </w:trPr>
        <w:tc>
          <w:tcPr>
            <w:tcW w:w="13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王卫国</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监事会换届</w:t>
            </w:r>
          </w:p>
        </w:tc>
      </w:tr>
      <w:tr>
        <w:trPr>
          <w:trHeight w:val="401" w:hRule="exact"/>
        </w:trPr>
        <w:tc>
          <w:tcPr>
            <w:tcW w:w="13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换届</w:t>
            </w:r>
          </w:p>
        </w:tc>
      </w:tr>
    </w:tbl>
    <w:p>
      <w:pPr>
        <w:spacing w:line="240" w:lineRule="auto" w:before="1"/>
        <w:rPr>
          <w:rFonts w:ascii="宋体" w:hAnsi="宋体" w:cs="宋体" w:eastAsia="宋体" w:hint="default"/>
          <w:b/>
          <w:bCs/>
          <w:sz w:val="18"/>
          <w:szCs w:val="18"/>
        </w:rPr>
      </w:pPr>
    </w:p>
    <w:p>
      <w:pPr>
        <w:pStyle w:val="Heading2"/>
        <w:spacing w:line="240" w:lineRule="auto" w:before="26"/>
        <w:ind w:right="982"/>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无</w:t>
      </w:r>
    </w:p>
    <w:p>
      <w:pPr>
        <w:spacing w:line="240" w:lineRule="auto" w:before="3"/>
        <w:rPr>
          <w:rFonts w:ascii="宋体" w:hAnsi="宋体" w:cs="宋体" w:eastAsia="宋体" w:hint="default"/>
          <w:sz w:val="25"/>
          <w:szCs w:val="25"/>
        </w:rPr>
      </w:pPr>
    </w:p>
    <w:p>
      <w:pPr>
        <w:pStyle w:val="Heading2"/>
        <w:spacing w:line="240" w:lineRule="auto"/>
        <w:ind w:right="982"/>
        <w:jc w:val="left"/>
        <w:rPr>
          <w:b w:val="0"/>
          <w:bCs w:val="0"/>
        </w:rPr>
      </w:pPr>
      <w:r>
        <w:rPr/>
        <w:t>六、公司员工情况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截止报告期末，本公司共有员工</w:t>
      </w:r>
      <w:r>
        <w:rPr>
          <w:rFonts w:ascii="Times New Roman" w:hAnsi="Times New Roman" w:cs="Times New Roman" w:eastAsia="Times New Roman" w:hint="default"/>
        </w:rPr>
        <w:t>13,042</w:t>
      </w:r>
      <w:r>
        <w:rPr/>
        <w:t>人。其中：</w:t>
      </w:r>
    </w:p>
    <w:p>
      <w:pPr>
        <w:pStyle w:val="BodyText"/>
        <w:spacing w:line="240" w:lineRule="auto" w:before="103"/>
        <w:ind w:left="573" w:right="982"/>
        <w:jc w:val="left"/>
      </w:pPr>
      <w:r>
        <w:rPr>
          <w:rFonts w:ascii="Times New Roman" w:hAnsi="Times New Roman" w:cs="Times New Roman" w:eastAsia="Times New Roman" w:hint="default"/>
        </w:rPr>
        <w:t>1</w:t>
      </w:r>
      <w:r>
        <w:rPr/>
        <w:t>、专业构成情况：生产人员</w:t>
      </w:r>
      <w:r>
        <w:rPr>
          <w:rFonts w:ascii="Times New Roman" w:hAnsi="Times New Roman" w:cs="Times New Roman" w:eastAsia="Times New Roman" w:hint="default"/>
        </w:rPr>
        <w:t>11,201</w:t>
      </w:r>
      <w:r>
        <w:rPr/>
        <w:t>人，销售人员</w:t>
      </w:r>
      <w:r>
        <w:rPr>
          <w:rFonts w:ascii="Times New Roman" w:hAnsi="Times New Roman" w:cs="Times New Roman" w:eastAsia="Times New Roman" w:hint="default"/>
        </w:rPr>
        <w:t>72</w:t>
      </w:r>
      <w:r>
        <w:rPr/>
        <w:t>人，技术人员</w:t>
      </w:r>
      <w:r>
        <w:rPr>
          <w:rFonts w:ascii="Times New Roman" w:hAnsi="Times New Roman" w:cs="Times New Roman" w:eastAsia="Times New Roman" w:hint="default"/>
        </w:rPr>
        <w:t>1,403</w:t>
      </w:r>
      <w:r>
        <w:rPr/>
        <w:t>人，财务人员</w:t>
      </w:r>
      <w:r>
        <w:rPr>
          <w:rFonts w:ascii="Times New Roman" w:hAnsi="Times New Roman" w:cs="Times New Roman" w:eastAsia="Times New Roman" w:hint="default"/>
        </w:rPr>
        <w:t>46</w:t>
      </w:r>
      <w:r>
        <w:rPr/>
        <w:t>人，行政人员</w:t>
      </w:r>
      <w:r>
        <w:rPr>
          <w:rFonts w:ascii="Times New Roman" w:hAnsi="Times New Roman" w:cs="Times New Roman" w:eastAsia="Times New Roman" w:hint="default"/>
        </w:rPr>
        <w:t>320</w:t>
      </w:r>
      <w:r>
        <w:rPr/>
        <w:t>人。</w:t>
      </w:r>
    </w:p>
    <w:p>
      <w:pPr>
        <w:spacing w:after="0" w:line="240"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line="3600" w:lineRule="exact"/>
        <w:ind w:left="585"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5257800" cy="228600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32" cstate="print"/>
                    <a:stretch>
                      <a:fillRect/>
                    </a:stretch>
                  </pic:blipFill>
                  <pic:spPr>
                    <a:xfrm>
                      <a:off x="0" y="0"/>
                      <a:ext cx="5257800" cy="2286000"/>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12"/>
        <w:rPr>
          <w:rFonts w:ascii="宋体" w:hAnsi="宋体" w:cs="宋体" w:eastAsia="宋体" w:hint="default"/>
          <w:sz w:val="5"/>
          <w:szCs w:val="5"/>
        </w:rPr>
      </w:pPr>
    </w:p>
    <w:p>
      <w:pPr>
        <w:pStyle w:val="BodyText"/>
        <w:spacing w:line="240" w:lineRule="auto" w:before="44"/>
        <w:ind w:left="513" w:right="982"/>
        <w:jc w:val="left"/>
      </w:pPr>
      <w:r>
        <w:rPr>
          <w:rFonts w:ascii="Times New Roman" w:hAnsi="Times New Roman" w:cs="Times New Roman" w:eastAsia="Times New Roman" w:hint="default"/>
        </w:rPr>
        <w:t>2</w:t>
      </w:r>
      <w:r>
        <w:rPr/>
        <w:t>、教育程度情况：大专以上学历</w:t>
      </w:r>
      <w:r>
        <w:rPr>
          <w:rFonts w:ascii="Times New Roman" w:hAnsi="Times New Roman" w:cs="Times New Roman" w:eastAsia="Times New Roman" w:hint="default"/>
        </w:rPr>
        <w:t>1,956</w:t>
      </w:r>
      <w:r>
        <w:rPr/>
        <w:t>人，中专、中技和高中学历</w:t>
      </w:r>
      <w:r>
        <w:rPr>
          <w:rFonts w:ascii="Times New Roman" w:hAnsi="Times New Roman" w:cs="Times New Roman" w:eastAsia="Times New Roman" w:hint="default"/>
        </w:rPr>
        <w:t>3,652</w:t>
      </w:r>
      <w:r>
        <w:rPr/>
        <w:t>人，初中及以下</w:t>
      </w:r>
      <w:r>
        <w:rPr>
          <w:rFonts w:ascii="Times New Roman" w:hAnsi="Times New Roman" w:cs="Times New Roman" w:eastAsia="Times New Roman" w:hint="default"/>
        </w:rPr>
        <w:t>7,434</w:t>
      </w:r>
      <w:r>
        <w:rPr/>
        <w:t>人。</w:t>
      </w:r>
    </w:p>
    <w:p>
      <w:pPr>
        <w:spacing w:line="240" w:lineRule="auto" w:before="4"/>
        <w:rPr>
          <w:rFonts w:ascii="宋体" w:hAnsi="宋体" w:cs="宋体" w:eastAsia="宋体" w:hint="default"/>
          <w:sz w:val="15"/>
          <w:szCs w:val="15"/>
        </w:rPr>
      </w:pPr>
    </w:p>
    <w:p>
      <w:pPr>
        <w:spacing w:line="3525" w:lineRule="exact"/>
        <w:ind w:left="657"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5256308" cy="223837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33" cstate="print"/>
                    <a:stretch>
                      <a:fillRect/>
                    </a:stretch>
                  </pic:blipFill>
                  <pic:spPr>
                    <a:xfrm>
                      <a:off x="0" y="0"/>
                      <a:ext cx="5256308" cy="2238375"/>
                    </a:xfrm>
                    <a:prstGeom prst="rect">
                      <a:avLst/>
                    </a:prstGeom>
                  </pic:spPr>
                </pic:pic>
              </a:graphicData>
            </a:graphic>
          </wp:inline>
        </w:drawing>
      </w:r>
      <w:r>
        <w:rPr>
          <w:rFonts w:ascii="宋体" w:hAnsi="宋体" w:cs="宋体" w:eastAsia="宋体" w:hint="default"/>
          <w:position w:val="-70"/>
          <w:sz w:val="20"/>
          <w:szCs w:val="20"/>
        </w:rPr>
      </w:r>
    </w:p>
    <w:p>
      <w:pPr>
        <w:pStyle w:val="BodyText"/>
        <w:spacing w:line="340" w:lineRule="auto" w:before="161"/>
        <w:ind w:left="513" w:right="982" w:firstLine="144"/>
        <w:jc w:val="left"/>
      </w:pPr>
      <w:r>
        <w:rPr>
          <w:rFonts w:ascii="Times New Roman" w:hAnsi="Times New Roman" w:cs="Times New Roman" w:eastAsia="Times New Roman" w:hint="default"/>
        </w:rPr>
        <w:t>3</w:t>
      </w:r>
      <w:r>
        <w:rPr/>
        <w:t>、员工薪酬政策及培训情况： </w:t>
      </w:r>
      <w:r>
        <w:rPr>
          <w:spacing w:val="-2"/>
        </w:rPr>
        <w:t>公司向员工提供稳定而具有竞争力的薪酬，员工的薪酬由岗位工资与绩效工资构成。自</w:t>
      </w:r>
      <w:r>
        <w:rPr>
          <w:rFonts w:ascii="Times New Roman" w:hAnsi="Times New Roman" w:cs="Times New Roman" w:eastAsia="Times New Roman" w:hint="default"/>
          <w:spacing w:val="-2"/>
        </w:rPr>
        <w:t>2011</w:t>
      </w:r>
      <w:r>
        <w:rPr>
          <w:spacing w:val="-2"/>
        </w:rPr>
        <w:t>年以来，公司不断提高生产</w:t>
      </w:r>
    </w:p>
    <w:p>
      <w:pPr>
        <w:pStyle w:val="BodyText"/>
        <w:spacing w:line="215" w:lineRule="exact"/>
        <w:ind w:right="982"/>
        <w:jc w:val="left"/>
      </w:pPr>
      <w:r>
        <w:rPr/>
        <w:t>一线员工的薪资水平，以充分调动广大员工参与生产的积极性和工作的创新性，不断提高员工的满意度和忠诚度。</w:t>
      </w:r>
    </w:p>
    <w:p>
      <w:pPr>
        <w:pStyle w:val="BodyText"/>
        <w:spacing w:line="316" w:lineRule="auto" w:before="115"/>
        <w:ind w:right="1130" w:firstLine="360"/>
        <w:jc w:val="both"/>
      </w:pPr>
      <w:r>
        <w:rPr>
          <w:spacing w:val="-2"/>
        </w:rPr>
        <w:t>公司持续开展员工的培训工作，通过积极寻求各种培训资源及培训渠道，搭建完善的培训体系，主要包括新员工的入职</w:t>
      </w:r>
      <w:r>
        <w:rPr/>
        <w:t> </w:t>
      </w:r>
      <w:r>
        <w:rPr>
          <w:spacing w:val="-2"/>
        </w:rPr>
        <w:t>导向培训、在职员工的业务培训、各级管理者的提升培训等，培训形式多种多样，能充分调动员工工作和学习的积极性。同</w:t>
      </w:r>
      <w:r>
        <w:rPr>
          <w:spacing w:val="-67"/>
        </w:rPr>
        <w:t> </w:t>
      </w:r>
      <w:r>
        <w:rPr>
          <w:spacing w:val="-67"/>
        </w:rPr>
      </w:r>
      <w:r>
        <w:rPr/>
        <w:t>时，公司不断对优秀员工进行有计划、有步骤、分层次的重点培训，以培养骨干、储备人才。</w:t>
      </w:r>
    </w:p>
    <w:p>
      <w:pPr>
        <w:pStyle w:val="BodyText"/>
        <w:spacing w:line="340" w:lineRule="auto" w:before="59"/>
        <w:ind w:left="513" w:right="982"/>
        <w:jc w:val="left"/>
      </w:pPr>
      <w:r>
        <w:rPr>
          <w:rFonts w:ascii="Times New Roman" w:hAnsi="Times New Roman" w:cs="Times New Roman" w:eastAsia="Times New Roman" w:hint="default"/>
        </w:rPr>
        <w:t>4</w:t>
      </w:r>
      <w:r>
        <w:rPr/>
        <w:t>、公司员工保险事项： </w:t>
      </w:r>
      <w:r>
        <w:rPr>
          <w:spacing w:val="-2"/>
        </w:rPr>
        <w:t>公司实行劳动合同制，按照《劳动合同法》和有关法律法规的规定，严格执行国家用工制度、劳动保护制度、社会保障</w:t>
      </w:r>
    </w:p>
    <w:p>
      <w:pPr>
        <w:pStyle w:val="BodyText"/>
        <w:spacing w:line="240" w:lineRule="auto" w:before="1"/>
        <w:ind w:right="982"/>
        <w:jc w:val="left"/>
      </w:pPr>
      <w:r>
        <w:rPr/>
        <w:t>制度和医疗保险制度，为入职员工缴纳五险一金。公司退休职工费用由社会统筹，无需公司承担。</w:t>
      </w:r>
    </w:p>
    <w:p>
      <w:pPr>
        <w:spacing w:after="0" w:line="240"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577"/>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82"/>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82" w:firstLine="360"/>
        <w:jc w:val="left"/>
      </w:pPr>
      <w:r>
        <w:rPr>
          <w:spacing w:val="-2"/>
        </w:rPr>
        <w:t>报告期内，公司严格按照《公司法》、《证券法》、《上市公司治理准则》等法律法规及有关上市公司治理规范性文件</w:t>
      </w:r>
      <w:r>
        <w:rPr/>
        <w:t> 的要求，进一步完善法人治理结构，规范公司运作。</w:t>
      </w:r>
    </w:p>
    <w:p>
      <w:pPr>
        <w:pStyle w:val="BodyText"/>
        <w:spacing w:line="312" w:lineRule="auto" w:before="57"/>
        <w:ind w:right="1132" w:firstLine="360"/>
        <w:jc w:val="both"/>
      </w:pPr>
      <w:r>
        <w:rPr>
          <w:spacing w:val="-2"/>
        </w:rPr>
        <w:t>报告期内，根据中国证监会《关于进一步落实上市公司现金分红有关事项的通知》、河北证监局《关于加强现金分红工</w:t>
      </w:r>
      <w:r>
        <w:rPr/>
        <w:t> </w:t>
      </w:r>
      <w:r>
        <w:rPr>
          <w:spacing w:val="-5"/>
        </w:rPr>
        <w:t>作的通知》和《关于印发河北辖区上市公司进一步落实现金分红有关事项的通知》、深圳证券交易所《关于做好上市公司</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spacing w:val="-2"/>
        </w:rPr>
        <w:t>年半年度报告披露工作的通知》等文件的要求，结合公司实际情况，对《公司章程》、《股东大会议事规则》和《董事会议</w:t>
      </w:r>
      <w:r>
        <w:rPr>
          <w:spacing w:val="-70"/>
        </w:rPr>
        <w:t> </w:t>
      </w:r>
      <w:r>
        <w:rPr>
          <w:spacing w:val="-70"/>
        </w:rPr>
      </w:r>
      <w:r>
        <w:rPr/>
        <w:t>事规则》有关条款进行了修订，并经董事会四届二十七次会议和</w:t>
      </w:r>
      <w:r>
        <w:rPr>
          <w:rFonts w:ascii="Times New Roman" w:hAnsi="Times New Roman" w:cs="Times New Roman" w:eastAsia="Times New Roman" w:hint="default"/>
        </w:rPr>
        <w:t>2012</w:t>
      </w:r>
      <w:r>
        <w:rPr/>
        <w:t>年第一次临时股东大会通过。</w:t>
      </w:r>
    </w:p>
    <w:p>
      <w:pPr>
        <w:pStyle w:val="BodyText"/>
        <w:spacing w:line="316" w:lineRule="auto" w:before="44"/>
        <w:ind w:right="982" w:firstLine="360"/>
        <w:jc w:val="left"/>
      </w:pPr>
      <w:r>
        <w:rPr>
          <w:spacing w:val="-4"/>
        </w:rPr>
        <w:t>报告期内，根据中国银行间市场交易商协会《银行间债券市场非金融企业债务融资工具信息披露规则》等有关文件要求，</w:t>
      </w:r>
      <w:r>
        <w:rPr/>
        <w:t> </w:t>
      </w:r>
      <w:r>
        <w:rPr>
          <w:spacing w:val="-2"/>
        </w:rPr>
        <w:t>为加强银行间市场信息披露事务管理，公司制定了《债务融资工具信息披露事务管理制度》，并经公司董事会五届三次会议</w:t>
      </w:r>
      <w:r>
        <w:rPr>
          <w:spacing w:val="-65"/>
        </w:rPr>
        <w:t> </w:t>
      </w:r>
      <w:r>
        <w:rPr>
          <w:spacing w:val="-65"/>
        </w:rPr>
      </w:r>
      <w:r>
        <w:rPr/>
        <w:t>审议通过。</w:t>
      </w:r>
    </w:p>
    <w:p>
      <w:pPr>
        <w:pStyle w:val="BodyText"/>
        <w:spacing w:line="240" w:lineRule="auto" w:before="59"/>
        <w:ind w:right="982"/>
        <w:jc w:val="left"/>
      </w:pPr>
      <w:r>
        <w:rPr/>
        <w:t>公司治理与《公司法》和中国证监会相关规定的要求是否存在差异</w:t>
      </w:r>
    </w:p>
    <w:p>
      <w:pPr>
        <w:pStyle w:val="BodyText"/>
        <w:spacing w:line="340" w:lineRule="auto" w:before="115"/>
        <w:ind w:right="55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公司治理与《公司法》和中国证监会相关规定的要求不存在差异。</w:t>
      </w:r>
    </w:p>
    <w:p>
      <w:pPr>
        <w:pStyle w:val="BodyText"/>
        <w:spacing w:line="357" w:lineRule="auto" w:before="41"/>
        <w:ind w:left="513" w:right="1117" w:hanging="361"/>
        <w:jc w:val="left"/>
      </w:pPr>
      <w:r>
        <w:rPr/>
        <w:t>公司治理专项活动开展情况以及内幕信息知情人登记管理制度的制定、实施情况 </w:t>
      </w:r>
      <w:r>
        <w:rPr>
          <w:spacing w:val="-3"/>
        </w:rPr>
        <w:t>根据中国证监会《关于上市公司建立内幕信息知情人登记管理制度的规定》（证监会公告［</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20"/>
        </w:rPr>
        <w:t> </w:t>
      </w:r>
      <w:r>
        <w:rPr>
          <w:spacing w:val="-1"/>
        </w:rPr>
        <w:t>号）和河北证监局</w:t>
      </w:r>
    </w:p>
    <w:p>
      <w:pPr>
        <w:pStyle w:val="BodyText"/>
        <w:spacing w:line="214" w:lineRule="exact"/>
        <w:ind w:right="982"/>
        <w:jc w:val="left"/>
      </w:pPr>
      <w:r>
        <w:rPr/>
        <w:t>《关于做好内幕信息知情人登记管理有关工作的通知</w:t>
      </w:r>
      <w:r>
        <w:rPr>
          <w:spacing w:val="-96"/>
        </w:rPr>
        <w:t>》</w:t>
      </w:r>
      <w:r>
        <w:rPr/>
        <w:t>（冀</w:t>
      </w:r>
      <w:r>
        <w:rPr>
          <w:spacing w:val="2"/>
        </w:rPr>
        <w:t>证</w:t>
      </w:r>
      <w:r>
        <w:rPr/>
        <w:t>监</w:t>
      </w:r>
      <w:r>
        <w:rPr>
          <w:spacing w:val="-5"/>
        </w:rPr>
        <w:t>发</w:t>
      </w:r>
      <w:r>
        <w:rPr>
          <w:spacing w:val="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spacing w:val="1"/>
        </w:rPr>
        <w:t>1</w:t>
      </w:r>
      <w:r>
        <w:rPr>
          <w:spacing w:val="-5"/>
        </w:rPr>
        <w:t>］</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spacing w:val="-5"/>
        </w:rPr>
        <w:t>）</w:t>
      </w:r>
      <w:r>
        <w:rPr/>
        <w:t>等文件</w:t>
      </w:r>
      <w:r>
        <w:rPr>
          <w:spacing w:val="-3"/>
        </w:rPr>
        <w:t>要</w:t>
      </w:r>
      <w:r>
        <w:rPr/>
        <w:t>求</w:t>
      </w:r>
      <w:r>
        <w:rPr>
          <w:spacing w:val="-5"/>
        </w:rPr>
        <w:t>，</w:t>
      </w:r>
      <w:r>
        <w:rPr/>
        <w:t>为规范公司内幕信息管理，</w:t>
      </w:r>
    </w:p>
    <w:p>
      <w:pPr>
        <w:pStyle w:val="BodyText"/>
        <w:spacing w:line="319" w:lineRule="auto" w:before="63"/>
        <w:ind w:right="982"/>
        <w:jc w:val="left"/>
      </w:pPr>
      <w:r>
        <w:rPr>
          <w:spacing w:val="-2"/>
        </w:rPr>
        <w:t>加强内幕信息保密工作，维护公司信息披露的公开、公平、公正原则，保护广大投资者的合法权益，公司制定了《内幕信息</w:t>
      </w:r>
      <w:r>
        <w:rPr>
          <w:spacing w:val="-68"/>
        </w:rPr>
        <w:t> </w:t>
      </w:r>
      <w:r>
        <w:rPr>
          <w:spacing w:val="-68"/>
        </w:rPr>
      </w:r>
      <w:r>
        <w:rPr>
          <w:spacing w:val="-3"/>
        </w:rPr>
        <w:t>知情人登记管理制度》，并经公司董事会四届二十三次会议审议通过。</w:t>
      </w:r>
    </w:p>
    <w:p>
      <w:pPr>
        <w:pStyle w:val="BodyText"/>
        <w:spacing w:line="316" w:lineRule="auto" w:before="58"/>
        <w:ind w:right="982" w:firstLine="360"/>
        <w:jc w:val="left"/>
      </w:pPr>
      <w:r>
        <w:rPr>
          <w:spacing w:val="-2"/>
        </w:rPr>
        <w:t>报告期内，公司未发现相关人员利用内幕信息从事内幕交易的事项，不存在内幕信息对外泄露的情况，不存在内幕信息</w:t>
      </w:r>
      <w:r>
        <w:rPr/>
        <w:t> 知情人利用内幕信息进行内幕交易或者建议他人利用内幕信息进行交易，给公司和投资者造成严重影响或损失的情形。</w:t>
      </w:r>
    </w:p>
    <w:p>
      <w:pPr>
        <w:spacing w:line="240" w:lineRule="auto" w:before="11"/>
        <w:rPr>
          <w:rFonts w:ascii="宋体" w:hAnsi="宋体" w:cs="宋体" w:eastAsia="宋体" w:hint="default"/>
          <w:sz w:val="20"/>
          <w:szCs w:val="20"/>
        </w:rPr>
      </w:pPr>
    </w:p>
    <w:p>
      <w:pPr>
        <w:pStyle w:val="Heading2"/>
        <w:spacing w:line="240" w:lineRule="auto"/>
        <w:ind w:right="982"/>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BodyText"/>
        <w:spacing w:line="240" w:lineRule="auto"/>
        <w:ind w:left="0" w:right="1148"/>
        <w:jc w:val="right"/>
      </w:pPr>
      <w:r>
        <w:rPr/>
        <w:pict>
          <v:shape style="position:absolute;margin-left:56.459999pt;margin-top:-123.438278pt;width:479.1pt;height:194.8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595"/>
                    <w:gridCol w:w="1592"/>
                    <w:gridCol w:w="1596"/>
                    <w:gridCol w:w="1594"/>
                    <w:gridCol w:w="1594"/>
                  </w:tblGrid>
                  <w:tr>
                    <w:trPr>
                      <w:trHeight w:val="398"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488"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3"/>
                          <w:ind w:left="22" w:right="16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年度董事 </w:t>
                        </w:r>
                        <w:r>
                          <w:rPr>
                            <w:rFonts w:ascii="宋体" w:hAnsi="宋体" w:cs="宋体" w:eastAsia="宋体" w:hint="default"/>
                            <w:spacing w:val="-14"/>
                            <w:sz w:val="18"/>
                            <w:szCs w:val="18"/>
                          </w:rPr>
                          <w:t>会工作报告》、</w:t>
                        </w:r>
                      </w:p>
                      <w:p>
                        <w:pPr>
                          <w:pStyle w:val="TableParagraph"/>
                          <w:spacing w:line="300" w:lineRule="auto" w:before="32"/>
                          <w:ind w:left="22" w:right="16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年度监事 </w:t>
                        </w:r>
                        <w:r>
                          <w:rPr>
                            <w:rFonts w:ascii="宋体" w:hAnsi="宋体" w:cs="宋体" w:eastAsia="宋体" w:hint="default"/>
                            <w:spacing w:val="-14"/>
                            <w:sz w:val="18"/>
                            <w:szCs w:val="18"/>
                          </w:rPr>
                          <w:t>会工作报告》、</w:t>
                        </w:r>
                      </w:p>
                      <w:p>
                        <w:pPr>
                          <w:pStyle w:val="TableParagraph"/>
                          <w:spacing w:line="300" w:lineRule="auto" w:before="31"/>
                          <w:ind w:left="22" w:right="77"/>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 </w:t>
                        </w:r>
                        <w:r>
                          <w:rPr>
                            <w:rFonts w:ascii="宋体" w:hAnsi="宋体" w:cs="宋体" w:eastAsia="宋体" w:hint="default"/>
                            <w:spacing w:val="-24"/>
                            <w:sz w:val="18"/>
                            <w:szCs w:val="18"/>
                          </w:rPr>
                          <w:t>告》、《</w:t>
                        </w:r>
                        <w:r>
                          <w:rPr>
                            <w:rFonts w:ascii="Times New Roman" w:hAnsi="Times New Roman" w:cs="Times New Roman" w:eastAsia="Times New Roman" w:hint="default"/>
                            <w:spacing w:val="-24"/>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年度财 </w:t>
                        </w:r>
                        <w:r>
                          <w:rPr>
                            <w:rFonts w:ascii="宋体" w:hAnsi="宋体" w:cs="宋体" w:eastAsia="宋体" w:hint="default"/>
                            <w:spacing w:val="-14"/>
                            <w:sz w:val="18"/>
                            <w:szCs w:val="18"/>
                          </w:rPr>
                          <w:t>务决算方案》、</w:t>
                        </w:r>
                      </w:p>
                      <w:p>
                        <w:pPr>
                          <w:pStyle w:val="TableParagraph"/>
                          <w:spacing w:line="312" w:lineRule="auto" w:before="31"/>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年度利润 </w:t>
                        </w:r>
                        <w:r>
                          <w:rPr>
                            <w:rFonts w:ascii="宋体" w:hAnsi="宋体" w:cs="宋体" w:eastAsia="宋体" w:hint="default"/>
                            <w:spacing w:val="-27"/>
                            <w:sz w:val="18"/>
                            <w:szCs w:val="18"/>
                          </w:rPr>
                          <w:t>分配方案》、《</w:t>
                        </w:r>
                        <w:r>
                          <w:rPr>
                            <w:rFonts w:ascii="宋体" w:hAnsi="宋体" w:cs="宋体" w:eastAsia="宋体" w:hint="default"/>
                            <w:spacing w:val="5"/>
                            <w:sz w:val="18"/>
                            <w:szCs w:val="18"/>
                          </w:rPr>
                          <w:t> </w:t>
                        </w:r>
                        <w:r>
                          <w:rPr>
                            <w:rFonts w:ascii="宋体" w:hAnsi="宋体" w:cs="宋体" w:eastAsia="宋体" w:hint="default"/>
                            <w:sz w:val="18"/>
                            <w:szCs w:val="18"/>
                          </w:rPr>
                          <w:t>聘任</w:t>
                        </w:r>
                        <w:r>
                          <w:rPr>
                            <w:rFonts w:ascii="宋体" w:hAnsi="宋体" w:cs="宋体" w:eastAsia="宋体" w:hint="default"/>
                            <w:sz w:val="18"/>
                            <w:szCs w:val="18"/>
                          </w:rPr>
                          <w:t> 会计师事务所并确 </w:t>
                        </w:r>
                        <w:r>
                          <w:rPr>
                            <w:rFonts w:ascii="宋体" w:hAnsi="宋体" w:cs="宋体" w:eastAsia="宋体" w:hint="default"/>
                            <w:spacing w:val="-11"/>
                            <w:sz w:val="18"/>
                            <w:szCs w:val="18"/>
                          </w:rPr>
                          <w:t>定其报酬的议案》、</w:t>
                        </w:r>
                      </w:p>
                    </w:tc>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4" w:lineRule="auto"/>
                          <w:ind w:left="23" w:right="120"/>
                          <w:jc w:val="left"/>
                          <w:rPr>
                            <w:rFonts w:ascii="宋体" w:hAnsi="宋体" w:cs="宋体" w:eastAsia="宋体" w:hint="default"/>
                            <w:sz w:val="18"/>
                            <w:szCs w:val="18"/>
                          </w:rPr>
                        </w:pPr>
                        <w:r>
                          <w:rPr>
                            <w:rFonts w:ascii="宋体" w:hAnsi="宋体" w:cs="宋体" w:eastAsia="宋体" w:hint="default"/>
                            <w:sz w:val="18"/>
                            <w:szCs w:val="18"/>
                          </w:rPr>
                          <w:t>审议通过了该次股 东大会全部议案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pacing w:val="-27"/>
                            <w:sz w:val="18"/>
                            <w:szCs w:val="18"/>
                          </w:rPr>
                          <w:t>《中国证券报》、《证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券时报》和巨潮资讯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0" w:lineRule="auto" w:before="63"/>
                          <w:ind w:left="23" w:right="17"/>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.com.cn/</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r>
                          <w:rPr>
                            <w:rFonts w:ascii="宋体" w:hAnsi="宋体" w:cs="宋体" w:eastAsia="宋体" w:hint="default"/>
                            <w:spacing w:val="-88"/>
                            <w:sz w:val="18"/>
                            <w:szCs w:val="18"/>
                          </w:rPr>
                          <w:t> </w:t>
                        </w:r>
                        <w:r>
                          <w:rPr>
                            <w:rFonts w:ascii="宋体" w:hAnsi="宋体" w:cs="宋体" w:eastAsia="宋体" w:hint="default"/>
                            <w:sz w:val="18"/>
                            <w:szCs w:val="18"/>
                          </w:rPr>
                          <w:t>股东大会决议公告</w:t>
                        </w:r>
                      </w:p>
                      <w:p>
                        <w:pPr>
                          <w:pStyle w:val="TableParagraph"/>
                          <w:spacing w:line="240" w:lineRule="auto" w:before="31"/>
                          <w:ind w:left="23"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2012-018</w:t>
                        </w:r>
                        <w:r>
                          <w:rPr>
                            <w:rFonts w:ascii="宋体" w:hAnsi="宋体" w:cs="宋体" w:eastAsia="宋体" w:hint="default"/>
                            <w:sz w:val="18"/>
                            <w:szCs w:val="18"/>
                          </w:rPr>
                          <w:t>）</w:t>
                        </w:r>
                      </w:p>
                    </w:tc>
                  </w:tr>
                </w:tbl>
                <w:p>
                  <w:pPr/>
                </w:p>
              </w:txbxContent>
            </v:textbox>
            <w10:wrap type="none"/>
          </v:shape>
        </w:pict>
      </w:r>
      <w:r>
        <w:rPr/>
        <w:t>》</w:t>
      </w:r>
    </w:p>
    <w:p>
      <w:pPr>
        <w:spacing w:after="0" w:line="240" w:lineRule="auto"/>
        <w:jc w:val="right"/>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2"/>
        <w:gridCol w:w="1596"/>
        <w:gridCol w:w="1594"/>
        <w:gridCol w:w="1594"/>
      </w:tblGrid>
      <w:tr>
        <w:trPr>
          <w:trHeight w:val="1299"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8"/>
              <w:ind w:left="22" w:right="24"/>
              <w:jc w:val="left"/>
              <w:rPr>
                <w:rFonts w:ascii="宋体" w:hAnsi="宋体" w:cs="宋体" w:eastAsia="宋体" w:hint="default"/>
                <w:sz w:val="18"/>
                <w:szCs w:val="18"/>
              </w:rPr>
            </w:pPr>
            <w:r>
              <w:rPr>
                <w:rFonts w:ascii="宋体" w:hAnsi="宋体" w:cs="宋体" w:eastAsia="宋体" w:hint="default"/>
                <w:sz w:val="18"/>
                <w:szCs w:val="18"/>
              </w:rPr>
              <w:t>《公司与常山集团 签署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年度日常 生产经营关联交易 协议的议案》</w:t>
            </w:r>
          </w:p>
        </w:tc>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2"/>
        <w:gridCol w:w="1596"/>
        <w:gridCol w:w="1594"/>
        <w:gridCol w:w="1594"/>
      </w:tblGrid>
      <w:tr>
        <w:trPr>
          <w:trHeight w:val="39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5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1"/>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2" w:right="19"/>
              <w:jc w:val="left"/>
              <w:rPr>
                <w:rFonts w:ascii="宋体" w:hAnsi="宋体" w:cs="宋体" w:eastAsia="宋体" w:hint="default"/>
                <w:sz w:val="18"/>
                <w:szCs w:val="18"/>
              </w:rPr>
            </w:pPr>
            <w:r>
              <w:rPr>
                <w:rFonts w:ascii="宋体" w:hAnsi="宋体" w:cs="宋体" w:eastAsia="宋体" w:hint="default"/>
                <w:sz w:val="18"/>
                <w:szCs w:val="18"/>
              </w:rPr>
              <w:t>《关于选举公司第 五届董事会董事成 </w:t>
            </w:r>
            <w:r>
              <w:rPr>
                <w:rFonts w:ascii="宋体" w:hAnsi="宋体" w:cs="宋体" w:eastAsia="宋体" w:hint="default"/>
                <w:spacing w:val="-27"/>
                <w:sz w:val="18"/>
                <w:szCs w:val="18"/>
              </w:rPr>
              <w:t>员的议案》、《关于选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举公司第五届监事 会监事成员的议 </w:t>
            </w:r>
            <w:r>
              <w:rPr>
                <w:rFonts w:ascii="宋体" w:hAnsi="宋体" w:cs="宋体" w:eastAsia="宋体" w:hint="default"/>
                <w:spacing w:val="-27"/>
                <w:sz w:val="18"/>
                <w:szCs w:val="18"/>
              </w:rPr>
              <w:t>案》、《关于修改《公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司章程》部分条款的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1"/>
                <w:sz w:val="18"/>
                <w:szCs w:val="18"/>
              </w:rPr>
              <w:t>议案》、《关于修改</w:t>
            </w:r>
          </w:p>
          <w:p>
            <w:pPr>
              <w:pStyle w:val="TableParagraph"/>
              <w:spacing w:line="316" w:lineRule="auto" w:before="19"/>
              <w:ind w:left="22" w:right="19"/>
              <w:jc w:val="left"/>
              <w:rPr>
                <w:rFonts w:ascii="宋体" w:hAnsi="宋体" w:cs="宋体" w:eastAsia="宋体" w:hint="default"/>
                <w:sz w:val="18"/>
                <w:szCs w:val="18"/>
              </w:rPr>
            </w:pPr>
            <w:r>
              <w:rPr>
                <w:rFonts w:ascii="宋体" w:hAnsi="宋体" w:cs="宋体" w:eastAsia="宋体" w:hint="default"/>
                <w:sz w:val="18"/>
                <w:szCs w:val="18"/>
              </w:rPr>
              <w:t>《股东大会议事规 则》部分条款的议 </w:t>
            </w:r>
            <w:r>
              <w:rPr>
                <w:rFonts w:ascii="宋体" w:hAnsi="宋体" w:cs="宋体" w:eastAsia="宋体" w:hint="default"/>
                <w:spacing w:val="-27"/>
                <w:sz w:val="18"/>
                <w:szCs w:val="18"/>
              </w:rPr>
              <w:t>案》、《关于修改《董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事会议事规则》部分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条款的议案》</w:t>
            </w:r>
          </w:p>
        </w:tc>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1"/>
              <w:ind w:left="23" w:right="120"/>
              <w:jc w:val="left"/>
              <w:rPr>
                <w:rFonts w:ascii="宋体" w:hAnsi="宋体" w:cs="宋体" w:eastAsia="宋体" w:hint="default"/>
                <w:sz w:val="18"/>
                <w:szCs w:val="18"/>
              </w:rPr>
            </w:pPr>
            <w:r>
              <w:rPr>
                <w:rFonts w:ascii="宋体" w:hAnsi="宋体" w:cs="宋体" w:eastAsia="宋体" w:hint="default"/>
                <w:sz w:val="18"/>
                <w:szCs w:val="18"/>
              </w:rPr>
              <w:t>审议通过了该次股 东大会全部议案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7"/>
              <w:ind w:left="23" w:right="19"/>
              <w:jc w:val="both"/>
              <w:rPr>
                <w:rFonts w:ascii="宋体" w:hAnsi="宋体" w:cs="宋体" w:eastAsia="宋体" w:hint="default"/>
                <w:sz w:val="18"/>
                <w:szCs w:val="18"/>
              </w:rPr>
            </w:pPr>
            <w:r>
              <w:rPr>
                <w:rFonts w:ascii="宋体" w:hAnsi="宋体" w:cs="宋体" w:eastAsia="宋体" w:hint="default"/>
                <w:spacing w:val="-27"/>
                <w:sz w:val="18"/>
                <w:szCs w:val="18"/>
              </w:rPr>
              <w:t>《中国证券报》、《证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券时报》和巨潮资讯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p>
            <w:pPr>
              <w:pStyle w:val="TableParagraph"/>
              <w:spacing w:line="240" w:lineRule="auto" w:before="1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12"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.com.cn/</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r>
              <w:rPr>
                <w:rFonts w:ascii="宋体" w:hAnsi="宋体" w:cs="宋体" w:eastAsia="宋体" w:hint="default"/>
                <w:spacing w:val="-88"/>
                <w:sz w:val="18"/>
                <w:szCs w:val="18"/>
              </w:rPr>
              <w:t> </w:t>
            </w:r>
            <w:r>
              <w:rPr>
                <w:rFonts w:ascii="宋体" w:hAnsi="宋体" w:cs="宋体" w:eastAsia="宋体" w:hint="default"/>
                <w:sz w:val="18"/>
                <w:szCs w:val="18"/>
              </w:rPr>
              <w:t>第一次临时股东大 </w:t>
            </w: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编号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2012-022</w:t>
            </w:r>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982"/>
        <w:jc w:val="left"/>
        <w:rPr>
          <w:b w:val="0"/>
          <w:bCs w:val="0"/>
        </w:rPr>
      </w:pPr>
      <w:r>
        <w:rPr/>
        <w:t>三、报告期内独立董事履行职责的情况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杨纪朝</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贾路桥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6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朱北娜</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982"/>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after="0" w:line="3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2"/>
        <w:jc w:val="left"/>
      </w:pPr>
      <w:r>
        <w:rPr/>
        <w:t>独立董事对公司有关建议是否被采纳</w:t>
      </w:r>
    </w:p>
    <w:p>
      <w:pPr>
        <w:pStyle w:val="BodyText"/>
        <w:spacing w:line="35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 独立董事未提出重要建议。</w:t>
      </w:r>
    </w:p>
    <w:p>
      <w:pPr>
        <w:spacing w:line="240" w:lineRule="auto" w:before="10"/>
        <w:rPr>
          <w:rFonts w:ascii="宋体" w:hAnsi="宋体" w:cs="宋体" w:eastAsia="宋体" w:hint="default"/>
          <w:sz w:val="18"/>
          <w:szCs w:val="18"/>
        </w:rPr>
      </w:pPr>
    </w:p>
    <w:p>
      <w:pPr>
        <w:pStyle w:val="Heading2"/>
        <w:spacing w:line="240" w:lineRule="auto"/>
        <w:ind w:right="982"/>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3" w:right="982" w:hanging="361"/>
        <w:jc w:val="left"/>
      </w:pPr>
      <w:r>
        <w:rPr>
          <w:rFonts w:ascii="Times New Roman" w:hAnsi="Times New Roman" w:cs="Times New Roman" w:eastAsia="Times New Roman" w:hint="default"/>
        </w:rPr>
        <w:t>1</w:t>
      </w:r>
      <w:r>
        <w:rPr/>
        <w:t>、董事会审计委员会工作情况 </w:t>
      </w:r>
      <w:r>
        <w:rPr>
          <w:spacing w:val="-2"/>
        </w:rPr>
        <w:t>公司董事会审计委员会按照《董事会审计委员会工作条例》的规定，认真履行职责，重点关注了公司</w:t>
      </w:r>
      <w:r>
        <w:rPr>
          <w:rFonts w:ascii="Times New Roman" w:hAnsi="Times New Roman" w:cs="Times New Roman" w:eastAsia="Times New Roman" w:hint="default"/>
          <w:spacing w:val="-2"/>
        </w:rPr>
        <w:t>2012</w:t>
      </w:r>
      <w:r>
        <w:rPr>
          <w:spacing w:val="-2"/>
        </w:rPr>
        <w:t>年年度报告的</w:t>
      </w:r>
    </w:p>
    <w:p>
      <w:pPr>
        <w:pStyle w:val="BodyText"/>
        <w:spacing w:line="215" w:lineRule="exact"/>
        <w:ind w:right="982"/>
        <w:jc w:val="left"/>
      </w:pPr>
      <w:r>
        <w:rPr/>
        <w:t>审计和内部控制自我评价工作。</w:t>
      </w:r>
    </w:p>
    <w:p>
      <w:pPr>
        <w:pStyle w:val="BodyText"/>
        <w:spacing w:line="314" w:lineRule="auto" w:before="115"/>
        <w:ind w:right="982" w:firstLine="360"/>
        <w:jc w:val="left"/>
      </w:pPr>
      <w:r>
        <w:rPr>
          <w:spacing w:val="-4"/>
        </w:rPr>
        <w:t>在审计机构进场前，审计委员会与公司年审注册会计师就年度审计工作的时间、计划、初步方案安排进行了审议和讨论，</w:t>
      </w:r>
      <w:r>
        <w:rPr/>
        <w:t> </w:t>
      </w:r>
      <w:r>
        <w:rPr>
          <w:spacing w:val="-2"/>
        </w:rPr>
        <w:t>并形成了初步意见。在年审注册会计师进场前审阅了公司财务会计报表；审计机构进场后，审计委员会密切关注审计工作的</w:t>
      </w:r>
      <w:r>
        <w:rPr>
          <w:spacing w:val="-63"/>
        </w:rPr>
        <w:t> </w:t>
      </w:r>
      <w:r>
        <w:rPr>
          <w:spacing w:val="-63"/>
        </w:rPr>
      </w:r>
      <w:r>
        <w:rPr>
          <w:spacing w:val="-2"/>
        </w:rPr>
        <w:t>进展，督促审计工作按进度进行。审计机构出具初步的审计意见后，审计委员会再次与年审会计师事务所有关负责人进行了</w:t>
      </w:r>
      <w:r>
        <w:rPr>
          <w:spacing w:val="-63"/>
        </w:rPr>
        <w:t> </w:t>
      </w:r>
      <w:r>
        <w:rPr>
          <w:spacing w:val="-63"/>
        </w:rPr>
      </w:r>
      <w:r>
        <w:rPr>
          <w:spacing w:val="-2"/>
        </w:rPr>
        <w:t>沟通，在听取审计机构关于公司年报审核的意见后，审计委员会再次对公司审计后的财务报告进行审计，并形成意见，同意</w:t>
      </w:r>
      <w:r>
        <w:rPr>
          <w:spacing w:val="-64"/>
        </w:rPr>
        <w:t> </w:t>
      </w:r>
      <w:r>
        <w:rPr>
          <w:spacing w:val="-64"/>
        </w:rPr>
      </w:r>
      <w:r>
        <w:rPr>
          <w:spacing w:val="-2"/>
        </w:rPr>
        <w:t>以此财务数据为基础，编制公司</w:t>
      </w:r>
      <w:r>
        <w:rPr>
          <w:rFonts w:ascii="Times New Roman" w:hAnsi="Times New Roman" w:cs="Times New Roman" w:eastAsia="Times New Roman" w:hint="default"/>
          <w:spacing w:val="-2"/>
        </w:rPr>
        <w:t>2012</w:t>
      </w:r>
      <w:r>
        <w:rPr>
          <w:spacing w:val="-2"/>
        </w:rPr>
        <w:t>年年度报告和摘要。</w:t>
      </w:r>
      <w:r>
        <w:rPr>
          <w:rFonts w:ascii="Times New Roman" w:hAnsi="Times New Roman" w:cs="Times New Roman" w:eastAsia="Times New Roman" w:hint="default"/>
          <w:spacing w:val="-2"/>
        </w:rPr>
        <w:t>2012</w:t>
      </w:r>
      <w:r>
        <w:rPr>
          <w:spacing w:val="-2"/>
        </w:rPr>
        <w:t>年度审计完成后，审计委员会客观评价了负责年度审计的会计</w:t>
      </w:r>
      <w:r>
        <w:rPr>
          <w:spacing w:val="-60"/>
        </w:rPr>
        <w:t> </w:t>
      </w:r>
      <w:r>
        <w:rPr>
          <w:spacing w:val="-60"/>
        </w:rPr>
      </w:r>
      <w:r>
        <w:rPr/>
        <w:t>师事务所的工作，对中兴财光华会计师事务所有限责任公司从事公司本年度的审计工作进行了总结。</w:t>
      </w:r>
    </w:p>
    <w:p>
      <w:pPr>
        <w:pStyle w:val="BodyText"/>
        <w:spacing w:line="300" w:lineRule="auto" w:before="61"/>
        <w:ind w:right="982" w:firstLine="360"/>
        <w:jc w:val="left"/>
      </w:pPr>
      <w:r>
        <w:rPr>
          <w:spacing w:val="-4"/>
        </w:rPr>
        <w:t>报告期内，在董事会审计委员会的指导下，公司加强了对内部控制建设的监督，组织完成了</w:t>
      </w:r>
      <w:r>
        <w:rPr>
          <w:rFonts w:ascii="Times New Roman" w:hAnsi="Times New Roman" w:cs="Times New Roman" w:eastAsia="Times New Roman" w:hint="default"/>
          <w:spacing w:val="-4"/>
        </w:rPr>
        <w:t>2012</w:t>
      </w:r>
      <w:r>
        <w:rPr>
          <w:spacing w:val="-4"/>
        </w:rPr>
        <w:t>年度内控自我评价工作，</w:t>
      </w:r>
      <w:r>
        <w:rPr/>
        <w:t> 并撰写了相应的内控自评报告，经董事会审议通过后已公开披露。</w:t>
      </w:r>
    </w:p>
    <w:p>
      <w:pPr>
        <w:pStyle w:val="BodyText"/>
        <w:spacing w:line="338" w:lineRule="auto" w:before="72"/>
        <w:ind w:left="441" w:right="982" w:hanging="289"/>
        <w:jc w:val="left"/>
      </w:pPr>
      <w:r>
        <w:rPr>
          <w:rFonts w:ascii="Times New Roman" w:hAnsi="Times New Roman" w:cs="Times New Roman" w:eastAsia="Times New Roman" w:hint="default"/>
        </w:rPr>
        <w:t>2</w:t>
      </w:r>
      <w:r>
        <w:rPr/>
        <w:t>、董事会提名委员会工作情况 </w:t>
      </w:r>
      <w:r>
        <w:rPr>
          <w:spacing w:val="-1"/>
        </w:rPr>
        <w:t>报告期内，第四届董事会任期届满。提名委员会根据平时对第四届董事会各位董事履职情况的了解，认为第四届董事会</w:t>
      </w:r>
    </w:p>
    <w:p>
      <w:pPr>
        <w:pStyle w:val="BodyText"/>
        <w:spacing w:line="240" w:lineRule="auto" w:before="2"/>
        <w:ind w:right="982"/>
        <w:jc w:val="left"/>
      </w:pPr>
      <w:r>
        <w:rPr/>
        <w:t>各位董事都能勤勉尽责，发挥了自己应有的作用。推荐了第五届董事会董事和总经理人选。</w:t>
      </w:r>
    </w:p>
    <w:p>
      <w:pPr>
        <w:pStyle w:val="BodyText"/>
        <w:spacing w:line="340" w:lineRule="auto" w:before="117"/>
        <w:ind w:left="441" w:right="982" w:hanging="289"/>
        <w:jc w:val="left"/>
      </w:pPr>
      <w:r>
        <w:rPr>
          <w:rFonts w:ascii="Times New Roman" w:hAnsi="Times New Roman" w:cs="Times New Roman" w:eastAsia="Times New Roman" w:hint="default"/>
        </w:rPr>
        <w:t>3</w:t>
      </w:r>
      <w:r>
        <w:rPr/>
        <w:t>、董事会薪酬与考核委员会工作情况 </w:t>
      </w:r>
      <w:r>
        <w:rPr>
          <w:spacing w:val="-1"/>
        </w:rPr>
        <w:t>薪酬与考核委员会审阅了公司高级管理人员的</w:t>
      </w:r>
      <w:r>
        <w:rPr>
          <w:rFonts w:ascii="Times New Roman" w:hAnsi="Times New Roman" w:cs="Times New Roman" w:eastAsia="Times New Roman" w:hint="default"/>
          <w:spacing w:val="-1"/>
        </w:rPr>
        <w:t>2012</w:t>
      </w:r>
      <w:r>
        <w:rPr>
          <w:spacing w:val="-1"/>
        </w:rPr>
        <w:t>年度述职报告，认为各高级管理人员能够按照各自的职责权限，较好</w:t>
      </w:r>
    </w:p>
    <w:p>
      <w:pPr>
        <w:pStyle w:val="BodyText"/>
        <w:spacing w:line="215" w:lineRule="exact"/>
        <w:ind w:right="982"/>
        <w:jc w:val="left"/>
      </w:pPr>
      <w:r>
        <w:rPr/>
        <w:t>地完成了全年工作。审阅了报告期公司披露的董事、监事和高级管理人员年度薪酬情况，薪酬与考核委员会全体成员认为报</w:t>
      </w:r>
    </w:p>
    <w:p>
      <w:pPr>
        <w:pStyle w:val="BodyText"/>
        <w:spacing w:line="309" w:lineRule="auto" w:before="76"/>
        <w:ind w:right="1042"/>
        <w:jc w:val="left"/>
      </w:pPr>
      <w:r>
        <w:rPr>
          <w:spacing w:val="-3"/>
          <w:w w:val="100"/>
        </w:rPr>
        <w:t>告期的薪酬支付符合有关文件规定和公司制定的</w:t>
      </w:r>
      <w:r>
        <w:rPr>
          <w:rFonts w:ascii="Times New Roman" w:hAnsi="Times New Roman" w:cs="Times New Roman" w:eastAsia="Times New Roman" w:hint="default"/>
          <w:spacing w:val="-3"/>
          <w:w w:val="100"/>
        </w:rPr>
        <w:t>“</w:t>
      </w:r>
      <w:r>
        <w:rPr>
          <w:spacing w:val="-3"/>
          <w:w w:val="100"/>
        </w:rPr>
        <w:t>个人职责和分管工作目标考核</w:t>
      </w:r>
      <w:r>
        <w:rPr>
          <w:rFonts w:ascii="Times New Roman" w:hAnsi="Times New Roman" w:cs="Times New Roman" w:eastAsia="Times New Roman" w:hint="default"/>
          <w:spacing w:val="-3"/>
          <w:w w:val="100"/>
        </w:rPr>
        <w:t>”</w:t>
      </w:r>
      <w:r>
        <w:rPr>
          <w:spacing w:val="-3"/>
          <w:w w:val="100"/>
        </w:rPr>
        <w:t>考评体系，薪酬总额包括了基本工资、奖金、</w:t>
      </w:r>
      <w:r>
        <w:rPr>
          <w:spacing w:val="-76"/>
          <w:w w:val="100"/>
        </w:rPr>
        <w:t> </w:t>
      </w:r>
      <w:r>
        <w:rPr>
          <w:spacing w:val="-76"/>
          <w:w w:val="100"/>
        </w:rPr>
      </w:r>
      <w:r>
        <w:rPr>
          <w:spacing w:val="-2"/>
        </w:rPr>
        <w:t>津贴、职工福利费及各项保险费、公积金等各项从公司获得的报酬，真实反映了报告期公司董事、监事和高级管理人员的薪</w:t>
      </w:r>
      <w:r>
        <w:rPr>
          <w:spacing w:val="-63"/>
        </w:rPr>
        <w:t> </w:t>
      </w:r>
      <w:r>
        <w:rPr>
          <w:spacing w:val="-63"/>
        </w:rPr>
      </w:r>
      <w:r>
        <w:rPr/>
        <w:t>酬状况。</w:t>
      </w:r>
    </w:p>
    <w:p>
      <w:pPr>
        <w:spacing w:line="240" w:lineRule="auto" w:before="1"/>
        <w:rPr>
          <w:rFonts w:ascii="宋体" w:hAnsi="宋体" w:cs="宋体" w:eastAsia="宋体" w:hint="default"/>
          <w:sz w:val="21"/>
          <w:szCs w:val="21"/>
        </w:rPr>
      </w:pPr>
    </w:p>
    <w:p>
      <w:pPr>
        <w:pStyle w:val="Heading2"/>
        <w:spacing w:line="240" w:lineRule="auto"/>
        <w:ind w:right="982"/>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监事会在报告期内的监督活动中发现公司是否存在风险</w:t>
      </w:r>
    </w:p>
    <w:p>
      <w:pPr>
        <w:pStyle w:val="BodyText"/>
        <w:spacing w:line="360" w:lineRule="auto" w:before="117"/>
        <w:ind w:right="7694"/>
        <w:jc w:val="left"/>
      </w:pPr>
      <w:r>
        <w:rPr/>
        <w:t>□ 是 √</w:t>
      </w:r>
      <w:r>
        <w:rPr>
          <w:spacing w:val="3"/>
        </w:rPr>
        <w:t> </w:t>
      </w:r>
      <w:r>
        <w:rPr/>
        <w:t>否</w:t>
      </w:r>
      <w:r>
        <w:rPr/>
        <w:t> 监事会对报告期内的监督事项无异议。</w:t>
      </w:r>
    </w:p>
    <w:p>
      <w:pPr>
        <w:spacing w:line="240" w:lineRule="auto" w:before="2"/>
        <w:rPr>
          <w:rFonts w:ascii="宋体" w:hAnsi="宋体" w:cs="宋体" w:eastAsia="宋体" w:hint="default"/>
          <w:sz w:val="18"/>
          <w:szCs w:val="18"/>
        </w:rPr>
      </w:pPr>
    </w:p>
    <w:p>
      <w:pPr>
        <w:pStyle w:val="Heading2"/>
        <w:spacing w:line="240" w:lineRule="auto"/>
        <w:ind w:right="982"/>
        <w:jc w:val="left"/>
        <w:rPr>
          <w:b w:val="0"/>
          <w:bCs w:val="0"/>
        </w:rPr>
      </w:pPr>
      <w:r>
        <w:rPr/>
        <w:t>六、公司相对于控股股东在业务、人员、资产、机构、财务等方面的独立完整情况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82"/>
        <w:jc w:val="left"/>
      </w:pPr>
      <w:r>
        <w:rPr>
          <w:spacing w:val="-2"/>
        </w:rPr>
        <w:t>公司与控股股东在业务、人员、资产、机构、财务等方面做到了“五分开”，公司独立核算、独立纳税、独立承担责任和风</w:t>
      </w:r>
      <w:r>
        <w:rPr>
          <w:spacing w:val="-72"/>
        </w:rPr>
        <w:t> </w:t>
      </w:r>
      <w:r>
        <w:rPr>
          <w:spacing w:val="-72"/>
        </w:rPr>
      </w:r>
      <w:r>
        <w:rPr/>
        <w:t>险，具有独立完整的业务与自主经营能力。</w:t>
      </w:r>
    </w:p>
    <w:p>
      <w:pPr>
        <w:spacing w:after="0" w:line="316" w:lineRule="auto"/>
        <w:jc w:val="left"/>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604" w:right="1122"/>
        <w:jc w:val="left"/>
      </w:pPr>
      <w:r>
        <w:rPr/>
        <w:t>公司不存在因部分改制等原因而产生的同业竞争和关联交易问题。 为保证与关联方之间发生的关联交易的公允性及合理性，公司制定了《关联交易管理制度》。对于日常生产经营中的</w:t>
      </w:r>
    </w:p>
    <w:p>
      <w:pPr>
        <w:pStyle w:val="BodyText"/>
        <w:spacing w:line="224" w:lineRule="exact"/>
        <w:ind w:right="982"/>
        <w:jc w:val="left"/>
      </w:pPr>
      <w:r>
        <w:rPr/>
        <w:t>关联交易，公司每年都经过董事会和股东大会审批，并在日常工作中予以严格执行，关联交易公平、合理，交易价格客观、</w:t>
      </w:r>
    </w:p>
    <w:p>
      <w:pPr>
        <w:pStyle w:val="BodyText"/>
        <w:spacing w:line="240" w:lineRule="auto" w:before="76"/>
        <w:ind w:right="982"/>
        <w:jc w:val="left"/>
      </w:pPr>
      <w:r>
        <w:rPr/>
        <w:t>公允。</w:t>
      </w:r>
    </w:p>
    <w:p>
      <w:pPr>
        <w:spacing w:line="240" w:lineRule="auto" w:before="3"/>
        <w:rPr>
          <w:rFonts w:ascii="宋体" w:hAnsi="宋体" w:cs="宋体" w:eastAsia="宋体" w:hint="default"/>
          <w:sz w:val="25"/>
          <w:szCs w:val="25"/>
        </w:rPr>
      </w:pPr>
    </w:p>
    <w:p>
      <w:pPr>
        <w:pStyle w:val="Heading2"/>
        <w:spacing w:line="240" w:lineRule="auto"/>
        <w:ind w:right="982"/>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982"/>
        <w:jc w:val="left"/>
      </w:pPr>
      <w:r>
        <w:rPr/>
        <w:t>公司十分重视对高级管理人员的绩效考评工作，逐步完善高级管理人员的考评与激励机制。 </w:t>
      </w:r>
      <w:r>
        <w:rPr>
          <w:spacing w:val="-2"/>
        </w:rPr>
        <w:t>公司董事会根据下达的年度经营业绩指标，对高级管理人员实行年收入与完成经营业绩指标和职工收入双挂钩办法，并</w:t>
      </w:r>
    </w:p>
    <w:p>
      <w:pPr>
        <w:pStyle w:val="BodyText"/>
        <w:spacing w:line="224" w:lineRule="exact"/>
        <w:ind w:right="982"/>
        <w:jc w:val="left"/>
      </w:pPr>
      <w:r>
        <w:rPr/>
        <w:t>按一定比例交纳风险抵押金，按年度进行考核。</w:t>
      </w:r>
    </w:p>
    <w:p>
      <w:pPr>
        <w:pStyle w:val="BodyText"/>
        <w:spacing w:line="316" w:lineRule="auto" w:before="118"/>
        <w:ind w:right="982" w:firstLine="360"/>
        <w:jc w:val="left"/>
      </w:pPr>
      <w:r>
        <w:rPr>
          <w:spacing w:val="-2"/>
        </w:rPr>
        <w:t>公司制定了奖励基金提取办法，按照提取奖励基金的有关规定提取专项奖励基金用于公司董事、监事及高级管理人员的</w:t>
      </w:r>
      <w:r>
        <w:rPr/>
        <w:t> 激励。</w:t>
      </w:r>
    </w:p>
    <w:p>
      <w:pPr>
        <w:spacing w:after="0" w:line="316"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577"/>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2"/>
        <w:jc w:val="left"/>
        <w:rPr>
          <w:b w:val="0"/>
          <w:bCs w:val="0"/>
        </w:rPr>
      </w:pPr>
      <w:r>
        <w:rPr/>
        <w:t>一、内部控制建设情况</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133" w:firstLine="36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9"/>
        </w:rPr>
        <w:t> </w:t>
      </w:r>
      <w:r>
        <w:rPr>
          <w:spacing w:val="-4"/>
        </w:rPr>
        <w:t>年，公司按照财政部等五部委联合发布的《企业内部控制基本规范》以及《企业内部控制配套指引》，结合公司实</w:t>
      </w:r>
      <w:r>
        <w:rPr/>
        <w:t> </w:t>
      </w:r>
      <w:r>
        <w:rPr>
          <w:spacing w:val="-2"/>
        </w:rPr>
        <w:t>际，制定了《内部控制规范实施工作方案》，成立了董事长任组长的内部控制体系建设领导小组，和以财务部为牵头部门，</w:t>
      </w:r>
      <w:r>
        <w:rPr>
          <w:spacing w:val="-71"/>
        </w:rPr>
        <w:t> </w:t>
      </w:r>
      <w:r>
        <w:rPr>
          <w:spacing w:val="-71"/>
        </w:rPr>
      </w:r>
      <w:r>
        <w:rPr>
          <w:spacing w:val="-2"/>
        </w:rPr>
        <w:t>各职能部门负责人作为成员的内部控制体系建设工作组。为保证内部控制规范体系建设工作专业与系统性，公司聘请北京中</w:t>
      </w:r>
      <w:r>
        <w:rPr>
          <w:spacing w:val="-64"/>
        </w:rPr>
        <w:t> </w:t>
      </w:r>
      <w:r>
        <w:rPr>
          <w:spacing w:val="-64"/>
        </w:rPr>
      </w:r>
      <w:r>
        <w:rPr/>
        <w:t>天恒管理咨询有限公司作为专业咨询机构，指导和协助公司开展内控建设工作。</w:t>
      </w:r>
    </w:p>
    <w:p>
      <w:pPr>
        <w:pStyle w:val="BodyText"/>
        <w:spacing w:line="312" w:lineRule="auto" w:before="63"/>
        <w:ind w:right="1132" w:firstLine="360"/>
        <w:jc w:val="both"/>
      </w:pPr>
      <w:r>
        <w:rPr>
          <w:spacing w:val="-2"/>
        </w:rPr>
        <w:t>咨询机构与内部控制体系建设工作组共同梳理和确认了公司内部控制规范的重要流程和关键控制点，进一步完善了内部</w:t>
      </w:r>
      <w:r>
        <w:rPr/>
        <w:t> </w:t>
      </w:r>
      <w:r>
        <w:rPr>
          <w:spacing w:val="-2"/>
        </w:rPr>
        <w:t>控制制度，形成了《内部控制手册》。该手册的有效执行，切实提高了公司管理水平与风险控制能力。同时按照《企业内部</w:t>
      </w:r>
      <w:r>
        <w:rPr>
          <w:spacing w:val="-72"/>
        </w:rPr>
        <w:t> </w:t>
      </w:r>
      <w:r>
        <w:rPr>
          <w:spacing w:val="-72"/>
        </w:rPr>
      </w:r>
      <w:r>
        <w:rPr>
          <w:spacing w:val="-2"/>
        </w:rPr>
        <w:t>控制评价指引》要求，有计划地完成了内部控制评价工作，并形成了内部控制自我评价报告。</w:t>
      </w:r>
      <w:r>
        <w:rPr>
          <w:rFonts w:ascii="Times New Roman" w:hAnsi="Times New Roman" w:cs="Times New Roman" w:eastAsia="Times New Roman" w:hint="default"/>
          <w:spacing w:val="-2"/>
        </w:rPr>
        <w:t>2013</w:t>
      </w:r>
      <w:r>
        <w:rPr>
          <w:rFonts w:ascii="Times New Roman" w:hAnsi="Times New Roman" w:cs="Times New Roman" w:eastAsia="Times New Roman" w:hint="default"/>
          <w:spacing w:val="11"/>
        </w:rPr>
        <w:t> </w:t>
      </w:r>
      <w:r>
        <w:rPr>
          <w:spacing w:val="-5"/>
        </w:rPr>
        <w:t>年，公司将不断完善《内</w:t>
      </w:r>
      <w:r>
        <w:rPr>
          <w:spacing w:val="-88"/>
        </w:rPr>
        <w:t> </w:t>
      </w:r>
      <w:r>
        <w:rPr>
          <w:spacing w:val="-88"/>
        </w:rPr>
      </w:r>
      <w:r>
        <w:rPr/>
        <w:t>部控制手册》内容，并确保其有效执行。</w:t>
      </w:r>
    </w:p>
    <w:p>
      <w:pPr>
        <w:spacing w:line="240" w:lineRule="auto" w:before="12"/>
        <w:rPr>
          <w:rFonts w:ascii="宋体" w:hAnsi="宋体" w:cs="宋体" w:eastAsia="宋体" w:hint="default"/>
          <w:sz w:val="20"/>
          <w:szCs w:val="20"/>
        </w:rPr>
      </w:pPr>
    </w:p>
    <w:p>
      <w:pPr>
        <w:pStyle w:val="Heading2"/>
        <w:spacing w:line="240" w:lineRule="auto"/>
        <w:ind w:right="982"/>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84" w:firstLine="360"/>
        <w:jc w:val="both"/>
      </w:pPr>
      <w:r>
        <w:rPr/>
        <w:t>公司目前已建立较为健全的内部控制体系，各个内控制度均得到了有效的贯彻执行</w:t>
      </w:r>
      <w:r>
        <w:rPr>
          <w:rFonts w:ascii="Times New Roman" w:hAnsi="Times New Roman" w:cs="Times New Roman" w:eastAsia="Times New Roman" w:hint="default"/>
        </w:rPr>
        <w:t>,</w:t>
      </w:r>
      <w:r>
        <w:rPr/>
        <w:t>能够适应公司现行的管理要求和发 展需要</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保证公司经营活动的有序开展</w:t>
      </w:r>
      <w:r>
        <w:rPr>
          <w:rFonts w:ascii="Times New Roman" w:hAnsi="Times New Roman" w:cs="Times New Roman" w:eastAsia="Times New Roman" w:hint="default"/>
        </w:rPr>
        <w:t>,</w:t>
      </w:r>
      <w:r>
        <w:rPr/>
        <w:t>切实维护公司全体股东的根本利益。</w:t>
      </w:r>
    </w:p>
    <w:p>
      <w:pPr>
        <w:spacing w:line="240" w:lineRule="auto" w:before="5"/>
        <w:rPr>
          <w:rFonts w:ascii="宋体" w:hAnsi="宋体" w:cs="宋体" w:eastAsia="宋体" w:hint="default"/>
          <w:sz w:val="20"/>
          <w:szCs w:val="20"/>
        </w:rPr>
      </w:pPr>
    </w:p>
    <w:p>
      <w:pPr>
        <w:pStyle w:val="Heading2"/>
        <w:spacing w:line="240" w:lineRule="auto"/>
        <w:ind w:right="982"/>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84" w:firstLine="360"/>
        <w:jc w:val="both"/>
      </w:pPr>
      <w:r>
        <w:rPr>
          <w:spacing w:val="-7"/>
        </w:rPr>
        <w:t>公司根据《会计法》、《企业会计准则》、《企业内部控制基本规范》及其指引和监管部门相关文件的要求</w:t>
      </w:r>
      <w:r>
        <w:rPr>
          <w:rFonts w:ascii="Times New Roman" w:hAnsi="Times New Roman" w:cs="Times New Roman" w:eastAsia="Times New Roman" w:hint="default"/>
          <w:spacing w:val="-7"/>
        </w:rPr>
        <w:t>,</w:t>
      </w:r>
      <w:r>
        <w:rPr>
          <w:spacing w:val="-7"/>
        </w:rPr>
        <w:t>建立了财务报</w:t>
      </w:r>
      <w:r>
        <w:rPr/>
        <w:t> 告内部控制。本年度公司财务报告内部控制不存在重大缺陷。</w:t>
      </w:r>
    </w:p>
    <w:p>
      <w:pPr>
        <w:spacing w:line="240" w:lineRule="auto" w:before="11"/>
        <w:rPr>
          <w:rFonts w:ascii="宋体" w:hAnsi="宋体" w:cs="宋体" w:eastAsia="宋体" w:hint="default"/>
          <w:sz w:val="21"/>
          <w:szCs w:val="21"/>
        </w:rPr>
      </w:pPr>
    </w:p>
    <w:p>
      <w:pPr>
        <w:pStyle w:val="Heading2"/>
        <w:spacing w:line="240" w:lineRule="auto"/>
        <w:ind w:right="982"/>
        <w:jc w:val="left"/>
        <w:rPr>
          <w:b w:val="0"/>
          <w:bCs w:val="0"/>
        </w:rPr>
      </w:pPr>
      <w:r>
        <w:rPr/>
        <w:t>四、内部控制自我评价报告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71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6"/>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年度内部控制自我评价报告》详见</w:t>
            </w:r>
            <w:r>
              <w:rPr>
                <w:rFonts w:ascii="宋体" w:hAnsi="宋体" w:cs="宋体" w:eastAsia="宋体" w:hint="default"/>
                <w:spacing w:val="-18"/>
                <w:sz w:val="18"/>
                <w:szCs w:val="18"/>
              </w:rPr>
              <w:t> </w:t>
            </w: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2"/>
        <w:rPr>
          <w:rFonts w:ascii="宋体" w:hAnsi="宋体" w:cs="宋体" w:eastAsia="宋体" w:hint="default"/>
          <w:b/>
          <w:bCs/>
          <w:sz w:val="18"/>
          <w:szCs w:val="18"/>
        </w:rPr>
      </w:pPr>
    </w:p>
    <w:p>
      <w:pPr>
        <w:pStyle w:val="Heading2"/>
        <w:spacing w:line="240" w:lineRule="auto" w:before="26"/>
        <w:ind w:right="982"/>
        <w:jc w:val="left"/>
        <w:rPr>
          <w:b w:val="0"/>
          <w:bCs w:val="0"/>
        </w:rPr>
      </w:pPr>
      <w:r>
        <w:rPr/>
        <w:t>五、内部控制审计报告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pict>
          <v:group style="position:absolute;margin-left:460.320007pt;margin-top:108.73172pt;width:135pt;height:77pt;mso-position-horizontal-relative:page;mso-position-vertical-relative:paragraph;z-index:-949264" coordorigin="9206,2175" coordsize="2700,1540">
            <v:shape style="position:absolute;left:9206;top:2175;width:2700;height:1540" type="#_x0000_t75" stroked="false">
              <v:imagedata r:id="rId16" o:title=""/>
            </v:shape>
            <v:shape style="position:absolute;left:10593;top:2535;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47</w:t>
                    </w:r>
                  </w:p>
                </w:txbxContent>
              </v:textbox>
              <w10:wrap type="none"/>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5"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4" w:right="82" w:firstLine="360"/>
              <w:jc w:val="left"/>
              <w:rPr>
                <w:rFonts w:ascii="宋体" w:hAnsi="宋体" w:cs="宋体" w:eastAsia="宋体" w:hint="default"/>
                <w:sz w:val="18"/>
                <w:szCs w:val="18"/>
              </w:rPr>
            </w:pPr>
            <w:r>
              <w:rPr>
                <w:rFonts w:ascii="宋体" w:hAnsi="宋体" w:cs="宋体" w:eastAsia="宋体" w:hint="default"/>
                <w:sz w:val="18"/>
                <w:szCs w:val="18"/>
              </w:rPr>
              <w:t>我们认为，常山纺织公司于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 效的财务报告内部控制。</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年度内部控制审计报告》详见</w:t>
            </w:r>
            <w:r>
              <w:rPr>
                <w:rFonts w:ascii="宋体" w:hAnsi="宋体" w:cs="宋体" w:eastAsia="宋体" w:hint="default"/>
                <w:spacing w:val="-20"/>
                <w:sz w:val="18"/>
                <w:szCs w:val="18"/>
              </w:rPr>
              <w:t> </w:t>
            </w: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headerReference w:type="default" r:id="rId34"/>
          <w:footerReference w:type="default" r:id="rId35"/>
          <w:pgSz w:w="11910" w:h="16840"/>
          <w:pgMar w:header="877" w:footer="0" w:top="1060" w:bottom="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t>会计师事务所是否出具非标准意见的内部控制审计报告</w:t>
      </w:r>
    </w:p>
    <w:p>
      <w:pPr>
        <w:pStyle w:val="BodyText"/>
        <w:spacing w:line="338" w:lineRule="auto" w:before="117"/>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会计师事务所出具的内部控制审计报告与董事会的自我评价报告意见是否一致</w:t>
      </w:r>
    </w:p>
    <w:p>
      <w:pPr>
        <w:pStyle w:val="BodyText"/>
        <w:spacing w:line="240" w:lineRule="auto" w:before="43"/>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8" w:firstLine="360"/>
        <w:jc w:val="both"/>
      </w:pPr>
      <w:r>
        <w:rPr>
          <w:spacing w:val="-1"/>
        </w:rPr>
        <w:t>根据中国证监会《关于做好上市公司</w:t>
      </w:r>
      <w:r>
        <w:rPr/>
        <w:t> </w:t>
      </w:r>
      <w:r>
        <w:rPr>
          <w:rFonts w:ascii="Times New Roman" w:hAnsi="Times New Roman" w:cs="Times New Roman" w:eastAsia="Times New Roman" w:hint="default"/>
        </w:rPr>
        <w:t>2009 </w:t>
      </w:r>
      <w:r>
        <w:rPr>
          <w:spacing w:val="-5"/>
        </w:rPr>
        <w:t>年年度报告及相关工作的公告》（证监会公告［</w:t>
      </w:r>
      <w:r>
        <w:rPr>
          <w:rFonts w:ascii="Times New Roman" w:hAnsi="Times New Roman" w:cs="Times New Roman" w:eastAsia="Times New Roman" w:hint="default"/>
          <w:spacing w:val="-5"/>
        </w:rPr>
        <w:t>2009</w:t>
      </w:r>
      <w:r>
        <w:rPr>
          <w:spacing w:val="-5"/>
        </w:rPr>
        <w:t>］</w:t>
      </w:r>
      <w:r>
        <w:rPr>
          <w:rFonts w:ascii="Times New Roman" w:hAnsi="Times New Roman" w:cs="Times New Roman" w:eastAsia="Times New Roman" w:hint="default"/>
          <w:spacing w:val="-5"/>
        </w:rPr>
        <w:t>34</w:t>
      </w:r>
      <w:r>
        <w:rPr>
          <w:rFonts w:ascii="Times New Roman" w:hAnsi="Times New Roman" w:cs="Times New Roman" w:eastAsia="Times New Roman" w:hint="default"/>
          <w:spacing w:val="-6"/>
        </w:rPr>
        <w:t> </w:t>
      </w:r>
      <w:r>
        <w:rPr>
          <w:spacing w:val="-12"/>
        </w:rPr>
        <w:t>号）、深圳证券交易</w:t>
      </w:r>
      <w:r>
        <w:rPr/>
        <w:t> </w:t>
      </w:r>
      <w:r>
        <w:rPr>
          <w:spacing w:val="-3"/>
        </w:rPr>
        <w:t>所《关于做好上市公司</w:t>
      </w:r>
      <w:r>
        <w:rPr>
          <w:spacing w:val="-3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spacing w:val="-3"/>
        </w:rPr>
        <w:t>年年度报告工作的通知》和河北证监局《关于做好辖区上市公司</w:t>
      </w:r>
      <w:r>
        <w:rPr>
          <w:spacing w:val="-3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年年度报告相关工作的通 </w:t>
      </w:r>
      <w:r>
        <w:rPr>
          <w:spacing w:val="-7"/>
        </w:rPr>
        <w:t>知》（冀证监发［</w:t>
      </w:r>
      <w:r>
        <w:rPr>
          <w:rFonts w:ascii="Times New Roman" w:hAnsi="Times New Roman" w:cs="Times New Roman" w:eastAsia="Times New Roman" w:hint="default"/>
          <w:spacing w:val="-7"/>
        </w:rPr>
        <w:t>2010</w:t>
      </w:r>
      <w:r>
        <w:rPr>
          <w:spacing w:val="-7"/>
        </w:rPr>
        <w:t>］</w:t>
      </w:r>
      <w:r>
        <w:rPr>
          <w:rFonts w:ascii="Times New Roman" w:hAnsi="Times New Roman" w:cs="Times New Roman" w:eastAsia="Times New Roman" w:hint="default"/>
          <w:spacing w:val="-7"/>
        </w:rPr>
        <w:t>4</w:t>
      </w:r>
      <w:r>
        <w:rPr>
          <w:rFonts w:ascii="Times New Roman" w:hAnsi="Times New Roman" w:cs="Times New Roman" w:eastAsia="Times New Roman" w:hint="default"/>
        </w:rPr>
        <w:t> </w:t>
      </w:r>
      <w:r>
        <w:rPr>
          <w:spacing w:val="-1"/>
        </w:rPr>
        <w:t>号）等文件要求，为进一步完善信息披露管理制度，加大对年报信息披露责任人的问责力度，提</w:t>
      </w:r>
      <w:r>
        <w:rPr>
          <w:spacing w:val="-42"/>
        </w:rPr>
        <w:t> </w:t>
      </w:r>
      <w:r>
        <w:rPr>
          <w:spacing w:val="-42"/>
        </w:rPr>
      </w:r>
      <w:r>
        <w:rPr>
          <w:spacing w:val="-2"/>
        </w:rPr>
        <w:t>高年报信息披露质量和透明度，公司结合自身实际情况，制定了《年报信息披露重大差错责任追究制度》。</w:t>
      </w:r>
    </w:p>
    <w:p>
      <w:pPr>
        <w:pStyle w:val="BodyText"/>
        <w:spacing w:line="240" w:lineRule="auto" w:before="70"/>
        <w:ind w:left="513" w:right="982"/>
        <w:jc w:val="left"/>
      </w:pPr>
      <w:r>
        <w:rPr/>
        <w:t>报告期内，公司在披露</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年年度报告过程中未发生虚假记载、误导性陈述或者重大遗漏事项。</w:t>
      </w:r>
    </w:p>
    <w:p>
      <w:pPr>
        <w:spacing w:after="0" w:line="240" w:lineRule="auto"/>
        <w:jc w:val="left"/>
        <w:sectPr>
          <w:footerReference w:type="default" r:id="rId36"/>
          <w:pgSz w:w="11910" w:h="16840"/>
          <w:pgMar w:footer="1279" w:header="877" w:top="1060" w:bottom="1460" w:left="980" w:right="0"/>
          <w:pgNumType w:start="4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577"/>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2"/>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中兴财光华会计师事务所有限责任公司</w:t>
            </w:r>
          </w:p>
        </w:tc>
      </w:tr>
      <w:tr>
        <w:trPr>
          <w:trHeight w:val="401" w:hRule="exact"/>
        </w:trPr>
        <w:tc>
          <w:tcPr>
            <w:tcW w:w="4783"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中兴财光华审会字（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pStyle w:val="BodyText"/>
        <w:spacing w:line="240" w:lineRule="auto" w:before="49"/>
        <w:ind w:left="2601" w:right="3579"/>
        <w:jc w:val="center"/>
      </w:pPr>
      <w:r>
        <w:rPr/>
        <w:t>审计报告正文</w:t>
      </w:r>
    </w:p>
    <w:p>
      <w:pPr>
        <w:pStyle w:val="BodyText"/>
        <w:spacing w:line="240" w:lineRule="auto" w:before="118"/>
        <w:ind w:right="982"/>
        <w:jc w:val="left"/>
      </w:pPr>
      <w:r>
        <w:rPr/>
        <w:t>石家庄常山纺织股份有限公司全体股东：</w:t>
      </w:r>
    </w:p>
    <w:p>
      <w:pPr>
        <w:pStyle w:val="BodyText"/>
        <w:spacing w:line="300" w:lineRule="auto" w:before="76"/>
        <w:ind w:right="1130" w:firstLine="288"/>
        <w:jc w:val="both"/>
      </w:pPr>
      <w:r>
        <w:rPr>
          <w:spacing w:val="-1"/>
        </w:rPr>
        <w:t>我们审计了后附的石家庄常山纺织股份有限公司（以下简称常山纺织公司）财务报表，包括</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w:t>
      </w:r>
      <w:r>
        <w:rPr/>
        <w:t> </w:t>
      </w:r>
      <w:r>
        <w:rPr>
          <w:spacing w:val="-2"/>
        </w:rPr>
        <w:t>公司资产负债表，</w:t>
      </w:r>
      <w:r>
        <w:rPr>
          <w:rFonts w:ascii="Times New Roman" w:hAnsi="Times New Roman" w:cs="Times New Roman" w:eastAsia="Times New Roman" w:hint="default"/>
          <w:spacing w:val="-2"/>
        </w:rPr>
        <w:t>2012</w:t>
      </w:r>
      <w:r>
        <w:rPr>
          <w:spacing w:val="-2"/>
        </w:rPr>
        <w:t>年度的合并及母公司利润表、合并及母公司现金流量表、合并及母公司股东权益变动表以及财务报表</w:t>
      </w:r>
      <w:r>
        <w:rPr>
          <w:spacing w:val="-60"/>
        </w:rPr>
        <w:t> </w:t>
      </w:r>
      <w:r>
        <w:rPr>
          <w:spacing w:val="-60"/>
        </w:rPr>
      </w:r>
      <w:r>
        <w:rPr/>
        <w:t>附注。</w:t>
      </w:r>
    </w:p>
    <w:p>
      <w:pPr>
        <w:spacing w:line="316" w:lineRule="auto" w:before="31"/>
        <w:ind w:left="585" w:right="1030" w:hanging="433"/>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3"/>
          <w:sz w:val="18"/>
          <w:szCs w:val="18"/>
        </w:rPr>
        <w:t>编制和公允列报财务报表是常山纺织公司管理层的责任，这种责任包括：（</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）按照企业会计准则的规定编制财务报表，</w:t>
      </w:r>
    </w:p>
    <w:p>
      <w:pPr>
        <w:pStyle w:val="BodyText"/>
        <w:spacing w:line="300" w:lineRule="auto"/>
        <w:ind w:right="1304"/>
        <w:jc w:val="left"/>
        <w:rPr>
          <w:rFonts w:ascii="宋体" w:hAnsi="宋体" w:cs="宋体" w:eastAsia="宋体" w:hint="default"/>
        </w:rPr>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rPr>
      </w:r>
    </w:p>
    <w:p>
      <w:pPr>
        <w:pStyle w:val="BodyText"/>
        <w:spacing w:line="316" w:lineRule="auto" w:before="31"/>
        <w:ind w:right="1133" w:firstLine="504"/>
        <w:jc w:val="both"/>
      </w:pPr>
      <w:r>
        <w:rPr>
          <w:spacing w:val="-1"/>
        </w:rPr>
        <w:t>我们的责任是在执行审计工作的基础上对财务报表发表审计意见。我们按照中国注册会计师审计准则的规定执行了审</w:t>
      </w:r>
      <w:r>
        <w:rPr/>
        <w:t> </w:t>
      </w:r>
      <w:r>
        <w:rPr>
          <w:spacing w:val="-2"/>
        </w:rPr>
        <w:t>计工作。中国注册会计师审计准则要求我们遵守职业道德守则，计划和执行审计工作以对财务报表是否不存在重大错报获取</w:t>
      </w:r>
      <w:r>
        <w:rPr>
          <w:spacing w:val="-64"/>
        </w:rPr>
        <w:t> </w:t>
      </w:r>
      <w:r>
        <w:rPr>
          <w:spacing w:val="-64"/>
        </w:rPr>
      </w:r>
      <w:r>
        <w:rPr/>
        <w:t>合理保证。</w:t>
      </w:r>
    </w:p>
    <w:p>
      <w:pPr>
        <w:pStyle w:val="BodyText"/>
        <w:spacing w:line="316" w:lineRule="auto" w:before="19"/>
        <w:ind w:right="982" w:firstLine="432"/>
        <w:jc w:val="left"/>
      </w:pPr>
      <w:r>
        <w:rPr>
          <w:spacing w:val="-2"/>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2"/>
        </w:rPr>
        <w:t> </w:t>
      </w:r>
      <w:r>
        <w:rPr>
          <w:spacing w:val="-62"/>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pStyle w:val="BodyText"/>
        <w:spacing w:line="316" w:lineRule="auto" w:before="19"/>
        <w:ind w:right="4022" w:firstLine="432"/>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19"/>
        <w:ind w:right="1142" w:firstLine="432"/>
        <w:jc w:val="left"/>
      </w:pPr>
      <w:r>
        <w:rPr/>
        <w:t>我们认为，常山纺织公司财务报表在所有重大方面按照企业会计准则的规定编制，公允反映了常山纺织公司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31</w:t>
      </w:r>
      <w:r>
        <w:rPr/>
        <w:t>日合并及母公司的财务状况以及</w:t>
      </w:r>
      <w:r>
        <w:rPr>
          <w:rFonts w:ascii="Times New Roman" w:hAnsi="Times New Roman" w:cs="Times New Roman" w:eastAsia="Times New Roman" w:hint="default"/>
        </w:rPr>
        <w:t>2012</w:t>
      </w:r>
      <w:r>
        <w:rPr>
          <w:rFonts w:ascii="Times New Roman" w:hAnsi="Times New Roman" w:cs="Times New Roman" w:eastAsia="Times New Roman" w:hint="default"/>
          <w:spacing w:val="24"/>
        </w:rPr>
        <w:t> </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279" w:top="1060" w:bottom="1460" w:left="980" w:right="0"/>
        </w:sectPr>
      </w:pPr>
    </w:p>
    <w:p>
      <w:pPr>
        <w:pStyle w:val="BodyText"/>
        <w:spacing w:line="636" w:lineRule="auto" w:before="44"/>
        <w:ind w:left="1593" w:right="-18" w:hanging="360"/>
        <w:jc w:val="left"/>
      </w:pPr>
      <w:r>
        <w:rPr/>
        <w:t>中兴财光华会计师事务所 有限责任公司 </w:t>
      </w:r>
      <w:r>
        <w:rPr>
          <w:spacing w:val="-3"/>
        </w:rPr>
        <w:t>中国</w:t>
      </w:r>
      <w:r>
        <w:rPr>
          <w:rFonts w:ascii="Times New Roman" w:hAnsi="Times New Roman" w:cs="Times New Roman" w:eastAsia="Times New Roman" w:hint="default"/>
          <w:spacing w:val="-3"/>
        </w:rPr>
        <w:t>·</w:t>
      </w:r>
      <w:r>
        <w:rPr>
          <w:spacing w:val="-3"/>
        </w:rPr>
        <w:t>石家庄</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636" w:lineRule="auto" w:before="121"/>
        <w:ind w:left="1233" w:right="2921"/>
        <w:jc w:val="left"/>
      </w:pPr>
      <w:r>
        <w:rPr/>
        <w:t>中国注册会计师：姚庚春 中国注册会计师：王飞</w:t>
      </w:r>
    </w:p>
    <w:p>
      <w:pPr>
        <w:spacing w:after="0" w:line="636" w:lineRule="auto"/>
        <w:jc w:val="left"/>
        <w:sectPr>
          <w:type w:val="continuous"/>
          <w:pgSz w:w="11910" w:h="16840"/>
          <w:pgMar w:top="1060" w:bottom="1540" w:left="980" w:right="0"/>
          <w:cols w:num="2" w:equalWidth="0">
            <w:col w:w="3216" w:space="1556"/>
            <w:col w:w="6158"/>
          </w:cols>
        </w:sectPr>
      </w:pPr>
    </w:p>
    <w:p>
      <w:pPr>
        <w:pStyle w:val="BodyText"/>
        <w:spacing w:line="240" w:lineRule="auto" w:before="46"/>
        <w:ind w:left="6094" w:right="982"/>
        <w:jc w:val="left"/>
      </w:pPr>
      <w:r>
        <w:rPr/>
        <w:t>二</w:t>
      </w:r>
      <w:r>
        <w:rPr>
          <w:rFonts w:ascii="Times New Roman" w:hAnsi="Times New Roman" w:cs="Times New Roman" w:eastAsia="Times New Roman" w:hint="default"/>
        </w:rPr>
        <w:t>○</w:t>
      </w:r>
      <w:r>
        <w:rPr/>
        <w:t>一三年四月二十四日</w:t>
      </w:r>
    </w:p>
    <w:p>
      <w:pPr>
        <w:spacing w:line="240" w:lineRule="auto" w:before="3"/>
        <w:rPr>
          <w:rFonts w:ascii="宋体" w:hAnsi="宋体" w:cs="宋体" w:eastAsia="宋体" w:hint="default"/>
          <w:sz w:val="22"/>
          <w:szCs w:val="22"/>
        </w:rPr>
      </w:pPr>
    </w:p>
    <w:p>
      <w:pPr>
        <w:pStyle w:val="Heading2"/>
        <w:spacing w:line="240" w:lineRule="auto" w:before="26"/>
        <w:ind w:right="982"/>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财务附注中报表的单位为：人民币元</w:t>
      </w:r>
    </w:p>
    <w:p>
      <w:pPr>
        <w:spacing w:after="0" w:line="240" w:lineRule="auto"/>
        <w:jc w:val="left"/>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编制单位：石家庄常山纺织股份有限公司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812,518,423.01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622,850,267.43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1,635,043.00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52,708,167.55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35,368,146.11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62,562,173.12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81,063,196.57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931,116,982.67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963,898,035.45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873,161.46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2,066,140.47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59,022,226.13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57,601,939.65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1,155,569,008.33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1,003,892,395.89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2,118,880.13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2,118,880.13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3,076,489,022.40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2,770,494,044.70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15,797,848.30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14,326,793.60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38,652,615.79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43,276,552.73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183,949,854.21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188,760,689.37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1,667,203,262.46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1,497,737,214.72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492,974,656.62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605,496,934.74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201,824.21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98,321.06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28,486,882.28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13,278,460.03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9"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203,339,120.76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150,764,845.37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2,214,281.77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361,588.92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7,557,568.00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6,518,167.20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2,640,377,914.40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2,520,619,567.74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5,716,866,936.80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5,291,113,612.44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1,520,417,697.95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1,519,044,639.95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286,075,962.87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274,933,118.07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429,660,836.94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459,999,846.38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17,016,906.90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13,452,311.87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-40,186,320.65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-828,521.97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42,261,639.51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1,862,740.36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468,422.13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468,422.13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34,108,624.16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52,858,164.38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276,162,329.58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515,013,125.90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2,585,986,099.39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2,836,803,847.07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279"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12,943,000.00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621,952,566.67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2,664,619.70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2,296,856.03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68,376,134.83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24,220,980.07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703,228,321.20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39,460,836.10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3,289,214,420.59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2,876,264,683.17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718,861,000.00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718,861,000.00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1,119,148,043.44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1,118,044,752.41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182,724,046.12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181,344,961.32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406,307,769.73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395,923,711.70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2,427,040,859.29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2,414,174,425.43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611,656.92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674,503.84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2,427,652,516.21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2,414,848,929.27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5,716,866,936.80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5,291,113,612.44</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982"/>
        <w:jc w:val="left"/>
      </w:pPr>
      <w:r>
        <w:rPr/>
        <w:t>法定代表人：汤彰明</w:t>
        <w:tab/>
      </w:r>
      <w:r>
        <w:rPr>
          <w:spacing w:val="-1"/>
        </w:rPr>
        <w:t>主管会计工作负责人：赵英涛</w:t>
        <w:tab/>
      </w:r>
      <w:r>
        <w:rPr/>
        <w:t>会计机构负责人：曹金霞</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编制单位：石家庄常山纺织股份有限公司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3"/>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763,764,758.13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578,667,622.97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8"/>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1,635,043.00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45,024,918.61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22,310,669.14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46,249,783.03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115,789,202.26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9"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1,123,297,634.80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842,229,311.94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873,161.46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2,066,140.47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842,996.72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842,996.72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62,618,763.35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56,422,979.14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955,453,562.31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858,677,436.56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1,786,365.87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1,786,365.87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2,999,911,944.28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2,480,427,768.07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15,797,848.30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14,326,793.60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310,707,091.93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315,331,028.87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183,949,854.21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188,760,689.37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1,277,733,683.31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1,062,930,522.11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421,319,274.97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586,348,323.91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201,824.21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98,321.06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21,422,130.48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7,824,639.62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156,080,819.56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102,309,311.02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6,856,232.42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6,208,831.22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2,394,068,759.39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2,284,138,460.78</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5,393,980,703.67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4,764,566,228.85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1,322,700,000.00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1,329,569,650.54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243,113,904.24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269,544,757.05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427,959,431.30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196,674,533.14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9"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15,863,378.71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11,522,813.09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-43,889,836.56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-4,246,056.11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41,471,500.00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1,862,740.36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107,137.82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107,137.82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28,205,852.90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36,309,696.20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276,147,829.58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514,998,625.90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2,311,679,197.99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2,356,343,897.99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10,235,000.00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12,943,000.00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621,952,566.67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2,664,619.70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2,296,856.03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68,231,134.83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24,061,480.07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703,083,321.20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39,301,336.10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3,014,762,519.19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2,395,645,234.09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718,861,000.00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718,861,000.00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1,119,186,901.90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1,118,083,610.87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176,481,092.86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175,102,008.06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364,689,189.72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356,874,375.83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2,379,218,184.48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2,368,920,994.76</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5,393,980,703.67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4,764,566,228.85</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982"/>
        <w:jc w:val="left"/>
      </w:pPr>
      <w:r>
        <w:rPr/>
        <w:t>法定代表人：汤彰明</w:t>
        <w:tab/>
      </w:r>
      <w:r>
        <w:rPr>
          <w:spacing w:val="-1"/>
        </w:rPr>
        <w:t>主管会计工作负责人：赵英涛</w:t>
        <w:tab/>
      </w:r>
      <w:r>
        <w:rPr/>
        <w:t>会计机构负责人：曹金霞</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编制单位：石家庄常山纺织股份有限公司</w:t>
      </w:r>
    </w:p>
    <w:p>
      <w:pPr>
        <w:spacing w:after="0" w:line="240" w:lineRule="auto"/>
        <w:jc w:val="left"/>
        <w:sectPr>
          <w:pgSz w:w="11910" w:h="16840"/>
          <w:pgMar w:header="877" w:footer="1279" w:top="1060" w:bottom="1460" w:left="980" w:right="0"/>
        </w:sectPr>
      </w:pPr>
    </w:p>
    <w:p>
      <w:pPr>
        <w:spacing w:line="240" w:lineRule="auto" w:before="9"/>
        <w:rPr>
          <w:rFonts w:ascii="宋体" w:hAnsi="宋体" w:cs="宋体" w:eastAsia="宋体" w:hint="default"/>
          <w:sz w:val="25"/>
          <w:szCs w:val="25"/>
        </w:rPr>
      </w:pPr>
      <w:r>
        <w:rPr/>
        <w:pict>
          <v:group style="position:absolute;margin-left:460.320007pt;margin-top:764.919983pt;width:135pt;height:77pt;mso-position-horizontal-relative:page;mso-position-vertical-relative:page;z-index:-949216" coordorigin="9206,15298" coordsize="2700,1540">
            <v:shape style="position:absolute;left:9206;top:15298;width:2700;height:1540" type="#_x0000_t75" stroked="false">
              <v:imagedata r:id="rId16"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55</w:t>
                    </w:r>
                  </w:p>
                </w:txbxContent>
              </v:textbox>
              <w10:wrap type="none"/>
            </v:shape>
            <w10:wrap type="none"/>
          </v:group>
        </w:pict>
      </w: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5,022,514,228.58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4,704,883,647.70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5,022,514,228.58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4,704,883,647.70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5,149,707,713.94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4,735,110,090.86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4,766,399,395.27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4,449,268,161.41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17,717,255.41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16,219,629.60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59,280,209.82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57,309,874.73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175,059,614.77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130,506,617.64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119,230,036.40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79,899,665.01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12,021,202.27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1,906,142.47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157,325.00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-157,325.00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5,108,854.30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3,432,682.14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-121,927,306.06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-26,951,086.02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140,852,419.48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89,653,288.70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3,019,503.84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706,444.32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2,786,564.99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432,882.99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15,905,609.58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61,995,758.36</w:t>
            </w:r>
          </w:p>
        </w:tc>
      </w:tr>
    </w:tbl>
    <w:p>
      <w:pPr>
        <w:spacing w:after="0" w:line="240" w:lineRule="auto"/>
        <w:jc w:val="right"/>
        <w:rPr>
          <w:rFonts w:ascii="Times New Roman" w:hAnsi="Times New Roman" w:cs="Times New Roman" w:eastAsia="Times New Roman" w:hint="default"/>
          <w:sz w:val="18"/>
          <w:szCs w:val="18"/>
        </w:rPr>
        <w:sectPr>
          <w:headerReference w:type="default" r:id="rId37"/>
          <w:footerReference w:type="default" r:id="rId38"/>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4,205,313.67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4,805,855.21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11,700,295.91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57,189,903.15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11,763,142.83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57,284,042.20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-62,846.92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-94,139.05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1,103,291.03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-1,203,591.33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12,803,586.94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55,986,311.82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12,866,433.86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56,080,450.87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-62,846.92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-94,139.05</w:t>
            </w:r>
          </w:p>
        </w:tc>
      </w:tr>
    </w:tbl>
    <w:p>
      <w:pPr>
        <w:pStyle w:val="BodyText"/>
        <w:spacing w:line="240" w:lineRule="auto" w:before="49"/>
        <w:ind w:right="982"/>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578" w:val="left" w:leader="none"/>
          <w:tab w:pos="7721" w:val="left" w:leader="none"/>
        </w:tabs>
        <w:spacing w:line="240" w:lineRule="auto" w:before="138"/>
        <w:ind w:right="982"/>
        <w:jc w:val="left"/>
      </w:pPr>
      <w:r>
        <w:rPr/>
        <w:t>法定代表人：汤彰明</w:t>
        <w:tab/>
      </w:r>
      <w:r>
        <w:rPr>
          <w:spacing w:val="-1"/>
        </w:rPr>
        <w:t>主管会计工作负责人：赵英涛</w:t>
        <w:tab/>
      </w:r>
      <w:r>
        <w:rPr/>
        <w:t>会计机构负责人：曹金霞</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编制单位：石家庄常山纺织股份有限公司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3,634,166,593.91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3,614,281,970.85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3,444,738,306.98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3,429,607,451.84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15,140,717.48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13,190,245.47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28,581,126.26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25,548,307.12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150,040,658.73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105,018,413.08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110,038,607.22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69,164,205.77</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11,085,698.66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4,762,233.34</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157,325.00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-157,325.00</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5,108,854.30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-5,489,581.02</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-120,192,342.12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-38,655,791.79</w:t>
            </w:r>
          </w:p>
        </w:tc>
      </w:tr>
    </w:tbl>
    <w:p>
      <w:pPr>
        <w:spacing w:after="0" w:line="240" w:lineRule="auto"/>
        <w:jc w:val="right"/>
        <w:rPr>
          <w:rFonts w:ascii="Times New Roman" w:hAnsi="Times New Roman" w:cs="Times New Roman" w:eastAsia="Times New Roman" w:hint="default"/>
          <w:sz w:val="18"/>
          <w:szCs w:val="18"/>
        </w:rPr>
        <w:sectPr>
          <w:footerReference w:type="default" r:id="rId39"/>
          <w:pgSz w:w="11910" w:h="16840"/>
          <w:pgMar w:footer="1338" w:header="877" w:top="1060" w:bottom="1520" w:left="980" w:right="0"/>
          <w:pgNumType w:start="56"/>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130,623,324.80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85,368,659.26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1,884,485.19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461,435.34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1,880,595.34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12,725.57</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8,546,497.49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46,251,432.13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-647,401.20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1,296,512.33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9,193,898.69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44,954,919.80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1,103,291.03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-1,203,591.33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10,297,189.72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43,751,328.47</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982"/>
        <w:jc w:val="left"/>
      </w:pPr>
      <w:r>
        <w:rPr/>
        <w:t>法定代表人：汤彰明</w:t>
        <w:tab/>
      </w:r>
      <w:r>
        <w:rPr>
          <w:spacing w:val="-1"/>
        </w:rPr>
        <w:t>主管会计工作负责人：赵英涛</w:t>
        <w:tab/>
      </w:r>
      <w:r>
        <w:rPr/>
        <w:t>会计机构负责人：曹金霞</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编制单位：石家庄常山纺织股份有限公司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5,546,433,796.59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5,747,009,961.68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53,783,334.72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38,887,690.64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71,531,095.40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49,360,487.97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38"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5,671,748,226.71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5,835,258,140.29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5,095,187,530.87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5,354,089,837.44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503,953,642.21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475,996,396.28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158,843,210.48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159,681,395.89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34,935,998.11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25,223,848.06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5,792,920,381.67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6,014,991,477.67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-121,172,154.96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-179,733,337.38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8,142,187.63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4,283,785.46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3"/>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151,046,055.04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165,450,620.00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3,839,346.81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5,395,930.00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259,188,242.67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178,969,682.27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3"/>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153,976,423.89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377,653,973.99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2,604,737.00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253,976,423.89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380,258,710.99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5,211,818.78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-201,289,028.72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38" w:top="1060" w:bottom="15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949168" coordorigin="9206,15298" coordsize="2700,1540">
            <v:shape style="position:absolute;left:9206;top:15298;width:2700;height:1540" type="#_x0000_t75" stroked="false">
              <v:imagedata r:id="rId16"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59</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2,154,811,432.11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2,261,056,805.31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619,920,000.00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277,447,490.46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519,540,600.00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3,052,178,922.57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2,780,597,405.31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2,156,146,374.11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2,204,213,992.35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95,900,520.82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115,970,133.61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501,312,600.00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412,151,535.70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2,753,359,494.93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2,732,335,661.66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298,819,427.64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48,261,743.65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182,859,091.46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-332,760,622.45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551,014,883.95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883,775,506.40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733,873,975.41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551,014,883.95</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982"/>
        <w:jc w:val="left"/>
      </w:pPr>
      <w:r>
        <w:rPr/>
        <w:t>法定代表人：汤彰明</w:t>
        <w:tab/>
      </w:r>
      <w:r>
        <w:rPr>
          <w:spacing w:val="-1"/>
        </w:rPr>
        <w:t>主管会计工作负责人：赵英涛</w:t>
        <w:tab/>
      </w:r>
      <w:r>
        <w:rPr/>
        <w:t>会计机构负责人：曹金霞</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编制单位：石家庄常山纺织股份有限公司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4,184,070,246.41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4,222,782,518.49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235,053.30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7,075,201.14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78,267,915.74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59,171,270.86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4,262,573,215.45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4,289,028,990.49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3,785,487,938.86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3,896,121,949.78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452,585,321.06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429,186,810.26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127,328,302.99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121,097,884.52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26,421,056.76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20,728,594.11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4,391,822,619.67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4,467,135,238.67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-129,249,404.22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-178,106,248.18</w:t>
            </w:r>
          </w:p>
        </w:tc>
      </w:tr>
    </w:tbl>
    <w:p>
      <w:pPr>
        <w:spacing w:after="0" w:line="240" w:lineRule="auto"/>
        <w:jc w:val="right"/>
        <w:rPr>
          <w:rFonts w:ascii="Times New Roman" w:hAnsi="Times New Roman" w:cs="Times New Roman" w:eastAsia="Times New Roman" w:hint="default"/>
          <w:sz w:val="18"/>
          <w:szCs w:val="18"/>
        </w:rPr>
        <w:sectPr>
          <w:headerReference w:type="default" r:id="rId40"/>
          <w:footerReference w:type="default" r:id="rId41"/>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8,142,187.63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4,283,785.46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149,124,899.38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163,400,620.00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18,743,805.00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5,395,930.00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257,267,087.01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191,824,140.46</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146,389,938.08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373,983,152.40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1,792,368.00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246,389,938.08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419,775,520.40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10,877,148.93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-227,951,379.94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1,673,617,348.88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1,827,303,272.60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619,920,000.00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277,447,490.46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509,430,000.00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2,570,984,839.34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2,336,733,272.60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1,683,194,999.42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1,748,381,556.13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83,698,040.57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97,434,284.80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501,312,600.00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403,624,045.24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2,268,205,639.99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2,249,439,886.17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302,779,199.35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87,293,386.43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184,406,944.06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-318,764,241.69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525,509,426.37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844,273,668.06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709,916,370.43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525,509,426.37</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982"/>
        <w:jc w:val="left"/>
      </w:pPr>
      <w:r>
        <w:rPr/>
        <w:pict>
          <v:group style="position:absolute;margin-left:460.320007pt;margin-top:22.735722pt;width:135pt;height:77pt;mso-position-horizontal-relative:page;mso-position-vertical-relative:paragraph;z-index:2128" coordorigin="9206,455" coordsize="2700,1540">
            <v:shape style="position:absolute;left:9206;top:455;width:2700;height:1540" type="#_x0000_t75" stroked="false">
              <v:imagedata r:id="rId16" o:title=""/>
            </v:shape>
            <v:shape style="position:absolute;left:10593;top:815;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60</w:t>
                    </w:r>
                  </w:p>
                </w:txbxContent>
              </v:textbox>
              <w10:wrap type="none"/>
            </v:shape>
            <w10:wrap type="none"/>
          </v:group>
        </w:pict>
      </w:r>
      <w:r>
        <w:rPr/>
        <w:t>法定代表人：汤彰明</w:t>
        <w:tab/>
      </w:r>
      <w:r>
        <w:rPr>
          <w:spacing w:val="-1"/>
        </w:rPr>
        <w:t>主管会计工作负责人：赵英涛</w:t>
        <w:tab/>
      </w:r>
      <w:r>
        <w:rPr/>
        <w:t>会计机构负责人：曹金霞</w:t>
      </w:r>
    </w:p>
    <w:p>
      <w:pPr>
        <w:spacing w:after="0" w:line="240" w:lineRule="auto"/>
        <w:jc w:val="left"/>
        <w:sectPr>
          <w:headerReference w:type="default" r:id="rId42"/>
          <w:footerReference w:type="default" r:id="rId43"/>
          <w:pgSz w:w="11910" w:h="16840"/>
          <w:pgMar w:header="877" w:footer="0" w:top="1060" w:bottom="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headerReference w:type="default" r:id="rId44"/>
          <w:footerReference w:type="default" r:id="rId45"/>
          <w:pgSz w:w="11910" w:h="16840"/>
          <w:pgMar w:header="877" w:footer="0" w:top="1060" w:bottom="0" w:left="980" w:right="0"/>
        </w:sectPr>
      </w:pPr>
    </w:p>
    <w:p>
      <w:pPr>
        <w:pStyle w:val="BodyText"/>
        <w:spacing w:line="357" w:lineRule="auto" w:before="44"/>
        <w:ind w:right="-20"/>
        <w:jc w:val="left"/>
      </w:pPr>
      <w:r>
        <w:rPr/>
        <w:t>编制单位：石家庄常山纺织股份有限公司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3393" w:space="5527"/>
            <w:col w:w="2010"/>
          </w:cols>
        </w:sectPr>
      </w:pPr>
    </w:p>
    <w:p>
      <w:pPr>
        <w:spacing w:line="240" w:lineRule="auto" w:before="4"/>
        <w:rPr>
          <w:rFonts w:ascii="宋体" w:hAnsi="宋体" w:cs="宋体" w:eastAsia="宋体" w:hint="default"/>
          <w:sz w:val="8"/>
          <w:szCs w:val="8"/>
        </w:rPr>
      </w:pPr>
      <w:r>
        <w:rPr/>
        <w:pict>
          <v:group style="position:absolute;margin-left:460.320007pt;margin-top:764.919983pt;width:135pt;height:77pt;mso-position-horizontal-relative:page;mso-position-vertical-relative:page;z-index:-949072" coordorigin="9206,15298" coordsize="2700,1540">
            <v:shape style="position:absolute;left:9206;top:15298;width:2700;height:1540" type="#_x0000_t75" stroked="false">
              <v:imagedata r:id="rId16"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61</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1,118,04</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4,752.41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181,344</w:t>
            </w:r>
          </w:p>
          <w:p>
            <w:pPr>
              <w:pStyle w:val="TableParagraph"/>
              <w:spacing w:line="240" w:lineRule="auto" w:before="105"/>
              <w:ind w:left="113" w:right="0"/>
              <w:jc w:val="left"/>
              <w:rPr>
                <w:rFonts w:ascii="Times New Roman" w:hAnsi="Times New Roman" w:cs="Times New Roman" w:eastAsia="Times New Roman" w:hint="default"/>
                <w:sz w:val="18"/>
                <w:szCs w:val="18"/>
              </w:rPr>
            </w:pPr>
            <w:r>
              <w:rPr>
                <w:rFonts w:ascii="Times New Roman"/>
                <w:sz w:val="18"/>
              </w:rPr>
              <w:t>,961.32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395,923,</w:t>
            </w:r>
          </w:p>
          <w:p>
            <w:pPr>
              <w:pStyle w:val="TableParagraph"/>
              <w:spacing w:line="240" w:lineRule="auto" w:before="105"/>
              <w:ind w:left="151" w:right="0"/>
              <w:jc w:val="center"/>
              <w:rPr>
                <w:rFonts w:ascii="Times New Roman" w:hAnsi="Times New Roman" w:cs="Times New Roman" w:eastAsia="Times New Roman" w:hint="default"/>
                <w:sz w:val="18"/>
                <w:szCs w:val="18"/>
              </w:rPr>
            </w:pPr>
            <w:r>
              <w:rPr>
                <w:rFonts w:ascii="Times New Roman"/>
                <w:sz w:val="18"/>
              </w:rPr>
              <w:t>711.70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674,503.8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2,414,848,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929.27</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1,118,04</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4,752.41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181,344</w:t>
            </w:r>
          </w:p>
          <w:p>
            <w:pPr>
              <w:pStyle w:val="TableParagraph"/>
              <w:spacing w:line="240" w:lineRule="auto" w:before="105"/>
              <w:ind w:left="113" w:right="0"/>
              <w:jc w:val="left"/>
              <w:rPr>
                <w:rFonts w:ascii="Times New Roman" w:hAnsi="Times New Roman" w:cs="Times New Roman" w:eastAsia="Times New Roman" w:hint="default"/>
                <w:sz w:val="18"/>
                <w:szCs w:val="18"/>
              </w:rPr>
            </w:pPr>
            <w:r>
              <w:rPr>
                <w:rFonts w:ascii="Times New Roman"/>
                <w:sz w:val="18"/>
              </w:rPr>
              <w:t>,961.32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395,923,</w:t>
            </w:r>
          </w:p>
          <w:p>
            <w:pPr>
              <w:pStyle w:val="TableParagraph"/>
              <w:spacing w:line="240" w:lineRule="auto" w:before="105"/>
              <w:ind w:left="151" w:right="0"/>
              <w:jc w:val="center"/>
              <w:rPr>
                <w:rFonts w:ascii="Times New Roman" w:hAnsi="Times New Roman" w:cs="Times New Roman" w:eastAsia="Times New Roman" w:hint="default"/>
                <w:sz w:val="18"/>
                <w:szCs w:val="18"/>
              </w:rPr>
            </w:pPr>
            <w:r>
              <w:rPr>
                <w:rFonts w:ascii="Times New Roman"/>
                <w:sz w:val="18"/>
              </w:rPr>
              <w:t>711.70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674,503.8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2,414,848,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929.27</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1,103,29</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1.03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1,379,0</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84.80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10,384,0</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58.03</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-62,846.9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12,803,586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.94</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11,763,1</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42.83</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-62,846.9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11,700,295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.91</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1,103,29</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1.03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1,103,291.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03</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1,103,29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1.03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11,763,1</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42.83</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-62,846.9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12,803,586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.94</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1,379,0</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84.80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-1,379,0</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84.80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1,379,0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84.80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-1,379,0</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84.80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1,119,14</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8,043.44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182,724</w:t>
            </w:r>
          </w:p>
          <w:p>
            <w:pPr>
              <w:pStyle w:val="TableParagraph"/>
              <w:spacing w:line="240" w:lineRule="auto" w:before="102"/>
              <w:ind w:left="113" w:right="0"/>
              <w:jc w:val="left"/>
              <w:rPr>
                <w:rFonts w:ascii="Times New Roman" w:hAnsi="Times New Roman" w:cs="Times New Roman" w:eastAsia="Times New Roman" w:hint="default"/>
                <w:sz w:val="18"/>
                <w:szCs w:val="18"/>
              </w:rPr>
            </w:pPr>
            <w:r>
              <w:rPr>
                <w:rFonts w:ascii="Times New Roman"/>
                <w:sz w:val="18"/>
              </w:rPr>
              <w:t>,046.12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406,307,</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769.73</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611,656.9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2,427,652,</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516.21</w:t>
            </w:r>
          </w:p>
        </w:tc>
      </w:tr>
    </w:tbl>
    <w:p>
      <w:pPr>
        <w:pStyle w:val="BodyText"/>
        <w:spacing w:line="240" w:lineRule="auto" w:before="49"/>
        <w:ind w:right="982"/>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3"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9"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3"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1"/>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3"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2"/>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1,119,09</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1,253.59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174,601</w:t>
            </w:r>
          </w:p>
          <w:p>
            <w:pPr>
              <w:pStyle w:val="TableParagraph"/>
              <w:spacing w:line="240" w:lineRule="auto" w:before="102"/>
              <w:ind w:left="113" w:right="0"/>
              <w:jc w:val="left"/>
              <w:rPr>
                <w:rFonts w:ascii="Times New Roman" w:hAnsi="Times New Roman" w:cs="Times New Roman" w:eastAsia="Times New Roman" w:hint="default"/>
                <w:sz w:val="18"/>
                <w:szCs w:val="18"/>
              </w:rPr>
            </w:pPr>
            <w:r>
              <w:rPr>
                <w:rFonts w:ascii="Times New Roman"/>
                <w:sz w:val="18"/>
              </w:rPr>
              <w:t>,723.35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359,760,</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127.47</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1,509,049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2,373,823,</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153.85</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1,119,09</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1,253.59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174,601</w:t>
            </w:r>
          </w:p>
          <w:p>
            <w:pPr>
              <w:pStyle w:val="TableParagraph"/>
              <w:spacing w:line="240" w:lineRule="auto" w:before="105"/>
              <w:ind w:left="113" w:right="0"/>
              <w:jc w:val="left"/>
              <w:rPr>
                <w:rFonts w:ascii="Times New Roman" w:hAnsi="Times New Roman" w:cs="Times New Roman" w:eastAsia="Times New Roman" w:hint="default"/>
                <w:sz w:val="18"/>
                <w:szCs w:val="18"/>
              </w:rPr>
            </w:pPr>
            <w:r>
              <w:rPr>
                <w:rFonts w:ascii="Times New Roman"/>
                <w:sz w:val="18"/>
              </w:rPr>
              <w:t>,723.35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359,760,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127.47</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1,509,049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2,373,823,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153.85</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-1,046,5</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01.18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6,743,2</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37.97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36,163,5</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84.23</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-834,545.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41,025,775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.42</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57,284,0</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42.20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-94,139.0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57,189,903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-1,203,5</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91.33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-1,203,591.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33</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-1,203,5</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91.33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57,284,0</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42.20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-94,139.0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55,986,311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footerReference w:type="default" r:id="rId46"/>
          <w:pgSz w:w="11910" w:h="16840"/>
          <w:pgMar w:footer="1340" w:header="877" w:top="1060" w:bottom="1540" w:left="980" w:right="0"/>
          <w:pgNumType w:start="62"/>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6,743,2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37.97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-21,120,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457.97</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-14,377,22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6,743,2</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37.97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-6,743,2</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37.97</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9" w:right="0"/>
              <w:jc w:val="center"/>
              <w:rPr>
                <w:rFonts w:ascii="Times New Roman" w:hAnsi="Times New Roman" w:cs="Times New Roman" w:eastAsia="Times New Roman" w:hint="default"/>
                <w:sz w:val="18"/>
                <w:szCs w:val="18"/>
              </w:rPr>
            </w:pPr>
            <w:r>
              <w:rPr>
                <w:rFonts w:ascii="Times New Roman"/>
                <w:sz w:val="18"/>
              </w:rPr>
              <w:t>-14,377,</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220.00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1" w:right="0"/>
              <w:jc w:val="left"/>
              <w:rPr>
                <w:rFonts w:ascii="Times New Roman" w:hAnsi="Times New Roman" w:cs="Times New Roman" w:eastAsia="Times New Roman" w:hint="default"/>
                <w:sz w:val="18"/>
                <w:szCs w:val="18"/>
              </w:rPr>
            </w:pPr>
            <w:r>
              <w:rPr>
                <w:rFonts w:ascii="Times New Roman"/>
                <w:sz w:val="18"/>
              </w:rPr>
              <w:t>-14,377,22</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157,090.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-740,406.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-583,316.4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1,118,04</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4,752.41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181,344</w:t>
            </w:r>
          </w:p>
          <w:p>
            <w:pPr>
              <w:pStyle w:val="TableParagraph"/>
              <w:spacing w:line="240" w:lineRule="auto" w:before="105"/>
              <w:ind w:left="113" w:right="0"/>
              <w:jc w:val="left"/>
              <w:rPr>
                <w:rFonts w:ascii="Times New Roman" w:hAnsi="Times New Roman" w:cs="Times New Roman" w:eastAsia="Times New Roman" w:hint="default"/>
                <w:sz w:val="18"/>
                <w:szCs w:val="18"/>
              </w:rPr>
            </w:pPr>
            <w:r>
              <w:rPr>
                <w:rFonts w:ascii="Times New Roman"/>
                <w:sz w:val="18"/>
              </w:rPr>
              <w:t>,961.32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395,923,</w:t>
            </w:r>
          </w:p>
          <w:p>
            <w:pPr>
              <w:pStyle w:val="TableParagraph"/>
              <w:spacing w:line="240" w:lineRule="auto" w:before="105"/>
              <w:ind w:left="151" w:right="0"/>
              <w:jc w:val="center"/>
              <w:rPr>
                <w:rFonts w:ascii="Times New Roman" w:hAnsi="Times New Roman" w:cs="Times New Roman" w:eastAsia="Times New Roman" w:hint="default"/>
                <w:sz w:val="18"/>
                <w:szCs w:val="18"/>
              </w:rPr>
            </w:pPr>
            <w:r>
              <w:rPr>
                <w:rFonts w:ascii="Times New Roman"/>
                <w:sz w:val="18"/>
              </w:rPr>
              <w:t>711.70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674,503.8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2,414,848,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929.27</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982"/>
        <w:jc w:val="left"/>
      </w:pPr>
      <w:r>
        <w:rPr/>
        <w:t>法定代表人：汤彰明</w:t>
        <w:tab/>
      </w:r>
      <w:r>
        <w:rPr>
          <w:spacing w:val="-1"/>
        </w:rPr>
        <w:t>主管会计工作负责人：赵英涛</w:t>
        <w:tab/>
      </w:r>
      <w:r>
        <w:rPr/>
        <w:t>会计机构负责人：曹金霞</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340" w:top="1060" w:bottom="1540" w:left="980" w:right="0"/>
        </w:sectPr>
      </w:pPr>
    </w:p>
    <w:p>
      <w:pPr>
        <w:pStyle w:val="BodyText"/>
        <w:spacing w:line="360" w:lineRule="auto" w:before="44"/>
        <w:ind w:right="-20"/>
        <w:jc w:val="left"/>
      </w:pPr>
      <w:r>
        <w:rPr/>
        <w:t>编制单位：石家庄常山纺织股份有限公司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3393" w:space="5527"/>
            <w:col w:w="201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3"/>
      </w:tblGrid>
      <w:tr>
        <w:trPr>
          <w:trHeight w:val="403" w:hRule="exact"/>
        </w:trPr>
        <w:tc>
          <w:tcPr>
            <w:tcW w:w="24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9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713" w:hRule="exact"/>
        </w:trPr>
        <w:tc>
          <w:tcPr>
            <w:tcW w:w="2476" w:type="dxa"/>
            <w:vMerge/>
            <w:tcBorders>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195" w:lineRule="exact"/>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5"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0" w:right="79"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bl>
    <w:p>
      <w:pPr>
        <w:spacing w:after="0" w:line="314"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38.600006pt;margin-top:594.909973pt;width:84.8pt;height:19.6pt;mso-position-horizontal-relative:page;mso-position-vertical-relative:page;z-index:-949048"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shape style="position:absolute;margin-left:138.600006pt;margin-top:614.955994pt;width:84.8pt;height:19.6pt;mso-position-horizontal-relative:page;mso-position-vertical-relative:page;z-index:-949024"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0.740005pt;margin-top:594.309998pt;width:42.65pt;height:40.85pt;mso-position-horizontal-relative:page;mso-position-vertical-relative:page;z-index:-949000" coordorigin="3615,11886" coordsize="853,817">
            <v:group style="position:absolute;left:3627;top:11898;width:2;height:392" coordorigin="3627,11898" coordsize="2,392">
              <v:shape style="position:absolute;left:3627;top:11898;width:2;height:392" coordorigin="3627,11898" coordsize="0,392" path="m3627,11898l3627,12289e" filled="false" stroked="true" strokeweight="1.2pt" strokecolor="#ffffff">
                <v:path arrowok="t"/>
              </v:shape>
            </v:group>
            <v:group style="position:absolute;left:3639;top:11898;width:829;height:392" coordorigin="3639,11898" coordsize="829,392">
              <v:shape style="position:absolute;left:3639;top:11898;width:829;height:392" coordorigin="3639,11898" coordsize="829,392" path="m3639,12289l4467,12289,4467,11898,3639,11898,3639,12289xe" filled="true" fillcolor="#ffffff" stroked="false">
                <v:path arrowok="t"/>
                <v:fill type="solid"/>
              </v:shape>
            </v:group>
            <v:group style="position:absolute;left:3627;top:12299;width:2;height:392" coordorigin="3627,12299" coordsize="2,392">
              <v:shape style="position:absolute;left:3627;top:12299;width:2;height:392" coordorigin="3627,12299" coordsize="0,392" path="m3627,12299l3627,12691e" filled="false" stroked="true" strokeweight="1.2pt" strokecolor="#ffffff">
                <v:path arrowok="t"/>
              </v:shape>
            </v:group>
            <v:group style="position:absolute;left:3639;top:12299;width:829;height:392" coordorigin="3639,12299" coordsize="829,392">
              <v:shape style="position:absolute;left:3639;top:12299;width:829;height:392" coordorigin="3639,12299" coordsize="829,392" path="m3639,12691l4467,12691,4467,12299,3639,12299,3639,1269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718,861,00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1,118,083,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610.87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175,102,00</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8.06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356,874,37</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5.83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2,368,920,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994.76</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718,861,00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1,118,083,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610.87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175,102,00</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8.06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356,874,37</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5.83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2,368,920,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994.76</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1,103,291.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1,379,084.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7,814,813.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10,297,189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.72</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9,193,898.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9,193,898.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1,103,291.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1,103,291.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03</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1,103,291.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9,193,898.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10,297,189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.72</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1,379,084.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-1,379,084.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80</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1,379,084.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-1,379,084.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39.554001pt;margin-top:739.656006pt;width:84.8pt;height:19.7pt;mso-position-horizontal-relative:page;mso-position-vertical-relative:page;z-index:-948952" type="#_x0000_t202" filled="false" stroked="false">
            <v:textbox inset="0,0,0,0">
              <w:txbxContent>
                <w:p>
                  <w:pPr>
                    <w:pStyle w:val="BodyText"/>
                    <w:spacing w:line="240" w:lineRule="auto" w:before="49"/>
                    <w:ind w:left="0" w:right="0"/>
                    <w:jc w:val="left"/>
                  </w:pPr>
                  <w:r>
                    <w:rPr/>
                    <w:t>（或股本）</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716"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718,861,00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1,119,186,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901.90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176,481,09</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2.86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364,689,18</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9.72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2,379,218,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184.48</w:t>
            </w:r>
          </w:p>
        </w:tc>
      </w:tr>
    </w:tbl>
    <w:p>
      <w:pPr>
        <w:pStyle w:val="BodyText"/>
        <w:spacing w:line="240" w:lineRule="auto" w:before="49"/>
        <w:ind w:right="982"/>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396" w:hRule="exact"/>
        </w:trPr>
        <w:tc>
          <w:tcPr>
            <w:tcW w:w="2472" w:type="dxa"/>
            <w:tcBorders>
              <w:top w:val="single" w:sz="4" w:space="0" w:color="000000"/>
              <w:left w:val="single" w:sz="4" w:space="0" w:color="000000"/>
              <w:bottom w:val="nil" w:sz="6" w:space="0" w:color="auto"/>
              <w:right w:val="single" w:sz="13" w:space="0" w:color="FFFFFF"/>
            </w:tcBorders>
            <w:shd w:val="clear" w:color="auto" w:fill="D2D2D2"/>
          </w:tcPr>
          <w:p>
            <w:pPr/>
          </w:p>
        </w:tc>
        <w:tc>
          <w:tcPr>
            <w:tcW w:w="7086" w:type="dxa"/>
            <w:gridSpan w:val="8"/>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13" w:space="0" w:color="FFFFFF"/>
            </w:tcBorders>
            <w:shd w:val="clear" w:color="auto" w:fill="D2D2D2"/>
          </w:tcPr>
          <w:p>
            <w:pPr>
              <w:pStyle w:val="TableParagraph"/>
              <w:spacing w:line="240" w:lineRule="auto" w:before="15"/>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13" w:space="0" w:color="FFFFFF"/>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72" w:type="dxa"/>
            <w:vMerge/>
            <w:tcBorders>
              <w:left w:val="single" w:sz="4" w:space="0" w:color="000000"/>
              <w:bottom w:val="nil" w:sz="6" w:space="0" w:color="auto"/>
              <w:right w:val="single" w:sz="13" w:space="0" w:color="FFFFFF"/>
            </w:tcBorders>
            <w:shd w:val="clear" w:color="auto" w:fill="D2D2D2"/>
          </w:tcPr>
          <w:p>
            <w:pPr/>
          </w:p>
        </w:tc>
        <w:tc>
          <w:tcPr>
            <w:tcW w:w="896" w:type="dxa"/>
            <w:vMerge/>
            <w:tcBorders>
              <w:left w:val="single" w:sz="13" w:space="0" w:color="FFFFFF"/>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13" w:space="0" w:color="FFFFFF"/>
            </w:tcBorders>
            <w:shd w:val="clear" w:color="auto" w:fill="D2D2D2"/>
          </w:tcPr>
          <w:p>
            <w:pPr/>
          </w:p>
        </w:tc>
        <w:tc>
          <w:tcPr>
            <w:tcW w:w="896" w:type="dxa"/>
            <w:vMerge/>
            <w:tcBorders>
              <w:left w:val="single" w:sz="13" w:space="0" w:color="FFFFFF"/>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13" w:space="0" w:color="FFFFFF"/>
            </w:tcBorders>
            <w:shd w:val="clear" w:color="auto" w:fill="D2D2D2"/>
          </w:tcPr>
          <w:p>
            <w:pPr/>
          </w:p>
        </w:tc>
        <w:tc>
          <w:tcPr>
            <w:tcW w:w="896" w:type="dxa"/>
            <w:vMerge/>
            <w:tcBorders>
              <w:left w:val="single" w:sz="13" w:space="0" w:color="FFFFFF"/>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13" w:space="0" w:color="FFFFFF"/>
            </w:tcBorders>
            <w:shd w:val="clear" w:color="auto" w:fill="D2D2D2"/>
          </w:tcPr>
          <w:p>
            <w:pPr/>
          </w:p>
        </w:tc>
        <w:tc>
          <w:tcPr>
            <w:tcW w:w="896" w:type="dxa"/>
            <w:vMerge w:val="restart"/>
            <w:tcBorders>
              <w:top w:val="single" w:sz="4" w:space="0" w:color="000000"/>
              <w:left w:val="single" w:sz="13" w:space="0" w:color="FFFFFF"/>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718,861,00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1,119,287,</w:t>
            </w:r>
          </w:p>
          <w:p>
            <w:pPr>
              <w:pStyle w:val="TableParagraph"/>
              <w:spacing w:line="240" w:lineRule="auto" w:before="102"/>
              <w:ind w:left="357" w:right="0"/>
              <w:jc w:val="left"/>
              <w:rPr>
                <w:rFonts w:ascii="Times New Roman" w:hAnsi="Times New Roman" w:cs="Times New Roman" w:eastAsia="Times New Roman" w:hint="default"/>
                <w:sz w:val="18"/>
                <w:szCs w:val="18"/>
              </w:rPr>
            </w:pPr>
            <w:r>
              <w:rPr>
                <w:rFonts w:ascii="Times New Roman"/>
                <w:sz w:val="18"/>
              </w:rPr>
              <w:t>202.20</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168,358,77</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0.09</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333,039,91</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4.00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2,339,546,</w:t>
            </w:r>
          </w:p>
          <w:p>
            <w:pPr>
              <w:pStyle w:val="TableParagraph"/>
              <w:spacing w:line="240" w:lineRule="auto" w:before="102"/>
              <w:ind w:left="355" w:right="0"/>
              <w:jc w:val="left"/>
              <w:rPr>
                <w:rFonts w:ascii="Times New Roman" w:hAnsi="Times New Roman" w:cs="Times New Roman" w:eastAsia="Times New Roman" w:hint="default"/>
                <w:sz w:val="18"/>
                <w:szCs w:val="18"/>
              </w:rPr>
            </w:pPr>
            <w:r>
              <w:rPr>
                <w:rFonts w:ascii="Times New Roman"/>
                <w:sz w:val="18"/>
              </w:rPr>
              <w:t>886.29</w:t>
            </w:r>
          </w:p>
        </w:tc>
      </w:tr>
      <w:tr>
        <w:trPr>
          <w:trHeight w:val="391" w:hRule="exact"/>
        </w:trPr>
        <w:tc>
          <w:tcPr>
            <w:tcW w:w="2472"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3" w:space="0" w:color="FFFFFF"/>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13" w:space="0" w:color="FFFFFF"/>
            </w:tcBorders>
            <w:shd w:val="clear" w:color="auto" w:fill="D2D2D2"/>
          </w:tcPr>
          <w:p>
            <w:pPr/>
          </w:p>
        </w:tc>
        <w:tc>
          <w:tcPr>
            <w:tcW w:w="896" w:type="dxa"/>
            <w:vMerge/>
            <w:tcBorders>
              <w:left w:val="single" w:sz="13" w:space="0" w:color="FFFFFF"/>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13" w:space="0" w:color="FFFFFF"/>
            </w:tcBorders>
            <w:shd w:val="clear" w:color="auto" w:fill="D2D2D2"/>
          </w:tcPr>
          <w:p>
            <w:pPr/>
          </w:p>
        </w:tc>
        <w:tc>
          <w:tcPr>
            <w:tcW w:w="896" w:type="dxa"/>
            <w:vMerge w:val="restart"/>
            <w:tcBorders>
              <w:top w:val="single" w:sz="4" w:space="0" w:color="000000"/>
              <w:left w:val="single" w:sz="13" w:space="0" w:color="FFFFFF"/>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718,861,00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1,119,287,</w:t>
            </w:r>
          </w:p>
          <w:p>
            <w:pPr>
              <w:pStyle w:val="TableParagraph"/>
              <w:spacing w:line="240" w:lineRule="auto" w:before="102"/>
              <w:ind w:left="357" w:right="0"/>
              <w:jc w:val="left"/>
              <w:rPr>
                <w:rFonts w:ascii="Times New Roman" w:hAnsi="Times New Roman" w:cs="Times New Roman" w:eastAsia="Times New Roman" w:hint="default"/>
                <w:sz w:val="18"/>
                <w:szCs w:val="18"/>
              </w:rPr>
            </w:pPr>
            <w:r>
              <w:rPr>
                <w:rFonts w:ascii="Times New Roman"/>
                <w:sz w:val="18"/>
              </w:rPr>
              <w:t>202.20</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168,358,77</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0.09</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333,039,91</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4.00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2,339,546,</w:t>
            </w:r>
          </w:p>
          <w:p>
            <w:pPr>
              <w:pStyle w:val="TableParagraph"/>
              <w:spacing w:line="240" w:lineRule="auto" w:before="102"/>
              <w:ind w:left="355" w:right="0"/>
              <w:jc w:val="left"/>
              <w:rPr>
                <w:rFonts w:ascii="Times New Roman" w:hAnsi="Times New Roman" w:cs="Times New Roman" w:eastAsia="Times New Roman" w:hint="default"/>
                <w:sz w:val="18"/>
                <w:szCs w:val="18"/>
              </w:rPr>
            </w:pPr>
            <w:r>
              <w:rPr>
                <w:rFonts w:ascii="Times New Roman"/>
                <w:sz w:val="18"/>
              </w:rPr>
              <w:t>886.29</w:t>
            </w:r>
          </w:p>
        </w:tc>
      </w:tr>
      <w:tr>
        <w:trPr>
          <w:trHeight w:val="391" w:hRule="exact"/>
        </w:trPr>
        <w:tc>
          <w:tcPr>
            <w:tcW w:w="2472"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3" w:space="0" w:color="FFFFFF"/>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13" w:space="0" w:color="FFFFFF"/>
            </w:tcBorders>
            <w:shd w:val="clear" w:color="auto" w:fill="D2D2D2"/>
          </w:tcPr>
          <w:p>
            <w:pPr/>
          </w:p>
        </w:tc>
        <w:tc>
          <w:tcPr>
            <w:tcW w:w="896" w:type="dxa"/>
            <w:vMerge/>
            <w:tcBorders>
              <w:left w:val="single" w:sz="13" w:space="0" w:color="FFFFFF"/>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-1,203,591.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6,743,237.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23,834,461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29,374,108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r>
      <w:tr>
        <w:trPr>
          <w:trHeight w:val="161" w:hRule="exact"/>
        </w:trPr>
        <w:tc>
          <w:tcPr>
            <w:tcW w:w="2472" w:type="dxa"/>
            <w:tcBorders>
              <w:top w:val="single" w:sz="4" w:space="0" w:color="000000"/>
              <w:left w:val="single" w:sz="4" w:space="0" w:color="000000"/>
              <w:bottom w:val="nil" w:sz="6" w:space="0" w:color="auto"/>
              <w:right w:val="single" w:sz="13" w:space="0" w:color="FFFFFF"/>
            </w:tcBorders>
            <w:shd w:val="clear" w:color="auto" w:fill="D2D2D2"/>
          </w:tcPr>
          <w:p>
            <w:pPr/>
          </w:p>
        </w:tc>
        <w:tc>
          <w:tcPr>
            <w:tcW w:w="896" w:type="dxa"/>
            <w:vMerge w:val="restart"/>
            <w:tcBorders>
              <w:top w:val="single" w:sz="4" w:space="0" w:color="000000"/>
              <w:left w:val="single" w:sz="13" w:space="0" w:color="FFFFFF"/>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44,954,919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44,954,919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.80</w:t>
            </w:r>
          </w:p>
        </w:tc>
      </w:tr>
      <w:tr>
        <w:trPr>
          <w:trHeight w:val="391" w:hRule="exact"/>
        </w:trPr>
        <w:tc>
          <w:tcPr>
            <w:tcW w:w="2472"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3" w:space="0" w:color="FFFFFF"/>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13" w:space="0" w:color="FFFFFF"/>
            </w:tcBorders>
            <w:shd w:val="clear" w:color="auto" w:fill="D2D2D2"/>
          </w:tcPr>
          <w:p>
            <w:pPr/>
          </w:p>
        </w:tc>
        <w:tc>
          <w:tcPr>
            <w:tcW w:w="896" w:type="dxa"/>
            <w:vMerge/>
            <w:tcBorders>
              <w:left w:val="single" w:sz="13" w:space="0" w:color="FFFFFF"/>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13" w:space="0" w:color="FFFFFF"/>
            </w:tcBorders>
            <w:shd w:val="clear" w:color="auto" w:fill="D2D2D2"/>
          </w:tcPr>
          <w:p>
            <w:pPr/>
          </w:p>
        </w:tc>
        <w:tc>
          <w:tcPr>
            <w:tcW w:w="896" w:type="dxa"/>
            <w:vMerge w:val="restart"/>
            <w:tcBorders>
              <w:top w:val="single" w:sz="4" w:space="0" w:color="000000"/>
              <w:left w:val="single" w:sz="13" w:space="0" w:color="FFFFFF"/>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-1,203,591.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-1,203,591.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r>
      <w:tr>
        <w:trPr>
          <w:trHeight w:val="394" w:hRule="exact"/>
        </w:trPr>
        <w:tc>
          <w:tcPr>
            <w:tcW w:w="2472"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vMerge/>
            <w:tcBorders>
              <w:left w:val="single" w:sz="13" w:space="0" w:color="FFFFFF"/>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13" w:space="0" w:color="FFFFFF"/>
            </w:tcBorders>
            <w:shd w:val="clear" w:color="auto" w:fill="D2D2D2"/>
          </w:tcPr>
          <w:p>
            <w:pPr/>
          </w:p>
        </w:tc>
        <w:tc>
          <w:tcPr>
            <w:tcW w:w="896" w:type="dxa"/>
            <w:vMerge/>
            <w:tcBorders>
              <w:left w:val="single" w:sz="13" w:space="0" w:color="FFFFFF"/>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13" w:space="0" w:color="FFFFFF"/>
            </w:tcBorders>
            <w:shd w:val="clear" w:color="auto" w:fill="D2D2D2"/>
          </w:tcPr>
          <w:p>
            <w:pPr/>
          </w:p>
        </w:tc>
        <w:tc>
          <w:tcPr>
            <w:tcW w:w="896" w:type="dxa"/>
            <w:vMerge w:val="restart"/>
            <w:tcBorders>
              <w:top w:val="single" w:sz="4" w:space="0" w:color="000000"/>
              <w:left w:val="single" w:sz="13" w:space="0" w:color="FFFFFF"/>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-1,203,591.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33</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44,954,919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43,751,328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.47</w:t>
            </w:r>
          </w:p>
        </w:tc>
      </w:tr>
      <w:tr>
        <w:trPr>
          <w:trHeight w:val="391" w:hRule="exact"/>
        </w:trPr>
        <w:tc>
          <w:tcPr>
            <w:tcW w:w="2472"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3" w:space="0" w:color="FFFFFF"/>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13" w:space="0" w:color="FFFFFF"/>
            </w:tcBorders>
            <w:shd w:val="clear" w:color="auto" w:fill="D2D2D2"/>
          </w:tcPr>
          <w:p>
            <w:pPr/>
          </w:p>
        </w:tc>
        <w:tc>
          <w:tcPr>
            <w:tcW w:w="896" w:type="dxa"/>
            <w:vMerge/>
            <w:tcBorders>
              <w:left w:val="single" w:sz="13" w:space="0" w:color="FFFFFF"/>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00" w:lineRule="auto" w:before="49"/>
              <w:ind w:left="1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6"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13" w:space="0" w:color="FFFFFF"/>
            </w:tcBorders>
            <w:shd w:val="clear" w:color="auto" w:fill="D2D2D2"/>
          </w:tcPr>
          <w:p>
            <w:pPr/>
          </w:p>
        </w:tc>
        <w:tc>
          <w:tcPr>
            <w:tcW w:w="896" w:type="dxa"/>
            <w:vMerge w:val="restart"/>
            <w:tcBorders>
              <w:top w:val="single" w:sz="4" w:space="0" w:color="000000"/>
              <w:left w:val="single" w:sz="13" w:space="0" w:color="FFFFFF"/>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6,743,237.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-21,120,45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7.97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-14,377,22</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472"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3" w:space="0" w:color="FFFFFF"/>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13" w:space="0" w:color="FFFFFF"/>
            </w:tcBorders>
            <w:shd w:val="clear" w:color="auto" w:fill="D2D2D2"/>
          </w:tcPr>
          <w:p>
            <w:pPr/>
          </w:p>
        </w:tc>
        <w:tc>
          <w:tcPr>
            <w:tcW w:w="896" w:type="dxa"/>
            <w:vMerge/>
            <w:tcBorders>
              <w:left w:val="single" w:sz="13" w:space="0" w:color="FFFFFF"/>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13" w:space="0" w:color="FFFFFF"/>
            </w:tcBorders>
            <w:shd w:val="clear" w:color="auto" w:fill="D2D2D2"/>
          </w:tcPr>
          <w:p>
            <w:pPr/>
          </w:p>
        </w:tc>
        <w:tc>
          <w:tcPr>
            <w:tcW w:w="896" w:type="dxa"/>
            <w:vMerge w:val="restart"/>
            <w:tcBorders>
              <w:top w:val="single" w:sz="4" w:space="0" w:color="000000"/>
              <w:left w:val="single" w:sz="13" w:space="0" w:color="FFFFFF"/>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6,743,237.</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97</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-6,743,237.</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97</w:t>
            </w:r>
          </w:p>
        </w:tc>
        <w:tc>
          <w:tcPr>
            <w:tcW w:w="883" w:type="dxa"/>
            <w:vMerge w:val="restart"/>
            <w:tcBorders>
              <w:top w:val="single" w:sz="4" w:space="0" w:color="000000"/>
              <w:left w:val="single" w:sz="4" w:space="0" w:color="000000"/>
              <w:right w:val="single" w:sz="4" w:space="0" w:color="000000"/>
            </w:tcBorders>
          </w:tcPr>
          <w:p>
            <w:pPr/>
          </w:p>
        </w:tc>
      </w:tr>
      <w:tr>
        <w:trPr>
          <w:trHeight w:val="392" w:hRule="exact"/>
        </w:trPr>
        <w:tc>
          <w:tcPr>
            <w:tcW w:w="2472"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3" w:space="0" w:color="FFFFFF"/>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13" w:space="0" w:color="FFFFFF"/>
            </w:tcBorders>
            <w:shd w:val="clear" w:color="auto" w:fill="D2D2D2"/>
          </w:tcPr>
          <w:p>
            <w:pPr/>
          </w:p>
        </w:tc>
        <w:tc>
          <w:tcPr>
            <w:tcW w:w="896" w:type="dxa"/>
            <w:vMerge/>
            <w:tcBorders>
              <w:left w:val="single" w:sz="13" w:space="0" w:color="FFFFFF"/>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13" w:space="0" w:color="FFFFFF"/>
            </w:tcBorders>
            <w:shd w:val="clear" w:color="auto" w:fill="D2D2D2"/>
          </w:tcPr>
          <w:p>
            <w:pPr/>
          </w:p>
        </w:tc>
        <w:tc>
          <w:tcPr>
            <w:tcW w:w="896" w:type="dxa"/>
            <w:vMerge w:val="restart"/>
            <w:tcBorders>
              <w:top w:val="single" w:sz="4" w:space="0" w:color="000000"/>
              <w:left w:val="single" w:sz="13" w:space="0" w:color="FFFFFF"/>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-14,377,22</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-14,377,22</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72"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vMerge/>
            <w:tcBorders>
              <w:left w:val="single" w:sz="13" w:space="0" w:color="FFFFFF"/>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13" w:space="0" w:color="FFFFFF"/>
            </w:tcBorders>
            <w:shd w:val="clear" w:color="auto" w:fill="D2D2D2"/>
          </w:tcPr>
          <w:p>
            <w:pPr/>
          </w:p>
        </w:tc>
        <w:tc>
          <w:tcPr>
            <w:tcW w:w="896" w:type="dxa"/>
            <w:vMerge/>
            <w:tcBorders>
              <w:left w:val="single" w:sz="13" w:space="0" w:color="FFFFFF"/>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6"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96" w:type="dxa"/>
            <w:tcBorders>
              <w:top w:val="single" w:sz="4" w:space="0" w:color="000000"/>
              <w:left w:val="single" w:sz="13" w:space="0" w:color="FFFFFF"/>
              <w:bottom w:val="single" w:sz="4" w:space="0" w:color="000000"/>
              <w:right w:val="single" w:sz="4" w:space="0" w:color="000000"/>
            </w:tcBorders>
          </w:tcPr>
          <w:p>
            <w:pPr>
              <w:pStyle w:val="TableParagraph"/>
              <w:spacing w:line="393" w:lineRule="exact"/>
              <w:ind w:left="24" w:right="-29"/>
              <w:jc w:val="left"/>
              <w:rPr>
                <w:rFonts w:ascii="宋体" w:hAnsi="宋体" w:cs="宋体" w:eastAsia="宋体" w:hint="default"/>
                <w:sz w:val="20"/>
                <w:szCs w:val="20"/>
              </w:rPr>
            </w:pPr>
            <w:r>
              <w:rPr>
                <w:rFonts w:ascii="宋体" w:hAnsi="宋体" w:cs="宋体" w:eastAsia="宋体" w:hint="default"/>
                <w:position w:val="-7"/>
                <w:sz w:val="20"/>
                <w:szCs w:val="20"/>
              </w:rPr>
              <w:pict>
                <v:group style="width:41.45pt;height:19.7pt;mso-position-horizontal-relative:char;mso-position-vertical-relative:line" coordorigin="0,0" coordsize="829,394">
                  <v:group style="position:absolute;left:0;top:0;width:829;height:394" coordorigin="0,0" coordsize="829,394">
                    <v:shape style="position:absolute;left:0;top:0;width:829;height:394" coordorigin="0,0" coordsize="829,394" path="m0,394l828,394,828,0,0,0,0,394xe" filled="true" fillcolor="#ffffff" stroked="false">
                      <v:path arrowok="t"/>
                      <v:fill type="solid"/>
                    </v:shape>
                  </v:group>
                </v:group>
              </w:pict>
            </w:r>
            <w:r>
              <w:rPr>
                <w:rFonts w:ascii="宋体" w:hAnsi="宋体" w:cs="宋体" w:eastAsia="宋体" w:hint="default"/>
                <w:position w:val="-7"/>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r>
        <w:rPr/>
        <w:pict>
          <v:shape style="position:absolute;margin-left:139.554001pt;margin-top:72.475983pt;width:84.8pt;height:19.6pt;mso-position-horizontal-relative:page;mso-position-vertical-relative:page;z-index:-948904" type="#_x0000_t202" filled="false" stroked="false">
            <v:textbox inset="0,0,0,0">
              <w:txbxContent>
                <w:p>
                  <w:pPr>
                    <w:pStyle w:val="BodyText"/>
                    <w:spacing w:line="240" w:lineRule="auto" w:before="49"/>
                    <w:ind w:left="0" w:right="0"/>
                    <w:jc w:val="left"/>
                  </w:pPr>
                  <w:r>
                    <w:rPr/>
                    <w:t>（或股本）</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391" w:lineRule="exact"/>
              <w:ind w:left="12" w:right="-29"/>
              <w:jc w:val="left"/>
              <w:rPr>
                <w:rFonts w:ascii="宋体" w:hAnsi="宋体" w:cs="宋体" w:eastAsia="宋体" w:hint="default"/>
                <w:sz w:val="20"/>
                <w:szCs w:val="20"/>
              </w:rPr>
            </w:pPr>
            <w:r>
              <w:rPr>
                <w:rFonts w:ascii="宋体" w:hAnsi="宋体" w:cs="宋体" w:eastAsia="宋体" w:hint="default"/>
                <w:position w:val="-7"/>
                <w:sz w:val="20"/>
                <w:szCs w:val="20"/>
              </w:rPr>
              <w:pict>
                <v:group style="width:41.45pt;height:19.6pt;mso-position-horizontal-relative:char;mso-position-vertical-relative:line" coordorigin="0,0" coordsize="829,392">
                  <v:group style="position:absolute;left:0;top:0;width:829;height:392" coordorigin="0,0" coordsize="829,392">
                    <v:shape style="position:absolute;left:0;top:0;width:829;height:392" coordorigin="0,0" coordsize="829,392" path="m0,392l828,392,828,0,0,0,0,392xe" filled="true" fillcolor="#ffffff" stroked="false">
                      <v:path arrowok="t"/>
                      <v:fill type="solid"/>
                    </v:shape>
                  </v:group>
                </v:group>
              </w:pict>
            </w:r>
            <w:r>
              <w:rPr>
                <w:rFonts w:ascii="宋体" w:hAnsi="宋体" w:cs="宋体" w:eastAsia="宋体" w:hint="default"/>
                <w:position w:val="-7"/>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718,861,00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1,118,083,</w:t>
            </w:r>
          </w:p>
          <w:p>
            <w:pPr>
              <w:pStyle w:val="TableParagraph"/>
              <w:spacing w:line="240" w:lineRule="auto" w:before="102"/>
              <w:ind w:left="357" w:right="0"/>
              <w:jc w:val="left"/>
              <w:rPr>
                <w:rFonts w:ascii="Times New Roman" w:hAnsi="Times New Roman" w:cs="Times New Roman" w:eastAsia="Times New Roman" w:hint="default"/>
                <w:sz w:val="18"/>
                <w:szCs w:val="18"/>
              </w:rPr>
            </w:pPr>
            <w:r>
              <w:rPr>
                <w:rFonts w:ascii="Times New Roman"/>
                <w:sz w:val="18"/>
              </w:rPr>
              <w:t>610.87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175,102,00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8.06</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356,874,37</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5.83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2,368,920,</w:t>
            </w:r>
          </w:p>
          <w:p>
            <w:pPr>
              <w:pStyle w:val="TableParagraph"/>
              <w:spacing w:line="240" w:lineRule="auto" w:before="102"/>
              <w:ind w:left="355" w:right="0"/>
              <w:jc w:val="left"/>
              <w:rPr>
                <w:rFonts w:ascii="Times New Roman" w:hAnsi="Times New Roman" w:cs="Times New Roman" w:eastAsia="Times New Roman" w:hint="default"/>
                <w:sz w:val="18"/>
                <w:szCs w:val="18"/>
              </w:rPr>
            </w:pPr>
            <w:r>
              <w:rPr>
                <w:rFonts w:ascii="Times New Roman"/>
                <w:sz w:val="18"/>
              </w:rPr>
              <w:t>994.76</w:t>
            </w:r>
          </w:p>
        </w:tc>
      </w:tr>
    </w:tbl>
    <w:p>
      <w:pPr>
        <w:spacing w:line="240" w:lineRule="auto" w:before="3"/>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982"/>
        <w:jc w:val="left"/>
      </w:pPr>
      <w:r>
        <w:rPr/>
        <w:t>法定代表人：汤彰明</w:t>
        <w:tab/>
      </w:r>
      <w:r>
        <w:rPr>
          <w:spacing w:val="-1"/>
        </w:rPr>
        <w:t>主管会计工作负责人：赵英涛</w:t>
        <w:tab/>
      </w:r>
      <w:r>
        <w:rPr/>
        <w:t>会计机构负责人：曹金霞</w:t>
      </w:r>
    </w:p>
    <w:p>
      <w:pPr>
        <w:spacing w:line="240" w:lineRule="auto" w:before="3"/>
        <w:rPr>
          <w:rFonts w:ascii="宋体" w:hAnsi="宋体" w:cs="宋体" w:eastAsia="宋体" w:hint="default"/>
          <w:sz w:val="25"/>
          <w:szCs w:val="25"/>
        </w:rPr>
      </w:pPr>
    </w:p>
    <w:p>
      <w:pPr>
        <w:pStyle w:val="Heading2"/>
        <w:spacing w:line="240" w:lineRule="auto"/>
        <w:ind w:right="982"/>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982" w:firstLine="288"/>
        <w:jc w:val="left"/>
      </w:pPr>
      <w:r>
        <w:rPr>
          <w:spacing w:val="-3"/>
          <w:w w:val="100"/>
        </w:rPr>
        <w:t>石家庄常山纺织股份有限公司（以下简称</w:t>
      </w:r>
      <w:r>
        <w:rPr>
          <w:rFonts w:ascii="Times New Roman" w:hAnsi="Times New Roman" w:cs="Times New Roman" w:eastAsia="Times New Roman" w:hint="default"/>
          <w:spacing w:val="-3"/>
          <w:w w:val="100"/>
        </w:rPr>
        <w:t>“</w:t>
      </w:r>
      <w:r>
        <w:rPr>
          <w:spacing w:val="-3"/>
          <w:w w:val="100"/>
        </w:rPr>
        <w:t>公司</w:t>
      </w:r>
      <w:r>
        <w:rPr>
          <w:rFonts w:ascii="Times New Roman" w:hAnsi="Times New Roman" w:cs="Times New Roman" w:eastAsia="Times New Roman" w:hint="default"/>
          <w:spacing w:val="-3"/>
          <w:w w:val="100"/>
        </w:rPr>
        <w:t>”</w:t>
      </w:r>
      <w:r>
        <w:rPr>
          <w:spacing w:val="-3"/>
          <w:w w:val="100"/>
        </w:rPr>
        <w:t>或</w:t>
      </w:r>
      <w:r>
        <w:rPr>
          <w:rFonts w:ascii="Times New Roman" w:hAnsi="Times New Roman" w:cs="Times New Roman" w:eastAsia="Times New Roman" w:hint="default"/>
          <w:spacing w:val="-3"/>
          <w:w w:val="100"/>
        </w:rPr>
        <w:t>“</w:t>
      </w:r>
      <w:r>
        <w:rPr>
          <w:spacing w:val="-3"/>
          <w:w w:val="100"/>
        </w:rPr>
        <w:t>本公司</w:t>
      </w:r>
      <w:r>
        <w:rPr>
          <w:rFonts w:ascii="Times New Roman" w:hAnsi="Times New Roman" w:cs="Times New Roman" w:eastAsia="Times New Roman" w:hint="default"/>
          <w:spacing w:val="-3"/>
          <w:w w:val="100"/>
        </w:rPr>
        <w:t>”</w:t>
      </w:r>
      <w:r>
        <w:rPr>
          <w:spacing w:val="-3"/>
          <w:w w:val="100"/>
        </w:rPr>
        <w:t>）系经河北省人民政府股份制领导小组办公室</w:t>
      </w:r>
      <w:r>
        <w:rPr>
          <w:rFonts w:ascii="Times New Roman" w:hAnsi="Times New Roman" w:cs="Times New Roman" w:eastAsia="Times New Roman" w:hint="default"/>
          <w:spacing w:val="-3"/>
          <w:w w:val="100"/>
        </w:rPr>
        <w:t>“</w:t>
      </w:r>
      <w:r>
        <w:rPr>
          <w:spacing w:val="-3"/>
          <w:w w:val="100"/>
        </w:rPr>
        <w:t>冀股办</w:t>
      </w:r>
      <w:r>
        <w:rPr>
          <w:rFonts w:ascii="Times New Roman" w:hAnsi="Times New Roman" w:cs="Times New Roman" w:eastAsia="Times New Roman" w:hint="default"/>
          <w:spacing w:val="-3"/>
          <w:w w:val="100"/>
        </w:rPr>
        <w:t>[1998]64</w:t>
      </w:r>
      <w:r>
        <w:rPr>
          <w:rFonts w:ascii="Times New Roman" w:hAnsi="Times New Roman" w:cs="Times New Roman" w:eastAsia="Times New Roman" w:hint="default"/>
        </w:rPr>
        <w:t> </w:t>
      </w:r>
      <w:r>
        <w:rPr>
          <w:spacing w:val="-2"/>
        </w:rPr>
        <w:t>号</w:t>
      </w:r>
      <w:r>
        <w:rPr>
          <w:rFonts w:ascii="Times New Roman" w:hAnsi="Times New Roman" w:cs="Times New Roman" w:eastAsia="Times New Roman" w:hint="default"/>
          <w:spacing w:val="-2"/>
        </w:rPr>
        <w:t>”</w:t>
      </w:r>
      <w:r>
        <w:rPr>
          <w:spacing w:val="-2"/>
        </w:rPr>
        <w:t>文件批准，由石家庄常山纺织集团有限责任公司作为主发起人，联合河北省宏远国际经贸集团公司、河北华鑫集团公司、</w:t>
      </w:r>
      <w:r>
        <w:rPr>
          <w:spacing w:val="-53"/>
        </w:rPr>
        <w:t> </w:t>
      </w:r>
      <w:r>
        <w:rPr>
          <w:spacing w:val="-53"/>
        </w:rPr>
      </w:r>
      <w:r>
        <w:rPr>
          <w:spacing w:val="-2"/>
        </w:rPr>
        <w:t>河北宁纺集团有限责任公司和石家庄市星球服装鞋帽联合（集团）公司共同发起设立的股份有限公司。公司于</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rFonts w:ascii="Times New Roman" w:hAnsi="Times New Roman" w:cs="Times New Roman" w:eastAsia="Times New Roman" w:hint="default"/>
          <w:spacing w:val="-10"/>
        </w:rPr>
        <w:t> </w:t>
      </w:r>
      <w:r>
        <w:rPr>
          <w:spacing w:val="-4"/>
        </w:rPr>
        <w:t>日在河北省工商行政管理局注册登记正式成立，注册资本</w:t>
      </w:r>
      <w:r>
        <w:rPr>
          <w:rFonts w:ascii="Times New Roman" w:hAnsi="Times New Roman" w:cs="Times New Roman" w:eastAsia="Times New Roman" w:hint="default"/>
          <w:spacing w:val="-4"/>
        </w:rPr>
        <w:t>3</w:t>
      </w:r>
      <w:r>
        <w:rPr>
          <w:spacing w:val="-4"/>
        </w:rPr>
        <w:t>亿元。公司住所：石家庄市和平东路</w:t>
      </w:r>
      <w:r>
        <w:rPr>
          <w:rFonts w:ascii="Times New Roman" w:hAnsi="Times New Roman" w:cs="Times New Roman" w:eastAsia="Times New Roman" w:hint="default"/>
          <w:spacing w:val="-4"/>
        </w:rPr>
        <w:t>183</w:t>
      </w:r>
      <w:r>
        <w:rPr>
          <w:spacing w:val="-4"/>
        </w:rPr>
        <w:t>号。法定代表人：汤彰明。</w:t>
      </w:r>
    </w:p>
    <w:p>
      <w:pPr>
        <w:pStyle w:val="BodyText"/>
        <w:spacing w:line="300" w:lineRule="auto" w:before="13"/>
        <w:ind w:right="1040" w:firstLine="288"/>
        <w:jc w:val="both"/>
      </w:pPr>
      <w:r>
        <w:rPr/>
        <w:t>经中国证监会</w:t>
      </w:r>
      <w:r>
        <w:rPr>
          <w:rFonts w:ascii="Times New Roman" w:hAnsi="Times New Roman" w:cs="Times New Roman" w:eastAsia="Times New Roman" w:hint="default"/>
        </w:rPr>
        <w:t>“</w:t>
      </w:r>
      <w:r>
        <w:rPr/>
        <w:t>证监发行字</w:t>
      </w:r>
      <w:r>
        <w:rPr>
          <w:rFonts w:ascii="Times New Roman" w:hAnsi="Times New Roman" w:cs="Times New Roman" w:eastAsia="Times New Roman" w:hint="default"/>
        </w:rPr>
        <w:t>[2000]91</w:t>
      </w:r>
      <w:r>
        <w:rPr/>
        <w:t>号</w:t>
      </w:r>
      <w:r>
        <w:rPr>
          <w:rFonts w:ascii="Times New Roman" w:hAnsi="Times New Roman" w:cs="Times New Roman" w:eastAsia="Times New Roman" w:hint="default"/>
        </w:rPr>
        <w:t>”</w:t>
      </w:r>
      <w:r>
        <w:rPr/>
        <w:t>文件批准，公司于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日通过深圳证券交易所交易系统，采用上网定价的 发行方式向社会公开发行人民币普通股（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w:t>
      </w:r>
      <w:r>
        <w:rPr/>
        <w:t>亿股，发行价为每股</w:t>
      </w:r>
      <w:r>
        <w:rPr>
          <w:rFonts w:ascii="Times New Roman" w:hAnsi="Times New Roman" w:cs="Times New Roman" w:eastAsia="Times New Roman" w:hint="default"/>
        </w:rPr>
        <w:t>6.18</w:t>
      </w:r>
      <w:r>
        <w:rPr/>
        <w:t>元。经深圳证券交易所</w:t>
      </w:r>
      <w:r>
        <w:rPr>
          <w:rFonts w:ascii="Times New Roman" w:hAnsi="Times New Roman" w:cs="Times New Roman" w:eastAsia="Times New Roman" w:hint="default"/>
        </w:rPr>
        <w:t>“</w:t>
      </w:r>
      <w:r>
        <w:rPr/>
        <w:t>深证上</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106</w:t>
      </w:r>
      <w:r>
        <w:rPr/>
        <w:t>］号</w:t>
      </w:r>
      <w:r>
        <w:rPr>
          <w:rFonts w:ascii="Times New Roman" w:hAnsi="Times New Roman" w:cs="Times New Roman" w:eastAsia="Times New Roman" w:hint="default"/>
        </w:rPr>
        <w:t>”</w:t>
      </w:r>
      <w:r>
        <w:rPr/>
        <w:t>文</w:t>
      </w:r>
      <w:r>
        <w:rPr>
          <w:spacing w:val="-61"/>
        </w:rPr>
        <w:t> </w:t>
      </w:r>
      <w:r>
        <w:rPr>
          <w:spacing w:val="-5"/>
          <w:w w:val="100"/>
        </w:rPr>
        <w:t>批准，本公司的</w:t>
      </w:r>
      <w:r>
        <w:rPr>
          <w:rFonts w:ascii="Times New Roman" w:hAnsi="Times New Roman" w:cs="Times New Roman" w:eastAsia="Times New Roman" w:hint="default"/>
          <w:spacing w:val="-5"/>
          <w:w w:val="100"/>
        </w:rPr>
        <w:t>1</w:t>
      </w:r>
      <w:r>
        <w:rPr>
          <w:spacing w:val="-5"/>
          <w:w w:val="100"/>
        </w:rPr>
        <w:t>亿股</w:t>
      </w:r>
      <w:r>
        <w:rPr>
          <w:rFonts w:ascii="Times New Roman" w:hAnsi="Times New Roman" w:cs="Times New Roman" w:eastAsia="Times New Roman" w:hint="default"/>
          <w:spacing w:val="-5"/>
          <w:w w:val="100"/>
        </w:rPr>
        <w:t>A</w:t>
      </w:r>
      <w:r>
        <w:rPr>
          <w:spacing w:val="-5"/>
          <w:w w:val="100"/>
        </w:rPr>
        <w:t>股股票已于</w:t>
      </w:r>
      <w:r>
        <w:rPr>
          <w:rFonts w:ascii="Times New Roman" w:hAnsi="Times New Roman" w:cs="Times New Roman" w:eastAsia="Times New Roman" w:hint="default"/>
          <w:spacing w:val="-5"/>
          <w:w w:val="100"/>
        </w:rPr>
        <w:t>2000</w:t>
      </w:r>
      <w:r>
        <w:rPr>
          <w:spacing w:val="-5"/>
          <w:w w:val="100"/>
        </w:rPr>
        <w:t>年</w:t>
      </w:r>
      <w:r>
        <w:rPr>
          <w:rFonts w:ascii="Times New Roman" w:hAnsi="Times New Roman" w:cs="Times New Roman" w:eastAsia="Times New Roman" w:hint="default"/>
          <w:spacing w:val="-5"/>
          <w:w w:val="100"/>
        </w:rPr>
        <w:t>7</w:t>
      </w:r>
      <w:r>
        <w:rPr>
          <w:spacing w:val="-5"/>
          <w:w w:val="100"/>
        </w:rPr>
        <w:t>月</w:t>
      </w:r>
      <w:r>
        <w:rPr>
          <w:rFonts w:ascii="Times New Roman" w:hAnsi="Times New Roman" w:cs="Times New Roman" w:eastAsia="Times New Roman" w:hint="default"/>
          <w:spacing w:val="-5"/>
          <w:w w:val="100"/>
        </w:rPr>
        <w:t>24</w:t>
      </w:r>
      <w:r>
        <w:rPr>
          <w:spacing w:val="-5"/>
          <w:w w:val="100"/>
        </w:rPr>
        <w:t>日在深圳证券交易所上市挂牌交易。股票简称</w:t>
      </w:r>
      <w:r>
        <w:rPr>
          <w:rFonts w:ascii="Times New Roman" w:hAnsi="Times New Roman" w:cs="Times New Roman" w:eastAsia="Times New Roman" w:hint="default"/>
          <w:spacing w:val="-5"/>
          <w:w w:val="100"/>
        </w:rPr>
        <w:t>“</w:t>
      </w:r>
      <w:r>
        <w:rPr>
          <w:spacing w:val="-5"/>
          <w:w w:val="100"/>
        </w:rPr>
        <w:t>常山股份</w:t>
      </w:r>
      <w:r>
        <w:rPr>
          <w:rFonts w:ascii="Times New Roman" w:hAnsi="Times New Roman" w:cs="Times New Roman" w:eastAsia="Times New Roman" w:hint="default"/>
          <w:spacing w:val="-5"/>
          <w:w w:val="100"/>
        </w:rPr>
        <w:t>”</w:t>
      </w:r>
      <w:r>
        <w:rPr>
          <w:spacing w:val="-5"/>
          <w:w w:val="100"/>
        </w:rPr>
        <w:t>，股票代码</w:t>
      </w:r>
      <w:r>
        <w:rPr>
          <w:rFonts w:ascii="Times New Roman" w:hAnsi="Times New Roman" w:cs="Times New Roman" w:eastAsia="Times New Roman" w:hint="default"/>
          <w:spacing w:val="-5"/>
          <w:w w:val="100"/>
        </w:rPr>
        <w:t>“000158”</w:t>
      </w:r>
      <w:r>
        <w:rPr>
          <w:spacing w:val="-5"/>
          <w:w w:val="100"/>
        </w:rPr>
        <w:t>。</w:t>
      </w:r>
    </w:p>
    <w:p>
      <w:pPr>
        <w:pStyle w:val="BodyText"/>
        <w:spacing w:line="300" w:lineRule="auto" w:before="13"/>
        <w:ind w:right="1131" w:firstLine="288"/>
        <w:jc w:val="both"/>
      </w:pPr>
      <w:r>
        <w:rPr>
          <w:spacing w:val="-1"/>
        </w:rPr>
        <w:t>根据公司股东大会决议通过的配股方案，并经中国证监会</w:t>
      </w:r>
      <w:r>
        <w:rPr>
          <w:rFonts w:ascii="Times New Roman" w:hAnsi="Times New Roman" w:cs="Times New Roman" w:eastAsia="Times New Roman" w:hint="default"/>
          <w:spacing w:val="-1"/>
        </w:rPr>
        <w:t>“</w:t>
      </w:r>
      <w:r>
        <w:rPr>
          <w:spacing w:val="-1"/>
        </w:rPr>
        <w:t>证监发行字</w:t>
      </w:r>
      <w:r>
        <w:rPr>
          <w:rFonts w:ascii="Times New Roman" w:hAnsi="Times New Roman" w:cs="Times New Roman" w:eastAsia="Times New Roman" w:hint="default"/>
          <w:spacing w:val="-1"/>
        </w:rPr>
        <w:t>[2003]91</w:t>
      </w:r>
      <w:r>
        <w:rPr>
          <w:spacing w:val="-1"/>
        </w:rPr>
        <w:t>号</w:t>
      </w:r>
      <w:r>
        <w:rPr>
          <w:rFonts w:ascii="Times New Roman" w:hAnsi="Times New Roman" w:cs="Times New Roman" w:eastAsia="Times New Roman" w:hint="default"/>
          <w:spacing w:val="-1"/>
        </w:rPr>
        <w:t>”</w:t>
      </w:r>
      <w:r>
        <w:rPr>
          <w:spacing w:val="-1"/>
        </w:rPr>
        <w:t>文核准，本公司于</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8</w:t>
      </w:r>
      <w:r>
        <w:rPr>
          <w:spacing w:val="-1"/>
        </w:rPr>
        <w:t>月向社会公</w:t>
      </w:r>
      <w:r>
        <w:rPr/>
        <w:t> 众股股东配售普通股</w:t>
      </w:r>
      <w:r>
        <w:rPr>
          <w:rFonts w:ascii="Times New Roman" w:hAnsi="Times New Roman" w:cs="Times New Roman" w:eastAsia="Times New Roman" w:hint="default"/>
        </w:rPr>
        <w:t>30,000,000</w:t>
      </w:r>
      <w:r>
        <w:rPr/>
        <w:t>股，每股发行价格为</w:t>
      </w:r>
      <w:r>
        <w:rPr>
          <w:rFonts w:ascii="Times New Roman" w:hAnsi="Times New Roman" w:cs="Times New Roman" w:eastAsia="Times New Roman" w:hint="default"/>
        </w:rPr>
        <w:t>5.07</w:t>
      </w:r>
      <w:r>
        <w:rPr/>
        <w:t>元人民币</w:t>
      </w:r>
      <w:r>
        <w:rPr>
          <w:rFonts w:ascii="Times New Roman" w:hAnsi="Times New Roman" w:cs="Times New Roman" w:eastAsia="Times New Roman" w:hint="default"/>
        </w:rPr>
        <w:t>, </w:t>
      </w:r>
      <w:r>
        <w:rPr/>
        <w:t>募集资金净额为</w:t>
      </w:r>
      <w:r>
        <w:rPr>
          <w:rFonts w:ascii="Times New Roman" w:hAnsi="Times New Roman" w:cs="Times New Roman" w:eastAsia="Times New Roman" w:hint="default"/>
        </w:rPr>
        <w:t>140,968,464.08</w:t>
      </w:r>
      <w:r>
        <w:rPr/>
        <w:t>元。此次配售社会公众股</w:t>
      </w:r>
      <w:r>
        <w:rPr>
          <w:spacing w:val="-57"/>
        </w:rPr>
        <w:t> </w:t>
      </w:r>
      <w:r>
        <w:rPr>
          <w:spacing w:val="-57"/>
        </w:rPr>
      </w:r>
      <w:r>
        <w:rPr/>
        <w:t>后，公司股本总额为</w:t>
      </w:r>
      <w:r>
        <w:rPr>
          <w:rFonts w:ascii="Times New Roman" w:hAnsi="Times New Roman" w:cs="Times New Roman" w:eastAsia="Times New Roman" w:hint="default"/>
        </w:rPr>
        <w:t>43,000</w:t>
      </w:r>
      <w:r>
        <w:rPr/>
        <w:t>万元人民币，已经河北华安会计师事务所有限公司</w:t>
      </w:r>
      <w:r>
        <w:rPr>
          <w:rFonts w:ascii="Times New Roman" w:hAnsi="Times New Roman" w:cs="Times New Roman" w:eastAsia="Times New Roman" w:hint="default"/>
        </w:rPr>
        <w:t>“</w:t>
      </w:r>
      <w:r>
        <w:rPr/>
        <w:t>冀华会验字</w:t>
      </w:r>
      <w:r>
        <w:rPr>
          <w:rFonts w:ascii="Times New Roman" w:hAnsi="Times New Roman" w:cs="Times New Roman" w:eastAsia="Times New Roman" w:hint="default"/>
        </w:rPr>
        <w:t>[2003]</w:t>
      </w:r>
      <w:r>
        <w:rPr>
          <w:rFonts w:ascii="Times New Roman" w:hAnsi="Times New Roman" w:cs="Times New Roman" w:eastAsia="Times New Roman" w:hint="default"/>
          <w:spacing w:val="-5"/>
        </w:rPr>
        <w:t> </w:t>
      </w:r>
      <w:r>
        <w:rPr>
          <w:rFonts w:ascii="Times New Roman" w:hAnsi="Times New Roman" w:cs="Times New Roman" w:eastAsia="Times New Roman" w:hint="default"/>
        </w:rPr>
        <w:t>3004</w:t>
      </w:r>
      <w:r>
        <w:rPr/>
        <w:t>号</w:t>
      </w:r>
      <w:r>
        <w:rPr>
          <w:rFonts w:ascii="Times New Roman" w:hAnsi="Times New Roman" w:cs="Times New Roman" w:eastAsia="Times New Roman" w:hint="default"/>
        </w:rPr>
        <w:t>”</w:t>
      </w:r>
      <w:r>
        <w:rPr/>
        <w:t>验资报告验证。</w:t>
      </w:r>
    </w:p>
    <w:p>
      <w:pPr>
        <w:pStyle w:val="BodyText"/>
        <w:spacing w:line="300" w:lineRule="auto" w:before="13"/>
        <w:ind w:right="982" w:firstLine="288"/>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日召开的股权分置改革相关股东会议表决通过了公司对价方案即以股权登记日（</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日）登记在 册的全体流通股股东每持有</w:t>
      </w:r>
      <w:r>
        <w:rPr>
          <w:rFonts w:ascii="Times New Roman" w:hAnsi="Times New Roman" w:cs="Times New Roman" w:eastAsia="Times New Roman" w:hint="default"/>
        </w:rPr>
        <w:t>10</w:t>
      </w:r>
      <w:r>
        <w:rPr/>
        <w:t>股流通股获得非流通股股东支付</w:t>
      </w:r>
      <w:r>
        <w:rPr>
          <w:rFonts w:ascii="Times New Roman" w:hAnsi="Times New Roman" w:cs="Times New Roman" w:eastAsia="Times New Roman" w:hint="default"/>
        </w:rPr>
        <w:t>3.5</w:t>
      </w:r>
      <w:r>
        <w:rPr/>
        <w:t>股对价股股份，该方案于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日正式实施完毕。</w:t>
      </w:r>
    </w:p>
    <w:p>
      <w:pPr>
        <w:pStyle w:val="BodyText"/>
        <w:spacing w:line="307" w:lineRule="auto" w:before="13"/>
        <w:ind w:right="1128" w:firstLine="288"/>
        <w:jc w:val="both"/>
      </w:pPr>
      <w:r>
        <w:rPr/>
        <w:t>截至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日，除控股股东石家庄常山纺织集团有限责任公司持有的公司</w:t>
      </w:r>
      <w:r>
        <w:rPr>
          <w:rFonts w:ascii="Times New Roman" w:hAnsi="Times New Roman" w:cs="Times New Roman" w:eastAsia="Times New Roman" w:hint="default"/>
        </w:rPr>
        <w:t>252,107,700</w:t>
      </w:r>
      <w:r>
        <w:rPr>
          <w:rFonts w:ascii="Times New Roman" w:hAnsi="Times New Roman" w:cs="Times New Roman" w:eastAsia="Times New Roman" w:hint="default"/>
          <w:spacing w:val="-6"/>
        </w:rPr>
        <w:t> </w:t>
      </w:r>
      <w:r>
        <w:rPr>
          <w:spacing w:val="-4"/>
        </w:rPr>
        <w:t>股非流通股继续锁定外，其</w:t>
      </w:r>
      <w:r>
        <w:rPr/>
        <w:t> </w:t>
      </w:r>
      <w:r>
        <w:rPr>
          <w:spacing w:val="-2"/>
        </w:rPr>
        <w:t>他四家非流通股东河北宁纺集团有限责任公司、石家庄常山纺织贸易有限责任公司、河北省宏远国际经贸集团公司和石家庄</w:t>
      </w:r>
      <w:r>
        <w:rPr>
          <w:spacing w:val="-64"/>
        </w:rPr>
        <w:t> </w:t>
      </w:r>
      <w:r>
        <w:rPr>
          <w:spacing w:val="-64"/>
        </w:rPr>
      </w:r>
      <w:r>
        <w:rPr/>
        <w:t>市星球服装鞋帽联合（集团）变为流通股股东。石家庄常山纺织集团有限责任公司持有的公司非流通股本已于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rFonts w:ascii="Times New Roman" w:hAnsi="Times New Roman" w:cs="Times New Roman" w:eastAsia="Times New Roman" w:hint="default"/>
          <w:spacing w:val="-37"/>
        </w:rPr>
        <w:t> </w:t>
      </w:r>
      <w:r>
        <w:rPr/>
        <w:t>日上市流通。</w:t>
      </w:r>
    </w:p>
    <w:p>
      <w:pPr>
        <w:pStyle w:val="BodyText"/>
        <w:spacing w:line="304" w:lineRule="auto" w:before="26"/>
        <w:ind w:right="1034" w:firstLine="288"/>
        <w:jc w:val="left"/>
      </w:pPr>
      <w:r>
        <w:rPr/>
        <w:t>公司根据</w:t>
      </w:r>
      <w:r>
        <w:rPr>
          <w:rFonts w:ascii="Times New Roman" w:hAnsi="Times New Roman" w:cs="Times New Roman" w:eastAsia="Times New Roman" w:hint="default"/>
        </w:rPr>
        <w:t>2007</w:t>
      </w:r>
      <w:r>
        <w:rPr/>
        <w:t>年第一次临时股东大会决议和修改后章程的规定，申请新增注册资本人民币</w:t>
      </w:r>
      <w:r>
        <w:rPr>
          <w:rFonts w:ascii="Times New Roman" w:hAnsi="Times New Roman" w:cs="Times New Roman" w:eastAsia="Times New Roman" w:hint="default"/>
        </w:rPr>
        <w:t>72,700,000</w:t>
      </w:r>
      <w:r>
        <w:rPr/>
        <w:t>元。经中国证券监 督管理委员会</w:t>
      </w:r>
      <w:r>
        <w:rPr>
          <w:rFonts w:ascii="Times New Roman" w:hAnsi="Times New Roman" w:cs="Times New Roman" w:eastAsia="Times New Roman" w:hint="default"/>
        </w:rPr>
        <w:t>“</w:t>
      </w:r>
      <w:r>
        <w:rPr/>
        <w:t>证监发行字（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384</w:t>
      </w:r>
      <w:r>
        <w:rPr/>
        <w:t>号</w:t>
      </w:r>
      <w:r>
        <w:rPr>
          <w:rFonts w:ascii="Times New Roman" w:hAnsi="Times New Roman" w:cs="Times New Roman" w:eastAsia="Times New Roman" w:hint="default"/>
        </w:rPr>
        <w:t>”</w:t>
      </w:r>
      <w:r>
        <w:rPr/>
        <w:t>文核准，公司向江苏开元国际集团轻工业品进出口股份有限公司、中原证券股份</w:t>
      </w:r>
      <w:r>
        <w:rPr>
          <w:spacing w:val="-69"/>
        </w:rPr>
        <w:t> </w:t>
      </w:r>
      <w:r>
        <w:rPr>
          <w:spacing w:val="-69"/>
        </w:rPr>
      </w:r>
      <w:r>
        <w:rPr/>
        <w:t>有限公司、长江证券有限责任公司、尹太阳、上海合邦投资有限公司、上海景贤投资有限公司、珠海市华粤投资有限公司、 邱梅芳、东吴证券有限责任公司和安徽安粮国际发展股份有限公司非公开发行人民币普通股（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72,700,000</w:t>
      </w:r>
      <w:r>
        <w:rPr/>
        <w:t>股，每股面</w:t>
      </w:r>
      <w:r>
        <w:rPr>
          <w:spacing w:val="-39"/>
        </w:rPr>
        <w:t> </w:t>
      </w:r>
      <w:r>
        <w:rPr>
          <w:spacing w:val="-39"/>
        </w:rPr>
      </w:r>
      <w:r>
        <w:rPr/>
        <w:t>值</w:t>
      </w:r>
      <w:r>
        <w:rPr>
          <w:rFonts w:ascii="Times New Roman" w:hAnsi="Times New Roman" w:cs="Times New Roman" w:eastAsia="Times New Roman" w:hint="default"/>
        </w:rPr>
        <w:t>1.00</w:t>
      </w:r>
      <w:r>
        <w:rPr/>
        <w:t>元，每股定向增发价</w:t>
      </w:r>
      <w:r>
        <w:rPr>
          <w:rFonts w:ascii="Times New Roman" w:hAnsi="Times New Roman" w:cs="Times New Roman" w:eastAsia="Times New Roman" w:hint="default"/>
        </w:rPr>
        <w:t>8.35</w:t>
      </w:r>
      <w:r>
        <w:rPr/>
        <w:t>元，变更后的注册资本为人民币</w:t>
      </w:r>
      <w:r>
        <w:rPr>
          <w:rFonts w:ascii="Times New Roman" w:hAnsi="Times New Roman" w:cs="Times New Roman" w:eastAsia="Times New Roman" w:hint="default"/>
        </w:rPr>
        <w:t>502,700,000</w:t>
      </w:r>
      <w:r>
        <w:rPr/>
        <w:t>元。</w:t>
      </w:r>
    </w:p>
    <w:p>
      <w:pPr>
        <w:pStyle w:val="BodyText"/>
        <w:spacing w:line="300" w:lineRule="auto" w:before="9"/>
        <w:ind w:right="1034" w:firstLine="288"/>
        <w:jc w:val="left"/>
      </w:pPr>
      <w:r>
        <w:rPr/>
        <w:t>公司根据</w:t>
      </w:r>
      <w:r>
        <w:rPr>
          <w:rFonts w:ascii="Times New Roman" w:hAnsi="Times New Roman" w:cs="Times New Roman" w:eastAsia="Times New Roman" w:hint="default"/>
        </w:rPr>
        <w:t>2007</w:t>
      </w:r>
      <w:r>
        <w:rPr/>
        <w:t>年度股东大会决议和修改后章程的规定，申请新增的注册资本为人民币</w:t>
      </w:r>
      <w:r>
        <w:rPr>
          <w:rFonts w:ascii="Times New Roman" w:hAnsi="Times New Roman" w:cs="Times New Roman" w:eastAsia="Times New Roman" w:hint="default"/>
        </w:rPr>
        <w:t>216,161,000</w:t>
      </w:r>
      <w:r>
        <w:rPr/>
        <w:t>元，公司以</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 </w:t>
      </w:r>
      <w:r>
        <w:rPr/>
        <w:t>日非公开发行后的总股本</w:t>
      </w:r>
      <w:r>
        <w:rPr>
          <w:rFonts w:ascii="Times New Roman" w:hAnsi="Times New Roman" w:cs="Times New Roman" w:eastAsia="Times New Roman" w:hint="default"/>
        </w:rPr>
        <w:t>50,270</w:t>
      </w:r>
      <w:r>
        <w:rPr/>
        <w:t>万股计算，按每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4.3</w:t>
      </w:r>
      <w:r>
        <w:rPr/>
        <w:t>股的比例，以资本公积向全体股东转增股份总额</w:t>
      </w:r>
      <w:r>
        <w:rPr>
          <w:rFonts w:ascii="Times New Roman" w:hAnsi="Times New Roman" w:cs="Times New Roman" w:eastAsia="Times New Roman" w:hint="default"/>
        </w:rPr>
        <w:t>216,161,000</w:t>
      </w:r>
      <w:r>
        <w:rPr/>
        <w:t>股， 每股面值</w:t>
      </w:r>
      <w:r>
        <w:rPr>
          <w:rFonts w:ascii="Times New Roman" w:hAnsi="Times New Roman" w:cs="Times New Roman" w:eastAsia="Times New Roman" w:hint="default"/>
        </w:rPr>
        <w:t>1</w:t>
      </w:r>
      <w:r>
        <w:rPr/>
        <w:t>元，共计增加股本</w:t>
      </w:r>
      <w:r>
        <w:rPr>
          <w:rFonts w:ascii="Times New Roman" w:hAnsi="Times New Roman" w:cs="Times New Roman" w:eastAsia="Times New Roman" w:hint="default"/>
        </w:rPr>
        <w:t>216,161,000</w:t>
      </w:r>
      <w:r>
        <w:rPr/>
        <w:t>元。变更后注册资本为人民币</w:t>
      </w:r>
      <w:r>
        <w:rPr>
          <w:rFonts w:ascii="Times New Roman" w:hAnsi="Times New Roman" w:cs="Times New Roman" w:eastAsia="Times New Roman" w:hint="default"/>
        </w:rPr>
        <w:t>718,861,000</w:t>
      </w:r>
      <w:r>
        <w:rPr/>
        <w:t>元。</w:t>
      </w:r>
    </w:p>
    <w:p>
      <w:pPr>
        <w:pStyle w:val="BodyText"/>
        <w:spacing w:line="300" w:lineRule="auto" w:before="13"/>
        <w:ind w:right="982" w:firstLine="288"/>
        <w:jc w:val="left"/>
      </w:pPr>
      <w:r>
        <w:rPr>
          <w:spacing w:val="-2"/>
        </w:rPr>
        <w:t>控股股东石家庄常山纺织集团有限责任公司于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月减持</w:t>
      </w:r>
      <w:r>
        <w:rPr>
          <w:rFonts w:ascii="Times New Roman" w:hAnsi="Times New Roman" w:cs="Times New Roman" w:eastAsia="Times New Roman" w:hint="default"/>
          <w:spacing w:val="-2"/>
        </w:rPr>
        <w:t>1,500</w:t>
      </w:r>
      <w:r>
        <w:rPr>
          <w:spacing w:val="-2"/>
        </w:rPr>
        <w:t>万股，减持比例</w:t>
      </w:r>
      <w:r>
        <w:rPr>
          <w:rFonts w:ascii="Times New Roman" w:hAnsi="Times New Roman" w:cs="Times New Roman" w:eastAsia="Times New Roman" w:hint="default"/>
          <w:spacing w:val="-2"/>
        </w:rPr>
        <w:t>2.09%</w:t>
      </w:r>
      <w:r>
        <w:rPr>
          <w:spacing w:val="-2"/>
        </w:rPr>
        <w:t>，减持后持有本公司</w:t>
      </w:r>
      <w:r>
        <w:rPr>
          <w:rFonts w:ascii="Times New Roman" w:hAnsi="Times New Roman" w:cs="Times New Roman" w:eastAsia="Times New Roman" w:hint="default"/>
          <w:spacing w:val="-2"/>
        </w:rPr>
        <w:t>345,514,011</w:t>
      </w:r>
      <w:r>
        <w:rPr>
          <w:rFonts w:ascii="Times New Roman" w:hAnsi="Times New Roman" w:cs="Times New Roman" w:eastAsia="Times New Roman" w:hint="default"/>
        </w:rPr>
        <w:t> </w:t>
      </w:r>
      <w:r>
        <w:rPr/>
        <w:t>股，持股比例</w:t>
      </w:r>
      <w:r>
        <w:rPr>
          <w:rFonts w:ascii="Times New Roman" w:hAnsi="Times New Roman" w:cs="Times New Roman" w:eastAsia="Times New Roman" w:hint="default"/>
        </w:rPr>
        <w:t>48.06%</w:t>
      </w:r>
      <w:r>
        <w:rPr/>
        <w:t>。</w:t>
      </w:r>
    </w:p>
    <w:p>
      <w:pPr>
        <w:pStyle w:val="BodyText"/>
        <w:spacing w:line="316" w:lineRule="auto" w:before="13"/>
        <w:ind w:right="1032" w:firstLine="288"/>
        <w:jc w:val="left"/>
      </w:pPr>
      <w:r>
        <w:rPr>
          <w:spacing w:val="-2"/>
        </w:rPr>
        <w:t>公司经营范围：天然纤维和人造纤维的纺织产品、针织品、服装加工；家用服饰、纺织品、产业用纺织品的设计、开发、</w:t>
      </w:r>
      <w:r>
        <w:rPr/>
        <w:t> </w:t>
      </w:r>
      <w:r>
        <w:rPr>
          <w:spacing w:val="-2"/>
        </w:rPr>
        <w:t>制造（限分支机构经营）、销售；本企业和本企业成员企业自产产品及相关技术的出口业务（国家限定公司经营或禁止出口</w:t>
      </w:r>
    </w:p>
    <w:p>
      <w:pPr>
        <w:spacing w:after="0" w:line="316"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29"/>
        <w:jc w:val="both"/>
      </w:pPr>
      <w:r>
        <w:rPr/>
        <w:t>的商品除外）；经营本企业和本企业成员企业生产、科研所需的原辅材料、机械设备、仪器仪表</w:t>
      </w:r>
      <w:r>
        <w:rPr>
          <w:spacing w:val="6"/>
        </w:rPr>
        <w:t> </w:t>
      </w:r>
      <w:r>
        <w:rPr/>
        <w:t>、零配件及相关技术的进</w:t>
      </w:r>
      <w:r>
        <w:rPr>
          <w:spacing w:val="-88"/>
        </w:rPr>
        <w:t> </w:t>
      </w:r>
      <w:r>
        <w:rPr>
          <w:spacing w:val="-88"/>
        </w:rPr>
      </w:r>
      <w:r>
        <w:rPr>
          <w:spacing w:val="-2"/>
        </w:rPr>
        <w:t>口业务（国家限定公司经营或禁止进口的商品除外）；经营本企业的进料加工和</w:t>
      </w:r>
      <w:r>
        <w:rPr>
          <w:rFonts w:ascii="Times New Roman" w:hAnsi="Times New Roman" w:cs="Times New Roman" w:eastAsia="Times New Roman" w:hint="default"/>
          <w:spacing w:val="-2"/>
        </w:rPr>
        <w:t>“</w:t>
      </w:r>
      <w:r>
        <w:rPr>
          <w:spacing w:val="-2"/>
        </w:rPr>
        <w:t>三来一补</w:t>
      </w:r>
      <w:r>
        <w:rPr>
          <w:rFonts w:ascii="Times New Roman" w:hAnsi="Times New Roman" w:cs="Times New Roman" w:eastAsia="Times New Roman" w:hint="default"/>
          <w:spacing w:val="-2"/>
        </w:rPr>
        <w:t>”</w:t>
      </w:r>
      <w:r>
        <w:rPr>
          <w:spacing w:val="-2"/>
        </w:rPr>
        <w:t>业务；棉花的批发、零售；房屋</w:t>
      </w:r>
      <w:r>
        <w:rPr>
          <w:spacing w:val="-48"/>
        </w:rPr>
        <w:t> </w:t>
      </w:r>
      <w:r>
        <w:rPr>
          <w:spacing w:val="-48"/>
        </w:rPr>
      </w:r>
      <w:r>
        <w:rPr/>
        <w:t>租赁。</w:t>
      </w: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34" w:firstLine="360"/>
        <w:jc w:val="both"/>
      </w:pPr>
      <w:r>
        <w:rPr/>
        <w:t>本财务报表按照财政部</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月颁布的《企业会计准则</w:t>
      </w:r>
      <w:r>
        <w:rPr>
          <w:rFonts w:ascii="Times New Roman" w:hAnsi="Times New Roman" w:cs="Times New Roman" w:eastAsia="Times New Roman" w:hint="default"/>
        </w:rPr>
        <w:t>—</w:t>
      </w:r>
      <w:r>
        <w:rPr/>
        <w:t>基本准则》和</w:t>
      </w:r>
      <w:r>
        <w:rPr>
          <w:rFonts w:ascii="Times New Roman" w:hAnsi="Times New Roman" w:cs="Times New Roman" w:eastAsia="Times New Roman" w:hint="default"/>
        </w:rPr>
        <w:t>38</w:t>
      </w:r>
      <w:r>
        <w:rPr/>
        <w:t>项具体会计准则及其应用指南、解释以及其 他相关规定（统称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）编制。本财务报表以持续经营为基础列报。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4"/>
        <w:ind w:right="0"/>
        <w:jc w:val="both"/>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82"/>
        <w:jc w:val="left"/>
      </w:pPr>
      <w:r>
        <w:rPr>
          <w:spacing w:val="-2"/>
        </w:rPr>
        <w:t>本财务报表符合企业会计准则的要求，真实、完整地反映了本公司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日的财务状况以及</w:t>
      </w:r>
      <w:r>
        <w:rPr>
          <w:rFonts w:ascii="Times New Roman" w:hAnsi="Times New Roman" w:cs="Times New Roman" w:eastAsia="Times New Roman" w:hint="default"/>
          <w:spacing w:val="-2"/>
        </w:rPr>
        <w:t>2012</w:t>
      </w:r>
      <w:r>
        <w:rPr>
          <w:spacing w:val="-2"/>
        </w:rPr>
        <w:t>年度的经营成果和现</w:t>
      </w:r>
      <w:r>
        <w:rPr>
          <w:spacing w:val="-56"/>
        </w:rPr>
        <w:t> </w:t>
      </w:r>
      <w:r>
        <w:rPr>
          <w:spacing w:val="-56"/>
        </w:rPr>
      </w:r>
      <w:r>
        <w:rPr/>
        <w:t>金流量等有关信息。</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本公司会计期间采用公历年度，即每年自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982"/>
        <w:jc w:val="left"/>
      </w:pPr>
      <w:r>
        <w:rPr/>
        <w:t>本公司以人民币为记账本位币。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288"/>
        <w:jc w:val="both"/>
      </w:pPr>
      <w:r>
        <w:rPr>
          <w:spacing w:val="-1"/>
        </w:rPr>
        <w:t>对于同一控制下的企业合并，本公司采用权益结合法进行会计处理。合并取得的被合并方的资产、负债，除因会计政策</w:t>
      </w:r>
      <w:r>
        <w:rPr/>
        <w:t> </w:t>
      </w:r>
      <w:r>
        <w:rPr>
          <w:spacing w:val="-2"/>
        </w:rPr>
        <w:t>不同而进行的调整以外，按合并日被合并方的原账面价值计量。合并对价的账面价值（或发行股份面值总额）与合并中取得</w:t>
      </w:r>
      <w:r>
        <w:rPr>
          <w:spacing w:val="-64"/>
        </w:rPr>
        <w:t> </w:t>
      </w:r>
      <w:r>
        <w:rPr>
          <w:spacing w:val="-64"/>
        </w:rPr>
      </w:r>
      <w:r>
        <w:rPr/>
        <w:t>的净资产账面价值份额的差额调整资本公积，资本公积不足冲减的，调整留存收益。</w:t>
      </w:r>
    </w:p>
    <w:p>
      <w:pPr>
        <w:pStyle w:val="BodyText"/>
        <w:spacing w:line="240" w:lineRule="auto" w:before="59"/>
        <w:ind w:left="441" w:right="982"/>
        <w:jc w:val="left"/>
      </w:pPr>
      <w:r>
        <w:rPr/>
        <w:t>为进行企业合并发生的直接相关费用于发生时计入当期损益。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288"/>
        <w:jc w:val="both"/>
      </w:pPr>
      <w:r>
        <w:rPr>
          <w:spacing w:val="-1"/>
        </w:rPr>
        <w:t>对于非同一控制下的企业合并，本公司采用购买法进行会计处理。合并成本为本公司在购买日为取得对被购买方的控制</w:t>
      </w:r>
      <w:r>
        <w:rPr/>
        <w:t> </w:t>
      </w:r>
      <w:r>
        <w:rPr>
          <w:spacing w:val="-2"/>
        </w:rPr>
        <w:t>权而付出的资产、发生或承担的负债以及发行的权益性证券的公允价值。在购买日，本公司取得的被购买方的资产、负债及</w:t>
      </w:r>
      <w:r>
        <w:rPr>
          <w:spacing w:val="-64"/>
        </w:rPr>
        <w:t> </w:t>
      </w:r>
      <w:r>
        <w:rPr>
          <w:spacing w:val="-64"/>
        </w:rPr>
      </w:r>
      <w:r>
        <w:rPr/>
        <w:t>或有负债按公允价值确认。</w:t>
      </w:r>
    </w:p>
    <w:p>
      <w:pPr>
        <w:pStyle w:val="BodyText"/>
        <w:spacing w:line="316" w:lineRule="auto" w:before="18"/>
        <w:ind w:right="1034" w:firstLine="576"/>
        <w:jc w:val="left"/>
      </w:pPr>
      <w:r>
        <w:rPr/>
        <w:t>本公司对合并成本大于合并中取得的被购买方可辨认净资产公允价值份额的差额，确认为商誉，按成本扣除累计减 值准备后的金额计量；对合并成本小于合并中取得的被购买方可辨认净资产公允价值份额的差额，经复核后计入当期损益。</w:t>
      </w:r>
    </w:p>
    <w:p>
      <w:pPr>
        <w:spacing w:after="0" w:line="316"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982" w:firstLine="504"/>
        <w:jc w:val="left"/>
      </w:pPr>
      <w:r>
        <w:rPr>
          <w:spacing w:val="-3"/>
        </w:rPr>
        <w:t>非同一控制下的企业合并中，购买方为企业合并发生的审计、法律服务、评估咨询等中介费用以及其他相关管理费用，</w:t>
      </w:r>
      <w:r>
        <w:rPr/>
        <w:t> </w:t>
      </w:r>
      <w:r>
        <w:rPr>
          <w:spacing w:val="-2"/>
        </w:rPr>
        <w:t>于发生时计入当期损益；购买方作为合并对价发行的权益性证券或债务性证券的交易费用，计入权益性证券或债务性证券的</w:t>
      </w:r>
      <w:r>
        <w:rPr>
          <w:spacing w:val="-64"/>
        </w:rPr>
        <w:t> </w:t>
      </w:r>
      <w:r>
        <w:rPr>
          <w:spacing w:val="-64"/>
        </w:rPr>
      </w:r>
      <w:r>
        <w:rPr/>
        <w:t>初始确认金额。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85" w:right="982" w:hanging="72"/>
        <w:jc w:val="left"/>
      </w:pPr>
      <w:r>
        <w:rPr/>
        <w:t>合并财务报表的合并范围包括本公司及全部子公司。 本公司合并财务报表以本公司和子公司的财务报表为基础，根据其他有关资料，按照权益法调整对子公司的长期股权</w:t>
      </w:r>
    </w:p>
    <w:p>
      <w:pPr>
        <w:pStyle w:val="BodyText"/>
        <w:spacing w:line="319" w:lineRule="auto" w:before="19"/>
        <w:ind w:right="1131"/>
        <w:jc w:val="both"/>
      </w:pPr>
      <w:r>
        <w:rPr>
          <w:spacing w:val="-2"/>
        </w:rPr>
        <w:t>投资后，由本公司编制。在编制合并财务报表时，本公司和子公司的会计政策和会计期间要求保持一致，公司间的重大交易</w:t>
      </w:r>
      <w:r>
        <w:rPr>
          <w:spacing w:val="-64"/>
        </w:rPr>
        <w:t> </w:t>
      </w:r>
      <w:r>
        <w:rPr>
          <w:spacing w:val="-64"/>
        </w:rPr>
      </w:r>
      <w:r>
        <w:rPr>
          <w:spacing w:val="-2"/>
        </w:rPr>
        <w:t>和往来余额予以抵销。子公司的股东权益中不属于母公司所拥有的部分作为少数股东权益在合并财务报表中股东权益项下单</w:t>
      </w:r>
      <w:r>
        <w:rPr>
          <w:spacing w:val="-64"/>
        </w:rPr>
        <w:t> </w:t>
      </w:r>
      <w:r>
        <w:rPr>
          <w:spacing w:val="-64"/>
        </w:rPr>
      </w:r>
      <w:r>
        <w:rPr/>
        <w:t>独列示。</w:t>
      </w:r>
    </w:p>
    <w:p>
      <w:pPr>
        <w:pStyle w:val="BodyText"/>
        <w:spacing w:line="316" w:lineRule="auto" w:before="17"/>
        <w:ind w:right="1130" w:firstLine="432"/>
        <w:jc w:val="both"/>
      </w:pPr>
      <w:r>
        <w:rPr/>
        <w:t>在报告期内因同一控制下企业合并增加的子公司，本公司将该子公司合并当期期初至报告期末的收入、费用、利润纳 </w:t>
      </w:r>
      <w:r>
        <w:rPr>
          <w:spacing w:val="-2"/>
        </w:rPr>
        <w:t>入合并利润表，将其现金流量纳入合并现金流量表；因非同一控制下企业合并增加的子公司，本公司将该子公司购买日至报</w:t>
      </w:r>
      <w:r>
        <w:rPr>
          <w:spacing w:val="-63"/>
        </w:rPr>
        <w:t> </w:t>
      </w:r>
      <w:r>
        <w:rPr>
          <w:spacing w:val="-63"/>
        </w:rPr>
      </w:r>
      <w:r>
        <w:rPr/>
        <w:t>告期末的收入、费用、利润纳入合并利润表，将其现金流量纳入合并现金流量表。</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82"/>
        <w:jc w:val="left"/>
      </w:pPr>
      <w:r>
        <w:rPr/>
        <w:t>现金等价物，是指本公司持有的期限短、流动性强、易于转换为已知金额现金、价值变动风险很小的投资。</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41" w:right="982"/>
        <w:jc w:val="left"/>
      </w:pPr>
      <w:r>
        <w:rPr/>
        <w:t>本公司发生外币业务，按交易发生日的即期汇率折算为记账本位币金额。</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288"/>
        <w:jc w:val="both"/>
      </w:pPr>
      <w:r>
        <w:rPr>
          <w:spacing w:val="-1"/>
        </w:rPr>
        <w:t>期末，对外币货币性项目，采用资产负债表日即期汇率折算。因资产负债表日即期汇率与初始确认时或者前一资产负债</w:t>
      </w:r>
      <w:r>
        <w:rPr/>
        <w:t> </w:t>
      </w:r>
      <w:r>
        <w:rPr>
          <w:spacing w:val="-2"/>
        </w:rPr>
        <w:t>表日即期汇率不同而产生的汇兑差额，计入当期损益；对以历史成本计量的外币非货币性项目，仍采用交易发生日的即期汇</w:t>
      </w:r>
      <w:r>
        <w:rPr>
          <w:spacing w:val="-66"/>
        </w:rPr>
        <w:t> </w:t>
      </w:r>
      <w:r>
        <w:rPr>
          <w:spacing w:val="-66"/>
        </w:rPr>
      </w:r>
      <w:r>
        <w:rPr>
          <w:spacing w:val="-2"/>
        </w:rPr>
        <w:t>率折算；对以公允价值计量的外币非货币性项目，采用公允价值确定日的即期汇率折算，折算后的记账本位币金额与原记账</w:t>
      </w:r>
      <w:r>
        <w:rPr>
          <w:spacing w:val="-63"/>
        </w:rPr>
        <w:t> </w:t>
      </w:r>
      <w:r>
        <w:rPr>
          <w:spacing w:val="-63"/>
        </w:rPr>
      </w:r>
      <w:r>
        <w:rPr/>
        <w:t>本位币金额的差额，计入当期损益。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金融工具是指形成一个企业的金融资产，并形成其他单位的金融负债或权益工具的合同。</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24" w:right="0"/>
        <w:jc w:val="both"/>
      </w:pPr>
      <w:r>
        <w:rPr/>
        <w:t>本公司的金融资产于初始确认时分为以下四类：以公允价值计量且其变动计入当期损益的金融资产、持有至到期投资、贷</w:t>
      </w:r>
    </w:p>
    <w:p>
      <w:pPr>
        <w:spacing w:after="0" w:line="240" w:lineRule="auto"/>
        <w:jc w:val="both"/>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款和应收款项、可供出售金融资产。</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2" w:firstLine="288"/>
        <w:jc w:val="left"/>
      </w:pPr>
      <w:r>
        <w:rPr>
          <w:spacing w:val="-1"/>
        </w:rPr>
        <w:t>金融资产在初始确认时以公允价值计量。对于以公允价值计量且其变动计入当期损益的金融资产，相关交易费用直接计</w:t>
      </w:r>
      <w:r>
        <w:rPr/>
        <w:t> 入当期损益，其他类别的金融资产相关交易费用计入其初始确认金额。</w:t>
      </w:r>
    </w:p>
    <w:p>
      <w:pPr>
        <w:pStyle w:val="BodyText"/>
        <w:spacing w:line="316" w:lineRule="auto" w:before="19"/>
        <w:ind w:left="585" w:right="982"/>
        <w:jc w:val="left"/>
      </w:pPr>
      <w:r>
        <w:rPr/>
        <w:t>以公允价值计量且其变动计入当期损益的金融资产 以公允价值计量且其变动计入当期损益的金融资产，包括交易性金融资产和初始确认时指定为以公允价值计量且其变</w:t>
      </w:r>
    </w:p>
    <w:p>
      <w:pPr>
        <w:pStyle w:val="BodyText"/>
        <w:spacing w:line="316" w:lineRule="auto" w:before="19"/>
        <w:ind w:right="982"/>
        <w:jc w:val="left"/>
      </w:pPr>
      <w:r>
        <w:rPr>
          <w:spacing w:val="-2"/>
        </w:rPr>
        <w:t>动计入当期损益的金融资产。交易性金融资产包括为了在短期内出售而取得的金融资产，以及衍生金融工具。对于此类金融</w:t>
      </w:r>
      <w:r>
        <w:rPr>
          <w:spacing w:val="-63"/>
        </w:rPr>
        <w:t> </w:t>
      </w:r>
      <w:r>
        <w:rPr>
          <w:spacing w:val="-63"/>
        </w:rPr>
      </w:r>
      <w:r>
        <w:rPr/>
        <w:t>资产，采用公允价值进行后续计量，所有已实现和未实现的损益均计入当期损益。</w:t>
      </w:r>
    </w:p>
    <w:p>
      <w:pPr>
        <w:pStyle w:val="BodyText"/>
        <w:spacing w:line="316" w:lineRule="auto" w:before="19"/>
        <w:ind w:left="585" w:right="982"/>
        <w:jc w:val="left"/>
      </w:pPr>
      <w:r>
        <w:rPr/>
        <w:t>持有至到期投资 持有至到期投资，是指到期日固定、回收金额固定或可确定，且本公司有明确意图和能力持有至到期的非衍生金融资</w:t>
      </w:r>
    </w:p>
    <w:p>
      <w:pPr>
        <w:pStyle w:val="BodyText"/>
        <w:spacing w:line="316" w:lineRule="auto" w:before="19"/>
        <w:ind w:right="1034"/>
        <w:jc w:val="left"/>
      </w:pPr>
      <w:r>
        <w:rPr/>
        <w:t>产。对于此类金融资产，采用实际利率法，按照摊余成本进行后续计量，其终止确认、发生减值或摊销产生的利得或损失， 均计入当期损益。</w:t>
      </w:r>
    </w:p>
    <w:p>
      <w:pPr>
        <w:pStyle w:val="BodyText"/>
        <w:spacing w:line="316" w:lineRule="auto" w:before="19"/>
        <w:ind w:left="585" w:right="982"/>
        <w:jc w:val="left"/>
      </w:pPr>
      <w:r>
        <w:rPr/>
        <w:t>应收款项 应收款项，是指在活跃市场中没有报价、回收金额固定或可确定的非衍生金融资产，包括应收账款和其他应收款。 可供出售金融资产 </w:t>
      </w:r>
      <w:r>
        <w:rPr>
          <w:spacing w:val="-2"/>
        </w:rPr>
        <w:t>可供出售金融资产，是指初始确认时即指定为可供出售的非衍生金融资产，以及除上述金融资产类别以外的金融资产。</w:t>
      </w:r>
    </w:p>
    <w:p>
      <w:pPr>
        <w:pStyle w:val="BodyText"/>
        <w:spacing w:line="316" w:lineRule="auto" w:before="19"/>
        <w:ind w:right="1130"/>
        <w:jc w:val="both"/>
      </w:pPr>
      <w:r>
        <w:rPr>
          <w:spacing w:val="-2"/>
        </w:rPr>
        <w:t>对于此类金融资产，采用公允价值进行后续计量。其折溢价采用实际利率法进行摊销并确认为利息收入。除减值损失及外币</w:t>
      </w:r>
      <w:r>
        <w:rPr>
          <w:spacing w:val="-63"/>
        </w:rPr>
        <w:t> </w:t>
      </w:r>
      <w:r>
        <w:rPr>
          <w:spacing w:val="-63"/>
        </w:rPr>
      </w:r>
      <w:r>
        <w:rPr>
          <w:spacing w:val="-2"/>
        </w:rPr>
        <w:t>货币性金融资产的汇兑差额确认为当期损益外，可供出售金融资产的公允价值变动作为资本公积的单独部分予以确认，直到</w:t>
      </w:r>
      <w:r>
        <w:rPr>
          <w:spacing w:val="-64"/>
        </w:rPr>
        <w:t> </w:t>
      </w:r>
      <w:r>
        <w:rPr>
          <w:spacing w:val="-64"/>
        </w:rPr>
      </w:r>
      <w:r>
        <w:rPr>
          <w:spacing w:val="-2"/>
        </w:rPr>
        <w:t>该金融资产终止确认或发生减值时，在此之前在资本公积中确认的累计利得或损失转入当期损益。与可供出售金融资产相关</w:t>
      </w:r>
      <w:r>
        <w:rPr>
          <w:spacing w:val="-64"/>
        </w:rPr>
        <w:t> </w:t>
      </w:r>
      <w:r>
        <w:rPr>
          <w:spacing w:val="-64"/>
        </w:rPr>
      </w:r>
      <w:r>
        <w:rPr/>
        <w:t>的股利或利息收入，计入当期损益。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85" w:right="982" w:hanging="216"/>
        <w:jc w:val="left"/>
      </w:pPr>
      <w:r>
        <w:rPr/>
        <w:t>金融资产转移，是指将金融资产让与或交付给该金融资产发行方以外的另一方（转入方）。 本公司已将金融资产所有权上几乎所有的风险和报酬转移给转入方的，终止确认该金融资产；保留了金融资产所有权</w:t>
      </w:r>
    </w:p>
    <w:p>
      <w:pPr>
        <w:pStyle w:val="BodyText"/>
        <w:spacing w:line="316" w:lineRule="auto" w:before="19"/>
        <w:ind w:left="585" w:right="982" w:hanging="433"/>
        <w:jc w:val="left"/>
      </w:pPr>
      <w:r>
        <w:rPr/>
        <w:t>上几乎所有的风险和报酬的，不终止确认该金融资产。 本公司既没有转移也没有保留金融资产所有权上几乎所有的风险和报酬的，分别下列情况处理：放弃了对该金融资产</w:t>
      </w:r>
    </w:p>
    <w:p>
      <w:pPr>
        <w:pStyle w:val="BodyText"/>
        <w:spacing w:line="316" w:lineRule="auto" w:before="19"/>
        <w:ind w:right="982"/>
        <w:jc w:val="left"/>
      </w:pPr>
      <w:r>
        <w:rPr>
          <w:spacing w:val="-2"/>
        </w:rPr>
        <w:t>控制的，终止确认该金融资产并确认产生的资产和负债；未放弃对该金融资产控制的，按照其继续涉入所转移金融资产的程</w:t>
      </w:r>
      <w:r>
        <w:rPr>
          <w:spacing w:val="-63"/>
        </w:rPr>
        <w:t> </w:t>
      </w:r>
      <w:r>
        <w:rPr>
          <w:spacing w:val="-63"/>
        </w:rPr>
      </w:r>
      <w:r>
        <w:rPr/>
        <w:t>度确认有关金融资产，并相应确认有关负债。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441" w:right="5209" w:hanging="144"/>
        <w:jc w:val="left"/>
      </w:pPr>
      <w:r>
        <w:rPr/>
        <w:t>本公司于成为金融工具合同的一方时确认一项金融资产或金融负债。 金融资产满足下列条件之一的，终止确认：</w:t>
      </w:r>
    </w:p>
    <w:p>
      <w:pPr>
        <w:pStyle w:val="BodyText"/>
        <w:spacing w:line="240" w:lineRule="auto" w:before="19"/>
        <w:ind w:left="441" w:right="982"/>
        <w:jc w:val="left"/>
      </w:pPr>
      <w:r>
        <w:rPr/>
        <w:t>①</w:t>
      </w:r>
      <w:r>
        <w:rPr>
          <w:spacing w:val="-18"/>
        </w:rPr>
        <w:t> </w:t>
      </w:r>
      <w:r>
        <w:rPr/>
        <w:t>收取该金融资产现金流量的合同权利终止；</w:t>
      </w:r>
    </w:p>
    <w:p>
      <w:pPr>
        <w:pStyle w:val="BodyText"/>
        <w:spacing w:line="316" w:lineRule="auto" w:before="76"/>
        <w:ind w:left="441" w:right="4165"/>
        <w:jc w:val="left"/>
      </w:pPr>
      <w:r>
        <w:rPr/>
        <w:t>②</w:t>
      </w:r>
      <w:r>
        <w:rPr>
          <w:spacing w:val="-18"/>
        </w:rPr>
        <w:t> </w:t>
      </w:r>
      <w:r>
        <w:rPr/>
        <w:t>该金融资产已转移，且符合下述金融资产转移的终止确认条件。</w:t>
      </w:r>
      <w:r>
        <w:rPr/>
        <w:t> 金融负债的现时义务全部或部分已经解除的，终止确认该金融负债或其一部分。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82"/>
        <w:jc w:val="left"/>
      </w:pPr>
      <w:r>
        <w:rPr/>
        <w:t>本公司初始确认金融资产和金融负债时，应当按照公允价值计量。金融工具初始确认时的公允价值通常指交易价格（即</w:t>
      </w:r>
    </w:p>
    <w:p>
      <w:pPr>
        <w:spacing w:after="0" w:line="240" w:lineRule="auto"/>
        <w:jc w:val="left"/>
        <w:sectPr>
          <w:footerReference w:type="default" r:id="rId47"/>
          <w:pgSz w:w="11910" w:h="16840"/>
          <w:pgMar w:footer="1272" w:header="877" w:top="1060" w:bottom="1460" w:left="980" w:right="0"/>
          <w:pgNumType w:start="69"/>
        </w:sectPr>
      </w:pPr>
    </w:p>
    <w:p>
      <w:pPr>
        <w:spacing w:line="240" w:lineRule="auto" w:before="9"/>
        <w:rPr>
          <w:rFonts w:ascii="宋体" w:hAnsi="宋体" w:cs="宋体" w:eastAsia="宋体" w:hint="default"/>
          <w:sz w:val="25"/>
          <w:szCs w:val="25"/>
        </w:rPr>
      </w:pPr>
    </w:p>
    <w:p>
      <w:pPr>
        <w:pStyle w:val="BodyText"/>
        <w:spacing w:line="319" w:lineRule="auto" w:before="44"/>
        <w:ind w:right="1133"/>
        <w:jc w:val="both"/>
      </w:pPr>
      <w:r>
        <w:rPr>
          <w:spacing w:val="-2"/>
        </w:rPr>
        <w:t>所收到或支付对价的公允价值），但是，如果收到或支付的对价的一部分并非针对该金融工具，该金融工具的公允价值应根</w:t>
      </w:r>
      <w:r>
        <w:rPr>
          <w:spacing w:val="-66"/>
        </w:rPr>
        <w:t> </w:t>
      </w:r>
      <w:r>
        <w:rPr>
          <w:spacing w:val="-66"/>
        </w:rPr>
      </w:r>
      <w:r>
        <w:rPr>
          <w:spacing w:val="-2"/>
        </w:rPr>
        <w:t>据估值技术进行估计。估值技术包括参考熟悉情况并自愿交易的各方最近进行的市场交易中使用的价格、参照实质上相同的</w:t>
      </w:r>
      <w:r>
        <w:rPr>
          <w:spacing w:val="-64"/>
        </w:rPr>
        <w:t> </w:t>
      </w:r>
      <w:r>
        <w:rPr>
          <w:spacing w:val="-64"/>
        </w:rPr>
      </w:r>
      <w:r>
        <w:rPr/>
        <w:t>其他金融工具的当前公允价值、现金流量折现法和期权定价模型等。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0"/>
        <w:jc w:val="both"/>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288"/>
        <w:jc w:val="both"/>
      </w:pPr>
      <w:r>
        <w:rPr>
          <w:spacing w:val="-1"/>
        </w:rPr>
        <w:t>本公司于资产负债表日对金融资产的账面价值进行检查，有客观证据表明该金融资产发生减值的，计提减值准备。表明</w:t>
      </w:r>
      <w:r>
        <w:rPr/>
        <w:t> </w:t>
      </w:r>
      <w:r>
        <w:rPr>
          <w:spacing w:val="-2"/>
        </w:rPr>
        <w:t>金融资产发生减值的客观证据，是指金融资产初始确认后实际发生的、对该金融资产的预计未来现金流量有影响，且企业能</w:t>
      </w:r>
      <w:r>
        <w:rPr>
          <w:spacing w:val="-62"/>
        </w:rPr>
        <w:t> </w:t>
      </w:r>
      <w:r>
        <w:rPr>
          <w:spacing w:val="-62"/>
        </w:rPr>
      </w:r>
      <w:r>
        <w:rPr/>
        <w:t>够对该影响进行可靠计量的事项。</w:t>
      </w:r>
    </w:p>
    <w:p>
      <w:pPr>
        <w:pStyle w:val="BodyText"/>
        <w:spacing w:line="316" w:lineRule="auto" w:before="19"/>
        <w:ind w:left="729" w:right="982" w:hanging="72"/>
        <w:jc w:val="left"/>
      </w:pPr>
      <w:r>
        <w:rPr/>
        <w:t>以摊余成本计量的金融资产 如果有客观证据表明该金融资产发生减值，则将该金融资产的账面价值减记至预计未来现金流量（不包括尚未发生</w:t>
      </w:r>
    </w:p>
    <w:p>
      <w:pPr>
        <w:pStyle w:val="BodyText"/>
        <w:spacing w:line="316" w:lineRule="auto" w:before="19"/>
        <w:ind w:right="1135"/>
        <w:jc w:val="both"/>
      </w:pPr>
      <w:r>
        <w:rPr>
          <w:spacing w:val="-2"/>
        </w:rPr>
        <w:t>的未来信用损失）现值，减记金额计入当期损益。预计未来现金流量现值，按照该金融资产原实际利率折现确定，并考虑相</w:t>
      </w:r>
      <w:r>
        <w:rPr>
          <w:spacing w:val="-67"/>
        </w:rPr>
        <w:t> </w:t>
      </w:r>
      <w:r>
        <w:rPr>
          <w:spacing w:val="-67"/>
        </w:rPr>
      </w:r>
      <w:r>
        <w:rPr/>
        <w:t>关担保物的价值。</w:t>
      </w:r>
    </w:p>
    <w:p>
      <w:pPr>
        <w:pStyle w:val="BodyText"/>
        <w:spacing w:line="316" w:lineRule="auto" w:before="19"/>
        <w:ind w:right="1131" w:firstLine="576"/>
        <w:jc w:val="both"/>
      </w:pPr>
      <w:r>
        <w:rPr/>
        <w:t>对单项金额重大的金融资产单独进行减值测试，如有客观证据表明其已发生减值，确认减值损失，计入当期损益。 </w:t>
      </w:r>
      <w:r>
        <w:rPr>
          <w:spacing w:val="-2"/>
        </w:rPr>
        <w:t>对单项金额不重大的金融资产，包括在具有类似信用风险特征的金融资产组合中进行减值测试。单独测试未发生减值的金融</w:t>
      </w:r>
      <w:r>
        <w:rPr>
          <w:spacing w:val="-63"/>
        </w:rPr>
        <w:t> </w:t>
      </w:r>
      <w:r>
        <w:rPr>
          <w:spacing w:val="-63"/>
        </w:rPr>
      </w:r>
      <w:r>
        <w:rPr>
          <w:spacing w:val="-2"/>
        </w:rPr>
        <w:t>资产（包括单项金额重大和不重大的金融资产），包括在具有类似信用风险特征的金融资产组合中再进行减值测试。已单项</w:t>
      </w:r>
      <w:r>
        <w:rPr>
          <w:spacing w:val="-64"/>
        </w:rPr>
        <w:t> </w:t>
      </w:r>
      <w:r>
        <w:rPr>
          <w:spacing w:val="-64"/>
        </w:rPr>
      </w:r>
      <w:r>
        <w:rPr/>
        <w:t>确认减值损失的金融资产，不包括在具有类似信用风险特征的金融资产组合中进行减值测试。</w:t>
      </w:r>
    </w:p>
    <w:p>
      <w:pPr>
        <w:pStyle w:val="BodyText"/>
        <w:spacing w:line="316" w:lineRule="auto" w:before="19"/>
        <w:ind w:right="1131" w:firstLine="432"/>
        <w:jc w:val="both"/>
      </w:pPr>
      <w:r>
        <w:rPr/>
        <w:t>本公司对以摊余成本计量的金融资产确认减值损失后，如有客观证据表明该金融资产价值已恢复，且客观上与确认该 </w:t>
      </w:r>
      <w:r>
        <w:rPr>
          <w:spacing w:val="-2"/>
        </w:rPr>
        <w:t>损失后发生的事项有关，原确认的减值损失予以转回，计入当期损益。但是，该转回后的账面价值不超过假定不计提减值准</w:t>
      </w:r>
      <w:r>
        <w:rPr>
          <w:spacing w:val="-64"/>
        </w:rPr>
        <w:t> </w:t>
      </w:r>
      <w:r>
        <w:rPr>
          <w:spacing w:val="-64"/>
        </w:rPr>
      </w:r>
      <w:r>
        <w:rPr/>
        <w:t>备情况下该金融资产在转回日的摊余成本。</w:t>
      </w:r>
    </w:p>
    <w:p>
      <w:pPr>
        <w:pStyle w:val="BodyText"/>
        <w:spacing w:line="316" w:lineRule="auto" w:before="19"/>
        <w:ind w:left="441" w:right="982" w:firstLine="144"/>
        <w:jc w:val="left"/>
      </w:pPr>
      <w:r>
        <w:rPr/>
        <w:t>可供出售金融资产 </w:t>
      </w:r>
      <w:r>
        <w:rPr>
          <w:spacing w:val="-1"/>
        </w:rPr>
        <w:t>如果有客观证据表明该金融资产发生减值，原直接计入资本公积的因公允价值下降形成的累计损失，予以转出，计入当</w:t>
      </w:r>
    </w:p>
    <w:p>
      <w:pPr>
        <w:pStyle w:val="BodyText"/>
        <w:spacing w:line="319" w:lineRule="auto" w:before="19"/>
        <w:ind w:right="1133"/>
        <w:jc w:val="both"/>
      </w:pPr>
      <w:r>
        <w:rPr>
          <w:spacing w:val="-2"/>
        </w:rPr>
        <w:t>期损益。该转出的累计损失，为可供出售金融资产的初始取得成本扣除已收回本金和已摊销金额、当前公允价值和原已计入</w:t>
      </w:r>
      <w:r>
        <w:rPr>
          <w:spacing w:val="-65"/>
        </w:rPr>
        <w:t> </w:t>
      </w:r>
      <w:r>
        <w:rPr>
          <w:spacing w:val="-65"/>
        </w:rPr>
      </w:r>
      <w:r>
        <w:rPr/>
        <w:t>损益的减值损失后的余额。</w:t>
      </w:r>
    </w:p>
    <w:p>
      <w:pPr>
        <w:pStyle w:val="BodyText"/>
        <w:spacing w:line="316" w:lineRule="auto" w:before="17"/>
        <w:ind w:right="982" w:firstLine="432"/>
        <w:jc w:val="left"/>
      </w:pPr>
      <w:r>
        <w:rPr/>
        <w:t>对于已确认减值损失的可供出售债务工具，在随后的会计期间公允价值已上升且客观上与确认原减值损失确认后发生 的事项有关的，原确认的减值损失予以转回，计入当期损益。可供出售权益工具投资发生的减值损失，不通过损益转回。</w:t>
      </w:r>
    </w:p>
    <w:p>
      <w:pPr>
        <w:pStyle w:val="BodyText"/>
        <w:spacing w:line="316" w:lineRule="auto" w:before="19"/>
        <w:ind w:left="657" w:right="1120" w:hanging="72"/>
        <w:jc w:val="left"/>
      </w:pPr>
      <w:r>
        <w:rPr/>
        <w:t>以成本计量的金融资产 </w:t>
      </w:r>
      <w:r>
        <w:rPr>
          <w:spacing w:val="-1"/>
        </w:rPr>
        <w:t>如果有客观证据表明该金融资产发生减值，将该金融资产的账面价值，与按照类似金融资产当时市场收益率对未来现</w:t>
      </w:r>
    </w:p>
    <w:p>
      <w:pPr>
        <w:pStyle w:val="BodyText"/>
        <w:spacing w:line="240" w:lineRule="auto" w:before="19"/>
        <w:ind w:right="0"/>
        <w:jc w:val="both"/>
      </w:pPr>
      <w:r>
        <w:rPr/>
        <w:t>金流量折现确定的现值之间的差额，确认为减值损失，计入当期损益。发生的减值损失一经确认，不再转回。</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82"/>
        <w:jc w:val="left"/>
      </w:pPr>
      <w:r>
        <w:rPr/>
        <w:t>尚未到期的持有至到期投资重分类为可供出售金融资产主要判断依据：</w:t>
      </w:r>
    </w:p>
    <w:p>
      <w:pPr>
        <w:pStyle w:val="BodyText"/>
        <w:spacing w:line="240" w:lineRule="auto" w:before="76"/>
        <w:ind w:left="513" w:right="982"/>
        <w:jc w:val="left"/>
      </w:pPr>
      <w:r>
        <w:rPr/>
        <w:t>（</w:t>
      </w:r>
      <w:r>
        <w:rPr>
          <w:rFonts w:ascii="Times New Roman" w:hAnsi="Times New Roman" w:cs="Times New Roman" w:eastAsia="Times New Roman" w:hint="default"/>
        </w:rPr>
        <w:t>1</w:t>
      </w:r>
      <w:r>
        <w:rPr/>
        <w:t>）没有可利用的财务资源持续地为该金融资产投资提供资金支持，以使该金融资产投资持有至到期；</w:t>
      </w:r>
    </w:p>
    <w:p>
      <w:pPr>
        <w:pStyle w:val="BodyText"/>
        <w:spacing w:line="240" w:lineRule="auto" w:before="63"/>
        <w:ind w:left="513" w:right="982"/>
        <w:jc w:val="left"/>
      </w:pPr>
      <w:r>
        <w:rPr/>
        <w:t>（</w:t>
      </w:r>
      <w:r>
        <w:rPr>
          <w:rFonts w:ascii="Times New Roman" w:hAnsi="Times New Roman" w:cs="Times New Roman" w:eastAsia="Times New Roman" w:hint="default"/>
        </w:rPr>
        <w:t>2</w:t>
      </w:r>
      <w:r>
        <w:rPr/>
        <w:t>）管理层没有意图持有至到期；</w:t>
      </w:r>
    </w:p>
    <w:p>
      <w:pPr>
        <w:pStyle w:val="BodyText"/>
        <w:spacing w:line="240" w:lineRule="auto" w:before="63"/>
        <w:ind w:left="513" w:right="982"/>
        <w:jc w:val="left"/>
      </w:pPr>
      <w:r>
        <w:rPr/>
        <w:t>（</w:t>
      </w:r>
      <w:r>
        <w:rPr>
          <w:rFonts w:ascii="Times New Roman" w:hAnsi="Times New Roman" w:cs="Times New Roman" w:eastAsia="Times New Roman" w:hint="default"/>
        </w:rPr>
        <w:t>3</w:t>
      </w:r>
      <w:r>
        <w:rPr/>
        <w:t>）受法律、行政法规的限制或其他原因，难以将该金融资产持有至到期；</w:t>
      </w:r>
    </w:p>
    <w:p>
      <w:pPr>
        <w:pStyle w:val="BodyText"/>
        <w:spacing w:line="300" w:lineRule="auto" w:before="63"/>
        <w:ind w:left="513" w:right="3553"/>
        <w:jc w:val="left"/>
      </w:pPr>
      <w:r>
        <w:rPr/>
        <w:t>（</w:t>
      </w:r>
      <w:r>
        <w:rPr>
          <w:rFonts w:ascii="Times New Roman" w:hAnsi="Times New Roman" w:cs="Times New Roman" w:eastAsia="Times New Roman" w:hint="default"/>
        </w:rPr>
        <w:t>4</w:t>
      </w:r>
      <w:r>
        <w:rPr/>
        <w:t>）其他表明本公司没有能力持有至到期。 重大的尚未到期的持有至到期投资重分类为可供出售金融资产需经董事会审批后决定。</w:t>
      </w:r>
    </w:p>
    <w:p>
      <w:pPr>
        <w:spacing w:after="0" w:line="300" w:lineRule="auto"/>
        <w:jc w:val="left"/>
        <w:sectPr>
          <w:pgSz w:w="11910" w:h="16840"/>
          <w:pgMar w:header="877" w:footer="1272" w:top="1060" w:bottom="14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66"/>
        <w:gridCol w:w="4503"/>
      </w:tblGrid>
      <w:tr>
        <w:trPr>
          <w:trHeight w:val="1027" w:hRule="exact"/>
        </w:trPr>
        <w:tc>
          <w:tcPr>
            <w:tcW w:w="5066"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49"/>
              <w:ind w:left="12" w:right="20"/>
              <w:jc w:val="left"/>
              <w:rPr>
                <w:rFonts w:ascii="宋体" w:hAnsi="宋体" w:cs="宋体" w:eastAsia="宋体" w:hint="default"/>
                <w:sz w:val="18"/>
                <w:szCs w:val="18"/>
              </w:rPr>
            </w:pPr>
            <w:r>
              <w:rPr>
                <w:rFonts w:ascii="宋体" w:hAnsi="宋体" w:cs="宋体" w:eastAsia="宋体" w:hint="default"/>
                <w:sz w:val="18"/>
                <w:szCs w:val="18"/>
              </w:rPr>
              <w:t>期末余额达到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万元（含</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万元）以上的非纳入合并 财务报表范围关联方的客户应收款项为单项金额重大的 应收款项。</w:t>
            </w:r>
          </w:p>
        </w:tc>
      </w:tr>
      <w:tr>
        <w:trPr>
          <w:trHeight w:val="2273" w:hRule="exact"/>
        </w:trPr>
        <w:tc>
          <w:tcPr>
            <w:tcW w:w="5066"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对于单项金额重大且有客观证据表明发生了减值的应收 </w:t>
            </w:r>
            <w:r>
              <w:rPr>
                <w:rFonts w:ascii="宋体" w:hAnsi="宋体" w:cs="宋体" w:eastAsia="宋体" w:hint="default"/>
                <w:spacing w:val="-2"/>
                <w:sz w:val="18"/>
                <w:szCs w:val="18"/>
              </w:rPr>
              <w:t>款项，根据其未来现金流量现值低于其账面价值的差额计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提坏账准备。对单项金额重大的应收款项单独进行减值测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试，单独测试未发生减值的金融资产，包括在具有类似信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用风险特征的金融资产组合中进行减值测试。单项测试已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确认减值损失的应收款项，不再包括在具有类似信用风险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特征的应收款项组合中进行减值测试。</w:t>
            </w:r>
          </w:p>
        </w:tc>
      </w:tr>
    </w:tbl>
    <w:p>
      <w:pPr>
        <w:spacing w:line="240" w:lineRule="auto" w:before="3"/>
        <w:rPr>
          <w:rFonts w:ascii="宋体" w:hAnsi="宋体" w:cs="宋体" w:eastAsia="宋体" w:hint="default"/>
          <w:b/>
          <w:bCs/>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8"/>
        <w:gridCol w:w="2187"/>
        <w:gridCol w:w="4784"/>
      </w:tblGrid>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bl>
    <w:p>
      <w:pPr>
        <w:pStyle w:val="BodyText"/>
        <w:spacing w:line="240" w:lineRule="auto" w:before="49"/>
        <w:ind w:right="982"/>
        <w:jc w:val="left"/>
      </w:pPr>
      <w:r>
        <w:rPr/>
        <w:t>组合中，采用账龄分析法计提坏账准备的</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w:t>
            </w:r>
          </w:p>
        </w:tc>
      </w:tr>
    </w:tbl>
    <w:p>
      <w:pPr>
        <w:pStyle w:val="BodyText"/>
        <w:spacing w:line="240" w:lineRule="auto" w:before="49"/>
        <w:ind w:right="982"/>
        <w:jc w:val="left"/>
      </w:pPr>
      <w:r>
        <w:rPr/>
        <w:t>组合中，采用余额百分比法计提坏账准备的</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39"/>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BodyText"/>
        <w:spacing w:line="240" w:lineRule="auto" w:before="44"/>
        <w:ind w:left="0" w:right="1139"/>
        <w:jc w:val="right"/>
      </w:pPr>
      <w:r>
        <w:rPr/>
        <w:pict>
          <v:shape style="position:absolute;margin-left:56.459999pt;margin-top:-47.524281pt;width:479.2pt;height:65.4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5"/>
                    <w:gridCol w:w="6215"/>
                  </w:tblGrid>
                  <w:tr>
                    <w:trPr>
                      <w:trHeight w:val="1298"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59"/>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本公司对于单项金额虽不重大但具备以下特征如：应收关联方款项；与对方存 在争议或涉及诉讼、仲裁的应收款项；已有明显迹象表明债务人很可能无法履 行还款义务的应收款项的应收款项，单独进行减值测试，有客观证据表明其发 </w:t>
                        </w:r>
                        <w:r>
                          <w:rPr>
                            <w:rFonts w:ascii="宋体" w:hAnsi="宋体" w:cs="宋体" w:eastAsia="宋体" w:hint="default"/>
                            <w:spacing w:val="-2"/>
                            <w:sz w:val="18"/>
                            <w:szCs w:val="18"/>
                          </w:rPr>
                          <w:t>生了减值的，根据其未来现金流量现值低于其账面价值的差额，确认减值损失</w:t>
                        </w:r>
                      </w:p>
                    </w:tc>
                  </w:tr>
                </w:tbl>
                <w:p>
                  <w:pPr/>
                </w:p>
              </w:txbxContent>
            </v:textbox>
            <w10:wrap type="none"/>
          </v:shape>
        </w:pict>
      </w:r>
      <w:r>
        <w:rPr/>
        <w:t>，</w:t>
      </w:r>
    </w:p>
    <w:p>
      <w:pPr>
        <w:spacing w:after="0" w:line="240" w:lineRule="auto"/>
        <w:jc w:val="right"/>
        <w:sectPr>
          <w:pgSz w:w="11910" w:h="16840"/>
          <w:pgMar w:header="877" w:footer="1272" w:top="1060" w:bottom="14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36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计提坏账准备。</w:t>
            </w:r>
          </w:p>
        </w:tc>
      </w:tr>
      <w:tr>
        <w:trPr>
          <w:trHeight w:val="71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0" w:firstLine="273"/>
              <w:jc w:val="left"/>
              <w:rPr>
                <w:rFonts w:ascii="宋体" w:hAnsi="宋体" w:cs="宋体" w:eastAsia="宋体" w:hint="default"/>
                <w:sz w:val="18"/>
                <w:szCs w:val="18"/>
              </w:rPr>
            </w:pPr>
            <w:r>
              <w:rPr>
                <w:rFonts w:ascii="宋体" w:hAnsi="宋体" w:cs="宋体" w:eastAsia="宋体" w:hint="default"/>
                <w:spacing w:val="-2"/>
                <w:sz w:val="18"/>
                <w:szCs w:val="18"/>
              </w:rPr>
              <w:t>单独进行减值测试，有客观证据表明其发生了减值的，根据其未来现金流量</w:t>
            </w:r>
            <w:r>
              <w:rPr>
                <w:rFonts w:ascii="宋体" w:hAnsi="宋体" w:cs="宋体" w:eastAsia="宋体" w:hint="default"/>
                <w:sz w:val="18"/>
                <w:szCs w:val="18"/>
              </w:rPr>
              <w:t> 现值低于其账面价值的差额，确认减值损失，计提坏账准备。</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43" w:right="982"/>
        <w:jc w:val="left"/>
      </w:pPr>
      <w:r>
        <w:rPr/>
        <w:t>本公司存货分原材料、在产品、包装物、库存商品、委托加工材料、物资采购等。</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982"/>
        <w:jc w:val="left"/>
      </w:pPr>
      <w:r>
        <w:rPr/>
        <w:t>计价方法：加权平均法 </w:t>
      </w:r>
      <w:r>
        <w:rPr>
          <w:spacing w:val="-2"/>
        </w:rPr>
        <w:t>本公司存货取得时按实际成本计价。原料、在产品、库存商品、发出商品等发出时采用加权平均法计价，材料按计划成本计</w:t>
      </w:r>
      <w:r>
        <w:rPr>
          <w:spacing w:val="-65"/>
        </w:rPr>
        <w:t> </w:t>
      </w:r>
      <w:r>
        <w:rPr>
          <w:spacing w:val="-65"/>
        </w:rPr>
      </w:r>
      <w:r>
        <w:rPr/>
        <w:t>价，材料成本差异按上月余额法计算结转。</w:t>
      </w:r>
    </w:p>
    <w:p>
      <w:pPr>
        <w:spacing w:line="240" w:lineRule="auto" w:before="7"/>
        <w:rPr>
          <w:rFonts w:ascii="宋体" w:hAnsi="宋体" w:cs="宋体" w:eastAsia="宋体" w:hint="default"/>
          <w:sz w:val="21"/>
          <w:szCs w:val="21"/>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657" w:right="1120" w:hanging="216"/>
        <w:jc w:val="left"/>
      </w:pPr>
      <w:r>
        <w:rPr/>
        <w:t>存货可变现净值是按存货的估计售价减去至完工时估计将要发生的成本、估计的销售费用以及相关税费后的金额。 </w:t>
      </w:r>
      <w:r>
        <w:rPr>
          <w:spacing w:val="-1"/>
        </w:rPr>
        <w:t>本公司期末存货成本高于其可变现净值的，计提存货跌价准备。本公司通常按照单个存货项目计提存货跌价准备，期</w:t>
      </w:r>
    </w:p>
    <w:p>
      <w:pPr>
        <w:pStyle w:val="BodyText"/>
        <w:spacing w:line="240" w:lineRule="auto" w:before="19"/>
        <w:ind w:right="982"/>
        <w:jc w:val="left"/>
      </w:pPr>
      <w:r>
        <w:rPr/>
        <w:t>末，以前减记存货价值的影响因素已经消失的，存货跌价准备在原已计提的金额内转回。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82"/>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224" w:right="7622" w:hanging="72"/>
        <w:jc w:val="left"/>
      </w:pPr>
      <w:r>
        <w:rPr/>
        <w:t>盘存制度：永续盘存制 本公司存货盘存制度采用永续盘存制。</w:t>
      </w:r>
    </w:p>
    <w:p>
      <w:pPr>
        <w:spacing w:line="240" w:lineRule="auto" w:before="4"/>
        <w:rPr>
          <w:rFonts w:ascii="宋体" w:hAnsi="宋体" w:cs="宋体" w:eastAsia="宋体" w:hint="default"/>
          <w:sz w:val="20"/>
          <w:szCs w:val="20"/>
        </w:rPr>
      </w:pPr>
    </w:p>
    <w:p>
      <w:pPr>
        <w:pStyle w:val="Heading3"/>
        <w:spacing w:line="240" w:lineRule="auto"/>
        <w:ind w:right="982"/>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954"/>
        <w:jc w:val="left"/>
      </w:pPr>
      <w:r>
        <w:rPr/>
        <w:t>低值易耗品 摊销方法：一次摊销法</w:t>
      </w:r>
    </w:p>
    <w:p>
      <w:pPr>
        <w:pStyle w:val="BodyText"/>
        <w:spacing w:line="360" w:lineRule="auto" w:before="25"/>
        <w:ind w:right="6974"/>
        <w:jc w:val="left"/>
      </w:pPr>
      <w:r>
        <w:rPr/>
        <w:t>本公司低值易耗品领用时采用一次转销法摊销。 包装物</w:t>
      </w:r>
    </w:p>
    <w:p>
      <w:pPr>
        <w:pStyle w:val="BodyText"/>
        <w:spacing w:line="357" w:lineRule="auto" w:before="28"/>
        <w:ind w:right="6434"/>
        <w:jc w:val="left"/>
      </w:pPr>
      <w:r>
        <w:rPr/>
        <w:t>摊销方法：分次摊销法 周转用包装物按照预计的使用次数分次计入成本费用。</w:t>
      </w:r>
    </w:p>
    <w:p>
      <w:pPr>
        <w:spacing w:line="240" w:lineRule="auto" w:before="6"/>
        <w:rPr>
          <w:rFonts w:ascii="宋体" w:hAnsi="宋体" w:cs="宋体" w:eastAsia="宋体" w:hint="default"/>
          <w:sz w:val="20"/>
          <w:szCs w:val="20"/>
        </w:rPr>
      </w:pPr>
    </w:p>
    <w:p>
      <w:pPr>
        <w:pStyle w:val="Heading3"/>
        <w:spacing w:line="240" w:lineRule="auto"/>
        <w:ind w:right="982"/>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3" w:firstLine="91"/>
        <w:jc w:val="left"/>
      </w:pPr>
      <w:r>
        <w:rPr/>
        <w:t>本公司长期股权投资在取得时按投资成本计量。投资成本一般为取得该项投资而付出的资产、发生或承担的负债以及发行 </w:t>
      </w:r>
      <w:r>
        <w:rPr>
          <w:spacing w:val="-2"/>
        </w:rPr>
        <w:t>的权益性证券的公允价值，并包括直接相关费用。但同一控制下的企业合并形成的长期股权投资，其投资成本为合并日取得</w:t>
      </w:r>
    </w:p>
    <w:p>
      <w:pPr>
        <w:spacing w:after="0" w:line="316" w:lineRule="auto"/>
        <w:jc w:val="left"/>
        <w:sectPr>
          <w:pgSz w:w="11910" w:h="16840"/>
          <w:pgMar w:header="877" w:footer="1272" w:top="1060" w:bottom="14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t>的被合并方所有者权益的账面价值份额。</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4"/>
        <w:rPr>
          <w:rFonts w:ascii="宋体" w:hAnsi="宋体" w:cs="宋体" w:eastAsia="宋体" w:hint="default"/>
          <w:b/>
          <w:bCs/>
          <w:sz w:val="26"/>
          <w:szCs w:val="26"/>
        </w:rPr>
      </w:pPr>
    </w:p>
    <w:p>
      <w:pPr>
        <w:pStyle w:val="BodyText"/>
        <w:tabs>
          <w:tab w:pos="1914" w:val="left" w:leader="none"/>
          <w:tab w:pos="8717" w:val="left" w:leader="none"/>
          <w:tab w:pos="8977" w:val="left" w:leader="none"/>
        </w:tabs>
        <w:spacing w:line="316" w:lineRule="auto"/>
        <w:ind w:right="1051" w:firstLine="362"/>
        <w:jc w:val="left"/>
        <w:rPr>
          <w:rFonts w:ascii="Times New Roman" w:hAnsi="Times New Roman" w:cs="Times New Roman" w:eastAsia="Times New Roman" w:hint="default"/>
        </w:rPr>
      </w:pPr>
      <w:r>
        <w:rPr>
          <w:spacing w:val="-2"/>
        </w:rPr>
        <w:t>本公司能够对被投资单位实施控制的长期股权投资，以及对被投资单位不具有共同控制或重大影响，且在活跃市场中没</w:t>
      </w:r>
      <w:r>
        <w:rPr/>
        <w:t> 有报价、公允价值不能可靠计量的长期股权投资采用成本法核算；对被投资单位具有共同控制或重大影响的长期股权投资， 采用权益法核算。</w:t>
        <w:tab/>
        <w:t>本公司长期股权投资采用权益法核算时，对长期股权投资初始投资成本大于投资时应享有被投资单位 </w:t>
      </w:r>
      <w:r>
        <w:rPr>
          <w:spacing w:val="-2"/>
        </w:rPr>
        <w:t>可辨认净资产公允价值份额的，不调整长期股权投资的初始投资成本；对长期股权投资初始投资成本小于投资时应享有被投</w:t>
      </w:r>
      <w:r>
        <w:rPr>
          <w:spacing w:val="-64"/>
        </w:rPr>
        <w:t> </w:t>
      </w:r>
      <w:r>
        <w:rPr>
          <w:spacing w:val="-64"/>
        </w:rPr>
      </w:r>
      <w:r>
        <w:rPr>
          <w:spacing w:val="-2"/>
        </w:rPr>
        <w:t>资单位可辨认净资产公允价值份额的，对长期股权投资的账面价值进行调整，差额计入投资当期的损益。</w:t>
        <w:tab/>
      </w:r>
      <w:r>
        <w:rPr>
          <w:spacing w:val="-1"/>
        </w:rPr>
        <w:t>本公司在按权</w:t>
      </w:r>
      <w:r>
        <w:rPr>
          <w:spacing w:val="-87"/>
        </w:rPr>
        <w:t> </w:t>
      </w:r>
      <w:r>
        <w:rPr>
          <w:spacing w:val="-87"/>
        </w:rPr>
      </w:r>
      <w:r>
        <w:rPr>
          <w:spacing w:val="-2"/>
        </w:rPr>
        <w:t>益法对长期股权投资进行核算时，先对被投资单位的净利润进行取得投资时被投资单位各项可辨认资产等的公允价值、会计</w:t>
      </w:r>
      <w:r>
        <w:rPr>
          <w:spacing w:val="-64"/>
        </w:rPr>
        <w:t> </w:t>
      </w:r>
      <w:r>
        <w:rPr>
          <w:spacing w:val="-64"/>
        </w:rPr>
      </w:r>
      <w:r>
        <w:rPr>
          <w:spacing w:val="-2"/>
        </w:rPr>
        <w:t>政策和会计期间方面的调整，再按应享有或应分担的被投资单位的净损益份额确认当期投资损益。本公司与联营企业及合营</w:t>
      </w:r>
      <w:r>
        <w:rPr>
          <w:spacing w:val="-64"/>
        </w:rPr>
        <w:t> </w:t>
      </w:r>
      <w:r>
        <w:rPr>
          <w:spacing w:val="-64"/>
        </w:rPr>
      </w:r>
      <w:r>
        <w:rPr/>
        <w:t>企业之间发生的未实现内部交易损益按照持股比例计算归属于本公司的部分，在抵销基础上确认投资损益。</w:t>
        <w:tab/>
        <w:tab/>
        <w:t>对于</w:t>
      </w:r>
      <w:r>
        <w:rPr>
          <w:spacing w:val="-47"/>
        </w:rPr>
        <w:t> </w:t>
      </w:r>
      <w:r>
        <w:rPr>
          <w:rFonts w:ascii="Times New Roman" w:hAnsi="Times New Roman" w:cs="Times New Roman" w:eastAsia="Times New Roman" w:hint="default"/>
        </w:rPr>
        <w:t>2007</w:t>
      </w:r>
    </w:p>
    <w:p>
      <w:pPr>
        <w:pStyle w:val="BodyText"/>
        <w:spacing w:line="300" w:lineRule="auto"/>
        <w:ind w:right="1115"/>
        <w:jc w:val="left"/>
      </w:pPr>
      <w:r>
        <w:rPr/>
        <w:t>年</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月</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日之前已经持有的对联营企业及合营企业的长期股权投资，如存在与该投资相关的股权投资借方差额，还应扣除按 原剩余期限直线法摊销的股权投资借方差额，确认投资损益。</w:t>
      </w:r>
    </w:p>
    <w:p>
      <w:pPr>
        <w:spacing w:line="240" w:lineRule="auto" w:before="7"/>
        <w:rPr>
          <w:rFonts w:ascii="宋体" w:hAnsi="宋体" w:cs="宋体" w:eastAsia="宋体" w:hint="default"/>
          <w:sz w:val="23"/>
          <w:szCs w:val="23"/>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128" w:firstLine="362"/>
        <w:jc w:val="both"/>
      </w:pPr>
      <w:r>
        <w:rPr>
          <w:spacing w:val="-2"/>
        </w:rPr>
        <w:t>共同控制是指任何一个合营方均不能单独控制合营企业的生产经营活动，涉及合营企业基本经营活动的决策需要各合营</w:t>
      </w:r>
      <w:r>
        <w:rPr/>
        <w:t> 方一致同意等。其中，控制是指有权决定一个企业的财务和经营政策，并能据以从该企业的经营活动中获取利益。</w:t>
      </w:r>
      <w:r>
        <w:rPr>
          <w:spacing w:val="12"/>
        </w:rPr>
        <w:t> </w:t>
      </w:r>
      <w:r>
        <w:rPr/>
        <w:t>重大</w:t>
      </w:r>
      <w:r>
        <w:rPr/>
        <w:t> </w:t>
      </w:r>
      <w:r>
        <w:rPr>
          <w:spacing w:val="-2"/>
        </w:rPr>
        <w:t>影响是指对一个企业的财务和经营政策有参与决策的权力，但并不能够控制或者与其他方一起共同控制这些政策的制定。当</w:t>
      </w:r>
      <w:r>
        <w:rPr>
          <w:spacing w:val="-64"/>
        </w:rPr>
        <w:t> </w:t>
      </w:r>
      <w:r>
        <w:rPr>
          <w:spacing w:val="-64"/>
        </w:rPr>
      </w:r>
      <w:r>
        <w:rPr/>
        <w:t>本公司直接或通过子公司间接拥有被投资单位</w:t>
      </w:r>
      <w:r>
        <w:rPr>
          <w:spacing w:val="-48"/>
        </w:rPr>
        <w:t> </w:t>
      </w:r>
      <w:r>
        <w:rPr>
          <w:rFonts w:ascii="Times New Roman" w:hAnsi="Times New Roman" w:cs="Times New Roman" w:eastAsia="Times New Roman" w:hint="default"/>
        </w:rPr>
        <w:t>20</w:t>
      </w:r>
      <w:r>
        <w:rPr/>
        <w:t>％（含</w:t>
      </w:r>
      <w:r>
        <w:rPr>
          <w:spacing w:val="-50"/>
        </w:rPr>
        <w:t> </w:t>
      </w:r>
      <w:r>
        <w:rPr>
          <w:rFonts w:ascii="Times New Roman" w:hAnsi="Times New Roman" w:cs="Times New Roman" w:eastAsia="Times New Roman" w:hint="default"/>
        </w:rPr>
        <w:t>20%</w:t>
      </w:r>
      <w:r>
        <w:rPr/>
        <w:t>）以上但低于</w:t>
      </w:r>
      <w:r>
        <w:rPr>
          <w:spacing w:val="-48"/>
        </w:rPr>
        <w:t> </w:t>
      </w:r>
      <w:r>
        <w:rPr>
          <w:rFonts w:ascii="Times New Roman" w:hAnsi="Times New Roman" w:cs="Times New Roman" w:eastAsia="Times New Roman" w:hint="default"/>
        </w:rPr>
        <w:t>50</w:t>
      </w:r>
      <w:r>
        <w:rPr/>
        <w:t>％的表决权股份时，除非有明确证据表明该种 </w:t>
      </w:r>
      <w:r>
        <w:rPr>
          <w:spacing w:val="-2"/>
        </w:rPr>
        <w:t>情况下不能参与被投资单位的生产经营决策，不形成重大影响外，均确定对被投资单位具有重大影响；本公司拥有被投资单</w:t>
      </w:r>
      <w:r>
        <w:rPr>
          <w:spacing w:val="-63"/>
        </w:rPr>
        <w:t> </w:t>
      </w:r>
      <w:r>
        <w:rPr>
          <w:spacing w:val="-63"/>
        </w:rPr>
      </w:r>
      <w:r>
        <w:rPr/>
        <w:t>位</w:t>
      </w:r>
      <w:r>
        <w:rPr>
          <w:spacing w:val="-45"/>
        </w:rPr>
        <w:t> </w:t>
      </w:r>
      <w:r>
        <w:rPr>
          <w:rFonts w:ascii="Times New Roman" w:hAnsi="Times New Roman" w:cs="Times New Roman" w:eastAsia="Times New Roman" w:hint="default"/>
        </w:rPr>
        <w:t>20</w:t>
      </w:r>
      <w:r>
        <w:rPr/>
        <w:t>％（不含）以下的表决权股份，一般不认为对被投资单位具有重大影响，除非有明确证据表明该种情况下能够参与被 投资单位的生产经营决策，形成重大影响。</w:t>
      </w:r>
    </w:p>
    <w:p>
      <w:pPr>
        <w:spacing w:line="240" w:lineRule="auto" w:before="1"/>
        <w:rPr>
          <w:rFonts w:ascii="宋体" w:hAnsi="宋体" w:cs="宋体" w:eastAsia="宋体" w:hint="default"/>
          <w:sz w:val="23"/>
          <w:szCs w:val="23"/>
        </w:rPr>
      </w:pPr>
    </w:p>
    <w:p>
      <w:pPr>
        <w:pStyle w:val="Heading3"/>
        <w:spacing w:line="240" w:lineRule="auto"/>
        <w:ind w:right="982"/>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2" w:firstLine="288"/>
        <w:jc w:val="left"/>
      </w:pPr>
      <w:r>
        <w:rPr>
          <w:spacing w:val="-1"/>
        </w:rPr>
        <w:t>对子公司、联营企业及合营企业的投资，本公司对子公司、联营企业和合营企业的长期股权投资的资产减值，按以下方</w:t>
      </w:r>
      <w:r>
        <w:rPr/>
        <w:t> 法确定：</w:t>
      </w:r>
    </w:p>
    <w:p>
      <w:pPr>
        <w:pStyle w:val="BodyText"/>
        <w:spacing w:line="316" w:lineRule="auto" w:before="19"/>
        <w:ind w:right="1129" w:firstLine="504"/>
        <w:jc w:val="both"/>
      </w:pPr>
      <w:r>
        <w:rPr>
          <w:spacing w:val="-1"/>
        </w:rPr>
        <w:t>本公司于资产负债表日判断资产是否存在可能发生减值的迹象，存在减值迹象的，本公司将估计其可收回金额，进行</w:t>
      </w:r>
      <w:r>
        <w:rPr/>
        <w:t> 减值测试。</w:t>
      </w:r>
    </w:p>
    <w:p>
      <w:pPr>
        <w:pStyle w:val="BodyText"/>
        <w:spacing w:line="316" w:lineRule="auto" w:before="19"/>
        <w:ind w:right="1084" w:firstLine="504"/>
        <w:jc w:val="both"/>
      </w:pPr>
      <w:r>
        <w:rPr/>
        <w:t>持有的对被投资单位不具有共同控制或重大影响、在活跃市场中没有报价、公允价值不能可靠计量的长期股权投资， </w:t>
      </w:r>
      <w:r>
        <w:rPr>
          <w:spacing w:val="-2"/>
        </w:rPr>
        <w:t>本公司于资产负债表日对金融资产的账面价值进行检查，有客观证据表明该金融资产发生减值的，计提减值准备。表明金融</w:t>
      </w:r>
      <w:r>
        <w:rPr>
          <w:spacing w:val="-66"/>
        </w:rPr>
        <w:t> </w:t>
      </w:r>
      <w:r>
        <w:rPr>
          <w:spacing w:val="-66"/>
        </w:rPr>
      </w:r>
      <w:r>
        <w:rPr>
          <w:spacing w:val="-2"/>
        </w:rPr>
        <w:t>资产发生减值的客观证据，是指金融资产初始确认后实际发生的、对该金融资产的预计未来现金流量有影响，且企业能够对</w:t>
      </w:r>
      <w:r>
        <w:rPr>
          <w:spacing w:val="-63"/>
        </w:rPr>
        <w:t> </w:t>
      </w:r>
      <w:r>
        <w:rPr>
          <w:spacing w:val="-63"/>
        </w:rPr>
      </w:r>
      <w:r>
        <w:rPr/>
        <w:t>该影响进行可靠计量的事项。</w:t>
      </w:r>
    </w:p>
    <w:p>
      <w:pPr>
        <w:spacing w:line="240" w:lineRule="auto" w:before="11"/>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2" w:firstLine="288"/>
        <w:jc w:val="left"/>
      </w:pPr>
      <w:r>
        <w:rPr>
          <w:spacing w:val="-2"/>
        </w:rPr>
        <w:t>投资性房地产是指为赚取租金或资本增值，或两者兼有而持有的房地产。本公司投资性房地产包括已出租的土地使用权、</w:t>
      </w:r>
      <w:r>
        <w:rPr/>
        <w:t> 持有并准备增值后转让的土地使用权、已出租的建筑物。</w:t>
      </w:r>
    </w:p>
    <w:p>
      <w:pPr>
        <w:pStyle w:val="BodyText"/>
        <w:spacing w:line="316" w:lineRule="auto" w:before="139"/>
        <w:ind w:right="1041" w:firstLine="504"/>
        <w:jc w:val="both"/>
      </w:pPr>
      <w:r>
        <w:rPr>
          <w:spacing w:val="-3"/>
        </w:rPr>
        <w:t>本公司投资性房地产按照取得时的成本进行初始计量，并按照固定资产或无形资产的有关规定，按期计提折旧或摊销。</w:t>
      </w:r>
      <w:r>
        <w:rPr/>
        <w:t> 投资性房地产的预计使用年限为</w:t>
      </w:r>
      <w:r>
        <w:rPr>
          <w:rFonts w:ascii="Times New Roman" w:hAnsi="Times New Roman" w:cs="Times New Roman" w:eastAsia="Times New Roman" w:hint="default"/>
        </w:rPr>
        <w:t>40</w:t>
      </w:r>
      <w:r>
        <w:rPr/>
        <w:t>年，残值率为</w:t>
      </w:r>
      <w:r>
        <w:rPr>
          <w:rFonts w:ascii="Times New Roman" w:hAnsi="Times New Roman" w:cs="Times New Roman" w:eastAsia="Times New Roman" w:hint="default"/>
        </w:rPr>
        <w:t>3</w:t>
      </w:r>
      <w:r>
        <w:rPr/>
        <w:t>％，年折旧率为</w:t>
      </w:r>
      <w:r>
        <w:rPr>
          <w:rFonts w:ascii="Times New Roman" w:hAnsi="Times New Roman" w:cs="Times New Roman" w:eastAsia="Times New Roman" w:hint="default"/>
        </w:rPr>
        <w:t>2.43%</w:t>
      </w:r>
      <w:r>
        <w:rPr/>
        <w:t>。</w:t>
      </w:r>
    </w:p>
    <w:p>
      <w:pPr>
        <w:pStyle w:val="BodyText"/>
        <w:spacing w:line="316" w:lineRule="auto" w:before="119"/>
        <w:ind w:right="1132" w:firstLine="504"/>
        <w:jc w:val="both"/>
      </w:pPr>
      <w:r>
        <w:rPr>
          <w:spacing w:val="-1"/>
        </w:rPr>
        <w:t>采用成本模式进行后续计量的投资性房地产，本公司对采用成本模式进行后续计量的投资性房地产的资产减值，按以</w:t>
      </w:r>
      <w:r>
        <w:rPr/>
        <w:t> 下方法确定：</w:t>
      </w:r>
    </w:p>
    <w:p>
      <w:pPr>
        <w:spacing w:after="0" w:line="316" w:lineRule="auto"/>
        <w:jc w:val="both"/>
        <w:sectPr>
          <w:pgSz w:w="11910" w:h="16840"/>
          <w:pgMar w:header="877" w:footer="1272" w:top="1060" w:bottom="148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firstLine="504"/>
        <w:jc w:val="both"/>
      </w:pPr>
      <w:r>
        <w:rPr>
          <w:spacing w:val="-1"/>
        </w:rPr>
        <w:t>本公司于资产负债表日判断资产是否存在可能发生减值的迹象，存在减值迹象的，本公司将估计其可收回金额，进行</w:t>
      </w:r>
      <w:r>
        <w:rPr/>
        <w:t> 减值测试。</w:t>
      </w:r>
    </w:p>
    <w:p>
      <w:pPr>
        <w:pStyle w:val="BodyText"/>
        <w:spacing w:line="316" w:lineRule="auto" w:before="17"/>
        <w:ind w:right="1133" w:firstLine="576"/>
        <w:jc w:val="both"/>
      </w:pPr>
      <w:r>
        <w:rPr/>
        <w:t>可收回金额根据资产的公允价值减去处置费用后的净额与资产预计未来现金流量的现值两者之间较高者确定。本公 </w:t>
      </w:r>
      <w:r>
        <w:rPr>
          <w:spacing w:val="-2"/>
        </w:rPr>
        <w:t>司以单项资产为基础估计其可收回金额；难以对单项资产的可收回金额进行估计的，以该资产所属的资产组为基础确定资产</w:t>
      </w:r>
      <w:r>
        <w:rPr>
          <w:spacing w:val="-64"/>
        </w:rPr>
        <w:t> </w:t>
      </w:r>
      <w:r>
        <w:rPr>
          <w:spacing w:val="-64"/>
        </w:rPr>
      </w:r>
      <w:r>
        <w:rPr/>
        <w:t>组的可收回金额。资产组的认定，以资产组产生的主要现金流入是否独立于其他资产或者资产组的现金流入为依据。</w:t>
      </w:r>
    </w:p>
    <w:p>
      <w:pPr>
        <w:pStyle w:val="BodyText"/>
        <w:spacing w:line="316" w:lineRule="auto" w:before="19"/>
        <w:ind w:right="1136" w:firstLine="576"/>
        <w:jc w:val="both"/>
      </w:pPr>
      <w:r>
        <w:rPr/>
        <w:t>当资产或资产组的可收回金额低于其账面价值时，本公司将其账面价值减记至可收回金额，减记的金额计入当期损 益，同时计提相应的资产减值准备。</w:t>
      </w:r>
    </w:p>
    <w:p>
      <w:pPr>
        <w:pStyle w:val="BodyText"/>
        <w:spacing w:line="240" w:lineRule="auto" w:before="19"/>
        <w:ind w:left="657" w:right="982"/>
        <w:jc w:val="left"/>
      </w:pPr>
      <w:r>
        <w:rPr/>
        <w:t>资产减值损失一经确认，在以后会计期间不再转回。</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jc w:val="both"/>
      </w:pPr>
      <w:r>
        <w:rPr>
          <w:spacing w:val="-2"/>
        </w:rPr>
        <w:t>本公司固定资产是指为生产商品、提供劳务、出租或经营管理而持有的，使用寿命超过一个会计年度的有形资产。与该固定</w:t>
      </w:r>
      <w:r>
        <w:rPr>
          <w:spacing w:val="-64"/>
        </w:rPr>
        <w:t> </w:t>
      </w:r>
      <w:r>
        <w:rPr>
          <w:spacing w:val="-64"/>
        </w:rPr>
      </w:r>
      <w:r>
        <w:rPr>
          <w:spacing w:val="-2"/>
        </w:rPr>
        <w:t>资产有关的经济利益很可能流入企业，并且该固定资产的成本能够可靠地计量时，固定资产才能予以确认。本公司固定资产</w:t>
      </w:r>
      <w:r>
        <w:rPr>
          <w:spacing w:val="-63"/>
        </w:rPr>
        <w:t> </w:t>
      </w:r>
      <w:r>
        <w:rPr>
          <w:spacing w:val="-63"/>
        </w:rPr>
      </w:r>
      <w:r>
        <w:rPr/>
        <w:t>按照取得时的实际成本进行初始计量。</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50" w:firstLine="362"/>
        <w:jc w:val="both"/>
      </w:pPr>
      <w:r>
        <w:rPr/>
        <w:t>融资租入的固定资产，能够合理确定租赁期届满时将会取得租赁资产所有权的，在租赁资产尚可使用年限内计提折旧； 无法合理确定租赁期届满时能够取得租赁资产所有权的，在租赁期与租赁资产尚可使用年限两者中较短的期间内计提折旧。</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1" w:firstLine="288"/>
        <w:jc w:val="both"/>
      </w:pPr>
      <w:r>
        <w:rPr>
          <w:spacing w:val="-1"/>
        </w:rPr>
        <w:t>本公司采用年限平均法计提折旧。固定资产自达到预定可使用状态时开始计提折旧，终止确认时或划分为持有待售非流</w:t>
      </w:r>
      <w:r>
        <w:rPr/>
        <w:t> </w:t>
      </w:r>
      <w:r>
        <w:rPr>
          <w:spacing w:val="-2"/>
        </w:rPr>
        <w:t>动资产时停止计提折旧。在不考虑减值准备的情况下，按固定资产类别、预计使用寿命和预计残值，本公司确定各类固定资</w:t>
      </w:r>
      <w:r>
        <w:rPr>
          <w:spacing w:val="-65"/>
        </w:rPr>
        <w:t> </w:t>
      </w:r>
      <w:r>
        <w:rPr>
          <w:spacing w:val="-65"/>
        </w:rPr>
      </w:r>
      <w:r>
        <w:rPr/>
        <w:t>产的年折旧率如下：</w:t>
      </w:r>
    </w:p>
    <w:tbl>
      <w:tblPr>
        <w:tblW w:w="0" w:type="auto"/>
        <w:jc w:val="left"/>
        <w:tblInd w:w="160" w:type="dxa"/>
        <w:tblLayout w:type="fixed"/>
        <w:tblCellMar>
          <w:top w:w="0" w:type="dxa"/>
          <w:left w:w="0" w:type="dxa"/>
          <w:bottom w:w="0" w:type="dxa"/>
          <w:right w:w="0" w:type="dxa"/>
        </w:tblCellMar>
        <w:tblLook w:val="01E0"/>
      </w:tblPr>
      <w:tblGrid>
        <w:gridCol w:w="2507"/>
        <w:gridCol w:w="2093"/>
        <w:gridCol w:w="2231"/>
        <w:gridCol w:w="2727"/>
      </w:tblGrid>
      <w:tr>
        <w:trPr>
          <w:trHeight w:val="403"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7"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507"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093"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right="6"/>
              <w:jc w:val="right"/>
              <w:rPr>
                <w:rFonts w:ascii="宋体" w:hAnsi="宋体" w:cs="宋体" w:eastAsia="宋体" w:hint="default"/>
                <w:sz w:val="18"/>
                <w:szCs w:val="18"/>
              </w:rPr>
            </w:pPr>
            <w:r>
              <w:rPr>
                <w:rFonts w:ascii="Times New Roman" w:hAnsi="Times New Roman" w:cs="Times New Roman" w:eastAsia="Times New Roman" w:hint="default"/>
                <w:sz w:val="18"/>
                <w:szCs w:val="18"/>
              </w:rPr>
              <w:t>15-40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31"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6.47%-2.43%</w:t>
            </w:r>
          </w:p>
        </w:tc>
      </w:tr>
      <w:tr>
        <w:trPr>
          <w:trHeight w:val="403" w:hRule="exact"/>
        </w:trPr>
        <w:tc>
          <w:tcPr>
            <w:tcW w:w="2507"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093"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right="6"/>
              <w:jc w:val="right"/>
              <w:rPr>
                <w:rFonts w:ascii="宋体" w:hAnsi="宋体" w:cs="宋体" w:eastAsia="宋体" w:hint="default"/>
                <w:sz w:val="18"/>
                <w:szCs w:val="18"/>
              </w:rPr>
            </w:pPr>
            <w:r>
              <w:rPr>
                <w:rFonts w:ascii="Times New Roman" w:hAnsi="Times New Roman" w:cs="Times New Roman" w:eastAsia="Times New Roman" w:hint="default"/>
                <w:sz w:val="18"/>
                <w:szCs w:val="18"/>
              </w:rPr>
              <w:t>8-28 </w:t>
            </w:r>
            <w:r>
              <w:rPr>
                <w:rFonts w:ascii="宋体" w:hAnsi="宋体" w:cs="宋体" w:eastAsia="宋体" w:hint="default"/>
                <w:sz w:val="18"/>
                <w:szCs w:val="18"/>
              </w:rPr>
              <w:t>年</w:t>
            </w:r>
          </w:p>
        </w:tc>
        <w:tc>
          <w:tcPr>
            <w:tcW w:w="2231"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11.88%-3.39%</w:t>
            </w:r>
          </w:p>
        </w:tc>
      </w:tr>
      <w:tr>
        <w:trPr>
          <w:trHeight w:val="401" w:hRule="exact"/>
        </w:trPr>
        <w:tc>
          <w:tcPr>
            <w:tcW w:w="2507"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093"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right="6"/>
              <w:jc w:val="right"/>
              <w:rPr>
                <w:rFonts w:ascii="宋体" w:hAnsi="宋体" w:cs="宋体" w:eastAsia="宋体" w:hint="default"/>
                <w:sz w:val="18"/>
                <w:szCs w:val="18"/>
              </w:rPr>
            </w:pPr>
            <w:r>
              <w:rPr>
                <w:rFonts w:ascii="Times New Roman" w:hAnsi="Times New Roman" w:cs="Times New Roman" w:eastAsia="Times New Roman" w:hint="default"/>
                <w:sz w:val="18"/>
                <w:szCs w:val="18"/>
              </w:rPr>
              <w:t>5-18 </w:t>
            </w:r>
            <w:r>
              <w:rPr>
                <w:rFonts w:ascii="宋体" w:hAnsi="宋体" w:cs="宋体" w:eastAsia="宋体" w:hint="default"/>
                <w:sz w:val="18"/>
                <w:szCs w:val="18"/>
              </w:rPr>
              <w:t>年</w:t>
            </w:r>
          </w:p>
        </w:tc>
        <w:tc>
          <w:tcPr>
            <w:tcW w:w="2231"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19.00%-5.28%</w:t>
            </w:r>
          </w:p>
        </w:tc>
      </w:tr>
      <w:tr>
        <w:trPr>
          <w:trHeight w:val="403" w:hRule="exact"/>
        </w:trPr>
        <w:tc>
          <w:tcPr>
            <w:tcW w:w="2507"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093"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right="6"/>
              <w:jc w:val="right"/>
              <w:rPr>
                <w:rFonts w:ascii="宋体" w:hAnsi="宋体" w:cs="宋体" w:eastAsia="宋体" w:hint="default"/>
                <w:sz w:val="18"/>
                <w:szCs w:val="18"/>
              </w:rPr>
            </w:pPr>
            <w:r>
              <w:rPr>
                <w:rFonts w:ascii="Times New Roman" w:hAnsi="Times New Roman" w:cs="Times New Roman" w:eastAsia="Times New Roman" w:hint="default"/>
                <w:sz w:val="18"/>
                <w:szCs w:val="18"/>
              </w:rPr>
              <w:t>8-12 </w:t>
            </w:r>
            <w:r>
              <w:rPr>
                <w:rFonts w:ascii="宋体" w:hAnsi="宋体" w:cs="宋体" w:eastAsia="宋体" w:hint="default"/>
                <w:sz w:val="18"/>
                <w:szCs w:val="18"/>
              </w:rPr>
              <w:t>年</w:t>
            </w:r>
          </w:p>
        </w:tc>
        <w:tc>
          <w:tcPr>
            <w:tcW w:w="2231"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11.88%-7.92%</w:t>
            </w:r>
          </w:p>
        </w:tc>
      </w:tr>
      <w:tr>
        <w:trPr>
          <w:trHeight w:val="401" w:hRule="exact"/>
        </w:trPr>
        <w:tc>
          <w:tcPr>
            <w:tcW w:w="25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0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6"/>
              <w:jc w:val="right"/>
              <w:rPr>
                <w:rFonts w:ascii="宋体" w:hAnsi="宋体" w:cs="宋体" w:eastAsia="宋体" w:hint="default"/>
                <w:sz w:val="18"/>
                <w:szCs w:val="18"/>
              </w:rPr>
            </w:pPr>
            <w:r>
              <w:rPr>
                <w:rFonts w:ascii="Times New Roman" w:hAnsi="Times New Roman" w:cs="Times New Roman" w:eastAsia="Times New Roman" w:hint="default"/>
                <w:sz w:val="18"/>
                <w:szCs w:val="18"/>
              </w:rPr>
              <w:t>5-18 </w:t>
            </w:r>
            <w:r>
              <w:rPr>
                <w:rFonts w:ascii="宋体" w:hAnsi="宋体" w:cs="宋体" w:eastAsia="宋体" w:hint="default"/>
                <w:sz w:val="18"/>
                <w:szCs w:val="18"/>
              </w:rPr>
              <w:t>年</w:t>
            </w:r>
          </w:p>
        </w:tc>
        <w:tc>
          <w:tcPr>
            <w:tcW w:w="2231"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19.00%-5.28%</w:t>
            </w:r>
          </w:p>
        </w:tc>
      </w:tr>
    </w:tbl>
    <w:p>
      <w:pPr>
        <w:spacing w:line="240" w:lineRule="auto" w:before="1"/>
        <w:rPr>
          <w:rFonts w:ascii="宋体" w:hAnsi="宋体" w:cs="宋体" w:eastAsia="宋体" w:hint="default"/>
          <w:sz w:val="20"/>
          <w:szCs w:val="20"/>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657" w:right="1120" w:hanging="216"/>
        <w:jc w:val="left"/>
      </w:pPr>
      <w:r>
        <w:rPr/>
        <w:t>本公司对固定资产的资产减值，按以下方法确定： </w:t>
      </w:r>
      <w:r>
        <w:rPr>
          <w:spacing w:val="-1"/>
        </w:rPr>
        <w:t>本公司于资产负债表日判断资产是否存在可能发生减值的迹象，存在减值迹象的，本公司将估计其可收回金额，进行</w:t>
      </w:r>
    </w:p>
    <w:p>
      <w:pPr>
        <w:pStyle w:val="BodyText"/>
        <w:spacing w:line="240" w:lineRule="auto" w:before="19"/>
        <w:ind w:right="982"/>
        <w:jc w:val="left"/>
      </w:pPr>
      <w:r>
        <w:rPr/>
        <w:t>减值测试。</w:t>
      </w:r>
    </w:p>
    <w:p>
      <w:pPr>
        <w:pStyle w:val="BodyText"/>
        <w:spacing w:line="316" w:lineRule="auto" w:before="76"/>
        <w:ind w:right="1133" w:firstLine="576"/>
        <w:jc w:val="both"/>
      </w:pPr>
      <w:r>
        <w:rPr/>
        <w:t>可收回金额根据资产的公允价值减去处置费用后的净额与资产预计未来现金流量的现值两者之间较高者确定。本公 </w:t>
      </w:r>
      <w:r>
        <w:rPr>
          <w:spacing w:val="-2"/>
        </w:rPr>
        <w:t>司以单项资产为基础估计其可收回金额；难以对单项资产的可收回金额进行估计的，以该资产所属的资产组为基础确定资产</w:t>
      </w:r>
      <w:r>
        <w:rPr>
          <w:spacing w:val="-64"/>
        </w:rPr>
        <w:t> </w:t>
      </w:r>
      <w:r>
        <w:rPr>
          <w:spacing w:val="-64"/>
        </w:rPr>
      </w:r>
      <w:r>
        <w:rPr/>
        <w:t>组的可收回金额。资产组的认定，以资产组产生的主要现金流入是否独立于其他资产或者资产组的现金流入为依据。</w:t>
      </w:r>
    </w:p>
    <w:p>
      <w:pPr>
        <w:pStyle w:val="BodyText"/>
        <w:spacing w:line="240" w:lineRule="auto" w:before="19"/>
        <w:ind w:left="585" w:right="0"/>
        <w:jc w:val="left"/>
      </w:pPr>
      <w:r>
        <w:rPr/>
        <w:t>当资产或资产组的可收回金额低于其账面价值时，本公司将其账面价值减记至可收回金额，减记的金额计入当期损益，</w:t>
      </w:r>
    </w:p>
    <w:p>
      <w:pPr>
        <w:spacing w:after="0" w:line="240" w:lineRule="auto"/>
        <w:jc w:val="left"/>
        <w:sectPr>
          <w:pgSz w:w="11910" w:h="16840"/>
          <w:pgMar w:header="877" w:footer="1272" w:top="1060" w:bottom="148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729" w:right="6037" w:hanging="577"/>
        <w:jc w:val="left"/>
      </w:pPr>
      <w:r>
        <w:rPr/>
        <w:t>同时计提相应的资产减值准备。 资产减值损失一经确认，在以后会计期间不再转回。</w:t>
      </w:r>
    </w:p>
    <w:p>
      <w:pPr>
        <w:spacing w:line="240" w:lineRule="auto" w:before="9"/>
        <w:rPr>
          <w:rFonts w:ascii="宋体" w:hAnsi="宋体" w:cs="宋体" w:eastAsia="宋体" w:hint="default"/>
          <w:sz w:val="22"/>
          <w:szCs w:val="22"/>
        </w:rPr>
      </w:pPr>
    </w:p>
    <w:p>
      <w:pPr>
        <w:pStyle w:val="Heading3"/>
        <w:spacing w:line="240" w:lineRule="auto"/>
        <w:ind w:right="982"/>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2" w:firstLine="312"/>
        <w:jc w:val="left"/>
      </w:pPr>
      <w:r>
        <w:rPr/>
        <w:t>每年年度终了，本公司对固定资产的使用寿命、预计净残值和折旧方法进行复核。 </w:t>
      </w:r>
      <w:r>
        <w:rPr>
          <w:spacing w:val="-2"/>
        </w:rPr>
        <w:t>使用寿命预计数与原先估计数有差异的，调整固定资产使用寿命；预计净残值预计数与原先估计数有差异的，调整预计净残</w:t>
      </w:r>
      <w:r>
        <w:rPr>
          <w:spacing w:val="-63"/>
        </w:rPr>
        <w:t> </w:t>
      </w:r>
      <w:r>
        <w:rPr>
          <w:spacing w:val="-63"/>
        </w:rPr>
      </w:r>
      <w:r>
        <w:rPr/>
        <w:t>值。</w:t>
      </w:r>
    </w:p>
    <w:p>
      <w:pPr>
        <w:pStyle w:val="BodyText"/>
        <w:spacing w:line="338" w:lineRule="auto" w:before="19"/>
        <w:ind w:right="982" w:firstLine="312"/>
        <w:jc w:val="left"/>
      </w:pPr>
      <w:r>
        <w:rPr/>
        <w:t>大修理费用 </w:t>
      </w:r>
      <w:r>
        <w:rPr>
          <w:spacing w:val="-2"/>
        </w:rPr>
        <w:t>本公司对固定资产进行定期检查发生的大修理费用，有确凿证据表明符合固定资产确认条件的部分，计入固定资产成本，不</w:t>
      </w:r>
      <w:r>
        <w:rPr>
          <w:spacing w:val="-63"/>
        </w:rPr>
        <w:t> </w:t>
      </w:r>
      <w:r>
        <w:rPr>
          <w:spacing w:val="-63"/>
        </w:rPr>
      </w:r>
      <w:r>
        <w:rPr/>
        <w:t>符合固定资产确认条件的计入当期损益。固定资产在定期大修理间隔期间，照提折旧。</w:t>
      </w:r>
    </w:p>
    <w:p>
      <w:pPr>
        <w:spacing w:line="240" w:lineRule="auto" w:before="8"/>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82"/>
        <w:jc w:val="left"/>
      </w:pPr>
      <w:r>
        <w:rPr>
          <w:spacing w:val="-2"/>
        </w:rPr>
        <w:t>本公司在建工程成本按实际工程支出确定﹐包括在建期间发生的各项必要工程支出、工程达到预定可使用状态前的应予资本</w:t>
      </w:r>
      <w:r>
        <w:rPr>
          <w:spacing w:val="-63"/>
        </w:rPr>
        <w:t> </w:t>
      </w:r>
      <w:r>
        <w:rPr>
          <w:spacing w:val="-63"/>
        </w:rPr>
      </w:r>
      <w:r>
        <w:rPr/>
        <w:t>化的借款费用以及其他相关费用等。</w:t>
      </w:r>
    </w:p>
    <w:p>
      <w:pPr>
        <w:spacing w:line="240" w:lineRule="auto" w:before="10"/>
        <w:rPr>
          <w:rFonts w:ascii="宋体" w:hAnsi="宋体" w:cs="宋体" w:eastAsia="宋体" w:hint="default"/>
          <w:sz w:val="22"/>
          <w:szCs w:val="22"/>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在建工程在达到预定可使用状态时转入固定资产。</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982" w:firstLine="358"/>
        <w:jc w:val="left"/>
      </w:pPr>
      <w:r>
        <w:rPr>
          <w:spacing w:val="-2"/>
        </w:rPr>
        <w:t>资产负债表日，本公司对在建工程检查是否存在可能发生减值的迹象，当存在减值迹象时应进行减值测试确认其可收回</w:t>
      </w:r>
      <w:r>
        <w:rPr/>
        <w:t> 金额，按账面价值与可收回金额孰低计提减值准备，减值损失一经计提，在以后会计期间不再转回。</w:t>
      </w:r>
    </w:p>
    <w:p>
      <w:pPr>
        <w:pStyle w:val="BodyText"/>
        <w:spacing w:line="240" w:lineRule="auto" w:before="59"/>
        <w:ind w:left="513" w:right="982"/>
        <w:jc w:val="left"/>
      </w:pPr>
      <w:r>
        <w:rPr/>
        <w:t>在建工程可收回金额根据资产公允价值减去处置费用后的净额与资产预计未来现金流量的现值两者孰高确定。</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82" w:firstLine="288"/>
        <w:jc w:val="left"/>
      </w:pPr>
      <w:r>
        <w:rPr>
          <w:spacing w:val="-1"/>
        </w:rPr>
        <w:t>本公司发生的借款费用，可直接归属于符合资本化条件的资产的购建或者生产的，予以资本化，计入相关资产成本；其</w:t>
      </w:r>
      <w:r>
        <w:rPr/>
        <w:t> 他借款费用，在发生时根据其发生额确认为费用，计入当期损益。借款费用同时满足下列条件的，开始资本化：</w:t>
      </w:r>
    </w:p>
    <w:p>
      <w:pPr>
        <w:pStyle w:val="BodyText"/>
        <w:spacing w:line="316" w:lineRule="auto" w:before="19"/>
        <w:ind w:right="1112" w:firstLine="432"/>
        <w:jc w:val="left"/>
      </w:pPr>
      <w:r>
        <w:rPr/>
        <w:t>①</w:t>
      </w:r>
      <w:r>
        <w:rPr>
          <w:spacing w:val="-60"/>
        </w:rPr>
        <w:t> </w:t>
      </w:r>
      <w:r>
        <w:rPr/>
        <w:t>资产支出已经发生，资产支出包括为购建或者生产符合资本化条件的资产而以支付现金、转移非现金资产或者承担</w:t>
      </w:r>
      <w:r>
        <w:rPr/>
        <w:t> 带息债务形式发生的支出；</w:t>
      </w:r>
    </w:p>
    <w:p>
      <w:pPr>
        <w:pStyle w:val="BodyText"/>
        <w:spacing w:line="240" w:lineRule="auto" w:before="19"/>
        <w:ind w:left="657" w:right="982"/>
        <w:jc w:val="left"/>
      </w:pPr>
      <w:r>
        <w:rPr/>
        <w:t>②</w:t>
      </w:r>
      <w:r>
        <w:rPr>
          <w:spacing w:val="-18"/>
        </w:rPr>
        <w:t> </w:t>
      </w:r>
      <w:r>
        <w:rPr/>
        <w:t>借款费用已经发生；</w:t>
      </w:r>
    </w:p>
    <w:p>
      <w:pPr>
        <w:pStyle w:val="BodyText"/>
        <w:spacing w:line="240" w:lineRule="auto" w:before="76"/>
        <w:ind w:left="657" w:right="982"/>
        <w:jc w:val="left"/>
      </w:pPr>
      <w:r>
        <w:rPr/>
        <w:t>③</w:t>
      </w:r>
      <w:r>
        <w:rPr>
          <w:spacing w:val="-16"/>
        </w:rPr>
        <w:t> </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8"/>
        <w:rPr>
          <w:rFonts w:ascii="宋体" w:hAnsi="宋体" w:cs="宋体" w:eastAsia="宋体" w:hint="default"/>
          <w:b/>
          <w:bCs/>
          <w:sz w:val="20"/>
          <w:szCs w:val="20"/>
        </w:rPr>
      </w:pPr>
    </w:p>
    <w:p>
      <w:pPr>
        <w:pStyle w:val="BodyText"/>
        <w:spacing w:line="310" w:lineRule="atLeast"/>
        <w:ind w:right="982" w:firstLine="72"/>
        <w:jc w:val="left"/>
      </w:pPr>
      <w:r>
        <w:rPr/>
        <w:t>本公司购建或者生产符合资本化条件的资产达到预定可使用或者可销售状态时，借款费用停止资本化。在符合资本化条件 的资产达到预定可使用或者可销售状态之后所发生的借款费用，在发生时根据其发生额确认为费用，计入当期损益。</w:t>
      </w:r>
    </w:p>
    <w:p>
      <w:pPr>
        <w:spacing w:after="0" w:line="310" w:lineRule="atLeast"/>
        <w:jc w:val="left"/>
        <w:sectPr>
          <w:pgSz w:w="11910" w:h="16840"/>
          <w:pgMar w:header="877" w:footer="1272" w:top="1060" w:bottom="14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982"/>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82" w:firstLine="72"/>
        <w:jc w:val="left"/>
      </w:pPr>
      <w:r>
        <w:rPr>
          <w:spacing w:val="-2"/>
        </w:rPr>
        <w:t>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个月的，暂停借款费用的资本化；正</w:t>
      </w:r>
      <w:r>
        <w:rPr/>
        <w:t> 常中断期间的借款费用继续资本化。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1"/>
        <w:ind w:right="982"/>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1" w:firstLine="360"/>
        <w:jc w:val="both"/>
      </w:pPr>
      <w:r>
        <w:rPr>
          <w:spacing w:val="-2"/>
        </w:rPr>
        <w:t>专门借款当期实际发生的利息费用，扣除尚未动用的借款资金存入银行取得的利息收入或进行暂时性投资取得的投资收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率，确定资本化金额。资本化率根据一般借款加权平均利率计算确定。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982"/>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0" w:firstLine="360"/>
        <w:jc w:val="both"/>
      </w:pPr>
      <w:r>
        <w:rPr>
          <w:spacing w:val="-2"/>
        </w:rPr>
        <w:t>本公司无形资产按照成本进行初始计量，并于取得无形资产时分析判断其使用寿命。使用寿命为有限的，自无形资产可</w:t>
      </w:r>
      <w:r>
        <w:rPr/>
        <w:t> </w:t>
      </w:r>
      <w:r>
        <w:rPr>
          <w:spacing w:val="-2"/>
        </w:rPr>
        <w:t>供使用时起，采用能反映与该资产有关的经济利益的预期实现方式的摊销方法，在预计使用年限内摊销；无法可靠确定预期</w:t>
      </w:r>
      <w:r>
        <w:rPr>
          <w:spacing w:val="-63"/>
        </w:rPr>
        <w:t> </w:t>
      </w:r>
      <w:r>
        <w:rPr>
          <w:spacing w:val="-63"/>
        </w:rPr>
      </w:r>
      <w:r>
        <w:rPr/>
        <w:t>实现方式的，采用直线法摊销；使用寿命不确定的无形资产，不作摊销。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982"/>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2" w:firstLine="216"/>
        <w:jc w:val="left"/>
      </w:pPr>
      <w:r>
        <w:rPr/>
        <w:t>本公司于每年年度终了，对使用寿命有限的无形资产的使用寿命及摊销方法进行复核，与以前估计不同的，调整原先估 计数，并按会计估计变更处理。</w:t>
      </w:r>
    </w:p>
    <w:p>
      <w:pPr>
        <w:pStyle w:val="BodyText"/>
        <w:spacing w:line="240" w:lineRule="auto" w:before="19"/>
        <w:ind w:left="585" w:right="982"/>
        <w:jc w:val="left"/>
      </w:pPr>
      <w:r>
        <w:rPr/>
        <w:t>本公司期末预计某项无形资产已经不能给企业带来未来经济利益的，将该项无形资产的账面价值全部转入当期损益。</w:t>
      </w:r>
    </w:p>
    <w:p>
      <w:pPr>
        <w:spacing w:line="240" w:lineRule="auto" w:before="1"/>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2279"/>
        <w:gridCol w:w="2216"/>
        <w:gridCol w:w="5075"/>
      </w:tblGrid>
      <w:tr>
        <w:trPr>
          <w:trHeight w:val="401" w:hRule="exact"/>
        </w:trPr>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168"/>
        <w:jc w:val="left"/>
      </w:pPr>
      <w:r>
        <w:rPr/>
        <w:t>公司将无法预见该资产为公司带来经济利益的期限</w:t>
      </w:r>
      <w:r>
        <w:rPr>
          <w:rFonts w:ascii="Times New Roman" w:hAnsi="Times New Roman" w:cs="Times New Roman" w:eastAsia="Times New Roman" w:hint="default"/>
        </w:rPr>
        <w:t>,</w:t>
      </w:r>
      <w:r>
        <w:rPr/>
        <w:t>或使用期限不确定等无形资产确定为使用寿命不确定的无形资产。 在每个会计期间对使用寿命不确定的无形资产的使用寿命进行复核。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1"/>
        <w:ind w:right="982"/>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982"/>
        <w:jc w:val="left"/>
      </w:pPr>
      <w:r>
        <w:rPr/>
        <w:t>本公司对无形资产的资产减值，按以下方法确定：</w:t>
      </w:r>
    </w:p>
    <w:p>
      <w:pPr>
        <w:spacing w:after="0" w:line="240" w:lineRule="auto"/>
        <w:jc w:val="left"/>
        <w:sectPr>
          <w:pgSz w:w="11910" w:h="16840"/>
          <w:pgMar w:header="877" w:footer="1272" w:top="1060" w:bottom="14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firstLine="504"/>
        <w:jc w:val="both"/>
      </w:pPr>
      <w:r>
        <w:rPr>
          <w:spacing w:val="-1"/>
        </w:rPr>
        <w:t>本公司于资产负债表日判断资产是否存在可能发生减值的迹象，存在减值迹象的，本公司将估计其可收回金额，进行</w:t>
      </w:r>
      <w:r>
        <w:rPr/>
        <w:t> </w:t>
      </w:r>
      <w:r>
        <w:rPr>
          <w:spacing w:val="-2"/>
        </w:rPr>
        <w:t>减值测试。对因企业合并所形成的商誉、使用寿命不确定的无形资产和尚未达到可使用状态的无形资产无论是否存在减值迹</w:t>
      </w:r>
      <w:r>
        <w:rPr>
          <w:spacing w:val="-64"/>
        </w:rPr>
        <w:t> </w:t>
      </w:r>
      <w:r>
        <w:rPr>
          <w:spacing w:val="-64"/>
        </w:rPr>
      </w:r>
      <w:r>
        <w:rPr/>
        <w:t>象，每年都进行减值测试。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982"/>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4814"/>
        <w:jc w:val="left"/>
      </w:pPr>
      <w:r>
        <w:rPr/>
        <w:t>本公司将内部研究开发项目的支出，区分为研究阶段支出和开发阶段支出。 研究阶段的支出，于发生时计入当期损益。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982"/>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82" w:firstLine="72"/>
        <w:jc w:val="left"/>
      </w:pPr>
      <w:r>
        <w:rPr/>
        <w:t>开发阶段的支出，同时满足下列条件的，才能予以资本化，即：完成该无形资产以使其能够使用或出售在技术上具有可行 </w:t>
      </w:r>
      <w:r>
        <w:rPr>
          <w:spacing w:val="-2"/>
        </w:rPr>
        <w:t>性；具有完成该无形资产并使用或出售的意图；无形资产产生经济利益的方式，包括能够证明运用该无形资产生产的产品存</w:t>
      </w:r>
      <w:r>
        <w:rPr>
          <w:spacing w:val="-63"/>
        </w:rPr>
        <w:t> </w:t>
      </w:r>
      <w:r>
        <w:rPr>
          <w:spacing w:val="-63"/>
        </w:rPr>
      </w:r>
      <w:r>
        <w:rPr>
          <w:spacing w:val="-4"/>
        </w:rPr>
        <w:t>在市场或无形资产自身存在市场，无形资产将在内部使用的，能够证明其有用性；有足够的技术、财务资源和其他资源支持，</w:t>
      </w:r>
      <w:r>
        <w:rPr>
          <w:spacing w:val="-46"/>
        </w:rPr>
        <w:t> </w:t>
      </w:r>
      <w:r>
        <w:rPr>
          <w:spacing w:val="-46"/>
        </w:rPr>
      </w:r>
      <w:r>
        <w:rPr>
          <w:spacing w:val="-2"/>
        </w:rPr>
        <w:t>以完成该无形资产的开发，并有能力使用或出售该无形资产；归属于该无形资产开发阶段的支出能够可靠地计量。不满足上</w:t>
      </w:r>
      <w:r>
        <w:rPr>
          <w:spacing w:val="-62"/>
        </w:rPr>
        <w:t> </w:t>
      </w:r>
      <w:r>
        <w:rPr>
          <w:spacing w:val="-62"/>
        </w:rPr>
      </w:r>
      <w:r>
        <w:rPr/>
        <w:t>述条件的开发支出计入当期损益。</w:t>
      </w:r>
    </w:p>
    <w:p>
      <w:pPr>
        <w:pStyle w:val="BodyText"/>
        <w:spacing w:line="240" w:lineRule="auto" w:before="19"/>
        <w:ind w:left="585" w:right="982"/>
        <w:jc w:val="left"/>
      </w:pPr>
      <w:r>
        <w:rPr/>
        <w:t>本公司相应项目在满足上述条件，通过技术可行性及经济可行性研究，形成项目立项后，进入开发阶段。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982"/>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982" w:firstLine="72"/>
        <w:jc w:val="left"/>
      </w:pPr>
      <w:r>
        <w:rPr/>
        <w:t>本公司发生的长期待摊费用按实际成本计价，并按预计受益期限平均摊销。对不能使以后会计期间受益的长期待摊费用项 目，其摊余价值全部计入当期损益。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982"/>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如果与或有事项相关的义务同时符合以下条件，本公司将其确认为预计负债：</w:t>
      </w:r>
    </w:p>
    <w:p>
      <w:pPr>
        <w:pStyle w:val="BodyText"/>
        <w:spacing w:line="240" w:lineRule="auto" w:before="76"/>
        <w:ind w:left="513" w:right="982"/>
        <w:jc w:val="left"/>
      </w:pPr>
      <w:r>
        <w:rPr/>
        <w:t>①</w:t>
      </w:r>
      <w:r>
        <w:rPr>
          <w:spacing w:val="-18"/>
        </w:rPr>
        <w:t> </w:t>
      </w:r>
      <w:r>
        <w:rPr/>
        <w:t>该义务是本公司承担的现时义务；</w:t>
      </w:r>
    </w:p>
    <w:p>
      <w:pPr>
        <w:pStyle w:val="BodyText"/>
        <w:spacing w:line="240" w:lineRule="auto" w:before="76"/>
        <w:ind w:left="513" w:right="982"/>
        <w:jc w:val="left"/>
      </w:pPr>
      <w:r>
        <w:rPr/>
        <w:t>②</w:t>
      </w:r>
      <w:r>
        <w:rPr>
          <w:spacing w:val="-18"/>
        </w:rPr>
        <w:t> </w:t>
      </w:r>
      <w:r>
        <w:rPr/>
        <w:t>该义务的履行很可能导致经济利益流出本公司；</w:t>
      </w:r>
    </w:p>
    <w:p>
      <w:pPr>
        <w:pStyle w:val="BodyText"/>
        <w:spacing w:line="316" w:lineRule="auto" w:before="77"/>
        <w:ind w:left="513" w:right="982"/>
        <w:jc w:val="left"/>
      </w:pPr>
      <w:r>
        <w:rPr/>
        <w:t>③</w:t>
      </w:r>
      <w:r>
        <w:rPr>
          <w:spacing w:val="-18"/>
        </w:rPr>
        <w:t> </w:t>
      </w:r>
      <w:r>
        <w:rPr/>
        <w:t>该义务的金额能够可靠地计量。</w:t>
      </w:r>
      <w:r>
        <w:rPr/>
        <w:t> </w:t>
      </w:r>
      <w:r>
        <w:rPr>
          <w:spacing w:val="-2"/>
        </w:rPr>
        <w:t>如果清偿已确认预计负债所需支出全部或部分预期由第三方或其他方补偿，则补偿金额只能在基本确定能收到时，作为</w:t>
      </w:r>
    </w:p>
    <w:p>
      <w:pPr>
        <w:pStyle w:val="BodyText"/>
        <w:spacing w:line="240" w:lineRule="auto" w:before="19"/>
        <w:ind w:right="982"/>
        <w:jc w:val="left"/>
      </w:pPr>
      <w:r>
        <w:rPr/>
        <w:t>资产单独确认。确认的补偿金额不超过所确认负债的账面价值。</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82"/>
        <w:jc w:val="left"/>
      </w:pPr>
      <w:r>
        <w:rPr/>
        <w:t>如果与或有事项相关的义务同时符合以下条件，本公司将其确认为预计负债：</w:t>
      </w:r>
    </w:p>
    <w:p>
      <w:pPr>
        <w:pStyle w:val="BodyText"/>
        <w:spacing w:line="240" w:lineRule="auto" w:before="76"/>
        <w:ind w:left="513" w:right="982"/>
        <w:jc w:val="left"/>
      </w:pPr>
      <w:r>
        <w:rPr/>
        <w:t>①</w:t>
      </w:r>
      <w:r>
        <w:rPr>
          <w:spacing w:val="-18"/>
        </w:rPr>
        <w:t> </w:t>
      </w:r>
      <w:r>
        <w:rPr/>
        <w:t>该义务是本公司承担的现时义务；</w:t>
      </w:r>
    </w:p>
    <w:p>
      <w:pPr>
        <w:pStyle w:val="BodyText"/>
        <w:spacing w:line="240" w:lineRule="auto" w:before="76"/>
        <w:ind w:left="513" w:right="982"/>
        <w:jc w:val="left"/>
      </w:pPr>
      <w:r>
        <w:rPr/>
        <w:t>②</w:t>
      </w:r>
      <w:r>
        <w:rPr>
          <w:spacing w:val="-18"/>
        </w:rPr>
        <w:t> </w:t>
      </w:r>
      <w:r>
        <w:rPr/>
        <w:t>该义务的履行很可能导致经济利益流出本公司；</w:t>
      </w:r>
    </w:p>
    <w:p>
      <w:pPr>
        <w:spacing w:after="0" w:line="240" w:lineRule="auto"/>
        <w:jc w:val="left"/>
        <w:sectPr>
          <w:footerReference w:type="default" r:id="rId48"/>
          <w:pgSz w:w="11910" w:h="16840"/>
          <w:pgMar w:footer="1339" w:header="877" w:top="1060" w:bottom="1520" w:left="980" w:right="0"/>
          <w:pgNumType w:start="77"/>
        </w:sectPr>
      </w:pPr>
    </w:p>
    <w:p>
      <w:pPr>
        <w:spacing w:line="240" w:lineRule="auto" w:before="9"/>
        <w:rPr>
          <w:rFonts w:ascii="宋体" w:hAnsi="宋体" w:cs="宋体" w:eastAsia="宋体" w:hint="default"/>
          <w:sz w:val="25"/>
          <w:szCs w:val="25"/>
        </w:rPr>
      </w:pPr>
    </w:p>
    <w:p>
      <w:pPr>
        <w:pStyle w:val="BodyText"/>
        <w:spacing w:line="240" w:lineRule="auto" w:before="44"/>
        <w:ind w:left="513" w:right="982"/>
        <w:jc w:val="left"/>
      </w:pPr>
      <w:r>
        <w:rPr/>
        <w:t>③</w:t>
      </w:r>
      <w:r>
        <w:rPr>
          <w:spacing w:val="-18"/>
        </w:rPr>
        <w:t> </w:t>
      </w:r>
      <w:r>
        <w:rPr/>
        <w:t>该义务的金额能够可靠地计量。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如果清偿已确认预计负债所需支出全部或部分预期由第三方或其他方补偿，则补偿金额只能在基本确定能收到时，作为</w:t>
      </w:r>
      <w:r>
        <w:rPr/>
        <w:t> 资产单独确认。确认的补偿金额不超过所确认负债的账面价值。</w:t>
      </w:r>
    </w:p>
    <w:p>
      <w:pPr>
        <w:spacing w:line="240" w:lineRule="auto" w:before="10"/>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982"/>
        <w:jc w:val="left"/>
      </w:pPr>
      <w:r>
        <w:rPr>
          <w:spacing w:val="-2"/>
        </w:rPr>
        <w:t>股份支付是指为了获取职工或其他方提供服务而授予权益工具或者承担以权益工具为基础确定的负债的交易。股份支付分为</w:t>
      </w:r>
      <w:r>
        <w:rPr>
          <w:spacing w:val="-64"/>
        </w:rPr>
        <w:t> </w:t>
      </w:r>
      <w:r>
        <w:rPr>
          <w:spacing w:val="-64"/>
        </w:rPr>
      </w:r>
      <w:r>
        <w:rPr/>
        <w:t>以权益结算的股份支付和以现金结算的股份支付。</w:t>
      </w:r>
    </w:p>
    <w:p>
      <w:pPr>
        <w:spacing w:line="240" w:lineRule="auto" w:before="8"/>
        <w:rPr>
          <w:rFonts w:ascii="宋体" w:hAnsi="宋体" w:cs="宋体" w:eastAsia="宋体" w:hint="default"/>
          <w:sz w:val="22"/>
          <w:szCs w:val="22"/>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4" w:firstLine="360"/>
        <w:jc w:val="both"/>
      </w:pPr>
      <w:r>
        <w:rPr/>
        <w:t>对于授予的存在活跃市场的期权等权益工具</w:t>
      </w:r>
      <w:r>
        <w:rPr>
          <w:rFonts w:ascii="Times New Roman" w:hAnsi="Times New Roman" w:cs="Times New Roman" w:eastAsia="Times New Roman" w:hint="default"/>
        </w:rPr>
        <w:t>,</w:t>
      </w:r>
      <w:r>
        <w:rPr/>
        <w:t>按照活跃市场中的报价确定其公允价值</w:t>
      </w:r>
      <w:r>
        <w:rPr>
          <w:rFonts w:ascii="Times New Roman" w:hAnsi="Times New Roman" w:cs="Times New Roman" w:eastAsia="Times New Roman" w:hint="default"/>
        </w:rPr>
        <w:t>;</w:t>
      </w:r>
      <w:r>
        <w:rPr/>
        <w:t>对于授予的不存在活跃市场的期权 等权益工具</w:t>
      </w:r>
      <w:r>
        <w:rPr>
          <w:rFonts w:ascii="Times New Roman" w:hAnsi="Times New Roman" w:cs="Times New Roman" w:eastAsia="Times New Roman" w:hint="default"/>
        </w:rPr>
        <w:t>,</w:t>
      </w:r>
      <w:r>
        <w:rPr/>
        <w:t>采用期权定价模型等确定其公允价值。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982"/>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213" w:firstLine="91"/>
        <w:jc w:val="left"/>
      </w:pPr>
      <w:r>
        <w:rPr/>
        <w:t>等待期内每个资产负债表日</w:t>
      </w:r>
      <w:r>
        <w:rPr>
          <w:rFonts w:ascii="Times New Roman" w:hAnsi="Times New Roman" w:cs="Times New Roman" w:eastAsia="Times New Roman" w:hint="default"/>
        </w:rPr>
        <w:t>,</w:t>
      </w:r>
      <w:r>
        <w:rPr/>
        <w:t>公司根据最新取得的可行权职工人数变动等后续信息作出最佳估计</w:t>
      </w:r>
      <w:r>
        <w:rPr>
          <w:rFonts w:ascii="Times New Roman" w:hAnsi="Times New Roman" w:cs="Times New Roman" w:eastAsia="Times New Roman" w:hint="default"/>
        </w:rPr>
        <w:t>,</w:t>
      </w:r>
      <w:r>
        <w:rPr/>
        <w:t>修正预计可行权的权益工 具数量。在可行权日</w:t>
      </w:r>
      <w:r>
        <w:rPr>
          <w:rFonts w:ascii="Times New Roman" w:hAnsi="Times New Roman" w:cs="Times New Roman" w:eastAsia="Times New Roman" w:hint="default"/>
        </w:rPr>
        <w:t>,</w:t>
      </w:r>
      <w:r>
        <w:rPr/>
        <w:t>最终预计可行权权益工具的数量应当与实际可行权数量一致。</w:t>
      </w:r>
    </w:p>
    <w:p>
      <w:pPr>
        <w:spacing w:line="240" w:lineRule="auto" w:before="2"/>
        <w:rPr>
          <w:rFonts w:ascii="宋体" w:hAnsi="宋体" w:cs="宋体" w:eastAsia="宋体" w:hint="default"/>
          <w:sz w:val="22"/>
          <w:szCs w:val="22"/>
        </w:rPr>
      </w:pPr>
    </w:p>
    <w:p>
      <w:pPr>
        <w:pStyle w:val="Heading3"/>
        <w:spacing w:line="240" w:lineRule="auto"/>
        <w:ind w:right="982"/>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51" w:firstLine="360"/>
        <w:jc w:val="both"/>
      </w:pPr>
      <w:r>
        <w:rPr/>
        <w:t>授予后立即可行权的换取职工服务的以权益结算的股份支付，在授予日按照权益工具的公允价值计入相关成本或费用， 相应增加资本公积。</w:t>
      </w:r>
    </w:p>
    <w:p>
      <w:pPr>
        <w:pStyle w:val="BodyText"/>
        <w:spacing w:line="316" w:lineRule="auto" w:before="19"/>
        <w:ind w:right="1130" w:firstLine="360"/>
        <w:jc w:val="both"/>
      </w:pPr>
      <w:r>
        <w:rPr>
          <w:spacing w:val="-2"/>
        </w:rPr>
        <w:t>完成等待期内的服务或达到规定业绩条件才可行权的换取职工服务的以权益结算的股份支付，在等待期内的每个资产负</w:t>
      </w:r>
      <w:r>
        <w:rPr/>
        <w:t> </w:t>
      </w:r>
      <w:r>
        <w:rPr>
          <w:spacing w:val="-2"/>
        </w:rPr>
        <w:t>债表日，以对可行权权益工具数量的最佳估计为基础，按照权益工具授予日的公允价值，将当期取得的服务计入相关成本或</w:t>
      </w:r>
      <w:r>
        <w:rPr>
          <w:spacing w:val="-63"/>
        </w:rPr>
        <w:t> </w:t>
      </w:r>
      <w:r>
        <w:rPr>
          <w:spacing w:val="-63"/>
        </w:rPr>
      </w:r>
      <w:r>
        <w:rPr/>
        <w:t>费用和资本公积。 在资产负债表日，后续信息表明可行权权益工具的数量与以前估计不同的，进行调整，并在可行权日调</w:t>
      </w:r>
      <w:r>
        <w:rPr>
          <w:spacing w:val="-84"/>
        </w:rPr>
        <w:t> </w:t>
      </w:r>
      <w:r>
        <w:rPr>
          <w:spacing w:val="-84"/>
        </w:rPr>
      </w:r>
      <w:r>
        <w:rPr/>
        <w:t>整至实际可行权的权益工具数量。</w:t>
      </w:r>
    </w:p>
    <w:p>
      <w:pPr>
        <w:pStyle w:val="BodyText"/>
        <w:spacing w:line="316" w:lineRule="auto" w:before="19"/>
        <w:ind w:right="1132" w:firstLine="360"/>
        <w:jc w:val="both"/>
      </w:pPr>
      <w:r>
        <w:rPr>
          <w:spacing w:val="-2"/>
        </w:rPr>
        <w:t>对于权益结算的股份支付，在可行权日之后不再对已确认的成本费用和所有者权益总额进行调整。在行权日根据行权情</w:t>
      </w:r>
      <w:r>
        <w:rPr/>
        <w:t> 况，确认股本和股本溢价，同时结转等待期内确认的</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44" w:right="982"/>
        <w:jc w:val="left"/>
      </w:pPr>
      <w:r>
        <w:rPr/>
        <w:t>对已将商品所有权上的主要风险或报酬转移给购货方，不再对该商品实施继续管理权和实际控制权，相关的收入已经取得</w:t>
      </w:r>
    </w:p>
    <w:p>
      <w:pPr>
        <w:spacing w:after="0" w:line="240" w:lineRule="auto"/>
        <w:jc w:val="left"/>
        <w:sectPr>
          <w:pgSz w:w="11910" w:h="16840"/>
          <w:pgMar w:header="877" w:footer="1339"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t>或取得了收款的凭据，且与销售该商品有关的成本能够可靠地计量时，本公司确认商品销售收入的实现。</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24" w:right="982"/>
        <w:jc w:val="left"/>
      </w:pPr>
      <w:r>
        <w:rPr/>
        <w:t>与资产使用权让渡相关的经济利益能够流入及收入的金额能够可靠地计量时，本公司确认收入。</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29"/>
          <w:szCs w:val="29"/>
        </w:rPr>
      </w:pPr>
    </w:p>
    <w:p>
      <w:pPr>
        <w:pStyle w:val="Heading3"/>
        <w:spacing w:line="240" w:lineRule="auto"/>
        <w:ind w:right="982"/>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224" w:right="982"/>
        <w:jc w:val="left"/>
      </w:pPr>
      <w:r>
        <w:rPr/>
        <w:t>对在提供劳务交易的结果能够可靠估计的情况下，本公司在期末按完工百分比法确认收入。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982"/>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4"/>
        <w:rPr>
          <w:rFonts w:ascii="宋体" w:hAnsi="宋体" w:cs="宋体" w:eastAsia="宋体" w:hint="default"/>
          <w:b/>
          <w:bCs/>
          <w:sz w:val="26"/>
          <w:szCs w:val="26"/>
        </w:rPr>
      </w:pPr>
    </w:p>
    <w:p>
      <w:pPr>
        <w:pStyle w:val="BodyText"/>
        <w:tabs>
          <w:tab w:pos="5198" w:val="left" w:leader="none"/>
        </w:tabs>
        <w:spacing w:line="316" w:lineRule="auto"/>
        <w:ind w:right="1048" w:firstLine="362"/>
        <w:jc w:val="left"/>
      </w:pPr>
      <w:r>
        <w:rPr>
          <w:spacing w:val="-1"/>
        </w:rPr>
        <w:t>政府补助在满足政府补助所附条件并能够收到时确认。</w:t>
        <w:tab/>
        <w:t>对于货币性资产的政府补助，按照收到或应收的金额计量。</w:t>
      </w:r>
      <w:r>
        <w:rPr/>
        <w:t> </w:t>
      </w:r>
      <w:r>
        <w:rPr>
          <w:spacing w:val="-2"/>
        </w:rPr>
        <w:t>其中，存在确凿证据表明该项补助是按照固定的定额标准拨付的，可以按照应收的金额计量，否则应当按照实际收到的金额</w:t>
      </w:r>
      <w:r>
        <w:rPr>
          <w:spacing w:val="-63"/>
        </w:rPr>
        <w:t> </w:t>
      </w:r>
      <w:r>
        <w:rPr>
          <w:spacing w:val="-63"/>
        </w:rPr>
      </w:r>
      <w:r>
        <w:rPr/>
        <w:t>计量。对于非货币性资产的政府补助，按照公允价值计量；公允价值不能够可靠取得的，按照名义金额</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元计量。</w:t>
      </w:r>
    </w:p>
    <w:p>
      <w:pPr>
        <w:spacing w:line="240" w:lineRule="auto" w:before="2"/>
        <w:rPr>
          <w:rFonts w:ascii="宋体" w:hAnsi="宋体" w:cs="宋体" w:eastAsia="宋体" w:hint="default"/>
          <w:sz w:val="21"/>
          <w:szCs w:val="21"/>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jc w:val="both"/>
      </w:pPr>
      <w:r>
        <w:rPr>
          <w:spacing w:val="-2"/>
        </w:rPr>
        <w:t>与资产相关的政府补助，确认为递延收益，并在相关资产使用期限内平均分配，计入当期损益；与收益相关的政府补助，如</w:t>
      </w:r>
      <w:r>
        <w:rPr>
          <w:spacing w:val="-67"/>
        </w:rPr>
        <w:t> </w:t>
      </w:r>
      <w:r>
        <w:rPr>
          <w:spacing w:val="-67"/>
        </w:rPr>
      </w:r>
      <w:r>
        <w:rPr>
          <w:spacing w:val="-2"/>
        </w:rPr>
        <w:t>果用于补偿已发生的相关费用或损失，则计入当期损益，如果用于补偿以后期间的相关费用或损失，则计入递延收益，于费</w:t>
      </w:r>
      <w:r>
        <w:rPr>
          <w:spacing w:val="-66"/>
        </w:rPr>
        <w:t> </w:t>
      </w:r>
      <w:r>
        <w:rPr>
          <w:spacing w:val="-66"/>
        </w:rPr>
      </w:r>
      <w:r>
        <w:rPr/>
        <w:t>用确认期间计入当期损益。按照名义金额计量的政府补助，直接计入当期损益。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982"/>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2"/>
        <w:rPr>
          <w:rFonts w:ascii="宋体" w:hAnsi="宋体" w:cs="宋体" w:eastAsia="宋体" w:hint="default"/>
          <w:b/>
          <w:bCs/>
          <w:sz w:val="26"/>
          <w:szCs w:val="26"/>
        </w:rPr>
      </w:pPr>
    </w:p>
    <w:p>
      <w:pPr>
        <w:pStyle w:val="BodyText"/>
        <w:tabs>
          <w:tab w:pos="4792" w:val="left" w:leader="none"/>
          <w:tab w:pos="5683" w:val="left" w:leader="none"/>
          <w:tab w:pos="6223" w:val="left" w:leader="none"/>
          <w:tab w:pos="7301" w:val="left" w:leader="none"/>
        </w:tabs>
        <w:spacing w:line="316" w:lineRule="auto"/>
        <w:ind w:right="1048"/>
        <w:jc w:val="left"/>
      </w:pPr>
      <w:r>
        <w:rPr>
          <w:spacing w:val="-2"/>
        </w:rPr>
        <w:t>所得税包括当期所得税和递延所得税。除由于企业合并产生的调整商誉，或与直接计入所有者权益的交易或者事项相关的递</w:t>
      </w:r>
      <w:r>
        <w:rPr>
          <w:spacing w:val="-64"/>
        </w:rPr>
        <w:t> </w:t>
      </w:r>
      <w:r>
        <w:rPr>
          <w:spacing w:val="-64"/>
        </w:rPr>
      </w:r>
      <w:r>
        <w:rPr>
          <w:spacing w:val="-1"/>
        </w:rPr>
        <w:t>延所得税计入所有者权益外，均作为所得税费用计入当期损益。</w:t>
        <w:tab/>
      </w:r>
      <w:r>
        <w:rPr>
          <w:spacing w:val="-2"/>
        </w:rPr>
        <w:t>本公司根据资产、负债于资产负债表日的账面价值与</w:t>
      </w:r>
      <w:r>
        <w:rPr>
          <w:spacing w:val="-76"/>
        </w:rPr>
        <w:t> </w:t>
      </w:r>
      <w:r>
        <w:rPr>
          <w:spacing w:val="-76"/>
        </w:rPr>
      </w:r>
      <w:r>
        <w:rPr>
          <w:spacing w:val="-1"/>
        </w:rPr>
        <w:t>计税基础之间的暂时性差异，采用资产负债表债务法确认递延所得税。</w:t>
        <w:tab/>
      </w:r>
      <w:r>
        <w:rPr>
          <w:spacing w:val="-2"/>
        </w:rPr>
        <w:t>对于可抵扣暂时性差异、能够结转以后年度的</w:t>
      </w:r>
      <w:r>
        <w:rPr>
          <w:spacing w:val="-80"/>
        </w:rPr>
        <w:t> </w:t>
      </w:r>
      <w:r>
        <w:rPr>
          <w:spacing w:val="-80"/>
        </w:rPr>
      </w:r>
      <w:r>
        <w:rPr>
          <w:spacing w:val="-4"/>
        </w:rPr>
        <w:t>可抵扣亏损和税款抵减，本公司以很可能取得用来抵扣可抵扣暂时性差异、可抵扣亏损和税款抵减的未来应纳税所得额为限，</w:t>
      </w:r>
      <w:r>
        <w:rPr>
          <w:spacing w:val="-44"/>
        </w:rPr>
        <w:t> </w:t>
      </w:r>
      <w:r>
        <w:rPr>
          <w:spacing w:val="-44"/>
        </w:rPr>
      </w:r>
      <w:r>
        <w:rPr>
          <w:spacing w:val="-1"/>
        </w:rPr>
        <w:t>确认由此产生的递延所得税资产，除非该可抵扣暂时性差异是在以下交易中产生的：</w:t>
        <w:tab/>
      </w:r>
      <w:r>
        <w:rPr>
          <w:spacing w:val="-3"/>
        </w:rPr>
        <w:t>①该交易不是企业合并，并且交</w:t>
      </w:r>
      <w:r>
        <w:rPr>
          <w:spacing w:val="-78"/>
        </w:rPr>
        <w:t> </w:t>
      </w:r>
      <w:r>
        <w:rPr>
          <w:spacing w:val="-78"/>
        </w:rPr>
      </w:r>
      <w:r>
        <w:rPr/>
        <w:t>易发生时既不影响会计利润也不影响应纳税所得额；</w:t>
        <w:tab/>
        <w:t>②对于与子公司、合营企业及联营企业投资相关的可抵扣暂时性</w:t>
      </w:r>
      <w:r>
        <w:rPr/>
        <w:t> </w:t>
      </w:r>
      <w:r>
        <w:rPr>
          <w:spacing w:val="-2"/>
        </w:rPr>
        <w:t>差异，同时满足下列条件的，确认相应的递延所得税资产：暂时性差异在可预见的未来很可能转回，且未来很可能获得用来</w:t>
      </w:r>
      <w:r>
        <w:rPr>
          <w:spacing w:val="-64"/>
        </w:rPr>
        <w:t> </w:t>
      </w:r>
      <w:r>
        <w:rPr>
          <w:spacing w:val="-64"/>
        </w:rPr>
      </w:r>
      <w:r>
        <w:rPr/>
        <w:t>抵扣可抵扣暂时性差异的应纳税所得额。</w:t>
      </w:r>
    </w:p>
    <w:p>
      <w:pPr>
        <w:spacing w:after="0" w:line="316" w:lineRule="auto"/>
        <w:jc w:val="left"/>
        <w:sectPr>
          <w:pgSz w:w="11910" w:h="16840"/>
          <w:pgMar w:header="877" w:footer="1339"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0" w:firstLine="362"/>
        <w:jc w:val="both"/>
      </w:pPr>
      <w:r>
        <w:rPr/>
        <w:t>各项应纳税暂时性差异均确认相关的递延所得税负债，除非该应纳税暂时性差异是在以下交易中产生的：</w:t>
      </w:r>
      <w:r>
        <w:rPr>
          <w:spacing w:val="2"/>
        </w:rPr>
        <w:t> </w:t>
      </w:r>
      <w:r>
        <w:rPr>
          <w:spacing w:val="-3"/>
        </w:rPr>
        <w:t>①商</w:t>
      </w:r>
      <w:r>
        <w:rPr>
          <w:spacing w:val="-3"/>
        </w:rPr>
        <w:t> </w:t>
      </w:r>
      <w:r>
        <w:rPr>
          <w:spacing w:val="-2"/>
        </w:rPr>
        <w:t>誉的初始确认，或者具有以下特征的交易中产生的资产或负债的初始确认：该交易不是企业合并，并且交易发生时既不影响</w:t>
      </w:r>
      <w:r>
        <w:rPr>
          <w:spacing w:val="-63"/>
        </w:rPr>
        <w:t> </w:t>
      </w:r>
      <w:r>
        <w:rPr>
          <w:spacing w:val="-63"/>
        </w:rPr>
      </w:r>
      <w:r>
        <w:rPr/>
        <w:t>会计利润也不影响应纳税所得额；</w:t>
      </w:r>
      <w:r>
        <w:rPr>
          <w:spacing w:val="1"/>
        </w:rPr>
        <w:t> </w:t>
      </w:r>
      <w:r>
        <w:rPr/>
        <w:t>②对于与子公司、合营企业及联营企业投资相关的应纳税暂时性差异，该暂时性</w:t>
      </w:r>
      <w:r>
        <w:rPr/>
        <w:t> 差异转回的时间能够控制并且该暂时性差异在可预见的未来很可能不会转回。</w:t>
      </w:r>
      <w:r>
        <w:rPr>
          <w:spacing w:val="59"/>
        </w:rPr>
        <w:t> </w:t>
      </w:r>
      <w:r>
        <w:rPr>
          <w:spacing w:val="-3"/>
        </w:rPr>
        <w:t>于资产负债表日，本公司对递延所得税</w:t>
      </w:r>
      <w:r>
        <w:rPr/>
        <w:t> </w:t>
      </w:r>
      <w:r>
        <w:rPr>
          <w:spacing w:val="-2"/>
        </w:rPr>
        <w:t>资产和递延所得税负债，按照预期收回该资产或清偿该负债期间的适用税率计量，并反映资产负债表日预期收回资产或清偿</w:t>
      </w:r>
      <w:r>
        <w:rPr>
          <w:spacing w:val="-64"/>
        </w:rPr>
        <w:t> </w:t>
      </w:r>
      <w:r>
        <w:rPr>
          <w:spacing w:val="-64"/>
        </w:rPr>
      </w:r>
      <w:r>
        <w:rPr/>
        <w:t>负债方式的所得税影响。</w:t>
      </w:r>
      <w:r>
        <w:rPr>
          <w:spacing w:val="8"/>
        </w:rPr>
        <w:t> </w:t>
      </w:r>
      <w:r>
        <w:rPr/>
        <w:t>于资产负债表日，本公司对递延所得税资产的账面价值进行复核。如果未来期间很可能无法</w:t>
      </w:r>
      <w:r>
        <w:rPr/>
        <w:t> </w:t>
      </w:r>
      <w:r>
        <w:rPr>
          <w:spacing w:val="-2"/>
        </w:rPr>
        <w:t>获得足够的应纳税所得额用以抵扣递延所得税资产的利益，减记递延所得税资产的账面价值。在很可能获得足够的应纳税所</w:t>
      </w:r>
      <w:r>
        <w:rPr>
          <w:spacing w:val="-64"/>
        </w:rPr>
        <w:t> </w:t>
      </w:r>
      <w:r>
        <w:rPr>
          <w:spacing w:val="-64"/>
        </w:rPr>
      </w:r>
      <w:r>
        <w:rPr/>
        <w:t>得额时，减记的金额予以转回。</w:t>
      </w:r>
    </w:p>
    <w:p>
      <w:pPr>
        <w:spacing w:line="240" w:lineRule="auto" w:before="8"/>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24" w:right="982"/>
        <w:jc w:val="left"/>
      </w:pPr>
      <w:r>
        <w:rPr/>
        <w:t>经营租赁的租金在租赁期内的各个期间按直线法计入相关资产成本或当期损益。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82"/>
        <w:jc w:val="left"/>
      </w:pPr>
      <w:r>
        <w:rPr>
          <w:spacing w:val="-2"/>
        </w:rPr>
        <w:t>在租赁期开始日，本公司将租赁开始日租赁资产公允价值与最低租赁付款额现值中较低者作为租入资产的入账价值，将最低</w:t>
      </w:r>
      <w:r>
        <w:rPr>
          <w:spacing w:val="-64"/>
        </w:rPr>
        <w:t> </w:t>
      </w:r>
      <w:r>
        <w:rPr>
          <w:spacing w:val="-64"/>
        </w:rPr>
      </w:r>
      <w:r>
        <w:rPr/>
        <w:t>租赁付款额作为长期应付款的入账价值，其差额作为未确认融资费用。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982"/>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441" w:right="982" w:firstLine="24"/>
        <w:jc w:val="left"/>
      </w:pPr>
      <w:r>
        <w:rPr/>
        <w:t>持有待售的固定资产 </w:t>
      </w:r>
      <w:r>
        <w:rPr>
          <w:spacing w:val="-1"/>
        </w:rPr>
        <w:t>同时满足下列条件的固定资产划分为持有待售：一是本公司已经就处置该固定资产作出决议；二是本公司已经与受让方</w:t>
      </w:r>
    </w:p>
    <w:p>
      <w:pPr>
        <w:pStyle w:val="BodyText"/>
        <w:spacing w:line="316" w:lineRule="auto" w:before="19"/>
        <w:ind w:left="441" w:right="2545" w:hanging="289"/>
        <w:jc w:val="left"/>
      </w:pPr>
      <w:r>
        <w:rPr/>
        <w:t>签订了不可撤销的转让协议；三是该项转让很可能在一年内完成。 持有待售的固定资产包括单项资产和处置组。在特定情况下，处置组包括企业合并中取得的商誉等。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982"/>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657" w:right="1120" w:hanging="144"/>
        <w:jc w:val="left"/>
      </w:pPr>
      <w:r>
        <w:rPr/>
        <w:t>持有待售的固定资产不计提折旧，按照账面价值与公允价值减去处置费用后的净额孰低进行计量。 </w:t>
      </w:r>
      <w:r>
        <w:rPr>
          <w:spacing w:val="-1"/>
        </w:rPr>
        <w:t>某项资产或处置组被划归为持有待售，但后来不再满足持有待售的固定资产的确认条件，企业应当停止将其划归为持</w:t>
      </w:r>
    </w:p>
    <w:p>
      <w:pPr>
        <w:pStyle w:val="BodyText"/>
        <w:spacing w:line="240" w:lineRule="auto" w:before="19"/>
        <w:ind w:right="982"/>
        <w:jc w:val="left"/>
      </w:pPr>
      <w:r>
        <w:rPr/>
        <w:t>有待售，并按照下列两项金额中较低者计量：</w:t>
      </w:r>
    </w:p>
    <w:p>
      <w:pPr>
        <w:pStyle w:val="BodyText"/>
        <w:spacing w:line="316" w:lineRule="auto" w:before="76"/>
        <w:ind w:right="1043" w:firstLine="360"/>
        <w:jc w:val="both"/>
      </w:pPr>
      <w:r>
        <w:rPr/>
        <w:t>①</w:t>
      </w:r>
      <w:r>
        <w:rPr>
          <w:spacing w:val="15"/>
        </w:rPr>
        <w:t> </w:t>
      </w:r>
      <w:r>
        <w:rPr>
          <w:spacing w:val="-2"/>
        </w:rPr>
        <w:t>该资产或处置组被划归为持有待售之前的账面价值，按照其假定在没有被划归为持有待售的情况下原应确认的折旧、</w:t>
      </w:r>
      <w:r>
        <w:rPr/>
        <w:t> 摊销或减值进行调整后的金额；</w:t>
      </w:r>
    </w:p>
    <w:p>
      <w:pPr>
        <w:pStyle w:val="BodyText"/>
        <w:spacing w:line="240" w:lineRule="auto" w:before="18"/>
        <w:ind w:left="585" w:right="982"/>
        <w:jc w:val="left"/>
      </w:pPr>
      <w:r>
        <w:rPr/>
        <w:t>②</w:t>
      </w:r>
      <w:r>
        <w:rPr>
          <w:spacing w:val="-16"/>
        </w:rPr>
        <w:t> </w:t>
      </w:r>
      <w:r>
        <w:rPr/>
        <w:t>决定不再出售之日的再收回金额。</w:t>
      </w:r>
    </w:p>
    <w:p>
      <w:pPr>
        <w:pStyle w:val="BodyText"/>
        <w:spacing w:line="240" w:lineRule="auto" w:before="76"/>
        <w:ind w:left="465" w:right="982"/>
        <w:jc w:val="left"/>
      </w:pPr>
      <w:r>
        <w:rPr/>
        <w:t>符合持有待售条件的无形资产等其他非流动资产，比照上述原则处理。</w:t>
      </w:r>
    </w:p>
    <w:p>
      <w:pPr>
        <w:spacing w:after="0" w:line="240" w:lineRule="auto"/>
        <w:jc w:val="left"/>
        <w:sectPr>
          <w:pgSz w:w="11910" w:h="16840"/>
          <w:pgMar w:header="877" w:footer="1339" w:top="1060" w:bottom="15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0"/>
        <w:jc w:val="both"/>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123"/>
        <w:jc w:val="left"/>
      </w:pPr>
      <w:r>
        <w:rPr/>
        <w:t>套期保值包括公允价值套期、现金流量套期、境外经营净投资套期。报告期内本公司的套期为公允价值套期。 对于满足下列条件的套期工具，本公司运用套期会计方法进行处理：（</w:t>
      </w:r>
      <w:r>
        <w:rPr>
          <w:rFonts w:ascii="Times New Roman" w:hAnsi="Times New Roman" w:cs="Times New Roman" w:eastAsia="Times New Roman" w:hint="default"/>
        </w:rPr>
        <w:t>1</w:t>
      </w:r>
      <w:r>
        <w:rPr/>
        <w:t>）在套期开始时，本公司对套期关系（即套期</w:t>
      </w:r>
    </w:p>
    <w:p>
      <w:pPr>
        <w:pStyle w:val="BodyText"/>
        <w:spacing w:line="300" w:lineRule="auto"/>
        <w:ind w:right="1131"/>
        <w:jc w:val="both"/>
      </w:pPr>
      <w:r>
        <w:rPr/>
        <w:t>工具和被套期项目之间的关系）有正式指定，并准备了关于套期关系、风险管理目标和套期策略的正式书面文件；（</w:t>
      </w:r>
      <w:r>
        <w:rPr>
          <w:rFonts w:ascii="Times New Roman" w:hAnsi="Times New Roman" w:cs="Times New Roman" w:eastAsia="Times New Roman" w:hint="default"/>
        </w:rPr>
        <w:t>2</w:t>
      </w:r>
      <w:r>
        <w:rPr/>
        <w:t>）该</w:t>
      </w:r>
      <w:r>
        <w:rPr>
          <w:spacing w:val="-82"/>
        </w:rPr>
        <w:t> </w:t>
      </w:r>
      <w:r>
        <w:rPr/>
        <w:t>套期预期高度有效，且符合本公司最初为该套期关系所确定的风险管理策略；（</w:t>
      </w:r>
      <w:r>
        <w:rPr>
          <w:rFonts w:ascii="Times New Roman" w:hAnsi="Times New Roman" w:cs="Times New Roman" w:eastAsia="Times New Roman" w:hint="default"/>
        </w:rPr>
        <w:t>3</w:t>
      </w:r>
      <w:r>
        <w:rPr/>
        <w:t>）对预期交易的现金流量套期，预期交易</w:t>
      </w:r>
      <w:r>
        <w:rPr>
          <w:spacing w:val="-83"/>
        </w:rPr>
        <w:t> </w:t>
      </w:r>
      <w:r>
        <w:rPr>
          <w:spacing w:val="-83"/>
        </w:rPr>
      </w:r>
      <w:r>
        <w:rPr>
          <w:spacing w:val="-2"/>
        </w:rPr>
        <w:t>很可能发生，且必须使本公司面临最终将影响损益的现金流量变动风险；（</w:t>
      </w:r>
      <w:r>
        <w:rPr>
          <w:rFonts w:ascii="Times New Roman" w:hAnsi="Times New Roman" w:cs="Times New Roman" w:eastAsia="Times New Roman" w:hint="default"/>
          <w:spacing w:val="-2"/>
        </w:rPr>
        <w:t>4</w:t>
      </w:r>
      <w:r>
        <w:rPr>
          <w:spacing w:val="-2"/>
        </w:rPr>
        <w:t>）套期有效性能够可靠地计量；（</w:t>
      </w:r>
      <w:r>
        <w:rPr>
          <w:rFonts w:ascii="Times New Roman" w:hAnsi="Times New Roman" w:cs="Times New Roman" w:eastAsia="Times New Roman" w:hint="default"/>
          <w:spacing w:val="-2"/>
        </w:rPr>
        <w:t>5</w:t>
      </w:r>
      <w:r>
        <w:rPr>
          <w:spacing w:val="-2"/>
        </w:rPr>
        <w:t>）持续地对</w:t>
      </w:r>
      <w:r>
        <w:rPr>
          <w:spacing w:val="-64"/>
        </w:rPr>
        <w:t> </w:t>
      </w:r>
      <w:r>
        <w:rPr>
          <w:spacing w:val="-64"/>
        </w:rPr>
      </w:r>
      <w:r>
        <w:rPr/>
        <w:t>套期有效性进行评价，并确保该套期在套期关系被指定的会计期间内高度有效。</w:t>
      </w:r>
    </w:p>
    <w:p>
      <w:pPr>
        <w:pStyle w:val="BodyText"/>
        <w:spacing w:line="300" w:lineRule="auto" w:before="32"/>
        <w:ind w:right="1124" w:firstLine="360"/>
        <w:jc w:val="left"/>
      </w:pPr>
      <w:r>
        <w:rPr/>
        <w:t>套期同时满足下列条件时，本公司认定其高度有效：（</w:t>
      </w:r>
      <w:r>
        <w:rPr>
          <w:rFonts w:ascii="Times New Roman" w:hAnsi="Times New Roman" w:cs="Times New Roman" w:eastAsia="Times New Roman" w:hint="default"/>
        </w:rPr>
        <w:t>1</w:t>
      </w:r>
      <w:r>
        <w:rPr/>
        <w:t>）在套期开始及以后期间，该项套期预期会高度有效地抵销套 期指定期间被套期风险引起的公允价值或现金流量变动；（</w:t>
      </w:r>
      <w:r>
        <w:rPr>
          <w:rFonts w:ascii="Times New Roman" w:hAnsi="Times New Roman" w:cs="Times New Roman" w:eastAsia="Times New Roman" w:hint="default"/>
        </w:rPr>
        <w:t>2</w:t>
      </w:r>
      <w:r>
        <w:rPr/>
        <w:t>）该套期的实际抵销结果在</w:t>
      </w:r>
      <w:r>
        <w:rPr>
          <w:rFonts w:ascii="Times New Roman" w:hAnsi="Times New Roman" w:cs="Times New Roman" w:eastAsia="Times New Roman" w:hint="default"/>
        </w:rPr>
        <w:t>80%</w:t>
      </w:r>
      <w:r>
        <w:rPr/>
        <w:t>至</w:t>
      </w:r>
      <w:r>
        <w:rPr>
          <w:rFonts w:ascii="Times New Roman" w:hAnsi="Times New Roman" w:cs="Times New Roman" w:eastAsia="Times New Roman" w:hint="default"/>
        </w:rPr>
        <w:t>125%</w:t>
      </w:r>
      <w:r>
        <w:rPr/>
        <w:t>的范围内。</w:t>
      </w:r>
    </w:p>
    <w:p>
      <w:pPr>
        <w:pStyle w:val="BodyText"/>
        <w:spacing w:line="316" w:lineRule="auto" w:before="13"/>
        <w:ind w:right="1034" w:firstLine="360"/>
        <w:jc w:val="left"/>
      </w:pPr>
      <w:r>
        <w:rPr/>
        <w:t>本公司在套期开始时，记录套期工具与被套期项目之间的关系，以及风险管理目标和进行不同套期交易的策略。此外， </w:t>
      </w:r>
      <w:r>
        <w:rPr>
          <w:spacing w:val="-4"/>
        </w:rPr>
        <w:t>在套期开始及之后，本公司会持续地对套期有效性进行评价，以检查有关套期在套期关系被指定的会计期间内是否高度有效。</w:t>
      </w:r>
    </w:p>
    <w:p>
      <w:pPr>
        <w:pStyle w:val="BodyText"/>
        <w:spacing w:line="316" w:lineRule="auto" w:before="19"/>
        <w:ind w:right="982" w:firstLine="360"/>
        <w:jc w:val="left"/>
      </w:pPr>
      <w:r>
        <w:rPr>
          <w:spacing w:val="-2"/>
        </w:rPr>
        <w:t>套期工具为衍生工具的，套期工具公允价值变动形成的利得或损失计入当期损益；套期工具为非衍生工具的，套期工具</w:t>
      </w:r>
      <w:r>
        <w:rPr/>
        <w:t> 账面价值因汇率变动形成的利得或损失计入当期损益。</w:t>
      </w:r>
    </w:p>
    <w:p>
      <w:pPr>
        <w:pStyle w:val="BodyText"/>
        <w:spacing w:line="316" w:lineRule="auto" w:before="19"/>
        <w:ind w:left="513" w:right="3013"/>
        <w:jc w:val="left"/>
      </w:pPr>
      <w:r>
        <w:rPr/>
        <w:t>被套期项目因被套期风险形成的利得或损失计入当期损益，同时调整被套期项目的账面价值。 套期会计会在套期工具到期或出售、终止、或行使或不再符合套期会计条件时终止。</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本报告期主要会计政策、会计估计是否变更</w:t>
      </w:r>
    </w:p>
    <w:p>
      <w:pPr>
        <w:pStyle w:val="BodyText"/>
        <w:spacing w:line="240" w:lineRule="auto" w:before="115"/>
        <w:ind w:right="0"/>
        <w:jc w:val="both"/>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本报告期主要会计政策是否变更</w:t>
      </w:r>
    </w:p>
    <w:p>
      <w:pPr>
        <w:pStyle w:val="BodyText"/>
        <w:spacing w:line="240" w:lineRule="auto" w:before="115"/>
        <w:ind w:right="0"/>
        <w:jc w:val="both"/>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本报告期主要会计估计是否变更</w:t>
      </w:r>
    </w:p>
    <w:p>
      <w:pPr>
        <w:pStyle w:val="BodyText"/>
        <w:spacing w:line="240" w:lineRule="auto" w:before="117"/>
        <w:ind w:right="0"/>
        <w:jc w:val="both"/>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本报告期是否发现前期会计差错</w:t>
      </w:r>
    </w:p>
    <w:p>
      <w:pPr>
        <w:pStyle w:val="BodyText"/>
        <w:spacing w:line="360" w:lineRule="auto" w:before="117"/>
        <w:ind w:right="9761"/>
        <w:jc w:val="left"/>
      </w:pPr>
      <w:r>
        <w:rPr/>
        <w:t>□ 是 √</w:t>
      </w:r>
      <w:r>
        <w:rPr>
          <w:spacing w:val="3"/>
        </w:rPr>
        <w:t> </w:t>
      </w:r>
      <w:r>
        <w:rPr/>
        <w:t>否</w:t>
      </w:r>
      <w:r>
        <w:rPr/>
        <w:t> 不适用</w:t>
      </w:r>
    </w:p>
    <w:p>
      <w:pPr>
        <w:spacing w:after="0" w:line="360" w:lineRule="auto"/>
        <w:jc w:val="left"/>
        <w:sectPr>
          <w:pgSz w:w="11910" w:h="16840"/>
          <w:pgMar w:header="877" w:footer="1339"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2"/>
        <w:jc w:val="left"/>
      </w:pPr>
      <w:r>
        <w:rPr/>
        <w:t>本报告期是否发现采用追溯重述法的前期会计差错</w:t>
      </w:r>
    </w:p>
    <w:p>
      <w:pPr>
        <w:pStyle w:val="BodyText"/>
        <w:spacing w:line="240" w:lineRule="auto" w:before="115"/>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本报告期是否发现采用未来适用法的前期会计差错</w:t>
      </w:r>
    </w:p>
    <w:p>
      <w:pPr>
        <w:pStyle w:val="BodyText"/>
        <w:spacing w:line="240" w:lineRule="auto" w:before="115"/>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982"/>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05"/>
        <w:gridCol w:w="3024"/>
        <w:gridCol w:w="3016"/>
      </w:tblGrid>
      <w:tr>
        <w:trPr>
          <w:trHeight w:val="403" w:hRule="exact"/>
        </w:trPr>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505"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0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p>
        </w:tc>
      </w:tr>
      <w:tr>
        <w:trPr>
          <w:trHeight w:val="403" w:hRule="exact"/>
        </w:trPr>
        <w:tc>
          <w:tcPr>
            <w:tcW w:w="3505"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0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505"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0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3" w:hRule="exact"/>
        </w:trPr>
        <w:tc>
          <w:tcPr>
            <w:tcW w:w="3505"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pStyle w:val="BodyText"/>
        <w:spacing w:line="240" w:lineRule="auto" w:before="49"/>
        <w:ind w:right="0"/>
        <w:jc w:val="both"/>
      </w:pPr>
      <w:r>
        <w:rPr/>
        <w:t>各分公司、分厂执行的所得税税率</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1"/>
        <w:jc w:val="both"/>
      </w:pPr>
      <w:r>
        <w:rPr/>
        <w:t>本公司全资子公司石家庄常山恒新纺织有限公司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月被河北省科学技术厅、河北省财政厅、河北省国家税务局、河北</w:t>
      </w:r>
      <w:r>
        <w:rPr>
          <w:spacing w:val="-85"/>
        </w:rPr>
        <w:t> </w:t>
      </w:r>
      <w:r>
        <w:rPr>
          <w:spacing w:val="-85"/>
        </w:rPr>
      </w:r>
      <w:r>
        <w:rPr/>
        <w:t>省地方税务局联合认定为高新技术企业，认定证书编号：</w:t>
      </w:r>
      <w:r>
        <w:rPr>
          <w:rFonts w:ascii="Times New Roman" w:hAnsi="Times New Roman" w:cs="Times New Roman" w:eastAsia="Times New Roman" w:hint="default"/>
        </w:rPr>
        <w:t>GF201113000157</w:t>
      </w:r>
      <w:r>
        <w:rPr/>
        <w:t>；该公司享受国家高新技术产业开发区内高新技</w:t>
      </w:r>
      <w:r>
        <w:rPr>
          <w:spacing w:val="-51"/>
        </w:rPr>
        <w:t> </w:t>
      </w:r>
      <w:r>
        <w:rPr>
          <w:spacing w:val="-51"/>
        </w:rPr>
      </w:r>
      <w:r>
        <w:rPr/>
        <w:t>术企业的优惠政策，自</w:t>
      </w:r>
      <w:r>
        <w:rPr>
          <w:spacing w:val="-21"/>
        </w:rPr>
        <w:t> </w:t>
      </w:r>
      <w:r>
        <w:rPr>
          <w:rFonts w:ascii="Times New Roman" w:hAnsi="Times New Roman" w:cs="Times New Roman" w:eastAsia="Times New Roman" w:hint="default"/>
        </w:rPr>
        <w:t>2011-2013</w:t>
      </w:r>
      <w:r>
        <w:rPr/>
        <w:t>年按</w:t>
      </w:r>
      <w:r>
        <w:rPr>
          <w:rFonts w:ascii="Times New Roman" w:hAnsi="Times New Roman" w:cs="Times New Roman" w:eastAsia="Times New Roman" w:hint="default"/>
        </w:rPr>
        <w:t>15%</w:t>
      </w:r>
      <w:r>
        <w:rPr/>
        <w:t>的税率征收企业所得税。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7" w:lineRule="auto" w:before="133"/>
        <w:ind w:left="152" w:right="76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BodyText"/>
        <w:spacing w:line="309" w:lineRule="auto" w:before="105"/>
        <w:ind w:right="1130"/>
        <w:jc w:val="both"/>
      </w:pPr>
      <w:r>
        <w:rPr/>
        <w:t>本报告期，公司通过设立或投资等方式取得的子公司共</w:t>
      </w:r>
      <w:r>
        <w:rPr>
          <w:rFonts w:ascii="Times New Roman" w:hAnsi="Times New Roman" w:cs="Times New Roman" w:eastAsia="Times New Roman" w:hint="default"/>
        </w:rPr>
        <w:t>9</w:t>
      </w:r>
      <w:r>
        <w:rPr/>
        <w:t>家：上海棉宏国际贸易公司、上海冀源国际贸易有限公司、石家庄 </w:t>
      </w:r>
      <w:r>
        <w:rPr>
          <w:spacing w:val="-2"/>
        </w:rPr>
        <w:t>常山恒新纺织有限公司、上海常纺恒友国际贸易有限公司、石家庄常山赵州纺织有限公司、石家庄常山恒荣进出口贸易有限</w:t>
      </w:r>
      <w:r>
        <w:rPr>
          <w:spacing w:val="-63"/>
        </w:rPr>
        <w:t> </w:t>
      </w:r>
      <w:r>
        <w:rPr>
          <w:spacing w:val="-63"/>
        </w:rPr>
      </w:r>
      <w:r>
        <w:rPr/>
        <w:t>公司、常山股份香港国际贸易有限公司、石家庄常山物业服务有限公司、库尔勒常山恒丰商贸有限责任公司。</w:t>
      </w:r>
    </w:p>
    <w:p>
      <w:pPr>
        <w:spacing w:line="240" w:lineRule="auto" w:before="3"/>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877" w:footer="1339"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707"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12"/>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1338" w:hRule="exact"/>
        </w:trPr>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108"/>
              <w:jc w:val="both"/>
              <w:rPr>
                <w:rFonts w:ascii="宋体" w:hAnsi="宋体" w:cs="宋体" w:eastAsia="宋体" w:hint="default"/>
                <w:sz w:val="18"/>
                <w:szCs w:val="18"/>
              </w:rPr>
            </w:pPr>
            <w:r>
              <w:rPr>
                <w:rFonts w:ascii="宋体" w:hAnsi="宋体" w:cs="宋体" w:eastAsia="宋体" w:hint="default"/>
                <w:sz w:val="18"/>
                <w:szCs w:val="18"/>
              </w:rPr>
              <w:t>上海棉 宏国际 贸易有 限公司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6"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上海泰 谷路 </w:t>
            </w: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3" w:right="107"/>
              <w:jc w:val="left"/>
              <w:rPr>
                <w:rFonts w:ascii="宋体" w:hAnsi="宋体" w:cs="宋体" w:eastAsia="宋体" w:hint="default"/>
                <w:sz w:val="18"/>
                <w:szCs w:val="18"/>
              </w:rPr>
            </w:pPr>
            <w:r>
              <w:rPr>
                <w:rFonts w:ascii="宋体" w:hAnsi="宋体" w:cs="宋体" w:eastAsia="宋体" w:hint="default"/>
                <w:sz w:val="18"/>
                <w:szCs w:val="18"/>
              </w:rPr>
              <w:t>国际贸 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4"/>
              <w:jc w:val="right"/>
              <w:rPr>
                <w:rFonts w:ascii="Times New Roman" w:hAnsi="Times New Roman" w:cs="Times New Roman" w:eastAsia="Times New Roman" w:hint="default"/>
                <w:sz w:val="18"/>
                <w:szCs w:val="18"/>
              </w:rPr>
            </w:pPr>
            <w:r>
              <w:rPr>
                <w:rFonts w:ascii="Times New Roman"/>
                <w:sz w:val="18"/>
              </w:rPr>
              <w:t>90%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7"/>
              <w:jc w:val="right"/>
              <w:rPr>
                <w:rFonts w:ascii="Times New Roman" w:hAnsi="Times New Roman" w:cs="Times New Roman" w:eastAsia="Times New Roman" w:hint="default"/>
                <w:sz w:val="18"/>
                <w:szCs w:val="18"/>
              </w:rPr>
            </w:pPr>
            <w:r>
              <w:rPr>
                <w:rFonts w:ascii="Times New Roman"/>
                <w:sz w:val="18"/>
              </w:rPr>
              <w:t>90%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139,453</w:t>
            </w:r>
          </w:p>
          <w:p>
            <w:pPr>
              <w:pStyle w:val="TableParagraph"/>
              <w:spacing w:line="240" w:lineRule="auto" w:before="102"/>
              <w:ind w:left="425" w:right="0"/>
              <w:jc w:val="left"/>
              <w:rPr>
                <w:rFonts w:ascii="Times New Roman" w:hAnsi="Times New Roman" w:cs="Times New Roman" w:eastAsia="Times New Roman" w:hint="default"/>
                <w:sz w:val="18"/>
                <w:szCs w:val="18"/>
              </w:rPr>
            </w:pPr>
            <w:r>
              <w:rPr>
                <w:rFonts w:ascii="Times New Roman"/>
                <w:sz w:val="18"/>
              </w:rPr>
              <w:t>.81</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上海冀 源国际 贸易有 限公司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08"/>
              <w:jc w:val="left"/>
              <w:rPr>
                <w:rFonts w:ascii="宋体" w:hAnsi="宋体" w:cs="宋体" w:eastAsia="宋体" w:hint="default"/>
                <w:sz w:val="18"/>
                <w:szCs w:val="18"/>
              </w:rPr>
            </w:pPr>
            <w:r>
              <w:rPr>
                <w:rFonts w:ascii="宋体" w:hAnsi="宋体" w:cs="宋体" w:eastAsia="宋体" w:hint="default"/>
                <w:sz w:val="18"/>
                <w:szCs w:val="18"/>
              </w:rPr>
              <w:t>上海泰 谷路 </w:t>
            </w: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1,980,0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07"/>
              <w:jc w:val="left"/>
              <w:rPr>
                <w:rFonts w:ascii="宋体" w:hAnsi="宋体" w:cs="宋体" w:eastAsia="宋体" w:hint="default"/>
                <w:sz w:val="18"/>
                <w:szCs w:val="18"/>
              </w:rPr>
            </w:pPr>
            <w:r>
              <w:rPr>
                <w:rFonts w:ascii="宋体" w:hAnsi="宋体" w:cs="宋体" w:eastAsia="宋体" w:hint="default"/>
                <w:sz w:val="18"/>
                <w:szCs w:val="18"/>
              </w:rPr>
              <w:t>国际贸 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1,380,0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70%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70%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150,890</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.90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899" w:hRule="exact"/>
        </w:trPr>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石家庄 常山恒 新纺织 有限公 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107"/>
              <w:jc w:val="both"/>
              <w:rPr>
                <w:rFonts w:ascii="Times New Roman" w:hAnsi="Times New Roman" w:cs="Times New Roman" w:eastAsia="Times New Roman" w:hint="default"/>
                <w:sz w:val="18"/>
                <w:szCs w:val="18"/>
              </w:rPr>
            </w:pPr>
            <w:r>
              <w:rPr>
                <w:rFonts w:ascii="宋体" w:hAnsi="宋体" w:cs="宋体" w:eastAsia="宋体" w:hint="default"/>
                <w:sz w:val="18"/>
                <w:szCs w:val="18"/>
              </w:rPr>
              <w:t>石家庄 开发区 黄河大 道 </w:t>
            </w:r>
            <w:r>
              <w:rPr>
                <w:rFonts w:ascii="Times New Roman" w:hAnsi="Times New Roman" w:cs="Times New Roman" w:eastAsia="Times New Roman" w:hint="default"/>
                <w:sz w:val="18"/>
                <w:szCs w:val="18"/>
              </w:rPr>
              <w:t>151</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号</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3"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107"/>
              <w:jc w:val="both"/>
              <w:rPr>
                <w:rFonts w:ascii="宋体" w:hAnsi="宋体" w:cs="宋体" w:eastAsia="宋体" w:hint="default"/>
                <w:sz w:val="18"/>
                <w:szCs w:val="18"/>
              </w:rPr>
            </w:pPr>
            <w:r>
              <w:rPr>
                <w:rFonts w:ascii="宋体" w:hAnsi="宋体" w:cs="宋体" w:eastAsia="宋体" w:hint="default"/>
                <w:sz w:val="18"/>
                <w:szCs w:val="18"/>
              </w:rPr>
              <w:t>天然、 功能型 纤维、 纺织品 及服装 的研究 开发制 造销售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64" w:right="0"/>
              <w:jc w:val="left"/>
              <w:rPr>
                <w:rFonts w:ascii="Times New Roman" w:hAnsi="Times New Roman" w:cs="Times New Roman" w:eastAsia="Times New Roman" w:hint="default"/>
                <w:sz w:val="18"/>
                <w:szCs w:val="18"/>
              </w:rPr>
            </w:pPr>
            <w:r>
              <w:rPr>
                <w:rFonts w:ascii="Times New Roman"/>
                <w:sz w:val="18"/>
              </w:rPr>
              <w:t>149,374</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,476.14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275" w:hRule="exact"/>
        </w:trPr>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08"/>
              <w:jc w:val="both"/>
              <w:rPr>
                <w:rFonts w:ascii="宋体" w:hAnsi="宋体" w:cs="宋体" w:eastAsia="宋体" w:hint="default"/>
                <w:sz w:val="18"/>
                <w:szCs w:val="18"/>
              </w:rPr>
            </w:pPr>
            <w:r>
              <w:rPr>
                <w:rFonts w:ascii="宋体" w:hAnsi="宋体" w:cs="宋体" w:eastAsia="宋体" w:hint="default"/>
                <w:sz w:val="18"/>
                <w:szCs w:val="18"/>
              </w:rPr>
              <w:t>上海常 纺恒友 国际贸 易有限 公司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上海市 浦东新 区商城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297</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1206</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室</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自营和 代理各 类商品 和技术 进出口 及内销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9,700,0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321,312</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.21</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39"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84"/>
      </w:tblGrid>
      <w:tr>
        <w:trPr>
          <w:trHeight w:val="3211"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石家庄 常山赵 州纺织 有限公 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08"/>
              <w:jc w:val="left"/>
              <w:rPr>
                <w:rFonts w:ascii="宋体" w:hAnsi="宋体" w:cs="宋体" w:eastAsia="宋体" w:hint="default"/>
                <w:sz w:val="18"/>
                <w:szCs w:val="18"/>
              </w:rPr>
            </w:pPr>
            <w:r>
              <w:rPr>
                <w:rFonts w:ascii="宋体" w:hAnsi="宋体" w:cs="宋体" w:eastAsia="宋体" w:hint="default"/>
                <w:sz w:val="18"/>
                <w:szCs w:val="18"/>
              </w:rPr>
              <w:t>河北省 赵县石 塔路 </w:t>
            </w:r>
            <w:r>
              <w:rPr>
                <w:rFonts w:ascii="Times New Roman" w:hAnsi="Times New Roman" w:cs="Times New Roman" w:eastAsia="Times New Roman" w:hint="default"/>
                <w:sz w:val="18"/>
                <w:szCs w:val="18"/>
              </w:rPr>
              <w:t>132 </w:t>
            </w:r>
            <w:r>
              <w:rPr>
                <w:rFonts w:ascii="宋体" w:hAnsi="宋体" w:cs="宋体" w:eastAsia="宋体" w:hint="default"/>
                <w:sz w:val="18"/>
                <w:szCs w:val="18"/>
              </w:rPr>
              <w:t>号</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10,500,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纺织产 品、针 织品、 服装印 染加 工；棉 花的收 购加工 批发零 售等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10,500,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8204"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石家庄 常山恒 荣进出 口贸易 有限公 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23"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石家庄 和平东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号</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0"/>
              <w:ind w:left="23" w:right="47"/>
              <w:jc w:val="left"/>
              <w:rPr>
                <w:rFonts w:ascii="宋体" w:hAnsi="宋体" w:cs="宋体" w:eastAsia="宋体" w:hint="default"/>
                <w:sz w:val="18"/>
                <w:szCs w:val="18"/>
              </w:rPr>
            </w:pPr>
            <w:r>
              <w:rPr>
                <w:rFonts w:ascii="宋体" w:hAnsi="宋体" w:cs="宋体" w:eastAsia="宋体" w:hint="default"/>
                <w:sz w:val="18"/>
                <w:szCs w:val="18"/>
              </w:rPr>
              <w:t>自营和 代理各 类商品 和技术 进出 口，机 电设备 及零配 件，车 辆配 件，金 属材 料，化 工产品 </w:t>
            </w:r>
            <w:r>
              <w:rPr>
                <w:rFonts w:ascii="Times New Roman" w:hAnsi="Times New Roman" w:cs="Times New Roman" w:eastAsia="Times New Roman" w:hint="default"/>
                <w:sz w:val="18"/>
                <w:szCs w:val="18"/>
              </w:rPr>
              <w:t>(</w:t>
            </w:r>
            <w:r>
              <w:rPr>
                <w:rFonts w:ascii="宋体" w:hAnsi="宋体" w:cs="宋体" w:eastAsia="宋体" w:hint="default"/>
                <w:sz w:val="18"/>
                <w:szCs w:val="18"/>
              </w:rPr>
              <w:t>危险品 除外</w:t>
            </w:r>
            <w:r>
              <w:rPr>
                <w:rFonts w:ascii="Times New Roman" w:hAnsi="Times New Roman" w:cs="Times New Roman" w:eastAsia="Times New Roman" w:hint="default"/>
                <w:sz w:val="18"/>
                <w:szCs w:val="18"/>
              </w:rPr>
              <w:t>)</w:t>
            </w:r>
            <w:r>
              <w:rPr>
                <w:rFonts w:ascii="宋体" w:hAnsi="宋体" w:cs="宋体" w:eastAsia="宋体" w:hint="default"/>
                <w:sz w:val="18"/>
                <w:szCs w:val="18"/>
              </w:rPr>
              <w:t>， 建筑装 饰材 料，纺 织原料 </w:t>
            </w:r>
            <w:r>
              <w:rPr>
                <w:rFonts w:ascii="Times New Roman" w:hAnsi="Times New Roman" w:cs="Times New Roman" w:eastAsia="Times New Roman" w:hint="default"/>
                <w:sz w:val="18"/>
                <w:szCs w:val="18"/>
              </w:rPr>
              <w:t>(</w:t>
            </w:r>
            <w:r>
              <w:rPr>
                <w:rFonts w:ascii="宋体" w:hAnsi="宋体" w:cs="宋体" w:eastAsia="宋体" w:hint="default"/>
                <w:sz w:val="18"/>
                <w:szCs w:val="18"/>
              </w:rPr>
              <w:t>棉花收 购除 外</w:t>
            </w:r>
            <w:r>
              <w:rPr>
                <w:rFonts w:ascii="Times New Roman" w:hAnsi="Times New Roman" w:cs="Times New Roman" w:eastAsia="Times New Roman" w:hint="default"/>
                <w:sz w:val="18"/>
                <w:szCs w:val="18"/>
              </w:rPr>
              <w:t>)</w:t>
            </w:r>
            <w:r>
              <w:rPr>
                <w:rFonts w:ascii="宋体" w:hAnsi="宋体" w:cs="宋体" w:eastAsia="宋体" w:hint="default"/>
                <w:sz w:val="18"/>
                <w:szCs w:val="18"/>
              </w:rPr>
              <w:t>，百 货，五 金交电 的销售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3"/>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234"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2" w:right="108"/>
              <w:jc w:val="both"/>
              <w:rPr>
                <w:rFonts w:ascii="宋体" w:hAnsi="宋体" w:cs="宋体" w:eastAsia="宋体" w:hint="default"/>
                <w:sz w:val="18"/>
                <w:szCs w:val="18"/>
              </w:rPr>
            </w:pPr>
            <w:r>
              <w:rPr>
                <w:rFonts w:ascii="宋体" w:hAnsi="宋体" w:cs="宋体" w:eastAsia="宋体" w:hint="default"/>
                <w:sz w:val="18"/>
                <w:szCs w:val="18"/>
              </w:rPr>
              <w:t>常山股 份香港 国际贸 易有限 公司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91"/>
              <w:ind w:left="23" w:right="140"/>
              <w:jc w:val="left"/>
              <w:rPr>
                <w:rFonts w:ascii="Times New Roman" w:hAnsi="Times New Roman" w:cs="Times New Roman" w:eastAsia="Times New Roman" w:hint="default"/>
                <w:sz w:val="18"/>
                <w:szCs w:val="18"/>
              </w:rPr>
            </w:pPr>
            <w:r>
              <w:rPr>
                <w:rFonts w:ascii="Times New Roman"/>
                <w:sz w:val="18"/>
              </w:rPr>
              <w:t>SUITE 2006</w:t>
            </w:r>
          </w:p>
          <w:p>
            <w:pPr>
              <w:pStyle w:val="TableParagraph"/>
              <w:spacing w:line="362" w:lineRule="auto" w:before="3"/>
              <w:ind w:left="23" w:right="38"/>
              <w:jc w:val="left"/>
              <w:rPr>
                <w:rFonts w:ascii="Times New Roman" w:hAnsi="Times New Roman" w:cs="Times New Roman" w:eastAsia="Times New Roman" w:hint="default"/>
                <w:sz w:val="18"/>
                <w:szCs w:val="18"/>
              </w:rPr>
            </w:pPr>
            <w:r>
              <w:rPr>
                <w:rFonts w:ascii="Times New Roman"/>
                <w:sz w:val="18"/>
              </w:rPr>
              <w:t>20TH</w:t>
            </w:r>
            <w:r>
              <w:rPr>
                <w:rFonts w:ascii="Times New Roman"/>
                <w:w w:val="99"/>
                <w:sz w:val="18"/>
              </w:rPr>
              <w:t> </w:t>
            </w:r>
            <w:r>
              <w:rPr>
                <w:rFonts w:ascii="Times New Roman"/>
                <w:sz w:val="18"/>
              </w:rPr>
              <w:t>FLOOR</w:t>
            </w:r>
            <w:r>
              <w:rPr>
                <w:rFonts w:ascii="Times New Roman"/>
                <w:sz w:val="18"/>
              </w:rPr>
              <w:t> 340 QUEEN</w:t>
            </w:r>
            <w:r>
              <w:rPr>
                <w:rFonts w:ascii="Times New Roman"/>
                <w:w w:val="99"/>
                <w:sz w:val="18"/>
              </w:rPr>
              <w:t> </w:t>
            </w:r>
            <w:r>
              <w:rPr>
                <w:rFonts w:ascii="Times New Roman"/>
                <w:sz w:val="18"/>
              </w:rPr>
              <w:t>'S</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107"/>
              <w:jc w:val="both"/>
              <w:rPr>
                <w:rFonts w:ascii="宋体" w:hAnsi="宋体" w:cs="宋体" w:eastAsia="宋体" w:hint="default"/>
                <w:sz w:val="18"/>
                <w:szCs w:val="18"/>
              </w:rPr>
            </w:pPr>
            <w:r>
              <w:rPr>
                <w:rFonts w:ascii="宋体" w:hAnsi="宋体" w:cs="宋体" w:eastAsia="宋体" w:hint="default"/>
                <w:sz w:val="18"/>
                <w:szCs w:val="18"/>
              </w:rPr>
              <w:t>纺织、 服装产 品的销 售及国 际贸易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39" w:top="1060" w:bottom="152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948832" coordorigin="9206,15298" coordsize="2700,1540">
            <v:shape style="position:absolute;left:9206;top:15298;width:2700;height:1540" type="#_x0000_t75" stroked="false">
              <v:imagedata r:id="rId16"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85</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84"/>
      </w:tblGrid>
      <w:tr>
        <w:trPr>
          <w:trHeight w:val="987"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50"/>
              <w:ind w:left="23" w:right="60"/>
              <w:jc w:val="left"/>
              <w:rPr>
                <w:rFonts w:ascii="Times New Roman" w:hAnsi="Times New Roman" w:cs="Times New Roman" w:eastAsia="Times New Roman" w:hint="default"/>
                <w:sz w:val="18"/>
                <w:szCs w:val="18"/>
              </w:rPr>
            </w:pPr>
            <w:r>
              <w:rPr>
                <w:rFonts w:ascii="Times New Roman"/>
                <w:sz w:val="18"/>
              </w:rPr>
              <w:t>ROAD</w:t>
            </w:r>
            <w:r>
              <w:rPr>
                <w:rFonts w:ascii="Times New Roman"/>
                <w:w w:val="99"/>
                <w:sz w:val="18"/>
              </w:rPr>
              <w:t> </w:t>
            </w:r>
            <w:r>
              <w:rPr>
                <w:rFonts w:ascii="Times New Roman"/>
                <w:sz w:val="18"/>
              </w:rPr>
              <w:t>CENTR</w:t>
            </w:r>
            <w:r>
              <w:rPr>
                <w:rFonts w:ascii="Times New Roman"/>
                <w:w w:val="99"/>
                <w:sz w:val="18"/>
              </w:rPr>
              <w:t> </w:t>
            </w:r>
            <w:r>
              <w:rPr>
                <w:rFonts w:ascii="Times New Roman"/>
                <w:sz w:val="18"/>
              </w:rPr>
              <w:t>AL</w:t>
            </w:r>
            <w:r>
              <w:rPr>
                <w:rFonts w:ascii="Times New Roman"/>
                <w:spacing w:val="-11"/>
                <w:sz w:val="18"/>
              </w:rPr>
              <w:t> </w:t>
            </w:r>
            <w:r>
              <w:rPr>
                <w:rFonts w:ascii="Times New Roman"/>
                <w:sz w:val="18"/>
              </w:rPr>
              <w:t>HK</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石家庄 常山物 业服务 有限公 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z w:val="18"/>
                <w:szCs w:val="18"/>
              </w:rPr>
              <w:t>石家庄 长安区 广安大 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06"/>
              <w:jc w:val="left"/>
              <w:rPr>
                <w:rFonts w:ascii="宋体" w:hAnsi="宋体" w:cs="宋体" w:eastAsia="宋体" w:hint="default"/>
                <w:sz w:val="18"/>
                <w:szCs w:val="18"/>
              </w:rPr>
            </w:pPr>
            <w:r>
              <w:rPr>
                <w:rFonts w:ascii="宋体" w:hAnsi="宋体" w:cs="宋体" w:eastAsia="宋体" w:hint="default"/>
                <w:sz w:val="18"/>
                <w:szCs w:val="18"/>
              </w:rPr>
              <w:t>物业管 理</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物业管 理、房 屋租 赁、保 洁服 务、日 用百货 的销售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5"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348"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库尔勒 常山恒 丰商贸 有限责 任公司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4"/>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库尔勒 市康都 世纪花 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 </w:t>
            </w:r>
            <w:r>
              <w:rPr>
                <w:rFonts w:ascii="Times New Roman" w:hAnsi="Times New Roman" w:cs="Times New Roman" w:eastAsia="Times New Roman" w:hint="default"/>
                <w:sz w:val="18"/>
                <w:szCs w:val="18"/>
              </w:rPr>
              <w:t>B1-12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1202</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批发零 售：针 纺织 品、服 装、其 他农畜 产品、 棉花及 棉花副 产品、 其他化 工产 品、其 他机械 设备及 电子产 品、有 色金属 材料、 建材、 皮革制 品、五 金交 电、其 他日用 品、服 装加 工、产 业用纺 织品的 设计、 开发， 商业项</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9"/>
          <w:footerReference w:type="default" r:id="rId50"/>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84"/>
      </w:tblGrid>
      <w:tr>
        <w:trPr>
          <w:trHeight w:val="675"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目的投 资。</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t>通过设立或投资等方式取得的子公司的其他说明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7"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bl>
    <w:p>
      <w:pPr>
        <w:pStyle w:val="BodyText"/>
        <w:spacing w:line="240" w:lineRule="auto" w:before="50"/>
        <w:ind w:right="982"/>
        <w:jc w:val="left"/>
      </w:pPr>
      <w:r>
        <w:rPr/>
        <w:t>通过同一控制下企业合并取得的子公司的其他说明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4106"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w:t>
            </w:r>
          </w:p>
        </w:tc>
      </w:tr>
    </w:tbl>
    <w:p>
      <w:pPr>
        <w:spacing w:after="0" w:line="316" w:lineRule="auto"/>
        <w:jc w:val="both"/>
        <w:rPr>
          <w:rFonts w:ascii="宋体" w:hAnsi="宋体" w:cs="宋体" w:eastAsia="宋体" w:hint="default"/>
          <w:sz w:val="18"/>
          <w:szCs w:val="18"/>
        </w:rPr>
        <w:sectPr>
          <w:footerReference w:type="default" r:id="rId51"/>
          <w:pgSz w:w="11910" w:h="16840"/>
          <w:pgMar w:footer="1315" w:header="877" w:top="1060" w:bottom="1500" w:left="980" w:right="0"/>
          <w:pgNumType w:start="86"/>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1611"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9" w:right="53"/>
              <w:jc w:val="both"/>
              <w:rPr>
                <w:rFonts w:ascii="宋体" w:hAnsi="宋体" w:cs="宋体" w:eastAsia="宋体" w:hint="default"/>
                <w:sz w:val="18"/>
                <w:szCs w:val="18"/>
              </w:rPr>
            </w:pPr>
            <w:r>
              <w:rPr>
                <w:rFonts w:ascii="宋体" w:hAnsi="宋体" w:cs="宋体" w:eastAsia="宋体" w:hint="default"/>
                <w:sz w:val="18"/>
                <w:szCs w:val="18"/>
              </w:rPr>
              <w:t>有者权 益中所 享有份 额后的 余额</w:t>
            </w:r>
          </w:p>
        </w:tc>
      </w:tr>
    </w:tbl>
    <w:p>
      <w:pPr>
        <w:pStyle w:val="BodyText"/>
        <w:spacing w:line="240" w:lineRule="auto" w:before="49"/>
        <w:ind w:right="982"/>
        <w:jc w:val="left"/>
      </w:pPr>
      <w:r>
        <w:rPr/>
        <w:t>通过非同一控制下企业合并取得的子公司的其他说明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3"/>
        <w:gridCol w:w="4688"/>
      </w:tblGrid>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pStyle w:val="BodyText"/>
        <w:spacing w:line="240" w:lineRule="auto" w:before="49"/>
        <w:ind w:right="982"/>
        <w:jc w:val="left"/>
      </w:pPr>
      <w:r>
        <w:rPr/>
        <w:t>特殊目的主体或通过受托经营或承租等方式形成控制权的经营实体的其他说明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合并报表范围发生变更说明</w:t>
      </w:r>
    </w:p>
    <w:p>
      <w:pPr>
        <w:pStyle w:val="BodyText"/>
        <w:spacing w:line="240" w:lineRule="auto" w:before="115"/>
        <w:ind w:right="982"/>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本期新纳入合并范围的子公司、特殊目的主体、通过受托经营或承租等方式形成控制权的经营实体</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4"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bl>
    <w:p>
      <w:pPr>
        <w:pStyle w:val="BodyText"/>
        <w:spacing w:line="240" w:lineRule="auto" w:before="49"/>
        <w:ind w:right="982"/>
        <w:jc w:val="left"/>
      </w:pPr>
      <w:r>
        <w:rPr/>
        <w:t>本期不再纳入合并范围的子公司、特殊目的主体、通过受托经营或承租等方式形成控制权的经营实体</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pStyle w:val="BodyText"/>
        <w:spacing w:line="240" w:lineRule="auto" w:before="50"/>
        <w:ind w:right="982"/>
        <w:jc w:val="left"/>
      </w:pPr>
      <w:r>
        <w:rPr/>
        <w:t>新纳入合并范围的主体和不再纳入合并范围的主体的其他说明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6"/>
        <w:gridCol w:w="1553"/>
        <w:gridCol w:w="1556"/>
        <w:gridCol w:w="1557"/>
        <w:gridCol w:w="1543"/>
      </w:tblGrid>
      <w:tr>
        <w:trPr>
          <w:trHeight w:val="716"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12" w:right="52"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1" w:right="41"/>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pStyle w:val="BodyText"/>
        <w:spacing w:line="240" w:lineRule="auto" w:before="49"/>
        <w:ind w:right="982"/>
        <w:jc w:val="left"/>
      </w:pPr>
      <w:r>
        <w:rPr/>
        <w:t>同一控制下企业合并的其他说明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6"/>
        <w:gridCol w:w="3032"/>
        <w:gridCol w:w="3850"/>
      </w:tblGrid>
      <w:tr>
        <w:trPr>
          <w:trHeight w:val="403"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pStyle w:val="BodyText"/>
        <w:spacing w:line="240" w:lineRule="auto" w:before="49"/>
        <w:ind w:right="982"/>
        <w:jc w:val="left"/>
      </w:pPr>
      <w:r>
        <w:rPr/>
        <w:t>非同一控制下企业合并的其他说明</w:t>
      </w:r>
    </w:p>
    <w:p>
      <w:pPr>
        <w:spacing w:after="0" w:line="240" w:lineRule="auto"/>
        <w:jc w:val="left"/>
        <w:sectPr>
          <w:pgSz w:w="11910" w:h="16840"/>
          <w:pgMar w:header="877" w:footer="1315"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4"/>
        <w:gridCol w:w="2489"/>
        <w:gridCol w:w="3085"/>
      </w:tblGrid>
      <w:tr>
        <w:trPr>
          <w:trHeight w:val="401"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pStyle w:val="BodyText"/>
        <w:spacing w:line="240" w:lineRule="auto" w:before="49"/>
        <w:ind w:right="982"/>
        <w:jc w:val="left"/>
      </w:pPr>
      <w:r>
        <w:rPr/>
        <w:t>出售丧失控制权的股权而减少的子公司的其他说明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1" w:right="99"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pStyle w:val="BodyText"/>
        <w:spacing w:line="240" w:lineRule="auto" w:before="49"/>
        <w:ind w:right="982"/>
        <w:jc w:val="left"/>
      </w:pPr>
      <w:r>
        <w:rPr/>
        <w:t>反向购买的其他说明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4"/>
        <w:gridCol w:w="1481"/>
        <w:gridCol w:w="1483"/>
      </w:tblGrid>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right="982"/>
        <w:jc w:val="left"/>
      </w:pPr>
      <w:r>
        <w:rPr/>
        <w:t>吸收合并的其他说明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10</w:t>
      </w:r>
      <w:r>
        <w:rPr/>
        <w:t>、境外经营实体主要报表项目的折算汇率</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982"/>
        <w:jc w:val="left"/>
      </w:pPr>
      <w:r>
        <w:rPr/>
        <w:t>公司合并财务报表中包含一个境外经营实体，即常山股份香港国际贸易有限公司。 </w:t>
      </w:r>
      <w:r>
        <w:rPr>
          <w:spacing w:val="-2"/>
        </w:rPr>
        <w:t>常山股份香港国际贸易有限公司以港币为记账本位币。合并报表时，对该公司的资产负债表除所有者权益外的项目均按期末</w:t>
      </w:r>
      <w:r>
        <w:rPr>
          <w:spacing w:val="-62"/>
        </w:rPr>
        <w:t> </w:t>
      </w:r>
      <w:r>
        <w:rPr>
          <w:spacing w:val="-62"/>
        </w:rPr>
      </w:r>
      <w:r>
        <w:rPr/>
        <w:t>汇率进行折算，实收资本按历史汇率折算。利润表中的项目采用的折算汇率为交易发生日的即期汇率。</w:t>
      </w:r>
    </w:p>
    <w:p>
      <w:pPr>
        <w:spacing w:line="240" w:lineRule="auto" w:before="9"/>
        <w:rPr>
          <w:rFonts w:ascii="宋体" w:hAnsi="宋体" w:cs="宋体" w:eastAsia="宋体" w:hint="default"/>
          <w:sz w:val="20"/>
          <w:szCs w:val="20"/>
        </w:rPr>
      </w:pPr>
    </w:p>
    <w:p>
      <w:pPr>
        <w:pStyle w:val="Heading2"/>
        <w:spacing w:line="240" w:lineRule="auto"/>
        <w:ind w:right="982"/>
        <w:jc w:val="left"/>
        <w:rPr>
          <w:b w:val="0"/>
          <w:bCs w:val="0"/>
        </w:rPr>
      </w:pPr>
      <w:r>
        <w:rPr/>
        <w:t>七、合并财务报表主要项目注释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328"/>
        <w:gridCol w:w="918"/>
        <w:gridCol w:w="1485"/>
        <w:gridCol w:w="1318"/>
        <w:gridCol w:w="917"/>
        <w:gridCol w:w="1606"/>
      </w:tblGrid>
      <w:tr>
        <w:trPr>
          <w:trHeight w:val="204"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1" w:type="dxa"/>
            <w:gridSpan w:val="3"/>
            <w:vMerge/>
            <w:tcBorders>
              <w:left w:val="single" w:sz="4" w:space="0" w:color="000000"/>
              <w:bottom w:val="single" w:sz="4" w:space="0" w:color="000000"/>
              <w:right w:val="single" w:sz="4" w:space="0" w:color="000000"/>
            </w:tcBorders>
            <w:shd w:val="clear" w:color="auto" w:fill="D2D2D2"/>
          </w:tcPr>
          <w:p>
            <w:pPr/>
          </w:p>
        </w:tc>
        <w:tc>
          <w:tcPr>
            <w:tcW w:w="384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48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1,075,694.29</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1,591,264.10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1,075,694.29</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1,591,264.10</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728,768,279.78</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539,142,456.10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728,768,279.78</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539,142,456.10</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82,674,448.94</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82,116,547.23</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82,674,448.94</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82,116,547.23</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812,518,423.01</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622,850,267.43</w:t>
            </w:r>
          </w:p>
        </w:tc>
      </w:tr>
    </w:tbl>
    <w:p>
      <w:pPr>
        <w:pStyle w:val="BodyText"/>
        <w:spacing w:line="240" w:lineRule="auto" w:before="49"/>
        <w:ind w:right="982"/>
        <w:jc w:val="left"/>
      </w:pPr>
      <w:r>
        <w:rPr/>
        <w:t>如有因抵押、质押或冻结等对使用有限制、存放在境外、有潜在回收风险的款项应单独说明</w:t>
      </w:r>
    </w:p>
    <w:p>
      <w:pPr>
        <w:spacing w:after="0" w:line="240" w:lineRule="auto"/>
        <w:jc w:val="left"/>
        <w:sectPr>
          <w:pgSz w:w="11910" w:h="16840"/>
          <w:pgMar w:header="877" w:footer="1315"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3"/>
        <w:gridCol w:w="2668"/>
        <w:gridCol w:w="2657"/>
      </w:tblGrid>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1,635,043.00</w:t>
            </w:r>
          </w:p>
        </w:tc>
      </w:tr>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8" w:type="dxa"/>
            <w:tcBorders>
              <w:top w:val="single" w:sz="4" w:space="0" w:color="000000"/>
              <w:left w:val="single" w:sz="10"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1,635,043.00</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0"/>
        <w:gridCol w:w="3852"/>
        <w:gridCol w:w="2165"/>
      </w:tblGrid>
      <w:tr>
        <w:trPr>
          <w:trHeight w:val="401" w:hRule="exact"/>
        </w:trPr>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2" w:right="0"/>
              <w:jc w:val="left"/>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396"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8" w:hRule="exact"/>
        </w:trPr>
        <w:tc>
          <w:tcPr>
            <w:tcW w:w="39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52,708,167.55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35,368,146.11</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52,708,167.55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35,368,146.11</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59" w:lineRule="auto" w:before="36"/>
        <w:ind w:right="982"/>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65"/>
        </w:rPr>
        <w:t> </w:t>
      </w:r>
      <w:r>
        <w:rPr>
          <w:spacing w:val="-65"/>
        </w:rPr>
      </w:r>
      <w:r>
        <w:rPr/>
        <w:t>情况</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right="982"/>
        <w:jc w:val="left"/>
      </w:pPr>
      <w:r>
        <w:rPr/>
        <w:t>因出票人无力履约而将票据转为应收账款的票据</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77" w:footer="1315" w:top="1060" w:bottom="1520" w:left="980" w:right="0"/>
        </w:sectPr>
      </w:pPr>
    </w:p>
    <w:p>
      <w:pPr>
        <w:pStyle w:val="BodyText"/>
        <w:spacing w:line="360" w:lineRule="auto" w:before="49"/>
        <w:ind w:right="-20"/>
        <w:jc w:val="left"/>
      </w:pPr>
      <w:r>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3393" w:space="543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南通罗莱化纤有限责任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佛山市三水佳利达纺织 染有限公司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1,522,517.40</w:t>
            </w:r>
          </w:p>
        </w:tc>
        <w:tc>
          <w:tcPr>
            <w:tcW w:w="191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佛山市三水佳利达纺织 染有限公司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1,099,352.60</w:t>
            </w:r>
          </w:p>
        </w:tc>
        <w:tc>
          <w:tcPr>
            <w:tcW w:w="191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辽宁华福实业股份有限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辽宁华福实业股份有限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pStyle w:val="BodyText"/>
        <w:spacing w:line="357" w:lineRule="auto" w:before="49"/>
        <w:ind w:right="7874"/>
        <w:jc w:val="left"/>
      </w:pPr>
      <w:r>
        <w:rPr/>
        <w:t>说明 已贴现或质押的商业承兑票据的说明</w:t>
      </w:r>
    </w:p>
    <w:p>
      <w:pPr>
        <w:spacing w:line="240" w:lineRule="auto" w:before="6"/>
        <w:rPr>
          <w:rFonts w:ascii="宋体" w:hAnsi="宋体" w:cs="宋体" w:eastAsia="宋体" w:hint="default"/>
          <w:sz w:val="20"/>
          <w:szCs w:val="20"/>
        </w:rPr>
      </w:pPr>
    </w:p>
    <w:p>
      <w:pPr>
        <w:pStyle w:val="Heading3"/>
        <w:spacing w:line="240" w:lineRule="auto"/>
        <w:ind w:right="982"/>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1340"/>
        <w:gridCol w:w="1339"/>
        <w:gridCol w:w="1433"/>
        <w:gridCol w:w="1339"/>
        <w:gridCol w:w="1337"/>
        <w:gridCol w:w="1339"/>
      </w:tblGrid>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3" w:right="35"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8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2,066,140.47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4,666,222.67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5,859,201.68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873,161.46</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2,066,140.47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4,666,222.67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5,859,201.68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873,161.46</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41" w:right="982"/>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日应收利息主要系公司定期存款按约定利率计算确定的应收尚未到期的利息。</w:t>
      </w:r>
    </w:p>
    <w:p>
      <w:pPr>
        <w:spacing w:after="0" w:line="240" w:lineRule="auto"/>
        <w:jc w:val="left"/>
        <w:sectPr>
          <w:pgSz w:w="11910" w:h="16840"/>
          <w:pgMar w:header="877" w:footer="1315"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1"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72,452,951.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9,890,778.4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89,692,03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8,628,840.09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72,452,951.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9,890,778.4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89,692,03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8,628,840.09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w:t>
            </w:r>
          </w:p>
        </w:tc>
      </w:tr>
      <w:tr>
        <w:trPr>
          <w:trHeight w:val="102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299,599.25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299,599.25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1,855,370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1,855,370.03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72,752,550.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10,190,377.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91,547,40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6.69</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10,484,210.1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15" w:top="1060" w:bottom="1520" w:left="980" w:right="0"/>
        </w:sectPr>
      </w:pPr>
    </w:p>
    <w:p>
      <w:pPr>
        <w:pStyle w:val="BodyText"/>
        <w:spacing w:line="357" w:lineRule="auto" w:before="49"/>
        <w:ind w:right="-20"/>
        <w:jc w:val="left"/>
      </w:pPr>
      <w:r>
        <w:rPr/>
        <w:t>应收账款种类的说明 期末单项金额重大并单项计提坏账准备的应收账款</w:t>
      </w:r>
    </w:p>
    <w:p>
      <w:pPr>
        <w:pStyle w:val="BodyText"/>
        <w:spacing w:line="340" w:lineRule="auto" w:before="29"/>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50"/>
        <w:gridCol w:w="1600"/>
        <w:gridCol w:w="923"/>
        <w:gridCol w:w="1740"/>
        <w:gridCol w:w="1454"/>
        <w:gridCol w:w="925"/>
        <w:gridCol w:w="1465"/>
      </w:tblGrid>
      <w:tr>
        <w:trPr>
          <w:trHeight w:val="401"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2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2522" w:type="dxa"/>
            <w:gridSpan w:val="2"/>
            <w:vMerge/>
            <w:tcBorders>
              <w:left w:val="single" w:sz="4" w:space="0" w:color="000000"/>
              <w:bottom w:val="single" w:sz="4" w:space="0" w:color="000000"/>
              <w:right w:val="single" w:sz="4" w:space="0" w:color="000000"/>
            </w:tcBorders>
            <w:shd w:val="clear" w:color="auto" w:fill="D2D2D2"/>
          </w:tcPr>
          <w:p>
            <w:pPr/>
          </w:p>
        </w:tc>
        <w:tc>
          <w:tcPr>
            <w:tcW w:w="17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79" w:type="dxa"/>
            <w:gridSpan w:val="2"/>
            <w:vMerge/>
            <w:tcBorders>
              <w:left w:val="single" w:sz="4" w:space="0" w:color="000000"/>
              <w:bottom w:val="single" w:sz="4" w:space="0" w:color="000000"/>
              <w:right w:val="single" w:sz="4" w:space="0" w:color="000000"/>
            </w:tcBorders>
            <w:shd w:val="clear" w:color="auto" w:fill="D2D2D2"/>
          </w:tcPr>
          <w:p>
            <w:pPr/>
          </w:p>
        </w:tc>
        <w:tc>
          <w:tcPr>
            <w:tcW w:w="14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40" w:type="dxa"/>
            <w:vMerge/>
            <w:tcBorders>
              <w:left w:val="single" w:sz="4" w:space="0" w:color="000000"/>
              <w:bottom w:val="nil" w:sz="6" w:space="0" w:color="auto"/>
              <w:right w:val="single" w:sz="4" w:space="0" w:color="000000"/>
            </w:tcBorders>
            <w:shd w:val="clear" w:color="auto" w:fill="D2D2D2"/>
          </w:tcPr>
          <w:p>
            <w:pPr/>
          </w:p>
        </w:tc>
        <w:tc>
          <w:tcPr>
            <w:tcW w:w="14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5"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4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2" w:right="0"/>
              <w:jc w:val="left"/>
              <w:rPr>
                <w:rFonts w:ascii="Times New Roman" w:hAnsi="Times New Roman" w:cs="Times New Roman" w:eastAsia="Times New Roman" w:hint="default"/>
                <w:sz w:val="18"/>
                <w:szCs w:val="18"/>
              </w:rPr>
            </w:pPr>
            <w:r>
              <w:rPr>
                <w:rFonts w:ascii="Times New Roman"/>
                <w:sz w:val="18"/>
              </w:rPr>
              <w:t>--</w:t>
            </w:r>
          </w:p>
        </w:tc>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47,180,791.92</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65.12%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1,887,231.67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55,186,705.33</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4" w:right="0"/>
              <w:jc w:val="left"/>
              <w:rPr>
                <w:rFonts w:ascii="Times New Roman" w:hAnsi="Times New Roman" w:cs="Times New Roman" w:eastAsia="Times New Roman" w:hint="default"/>
                <w:sz w:val="18"/>
                <w:szCs w:val="18"/>
              </w:rPr>
            </w:pPr>
            <w:r>
              <w:rPr>
                <w:rFonts w:ascii="Times New Roman"/>
                <w:sz w:val="18"/>
              </w:rPr>
              <w:t>61.53%</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2,207,468.23</w:t>
            </w:r>
          </w:p>
        </w:tc>
      </w:tr>
      <w:tr>
        <w:trPr>
          <w:trHeight w:val="401"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3,910,729.48</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5.40%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234,643.78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14,645,656.46</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4" w:right="0"/>
              <w:jc w:val="left"/>
              <w:rPr>
                <w:rFonts w:ascii="Times New Roman" w:hAnsi="Times New Roman" w:cs="Times New Roman" w:eastAsia="Times New Roman" w:hint="default"/>
                <w:sz w:val="18"/>
                <w:szCs w:val="18"/>
              </w:rPr>
            </w:pPr>
            <w:r>
              <w:rPr>
                <w:rFonts w:ascii="Times New Roman"/>
                <w:sz w:val="18"/>
              </w:rPr>
              <w:t>16.33%</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878,739.38</w:t>
            </w:r>
          </w:p>
        </w:tc>
      </w:tr>
      <w:tr>
        <w:trPr>
          <w:trHeight w:val="403"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3,102,676.44</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4.28%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465,401.48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9,604,949.97</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4" w:right="0"/>
              <w:jc w:val="left"/>
              <w:rPr>
                <w:rFonts w:ascii="Times New Roman" w:hAnsi="Times New Roman" w:cs="Times New Roman" w:eastAsia="Times New Roman" w:hint="default"/>
                <w:sz w:val="18"/>
                <w:szCs w:val="18"/>
              </w:rPr>
            </w:pPr>
            <w:r>
              <w:rPr>
                <w:rFonts w:ascii="Times New Roman"/>
                <w:sz w:val="18"/>
              </w:rPr>
              <w:t>10.71%</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1,440,742.52</w:t>
            </w:r>
          </w:p>
        </w:tc>
      </w:tr>
      <w:tr>
        <w:trPr>
          <w:trHeight w:val="401"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18,258,753.68</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25.20%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7,303,501.47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10,254,724.90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1" w:right="0"/>
              <w:jc w:val="left"/>
              <w:rPr>
                <w:rFonts w:ascii="Times New Roman" w:hAnsi="Times New Roman" w:cs="Times New Roman" w:eastAsia="Times New Roman" w:hint="default"/>
                <w:sz w:val="18"/>
                <w:szCs w:val="18"/>
              </w:rPr>
            </w:pPr>
            <w:r>
              <w:rPr>
                <w:rFonts w:ascii="Times New Roman"/>
                <w:sz w:val="18"/>
              </w:rPr>
              <w:t>11.43%</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4,101,889.96</w:t>
            </w:r>
          </w:p>
        </w:tc>
      </w:tr>
      <w:tr>
        <w:trPr>
          <w:trHeight w:val="403"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10,285,953.89</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14.20%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4,114,381.55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10,254,724.90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1" w:right="0"/>
              <w:jc w:val="left"/>
              <w:rPr>
                <w:rFonts w:ascii="Times New Roman" w:hAnsi="Times New Roman" w:cs="Times New Roman" w:eastAsia="Times New Roman" w:hint="default"/>
                <w:sz w:val="18"/>
                <w:szCs w:val="18"/>
              </w:rPr>
            </w:pPr>
            <w:r>
              <w:rPr>
                <w:rFonts w:ascii="Times New Roman"/>
                <w:sz w:val="18"/>
              </w:rPr>
              <w:t>11.43%</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4,101,889.96</w:t>
            </w:r>
          </w:p>
        </w:tc>
      </w:tr>
      <w:tr>
        <w:trPr>
          <w:trHeight w:val="401"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7,972,799.79</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11.00%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3,189,119.92</w:t>
            </w:r>
          </w:p>
        </w:tc>
        <w:tc>
          <w:tcPr>
            <w:tcW w:w="1454"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72,452,951.52</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9,890,778.40</w:t>
            </w:r>
          </w:p>
        </w:tc>
        <w:tc>
          <w:tcPr>
            <w:tcW w:w="1454"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89,692,036.66</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2" w:right="0"/>
              <w:jc w:val="left"/>
              <w:rPr>
                <w:rFonts w:ascii="Times New Roman" w:hAnsi="Times New Roman" w:cs="Times New Roman" w:eastAsia="Times New Roman" w:hint="default"/>
                <w:sz w:val="18"/>
                <w:szCs w:val="18"/>
              </w:rPr>
            </w:pPr>
            <w:r>
              <w:rPr>
                <w:rFonts w:ascii="Times New Roman"/>
                <w:sz w:val="18"/>
              </w:rPr>
              <w:t>--</w:t>
            </w:r>
          </w:p>
        </w:tc>
        <w:tc>
          <w:tcPr>
            <w:tcW w:w="1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8,628,840.09</w:t>
            </w:r>
          </w:p>
        </w:tc>
      </w:tr>
    </w:tbl>
    <w:p>
      <w:pPr>
        <w:pStyle w:val="BodyText"/>
        <w:spacing w:line="240" w:lineRule="auto" w:before="49"/>
        <w:ind w:right="982"/>
        <w:jc w:val="left"/>
      </w:pPr>
      <w:r>
        <w:rPr/>
        <w:t>组合中，采用余额百分比法计提坏账准备的应收账款</w:t>
      </w:r>
    </w:p>
    <w:p>
      <w:pPr>
        <w:spacing w:after="0" w:line="240" w:lineRule="auto"/>
        <w:jc w:val="left"/>
        <w:sectPr>
          <w:type w:val="continuous"/>
          <w:pgSz w:w="11910" w:h="16840"/>
          <w:pgMar w:top="1060" w:bottom="154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315" w:top="1060" w:bottom="1520" w:left="980" w:right="0"/>
        </w:sectPr>
      </w:pPr>
    </w:p>
    <w:p>
      <w:pPr>
        <w:pStyle w:val="BodyText"/>
        <w:spacing w:line="340" w:lineRule="auto" w:before="44"/>
        <w:ind w:right="5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1"/>
        <w:ind w:right="5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80"/>
        <w:gridCol w:w="1620"/>
        <w:gridCol w:w="1620"/>
        <w:gridCol w:w="1441"/>
        <w:gridCol w:w="2262"/>
      </w:tblGrid>
      <w:tr>
        <w:trPr>
          <w:trHeight w:val="401"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4"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上海邯达纺织国际贸易有限公司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214,832.04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214,832.04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22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经单独进行减值测试，该款 项收回的可能性极小</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芜湖中天印染有限责任公司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27,746.19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27,746.19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22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68"/>
              <w:jc w:val="left"/>
              <w:rPr>
                <w:rFonts w:ascii="宋体" w:hAnsi="宋体" w:cs="宋体" w:eastAsia="宋体" w:hint="default"/>
                <w:sz w:val="18"/>
                <w:szCs w:val="18"/>
              </w:rPr>
            </w:pPr>
            <w:r>
              <w:rPr>
                <w:rFonts w:ascii="宋体" w:hAnsi="宋体" w:cs="宋体" w:eastAsia="宋体" w:hint="default"/>
                <w:sz w:val="18"/>
                <w:szCs w:val="18"/>
              </w:rPr>
              <w:t>经单独进行减值测试，该款 项收回的可能性极小</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福建云敦服饰有限公司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2,187.95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2,187.95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22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经单独进行减值测试，该款 项收回的可能性极小</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武汉市江岸区新洪纺织部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1,306.50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1,306.50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22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68"/>
              <w:jc w:val="left"/>
              <w:rPr>
                <w:rFonts w:ascii="宋体" w:hAnsi="宋体" w:cs="宋体" w:eastAsia="宋体" w:hint="default"/>
                <w:sz w:val="18"/>
                <w:szCs w:val="18"/>
              </w:rPr>
            </w:pPr>
            <w:r>
              <w:rPr>
                <w:rFonts w:ascii="宋体" w:hAnsi="宋体" w:cs="宋体" w:eastAsia="宋体" w:hint="default"/>
                <w:sz w:val="18"/>
                <w:szCs w:val="18"/>
              </w:rPr>
              <w:t>经单独进行减值测试，该款 项收回的可能性极小</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湖北世源化工进出口有限公司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22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经单独进行减值测试，该款 项收回的可能性极小</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鄂州怡盛印染有限公司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4,713.80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4,713.80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22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68"/>
              <w:jc w:val="left"/>
              <w:rPr>
                <w:rFonts w:ascii="宋体" w:hAnsi="宋体" w:cs="宋体" w:eastAsia="宋体" w:hint="default"/>
                <w:sz w:val="18"/>
                <w:szCs w:val="18"/>
              </w:rPr>
            </w:pPr>
            <w:r>
              <w:rPr>
                <w:rFonts w:ascii="宋体" w:hAnsi="宋体" w:cs="宋体" w:eastAsia="宋体" w:hint="default"/>
                <w:sz w:val="18"/>
                <w:szCs w:val="18"/>
              </w:rPr>
              <w:t>经单独进行减值测试，该款 项收回的可能性极小</w:t>
            </w:r>
          </w:p>
        </w:tc>
      </w:tr>
      <w:tr>
        <w:trPr>
          <w:trHeight w:val="716" w:hRule="exact"/>
        </w:trPr>
        <w:tc>
          <w:tcPr>
            <w:tcW w:w="28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湖南省瑞兴进出口有限公司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38,707.63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38,707.63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22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经单独进行减值测试，该款 项收回的可能性极小</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杭州语兰纺织有限公司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9,235.14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9,235.14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22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68"/>
              <w:jc w:val="left"/>
              <w:rPr>
                <w:rFonts w:ascii="宋体" w:hAnsi="宋体" w:cs="宋体" w:eastAsia="宋体" w:hint="default"/>
                <w:sz w:val="18"/>
                <w:szCs w:val="18"/>
              </w:rPr>
            </w:pPr>
            <w:r>
              <w:rPr>
                <w:rFonts w:ascii="宋体" w:hAnsi="宋体" w:cs="宋体" w:eastAsia="宋体" w:hint="default"/>
                <w:sz w:val="18"/>
                <w:szCs w:val="18"/>
              </w:rPr>
              <w:t>经单独进行减值测试，该款 项收回的可能性极小</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299,599.25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299,599.25</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982"/>
        <w:jc w:val="left"/>
      </w:pPr>
      <w:r>
        <w:rPr/>
        <w:t>期末单项金额重大或虽不重大但单独进行减值测试的应收账款坏账准备计提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982"/>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2" w:right="0"/>
              <w:jc w:val="left"/>
              <w:rPr>
                <w:rFonts w:ascii="宋体" w:hAnsi="宋体" w:cs="宋体" w:eastAsia="宋体" w:hint="default"/>
                <w:sz w:val="18"/>
                <w:szCs w:val="18"/>
              </w:rPr>
            </w:pPr>
            <w:r>
              <w:rPr>
                <w:rFonts w:ascii="宋体" w:hAnsi="宋体" w:cs="宋体" w:eastAsia="宋体" w:hint="default"/>
                <w:sz w:val="18"/>
                <w:szCs w:val="18"/>
              </w:rPr>
              <w:t>是否因关联交易产</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82"/>
        <w:gridCol w:w="1606"/>
      </w:tblGrid>
      <w:tr>
        <w:trPr>
          <w:trHeight w:val="358"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698"/>
              <w:jc w:val="right"/>
              <w:rPr>
                <w:rFonts w:ascii="宋体" w:hAnsi="宋体" w:cs="宋体" w:eastAsia="宋体" w:hint="default"/>
                <w:sz w:val="18"/>
                <w:szCs w:val="18"/>
              </w:rPr>
            </w:pPr>
            <w:r>
              <w:rPr>
                <w:rFonts w:ascii="宋体" w:hAnsi="宋体" w:cs="宋体" w:eastAsia="宋体" w:hint="default"/>
                <w:sz w:val="18"/>
                <w:szCs w:val="18"/>
              </w:rPr>
              <w:t>生</w:t>
            </w:r>
          </w:p>
        </w:tc>
      </w:tr>
      <w:tr>
        <w:trPr>
          <w:trHeight w:val="718"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2" w:right="120"/>
              <w:jc w:val="left"/>
              <w:rPr>
                <w:rFonts w:ascii="宋体" w:hAnsi="宋体" w:cs="宋体" w:eastAsia="宋体" w:hint="default"/>
                <w:sz w:val="18"/>
                <w:szCs w:val="18"/>
              </w:rPr>
            </w:pPr>
            <w:r>
              <w:rPr>
                <w:rFonts w:ascii="宋体" w:hAnsi="宋体" w:cs="宋体" w:eastAsia="宋体" w:hint="default"/>
                <w:sz w:val="18"/>
                <w:szCs w:val="18"/>
              </w:rPr>
              <w:t>上海立本纺织品有 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235,622.40</w:t>
            </w:r>
          </w:p>
        </w:tc>
        <w:tc>
          <w:tcPr>
            <w:tcW w:w="15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3" w:right="106"/>
              <w:jc w:val="left"/>
              <w:rPr>
                <w:rFonts w:ascii="宋体" w:hAnsi="宋体" w:cs="宋体" w:eastAsia="宋体" w:hint="default"/>
                <w:sz w:val="18"/>
                <w:szCs w:val="18"/>
              </w:rPr>
            </w:pPr>
            <w:r>
              <w:rPr>
                <w:rFonts w:ascii="宋体" w:hAnsi="宋体" w:cs="宋体" w:eastAsia="宋体" w:hint="default"/>
                <w:sz w:val="18"/>
                <w:szCs w:val="18"/>
              </w:rPr>
              <w:t>工商注销，催款未 果，无法收回</w:t>
            </w:r>
          </w:p>
        </w:tc>
        <w:tc>
          <w:tcPr>
            <w:tcW w:w="1606"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江阴市璜土澄常漂 染厂</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415,422.56</w:t>
            </w:r>
          </w:p>
        </w:tc>
        <w:tc>
          <w:tcPr>
            <w:tcW w:w="15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8"/>
              <w:jc w:val="both"/>
              <w:rPr>
                <w:rFonts w:ascii="宋体" w:hAnsi="宋体" w:cs="宋体" w:eastAsia="宋体" w:hint="default"/>
                <w:sz w:val="18"/>
                <w:szCs w:val="18"/>
              </w:rPr>
            </w:pPr>
            <w:r>
              <w:rPr>
                <w:rFonts w:ascii="宋体" w:hAnsi="宋体" w:cs="宋体" w:eastAsia="宋体" w:hint="default"/>
                <w:spacing w:val="-10"/>
                <w:sz w:val="18"/>
                <w:szCs w:val="18"/>
              </w:rPr>
              <w:t>营业执照吊销，超过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法定诉讼时效，无法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w:t>
            </w:r>
          </w:p>
        </w:tc>
        <w:tc>
          <w:tcPr>
            <w:tcW w:w="1606"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常州冀唐商贸有限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210,749.54</w:t>
            </w:r>
          </w:p>
        </w:tc>
        <w:tc>
          <w:tcPr>
            <w:tcW w:w="15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8"/>
              <w:jc w:val="both"/>
              <w:rPr>
                <w:rFonts w:ascii="宋体" w:hAnsi="宋体" w:cs="宋体" w:eastAsia="宋体" w:hint="default"/>
                <w:sz w:val="18"/>
                <w:szCs w:val="18"/>
              </w:rPr>
            </w:pPr>
            <w:r>
              <w:rPr>
                <w:rFonts w:ascii="宋体" w:hAnsi="宋体" w:cs="宋体" w:eastAsia="宋体" w:hint="default"/>
                <w:spacing w:val="-10"/>
                <w:sz w:val="18"/>
                <w:szCs w:val="18"/>
              </w:rPr>
              <w:t>营业执照吊销，超过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法定诉讼时效，无法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w:t>
            </w:r>
          </w:p>
        </w:tc>
        <w:tc>
          <w:tcPr>
            <w:tcW w:w="1606"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江阴市鑫燕纺织整 理有限公司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449,407.36</w:t>
            </w:r>
          </w:p>
        </w:tc>
        <w:tc>
          <w:tcPr>
            <w:tcW w:w="15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pacing w:val="-10"/>
                <w:sz w:val="18"/>
                <w:szCs w:val="18"/>
              </w:rPr>
              <w:t>长期催款未果，无可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收回财产</w:t>
            </w:r>
          </w:p>
        </w:tc>
        <w:tc>
          <w:tcPr>
            <w:tcW w:w="1606"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绍兴县古亭进出口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140,030.98</w:t>
            </w:r>
          </w:p>
        </w:tc>
        <w:tc>
          <w:tcPr>
            <w:tcW w:w="15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pacing w:val="-10"/>
                <w:sz w:val="18"/>
                <w:szCs w:val="18"/>
              </w:rPr>
              <w:t>长期催款未果，无可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收回财产</w:t>
            </w:r>
          </w:p>
        </w:tc>
        <w:tc>
          <w:tcPr>
            <w:tcW w:w="1606"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常州市兆丰印染有 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305,379.42</w:t>
            </w:r>
          </w:p>
        </w:tc>
        <w:tc>
          <w:tcPr>
            <w:tcW w:w="15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pacing w:val="-10"/>
                <w:sz w:val="18"/>
                <w:szCs w:val="18"/>
              </w:rPr>
              <w:t>长期催款未果，无可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收回财产</w:t>
            </w:r>
          </w:p>
        </w:tc>
        <w:tc>
          <w:tcPr>
            <w:tcW w:w="1606"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1,756,612.26</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31"/>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594"/>
        <w:gridCol w:w="1861"/>
        <w:gridCol w:w="1728"/>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4"/>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0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720"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2" w:right="81"/>
              <w:jc w:val="left"/>
              <w:rPr>
                <w:rFonts w:ascii="宋体" w:hAnsi="宋体" w:cs="宋体" w:eastAsia="宋体" w:hint="default"/>
                <w:sz w:val="18"/>
                <w:szCs w:val="18"/>
              </w:rPr>
            </w:pPr>
            <w:r>
              <w:rPr>
                <w:rFonts w:ascii="宋体" w:hAnsi="宋体" w:cs="宋体" w:eastAsia="宋体" w:hint="default"/>
                <w:sz w:val="18"/>
                <w:szCs w:val="18"/>
              </w:rPr>
              <w:t>南通爱尔屋纺织品有限 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3,628,379.24</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芜湖圣罗纺织实业有限 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3,094,230.89</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辽宁宏丰印染有限公司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2,947,459.59</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91"/>
              <w:ind w:left="22" w:right="232"/>
              <w:jc w:val="left"/>
              <w:rPr>
                <w:rFonts w:ascii="Times New Roman" w:hAnsi="Times New Roman" w:cs="Times New Roman" w:eastAsia="Times New Roman" w:hint="default"/>
                <w:sz w:val="18"/>
                <w:szCs w:val="18"/>
              </w:rPr>
            </w:pPr>
            <w:r>
              <w:rPr>
                <w:rFonts w:ascii="Times New Roman"/>
                <w:sz w:val="18"/>
              </w:rPr>
              <w:t>ASLAN TEKSTIL</w:t>
            </w:r>
            <w:r>
              <w:rPr>
                <w:rFonts w:ascii="Times New Roman"/>
                <w:spacing w:val="-16"/>
                <w:sz w:val="18"/>
              </w:rPr>
              <w:t> </w:t>
            </w:r>
            <w:r>
              <w:rPr>
                <w:rFonts w:ascii="Times New Roman"/>
                <w:sz w:val="18"/>
              </w:rPr>
              <w:t>VE</w:t>
            </w:r>
            <w:r>
              <w:rPr>
                <w:rFonts w:ascii="Times New Roman"/>
                <w:sz w:val="18"/>
              </w:rPr>
              <w:t> KONF</w:t>
            </w:r>
            <w:r>
              <w:rPr>
                <w:rFonts w:ascii="Times New Roman"/>
                <w:spacing w:val="-5"/>
                <w:sz w:val="18"/>
              </w:rPr>
              <w:t> </w:t>
            </w:r>
            <w:r>
              <w:rPr>
                <w:rFonts w:ascii="Times New Roman"/>
                <w:sz w:val="18"/>
              </w:rPr>
              <w:t>SAN</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2,652,743.62</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东莞市科纺纺织有限公 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2,107,367.06</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14,430,180.40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15"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403"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1226" w:lineRule="exact"/>
        <w:ind w:left="14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846;top:14;width:2;height:392" coordorigin="3846,14" coordsize="2,392">
              <v:shape style="position:absolute;left:3846;top:14;width:2;height:392" coordorigin="3846,14" coordsize="0,392" path="m3846,14l3846,406e" filled="false" stroked="true" strokeweight="1.2pt" strokecolor="#d2d2d2">
                <v:path arrowok="t"/>
              </v:shape>
            </v:group>
            <v:group style="position:absolute;left:34;top:14;width:3801;height:392" coordorigin="34,14" coordsize="3801,392">
              <v:shape style="position:absolute;left:34;top:14;width:3801;height:392" coordorigin="34,14" coordsize="3801,392" path="m34,406l3834,406,3834,14,34,14,34,406xe" filled="true" fillcolor="#d2d2d2" stroked="false">
                <v:path arrowok="t"/>
                <v:fill type="solid"/>
              </v:shape>
            </v:group>
            <v:group style="position:absolute;left:3879;top:14;width:2;height:392" coordorigin="3879,14" coordsize="2,392">
              <v:shape style="position:absolute;left:3879;top:14;width:2;height:392" coordorigin="3879,14" coordsize="0,392" path="m3879,14l3879,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3891;top:14;width:5656;height:392" coordorigin="3891,14" coordsize="5656,392">
              <v:shape style="position:absolute;left:3891;top:14;width:5656;height:392" coordorigin="3891,14" coordsize="5656,392" path="m3891,406l9547,406,9547,14,3891,14,3891,406xe" filled="true" fillcolor="#d2d2d2" stroked="false">
                <v:path arrowok="t"/>
                <v:fill type="solid"/>
              </v:shape>
            </v:group>
            <v:group style="position:absolute;left:10;top:10;width:3849;height:2" coordorigin="10,10" coordsize="3849,2">
              <v:shape style="position:absolute;left:10;top:10;width:3849;height:2" coordorigin="10,10" coordsize="3849,0" path="m10,10l3858,10e" filled="false" stroked="true" strokeweight=".48pt" strokecolor="#000000">
                <v:path arrowok="t"/>
              </v:shape>
            </v:group>
            <v:group style="position:absolute;left:3867;top:10;width:5704;height:2" coordorigin="3867,10" coordsize="5704,2">
              <v:shape style="position:absolute;left:3867;top:10;width:5704;height:2" coordorigin="3867,10" coordsize="5704,0" path="m3867,10l9571,10e" filled="false" stroked="true" strokeweight=".48pt" strokecolor="#000000">
                <v:path arrowok="t"/>
              </v:shape>
            </v:group>
            <v:group style="position:absolute;left:3863;top:5;width:2;height:411" coordorigin="3863,5" coordsize="2,411">
              <v:shape style="position:absolute;left:3863;top:5;width:2;height:411" coordorigin="3863,5" coordsize="0,411" path="m3863,5l3863,415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0;width:3849;height:2" coordorigin="10,410" coordsize="3849,2">
              <v:shape style="position:absolute;left:10;top:410;width:3849;height:2" coordorigin="10,410" coordsize="3849,0" path="m10,410l3858,410e" filled="false" stroked="true" strokeweight=".48pt" strokecolor="#000000">
                <v:path arrowok="t"/>
              </v:shape>
            </v:group>
            <v:group style="position:absolute;left:3867;top:410;width:5704;height:2" coordorigin="3867,410" coordsize="5704,2">
              <v:shape style="position:absolute;left:3867;top:410;width:5704;height:2" coordorigin="3867,410" coordsize="5704,0" path="m3867,410l9571,410e" filled="false" stroked="true" strokeweight=".48pt" strokecolor="#000000">
                <v:path arrowok="t"/>
              </v:shape>
            </v:group>
            <v:group style="position:absolute;left:23;top:818;width:2;height:392" coordorigin="23,818" coordsize="2,392">
              <v:shape style="position:absolute;left:23;top:818;width:2;height:392" coordorigin="23,818" coordsize="0,392" path="m23,818l23,1210e" filled="false" stroked="true" strokeweight="1.08pt" strokecolor="#d2d2d2">
                <v:path arrowok="t"/>
              </v:shape>
            </v:group>
            <v:group style="position:absolute;left:9559;top:818;width:2;height:392" coordorigin="9559,818" coordsize="2,392">
              <v:shape style="position:absolute;left:9559;top:818;width:2;height:392" coordorigin="9559,818" coordsize="0,392" path="m9559,818l9559,1210e" filled="false" stroked="true" strokeweight="1.2pt" strokecolor="#d2d2d2">
                <v:path arrowok="t"/>
              </v:shape>
            </v:group>
            <v:group style="position:absolute;left:34;top:818;width:9514;height:392" coordorigin="34,818" coordsize="9514,392">
              <v:shape style="position:absolute;left:34;top:818;width:9514;height:392" coordorigin="34,818" coordsize="9514,392" path="m34,1210l9547,1210,9547,818,34,818,34,1210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5;width:2;height:1217" coordorigin="9576,5" coordsize="2,1217">
              <v:shape style="position:absolute;left:9576;top:5;width:2;height:1217" coordorigin="9576,5" coordsize="0,1217" path="m9576,5l9576,1222e" filled="false" stroked="true" strokeweight=".48pt" strokecolor="#000000">
                <v:path arrowok="t"/>
              </v:shape>
              <v:shape style="position:absolute;left:175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0;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pStyle w:val="Heading3"/>
        <w:spacing w:line="240" w:lineRule="auto" w:before="36"/>
        <w:ind w:right="982"/>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4"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026"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46,174,660.8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74.77%</w:t>
            </w:r>
          </w:p>
        </w:tc>
        <w:tc>
          <w:tcPr>
            <w:tcW w:w="105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47,501,528.1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79.2%</w:t>
            </w:r>
          </w:p>
        </w:tc>
        <w:tc>
          <w:tcPr>
            <w:tcW w:w="119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12,602,624.3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20.41%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1,986,454.04</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11,728,561.8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19.55%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1,628,150.39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13.88%</w:t>
            </w:r>
          </w:p>
        </w:tc>
      </w:tr>
      <w:tr>
        <w:trPr>
          <w:trHeight w:val="716"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12,602,624.3</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20.41%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1,986,454.04</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11,728,561.8</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19.55%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1,628,150.39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13.88%</w:t>
            </w:r>
          </w:p>
        </w:tc>
      </w:tr>
      <w:tr>
        <w:trPr>
          <w:trHeight w:val="102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2,980,624.80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749,229.80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749,229.80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749,229.80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61,757,909.9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2,735,683.84</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59,979,319.8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2,377,380.19</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其他应收款种类的说明</w:t>
      </w:r>
    </w:p>
    <w:p>
      <w:pPr>
        <w:pStyle w:val="BodyText"/>
        <w:spacing w:line="240" w:lineRule="auto" w:before="115"/>
        <w:ind w:right="982"/>
        <w:jc w:val="left"/>
      </w:pPr>
      <w:r>
        <w:rPr/>
        <w:t>期末单项金额重大并单项计提坏账准备的其他应收款</w:t>
      </w:r>
    </w:p>
    <w:p>
      <w:pPr>
        <w:spacing w:after="0" w:line="240" w:lineRule="auto"/>
        <w:jc w:val="left"/>
        <w:sectPr>
          <w:pgSz w:w="11910" w:h="16840"/>
          <w:pgMar w:header="877" w:footer="1315" w:top="1060" w:bottom="150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25"/>
        <w:gridCol w:w="1903"/>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46,174,660.83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14" w:space="0" w:color="C6ECCC"/>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12" w:right="79"/>
              <w:jc w:val="left"/>
              <w:rPr>
                <w:rFonts w:ascii="宋体" w:hAnsi="宋体" w:cs="宋体" w:eastAsia="宋体" w:hint="default"/>
                <w:sz w:val="18"/>
                <w:szCs w:val="18"/>
              </w:rPr>
            </w:pPr>
            <w:r>
              <w:rPr>
                <w:rFonts w:ascii="宋体" w:hAnsi="宋体" w:cs="宋体" w:eastAsia="宋体" w:hint="default"/>
                <w:sz w:val="18"/>
                <w:szCs w:val="18"/>
              </w:rPr>
              <w:t>经单独进行减值测试， 预计能全额收回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46,174,660.83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15" w:top="1060" w:bottom="1500" w:left="980" w:right="0"/>
        </w:sectPr>
      </w:pPr>
    </w:p>
    <w:p>
      <w:pPr>
        <w:pStyle w:val="BodyText"/>
        <w:spacing w:line="240" w:lineRule="auto" w:before="49"/>
        <w:ind w:right="-20"/>
        <w:jc w:val="left"/>
      </w:pPr>
      <w:r>
        <w:rPr/>
        <w:t>组合中，采用账龄分析法计提坏账准备的其他应收款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30"/>
        <w:gridCol w:w="1853"/>
        <w:gridCol w:w="652"/>
        <w:gridCol w:w="1453"/>
        <w:gridCol w:w="1450"/>
        <w:gridCol w:w="652"/>
        <w:gridCol w:w="1668"/>
      </w:tblGrid>
      <w:tr>
        <w:trPr>
          <w:trHeight w:val="401" w:hRule="exact"/>
        </w:trPr>
        <w:tc>
          <w:tcPr>
            <w:tcW w:w="1830" w:type="dxa"/>
            <w:vMerge w:val="restart"/>
            <w:tcBorders>
              <w:top w:val="single" w:sz="4" w:space="0" w:color="000000"/>
              <w:left w:val="single" w:sz="4" w:space="0" w:color="000000"/>
              <w:right w:val="single" w:sz="4" w:space="0" w:color="000000"/>
            </w:tcBorders>
            <w:shd w:val="clear" w:color="auto" w:fill="D2D2D2"/>
          </w:tcPr>
          <w:p>
            <w:pPr/>
          </w:p>
        </w:tc>
        <w:tc>
          <w:tcPr>
            <w:tcW w:w="39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830" w:type="dxa"/>
            <w:vMerge/>
            <w:tcBorders>
              <w:left w:val="single" w:sz="4" w:space="0" w:color="000000"/>
              <w:bottom w:val="nil" w:sz="6" w:space="0" w:color="auto"/>
              <w:right w:val="single" w:sz="4" w:space="0" w:color="000000"/>
            </w:tcBorders>
            <w:shd w:val="clear" w:color="auto" w:fill="D2D2D2"/>
          </w:tcPr>
          <w:p>
            <w:pPr/>
          </w:p>
        </w:tc>
        <w:tc>
          <w:tcPr>
            <w:tcW w:w="25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3" w:type="dxa"/>
            <w:vMerge w:val="restart"/>
            <w:tcBorders>
              <w:top w:val="single" w:sz="4" w:space="0" w:color="000000"/>
              <w:left w:val="single" w:sz="4" w:space="0" w:color="000000"/>
              <w:right w:val="single" w:sz="4" w:space="0" w:color="000000"/>
            </w:tcBorders>
            <w:shd w:val="clear" w:color="auto" w:fill="D2D2D2"/>
          </w:tcPr>
          <w:p>
            <w:pPr/>
          </w:p>
        </w:tc>
        <w:tc>
          <w:tcPr>
            <w:tcW w:w="21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
        </w:tc>
      </w:tr>
      <w:tr>
        <w:trPr>
          <w:trHeight w:val="243" w:hRule="exact"/>
        </w:trPr>
        <w:tc>
          <w:tcPr>
            <w:tcW w:w="18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2506" w:type="dxa"/>
            <w:gridSpan w:val="2"/>
            <w:vMerge/>
            <w:tcBorders>
              <w:left w:val="single" w:sz="4" w:space="0" w:color="000000"/>
              <w:bottom w:val="single" w:sz="4" w:space="0" w:color="000000"/>
              <w:right w:val="single" w:sz="4" w:space="0" w:color="000000"/>
            </w:tcBorders>
            <w:shd w:val="clear" w:color="auto" w:fill="D2D2D2"/>
          </w:tcPr>
          <w:p>
            <w:pPr/>
          </w:p>
        </w:tc>
        <w:tc>
          <w:tcPr>
            <w:tcW w:w="1453" w:type="dxa"/>
            <w:vMerge/>
            <w:tcBorders>
              <w:left w:val="single" w:sz="4" w:space="0" w:color="000000"/>
              <w:bottom w:val="nil" w:sz="6" w:space="0" w:color="auto"/>
              <w:right w:val="single" w:sz="4" w:space="0" w:color="000000"/>
            </w:tcBorders>
            <w:shd w:val="clear" w:color="auto" w:fill="D2D2D2"/>
          </w:tcPr>
          <w:p>
            <w:pPr/>
          </w:p>
        </w:tc>
        <w:tc>
          <w:tcPr>
            <w:tcW w:w="2102" w:type="dxa"/>
            <w:gridSpan w:val="2"/>
            <w:vMerge/>
            <w:tcBorders>
              <w:left w:val="single" w:sz="4" w:space="0" w:color="000000"/>
              <w:bottom w:val="single" w:sz="4" w:space="0" w:color="000000"/>
              <w:right w:val="single" w:sz="4" w:space="0" w:color="000000"/>
            </w:tcBorders>
            <w:shd w:val="clear" w:color="auto" w:fill="D2D2D2"/>
          </w:tcPr>
          <w:p>
            <w:pPr/>
          </w:p>
        </w:tc>
        <w:tc>
          <w:tcPr>
            <w:tcW w:w="1668"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830" w:type="dxa"/>
            <w:vMerge/>
            <w:tcBorders>
              <w:left w:val="single" w:sz="4" w:space="0" w:color="000000"/>
              <w:bottom w:val="single" w:sz="4" w:space="0" w:color="FFFFFF"/>
              <w:right w:val="single" w:sz="4" w:space="0" w:color="000000"/>
            </w:tcBorders>
            <w:shd w:val="clear" w:color="auto" w:fill="D2D2D2"/>
          </w:tcPr>
          <w:p>
            <w:pPr/>
          </w:p>
        </w:tc>
        <w:tc>
          <w:tcPr>
            <w:tcW w:w="185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3" w:right="0"/>
              <w:jc w:val="left"/>
              <w:rPr>
                <w:rFonts w:ascii="Times New Roman" w:hAnsi="Times New Roman" w:cs="Times New Roman" w:eastAsia="Times New Roman" w:hint="default"/>
                <w:sz w:val="18"/>
                <w:szCs w:val="18"/>
              </w:rPr>
            </w:pPr>
            <w:r>
              <w:rPr>
                <w:rFonts w:ascii="Times New Roman"/>
                <w:sz w:val="18"/>
              </w:rPr>
              <w:t>(%)</w:t>
            </w:r>
          </w:p>
        </w:tc>
        <w:tc>
          <w:tcPr>
            <w:tcW w:w="1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3" w:right="0"/>
              <w:jc w:val="left"/>
              <w:rPr>
                <w:rFonts w:ascii="Times New Roman" w:hAnsi="Times New Roman" w:cs="Times New Roman" w:eastAsia="Times New Roman" w:hint="default"/>
                <w:sz w:val="18"/>
                <w:szCs w:val="18"/>
              </w:rPr>
            </w:pPr>
            <w:r>
              <w:rPr>
                <w:rFonts w:ascii="Times New Roman"/>
                <w:sz w:val="18"/>
              </w:rPr>
              <w:t>(%)</w:t>
            </w:r>
          </w:p>
        </w:tc>
        <w:tc>
          <w:tcPr>
            <w:tcW w:w="16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2" w:hRule="exact"/>
        </w:trPr>
        <w:tc>
          <w:tcPr>
            <w:tcW w:w="1830" w:type="dxa"/>
            <w:vMerge w:val="restart"/>
            <w:tcBorders>
              <w:top w:val="single" w:sz="4" w:space="0" w:color="FFFFFF"/>
              <w:left w:val="single" w:sz="4" w:space="0" w:color="000000"/>
              <w:right w:val="single" w:sz="4" w:space="0" w:color="000000"/>
            </w:tcBorders>
            <w:shd w:val="clear" w:color="auto" w:fill="D2D2D2"/>
          </w:tcPr>
          <w:p>
            <w:pPr/>
          </w:p>
        </w:tc>
        <w:tc>
          <w:tcPr>
            <w:tcW w:w="185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tcBorders>
              <w:left w:val="single" w:sz="4" w:space="0" w:color="000000"/>
              <w:right w:val="single" w:sz="4" w:space="0" w:color="000000"/>
            </w:tcBorders>
            <w:shd w:val="clear" w:color="auto" w:fill="D2D2D2"/>
          </w:tcPr>
          <w:p>
            <w:pPr/>
          </w:p>
        </w:tc>
        <w:tc>
          <w:tcPr>
            <w:tcW w:w="1453" w:type="dxa"/>
            <w:vMerge/>
            <w:tcBorders>
              <w:left w:val="single" w:sz="4" w:space="0" w:color="000000"/>
              <w:bottom w:val="nil" w:sz="6" w:space="0" w:color="auto"/>
              <w:right w:val="single" w:sz="4" w:space="0" w:color="000000"/>
            </w:tcBorders>
            <w:shd w:val="clear" w:color="auto" w:fill="D2D2D2"/>
          </w:tcPr>
          <w:p>
            <w:pPr/>
          </w:p>
        </w:tc>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tcBorders>
              <w:left w:val="single" w:sz="4" w:space="0" w:color="000000"/>
              <w:right w:val="single" w:sz="4" w:space="0" w:color="000000"/>
            </w:tcBorders>
            <w:shd w:val="clear" w:color="auto" w:fill="D2D2D2"/>
          </w:tcPr>
          <w:p>
            <w:pPr/>
          </w:p>
        </w:tc>
        <w:tc>
          <w:tcPr>
            <w:tcW w:w="166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830" w:type="dxa"/>
            <w:vMerge/>
            <w:tcBorders>
              <w:left w:val="single" w:sz="4" w:space="0" w:color="000000"/>
              <w:right w:val="single" w:sz="4" w:space="0" w:color="000000"/>
            </w:tcBorders>
            <w:shd w:val="clear" w:color="auto" w:fill="D2D2D2"/>
          </w:tcPr>
          <w:p>
            <w:pPr/>
          </w:p>
        </w:tc>
        <w:tc>
          <w:tcPr>
            <w:tcW w:w="1853"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1453" w:type="dxa"/>
            <w:vMerge w:val="restart"/>
            <w:tcBorders>
              <w:top w:val="nil" w:sz="6" w:space="0" w:color="auto"/>
              <w:left w:val="single" w:sz="4" w:space="0" w:color="000000"/>
              <w:right w:val="single" w:sz="4" w:space="0" w:color="000000"/>
            </w:tcBorders>
            <w:shd w:val="clear" w:color="auto" w:fill="D2D2D2"/>
          </w:tcPr>
          <w:p>
            <w:pPr/>
          </w:p>
        </w:tc>
        <w:tc>
          <w:tcPr>
            <w:tcW w:w="1450"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1668"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830" w:type="dxa"/>
            <w:vMerge/>
            <w:tcBorders>
              <w:left w:val="single" w:sz="4" w:space="0" w:color="000000"/>
              <w:bottom w:val="single" w:sz="4" w:space="0" w:color="000000"/>
              <w:right w:val="single" w:sz="4" w:space="0" w:color="000000"/>
            </w:tcBorders>
            <w:shd w:val="clear" w:color="auto" w:fill="D2D2D2"/>
          </w:tcPr>
          <w:p>
            <w:pPr/>
          </w:p>
        </w:tc>
        <w:tc>
          <w:tcPr>
            <w:tcW w:w="1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1453"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1668"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5,970,385.61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47.38%</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238,815.43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5,382,728.38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215,309.15</w:t>
            </w:r>
          </w:p>
        </w:tc>
      </w:tr>
      <w:tr>
        <w:trPr>
          <w:trHeight w:val="401"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2,601,195.81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20.64%</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156,071.75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2,319,652.31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139,179.13</w:t>
            </w: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83,401.23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12,510.18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1,347,241.50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202,086.23</w:t>
            </w:r>
          </w:p>
        </w:tc>
      </w:tr>
      <w:tr>
        <w:trPr>
          <w:trHeight w:val="401"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3,947,641.69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31.32%</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1,579,056.68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2,678,939.69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1,071,575.88</w:t>
            </w:r>
          </w:p>
        </w:tc>
      </w:tr>
      <w:tr>
        <w:trPr>
          <w:trHeight w:val="404"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1,278,702.00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10.14%</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511,480.80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1,739,699.69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695,879.88</w:t>
            </w:r>
          </w:p>
        </w:tc>
      </w:tr>
      <w:tr>
        <w:trPr>
          <w:trHeight w:val="401"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1,729,699.69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13.72%</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691,879.88</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939,240.00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7.45%</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375,696.00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939,240.00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375,696.00</w:t>
            </w:r>
          </w:p>
        </w:tc>
      </w:tr>
      <w:tr>
        <w:trPr>
          <w:trHeight w:val="401"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12,602,624.34</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1,986,454.04</w:t>
            </w:r>
          </w:p>
        </w:tc>
        <w:tc>
          <w:tcPr>
            <w:tcW w:w="14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11,728,561.88</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1,628,150.39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pStyle w:val="BodyText"/>
        <w:spacing w:line="240" w:lineRule="auto" w:before="49"/>
        <w:ind w:right="-20"/>
        <w:jc w:val="left"/>
      </w:pPr>
      <w:r>
        <w:rPr/>
        <w:t>组合中，采用余额百分比法计提坏账准备的其他应收款</w:t>
      </w:r>
    </w:p>
    <w:p>
      <w:pPr>
        <w:pStyle w:val="BodyText"/>
        <w:spacing w:line="338" w:lineRule="auto" w:before="117"/>
        <w:ind w:right="5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653" w:space="41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25"/>
        <w:gridCol w:w="1903"/>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7"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南宫市至尊商业贸易</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257,782.80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257,782.80</w:t>
            </w:r>
          </w:p>
        </w:tc>
        <w:tc>
          <w:tcPr>
            <w:tcW w:w="1925"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12" w:right="79"/>
              <w:jc w:val="both"/>
              <w:rPr>
                <w:rFonts w:ascii="宋体" w:hAnsi="宋体" w:cs="宋体" w:eastAsia="宋体" w:hint="default"/>
                <w:sz w:val="18"/>
                <w:szCs w:val="18"/>
              </w:rPr>
            </w:pPr>
            <w:r>
              <w:rPr>
                <w:rFonts w:ascii="宋体" w:hAnsi="宋体" w:cs="宋体" w:eastAsia="宋体" w:hint="default"/>
                <w:sz w:val="18"/>
                <w:szCs w:val="18"/>
              </w:rPr>
              <w:t>经单独进行减值测试， 该款项收回的可能性极 小</w:t>
            </w:r>
          </w:p>
        </w:tc>
      </w:tr>
      <w:tr>
        <w:trPr>
          <w:trHeight w:val="1025"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第一棉麻总公司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491,447.00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491,447.00</w:t>
            </w:r>
          </w:p>
        </w:tc>
        <w:tc>
          <w:tcPr>
            <w:tcW w:w="1925"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12" w:right="79"/>
              <w:jc w:val="both"/>
              <w:rPr>
                <w:rFonts w:ascii="宋体" w:hAnsi="宋体" w:cs="宋体" w:eastAsia="宋体" w:hint="default"/>
                <w:sz w:val="18"/>
                <w:szCs w:val="18"/>
              </w:rPr>
            </w:pPr>
            <w:r>
              <w:rPr>
                <w:rFonts w:ascii="宋体" w:hAnsi="宋体" w:cs="宋体" w:eastAsia="宋体" w:hint="default"/>
                <w:sz w:val="18"/>
                <w:szCs w:val="18"/>
              </w:rPr>
              <w:t>经单独进行减值测试， 该款项收回的可能性极 小</w:t>
            </w:r>
          </w:p>
        </w:tc>
      </w:tr>
    </w:tbl>
    <w:p>
      <w:pPr>
        <w:spacing w:after="0" w:line="316" w:lineRule="auto"/>
        <w:jc w:val="both"/>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25"/>
        <w:gridCol w:w="1903"/>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维修基金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2,231,395.00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14" w:space="0" w:color="C6ECCC"/>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12" w:right="79"/>
              <w:jc w:val="left"/>
              <w:rPr>
                <w:rFonts w:ascii="宋体" w:hAnsi="宋体" w:cs="宋体" w:eastAsia="宋体" w:hint="default"/>
                <w:sz w:val="18"/>
                <w:szCs w:val="18"/>
              </w:rPr>
            </w:pPr>
            <w:r>
              <w:rPr>
                <w:rFonts w:ascii="宋体" w:hAnsi="宋体" w:cs="宋体" w:eastAsia="宋体" w:hint="default"/>
                <w:sz w:val="18"/>
                <w:szCs w:val="18"/>
              </w:rPr>
              <w:t>经单独进行减值测试， 预计能全额收回</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2,980,624.80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0" w:right="0"/>
              <w:jc w:val="left"/>
              <w:rPr>
                <w:rFonts w:ascii="Times New Roman" w:hAnsi="Times New Roman" w:cs="Times New Roman" w:eastAsia="Times New Roman" w:hint="default"/>
                <w:sz w:val="18"/>
                <w:szCs w:val="18"/>
              </w:rPr>
            </w:pPr>
            <w:r>
              <w:rPr>
                <w:rFonts w:ascii="Times New Roman"/>
                <w:sz w:val="18"/>
              </w:rPr>
              <w:t>749,229.80</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7"/>
              <w:jc w:val="center"/>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9"/>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0"/>
        <w:gridCol w:w="1712"/>
        <w:gridCol w:w="1865"/>
        <w:gridCol w:w="1918"/>
        <w:gridCol w:w="1884"/>
      </w:tblGrid>
      <w:tr>
        <w:trPr>
          <w:trHeight w:val="714" w:hRule="exact"/>
        </w:trPr>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982"/>
        <w:jc w:val="left"/>
      </w:pPr>
      <w:r>
        <w:rPr/>
        <w:t>期末单项金额重大或虽不重大但单独进行减值测试的其他应收账款坏账准备计提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4"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982"/>
        <w:jc w:val="left"/>
      </w:pPr>
      <w:r>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49"/>
        <w:ind w:right="982"/>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861"/>
        <w:gridCol w:w="1596"/>
      </w:tblGrid>
      <w:tr>
        <w:trPr>
          <w:trHeight w:val="403"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403"/>
        <w:gridCol w:w="1904"/>
        <w:gridCol w:w="2871"/>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2403"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46,174,660.83</w:t>
            </w:r>
          </w:p>
        </w:tc>
        <w:tc>
          <w:tcPr>
            <w:tcW w:w="19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74.77%</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46,174,660.83</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9"/>
              <w:jc w:val="center"/>
              <w:rPr>
                <w:rFonts w:ascii="Times New Roman" w:hAnsi="Times New Roman" w:cs="Times New Roman" w:eastAsia="Times New Roman" w:hint="default"/>
                <w:sz w:val="18"/>
                <w:szCs w:val="18"/>
              </w:rPr>
            </w:pPr>
            <w:r>
              <w:rPr>
                <w:rFonts w:ascii="Times New Roman"/>
                <w:sz w:val="18"/>
              </w:rPr>
              <w:t>--</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74.77%</w:t>
            </w:r>
          </w:p>
        </w:tc>
      </w:tr>
    </w:tbl>
    <w:p>
      <w:pPr>
        <w:pStyle w:val="BodyText"/>
        <w:spacing w:line="240" w:lineRule="auto" w:before="49"/>
        <w:ind w:right="982"/>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70.73172pt;width:135pt;height:77pt;mso-position-horizontal-relative:page;mso-position-vertical-relative:paragraph;z-index:-948664" coordorigin="9206,1415" coordsize="2700,1540">
            <v:shape style="position:absolute;left:9206;top:1415;width:2700;height:1540" type="#_x0000_t75" stroked="false">
              <v:imagedata r:id="rId16" o:title=""/>
            </v:shape>
            <v:shape style="position:absolute;left:10593;top:1775;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96</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6"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6"/>
              <w:ind w:left="841" w:right="0"/>
              <w:jc w:val="left"/>
              <w:rPr>
                <w:rFonts w:ascii="Times New Roman" w:hAnsi="Times New Roman" w:cs="Times New Roman" w:eastAsia="Times New Roman" w:hint="default"/>
                <w:sz w:val="18"/>
                <w:szCs w:val="18"/>
              </w:rPr>
            </w:pPr>
            <w:r>
              <w:rPr>
                <w:rFonts w:ascii="Times New Roman"/>
                <w:sz w:val="18"/>
              </w:rPr>
              <w:t>47,910,890.61</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77.58%</w:t>
            </w:r>
          </w:p>
        </w:tc>
      </w:tr>
    </w:tbl>
    <w:p>
      <w:pPr>
        <w:spacing w:after="0" w:line="240" w:lineRule="auto"/>
        <w:jc w:val="right"/>
        <w:rPr>
          <w:rFonts w:ascii="Times New Roman" w:hAnsi="Times New Roman" w:cs="Times New Roman" w:eastAsia="Times New Roman" w:hint="default"/>
          <w:sz w:val="18"/>
          <w:szCs w:val="18"/>
        </w:rPr>
        <w:sectPr>
          <w:headerReference w:type="default" r:id="rId52"/>
          <w:footerReference w:type="default" r:id="rId53"/>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维修基金</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2,231,395.00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0"/>
              <w:ind w:left="22" w:right="81"/>
              <w:jc w:val="left"/>
              <w:rPr>
                <w:rFonts w:ascii="宋体" w:hAnsi="宋体" w:cs="宋体" w:eastAsia="宋体" w:hint="default"/>
                <w:sz w:val="18"/>
                <w:szCs w:val="18"/>
              </w:rPr>
            </w:pPr>
            <w:r>
              <w:rPr>
                <w:rFonts w:ascii="宋体" w:hAnsi="宋体" w:cs="宋体" w:eastAsia="宋体" w:hint="default"/>
                <w:sz w:val="18"/>
                <w:szCs w:val="18"/>
              </w:rPr>
              <w:t>石家庄市能源管理办公 室用电集资款</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939,240.00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第一棉麻总公司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491,447.00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505,425.50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0.82%</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52,078,398.11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84.33%</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4"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401"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1224" w:lineRule="exact"/>
        <w:ind w:left="148"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79.05pt;height:61.25pt;mso-position-horizontal-relative:char;mso-position-vertical-relative:line" coordorigin="0,0" coordsize="9581,1225">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713;top:14;width:2;height:392" coordorigin="3713,14" coordsize="2,392">
              <v:shape style="position:absolute;left:3713;top:14;width:2;height:392" coordorigin="3713,14" coordsize="0,392" path="m3713,14l3713,406e" filled="false" stroked="true" strokeweight="1.08pt" strokecolor="#d2d2d2">
                <v:path arrowok="t"/>
              </v:shape>
            </v:group>
            <v:group style="position:absolute;left:34;top:14;width:3669;height:392" coordorigin="34,14" coordsize="3669,392">
              <v:shape style="position:absolute;left:34;top:14;width:3669;height:392" coordorigin="34,14" coordsize="3669,392" path="m34,406l3702,406,3702,14,34,14,34,406xe" filled="true" fillcolor="#d2d2d2" stroked="false">
                <v:path arrowok="t"/>
                <v:fill type="solid"/>
              </v:shape>
            </v:group>
            <v:group style="position:absolute;left:3745;top:14;width:2;height:392" coordorigin="3745,14" coordsize="2,392">
              <v:shape style="position:absolute;left:3745;top:14;width:2;height:392" coordorigin="3745,14" coordsize="0,392" path="m3745,14l3745,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3757;top:14;width:5790;height:392" coordorigin="3757,14" coordsize="5790,392">
              <v:shape style="position:absolute;left:3757;top:14;width:5790;height:392" coordorigin="3757,14" coordsize="5790,392" path="m3757,406l9547,406,9547,14,3757,14,3757,406xe" filled="true" fillcolor="#d2d2d2" stroked="false">
                <v:path arrowok="t"/>
                <v:fill type="solid"/>
              </v:shape>
            </v:group>
            <v:group style="position:absolute;left:10;top:10;width:3714;height:2" coordorigin="10,10" coordsize="3714,2">
              <v:shape style="position:absolute;left:10;top:10;width:3714;height:2" coordorigin="10,10" coordsize="3714,0" path="m10,10l3723,10e" filled="false" stroked="true" strokeweight=".48pt" strokecolor="#000000">
                <v:path arrowok="t"/>
              </v:shape>
            </v:group>
            <v:group style="position:absolute;left:3733;top:10;width:5838;height:2" coordorigin="3733,10" coordsize="5838,2">
              <v:shape style="position:absolute;left:3733;top:10;width:5838;height:2" coordorigin="3733,10" coordsize="5838,0" path="m3733,10l9571,10e" filled="false" stroked="true" strokeweight=".48pt" strokecolor="#000000">
                <v:path arrowok="t"/>
              </v:shape>
            </v:group>
            <v:group style="position:absolute;left:3728;top:5;width:2;height:411" coordorigin="3728,5" coordsize="2,411">
              <v:shape style="position:absolute;left:3728;top:5;width:2;height:411" coordorigin="3728,5" coordsize="0,411" path="m3728,5l3728,415e" filled="false" stroked="true" strokeweight=".48pt" strokecolor="#000000">
                <v:path arrowok="t"/>
              </v:shape>
            </v:group>
            <v:group style="position:absolute;left:23;top:415;width:2;height:395" coordorigin="23,415" coordsize="2,395">
              <v:shape style="position:absolute;left:23;top:415;width:2;height:395" coordorigin="23,415" coordsize="0,395" path="m23,415l23,809e" filled="false" stroked="true" strokeweight="1.08pt" strokecolor="#d2d2d2">
                <v:path arrowok="t"/>
              </v:shape>
            </v:group>
            <v:group style="position:absolute;left:9559;top:415;width:2;height:395" coordorigin="9559,415" coordsize="2,395">
              <v:shape style="position:absolute;left:9559;top:415;width:2;height:395" coordorigin="9559,415" coordsize="0,395" path="m9559,415l9559,809e" filled="false" stroked="true" strokeweight="1.2pt" strokecolor="#d2d2d2">
                <v:path arrowok="t"/>
              </v:shape>
            </v:group>
            <v:group style="position:absolute;left:34;top:415;width:9514;height:395" coordorigin="34,415" coordsize="9514,395">
              <v:shape style="position:absolute;left:34;top:415;width:9514;height:395" coordorigin="34,415" coordsize="9514,395" path="m34,809l9547,809,9547,415,34,415,34,809xe" filled="true" fillcolor="#d2d2d2" stroked="false">
                <v:path arrowok="t"/>
                <v:fill type="solid"/>
              </v:shape>
            </v:group>
            <v:group style="position:absolute;left:10;top:410;width:3714;height:2" coordorigin="10,410" coordsize="3714,2">
              <v:shape style="position:absolute;left:10;top:410;width:3714;height:2" coordorigin="10,410" coordsize="3714,0" path="m10,410l3723,410e" filled="false" stroked="true" strokeweight=".48pt" strokecolor="#000000">
                <v:path arrowok="t"/>
              </v:shape>
            </v:group>
            <v:group style="position:absolute;left:3733;top:410;width:5838;height:2" coordorigin="3733,410" coordsize="5838,2">
              <v:shape style="position:absolute;left:3733;top:410;width:5838;height:2" coordorigin="3733,410" coordsize="5838,0" path="m3733,410l9571,410e" filled="false" stroked="true" strokeweight=".48pt" strokecolor="#000000">
                <v:path arrowok="t"/>
              </v:shape>
            </v:group>
            <v:group style="position:absolute;left:23;top:819;width:2;height:392" coordorigin="23,819" coordsize="2,392">
              <v:shape style="position:absolute;left:23;top:819;width:2;height:392" coordorigin="23,819" coordsize="0,392" path="m23,819l23,1210e" filled="false" stroked="true" strokeweight="1.08pt" strokecolor="#d2d2d2">
                <v:path arrowok="t"/>
              </v:shape>
            </v:group>
            <v:group style="position:absolute;left:9559;top:819;width:2;height:392" coordorigin="9559,819" coordsize="2,392">
              <v:shape style="position:absolute;left:9559;top:819;width:2;height:392" coordorigin="9559,819" coordsize="0,392" path="m9559,819l9559,1210e" filled="false" stroked="true" strokeweight="1.2pt" strokecolor="#d2d2d2">
                <v:path arrowok="t"/>
              </v:shape>
            </v:group>
            <v:group style="position:absolute;left:34;top:819;width:9514;height:392" coordorigin="34,819" coordsize="9514,392">
              <v:shape style="position:absolute;left:34;top:819;width:9514;height:392" coordorigin="34,819" coordsize="9514,392" path="m34,1210l9547,1210,9547,819,34,819,34,1210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5" coordorigin="5,5" coordsize="2,1215">
              <v:shape style="position:absolute;left:5;top:5;width:2;height:1215" coordorigin="5,5" coordsize="0,1215" path="m5,5l5,1220e" filled="false" stroked="true" strokeweight=".48pt" strokecolor="#000000">
                <v:path arrowok="t"/>
              </v:shape>
            </v:group>
            <v:group style="position:absolute;left:10;top:1215;width:9562;height:2" coordorigin="10,1215" coordsize="9562,2">
              <v:shape style="position:absolute;left:10;top:1215;width:9562;height:2" coordorigin="10,1215" coordsize="9562,0" path="m10,1215l9571,1215e" filled="false" stroked="true" strokeweight=".48pt" strokecolor="#000000">
                <v:path arrowok="t"/>
              </v:shape>
            </v:group>
            <v:group style="position:absolute;left:9576;top:5;width:2;height:1215" coordorigin="9576,5" coordsize="2,1215">
              <v:shape style="position:absolute;left:9576;top:5;width:2;height:1215" coordorigin="9576,5" coordsize="0,1215" path="m9576,5l9576,1220e" filled="false" stroked="true" strokeweight=".48pt" strokecolor="#000000">
                <v:path arrowok="t"/>
              </v:shape>
              <v:shape style="position:absolute;left:168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3;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3"/>
          <w:sz w:val="20"/>
          <w:szCs w:val="20"/>
        </w:rPr>
      </w:r>
    </w:p>
    <w:p>
      <w:pPr>
        <w:spacing w:line="240" w:lineRule="auto" w:before="11"/>
        <w:rPr>
          <w:rFonts w:ascii="宋体" w:hAnsi="宋体" w:cs="宋体" w:eastAsia="宋体" w:hint="default"/>
          <w:sz w:val="18"/>
          <w:szCs w:val="18"/>
        </w:rPr>
      </w:pPr>
    </w:p>
    <w:p>
      <w:pPr>
        <w:pStyle w:val="Heading3"/>
        <w:spacing w:line="240" w:lineRule="auto" w:before="36"/>
        <w:ind w:right="982"/>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0"/>
        <w:gridCol w:w="3199"/>
        <w:gridCol w:w="1064"/>
        <w:gridCol w:w="3053"/>
        <w:gridCol w:w="1063"/>
      </w:tblGrid>
      <w:tr>
        <w:trPr>
          <w:trHeight w:val="206" w:hRule="exact"/>
        </w:trPr>
        <w:tc>
          <w:tcPr>
            <w:tcW w:w="1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1180"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877,804,866.73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934,238,620.55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96.92%</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36,700,159.51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19,826,382.40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7,240,390.26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0.78%</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7,247,196.27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0.75%</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9,371,566.17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2,585,836.23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931,116,982.67</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963,898,035.45</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预付款项账龄的说明</w:t>
      </w:r>
    </w:p>
    <w:p>
      <w:pPr>
        <w:spacing w:after="0" w:line="240" w:lineRule="auto"/>
        <w:jc w:val="left"/>
        <w:sectPr>
          <w:footerReference w:type="default" r:id="rId54"/>
          <w:pgSz w:w="11910" w:h="16840"/>
          <w:pgMar w:footer="1340" w:header="877" w:top="1060" w:bottom="1540" w:left="980" w:right="0"/>
          <w:pgNumType w:start="97"/>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39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8"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96"/>
              <w:ind w:left="22" w:right="268"/>
              <w:jc w:val="left"/>
              <w:rPr>
                <w:rFonts w:ascii="Times New Roman" w:hAnsi="Times New Roman" w:cs="Times New Roman" w:eastAsia="Times New Roman" w:hint="default"/>
                <w:sz w:val="18"/>
                <w:szCs w:val="18"/>
              </w:rPr>
            </w:pPr>
            <w:r>
              <w:rPr>
                <w:rFonts w:ascii="Times New Roman"/>
                <w:sz w:val="18"/>
              </w:rPr>
              <w:t>WIMEX</w:t>
            </w:r>
            <w:r>
              <w:rPr>
                <w:rFonts w:ascii="Times New Roman"/>
                <w:spacing w:val="-5"/>
                <w:sz w:val="18"/>
              </w:rPr>
              <w:t> </w:t>
            </w:r>
            <w:r>
              <w:rPr>
                <w:rFonts w:ascii="Times New Roman"/>
                <w:sz w:val="18"/>
              </w:rPr>
              <w:t>VENTURES</w:t>
            </w:r>
            <w:r>
              <w:rPr>
                <w:rFonts w:ascii="Times New Roman"/>
                <w:w w:val="99"/>
                <w:sz w:val="18"/>
              </w:rPr>
              <w:t> </w:t>
            </w:r>
            <w:r>
              <w:rPr>
                <w:rFonts w:ascii="Times New Roman"/>
                <w:sz w:val="18"/>
              </w:rPr>
              <w:t>LIMITED</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290,171,046.51</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衡水云海国贸有限公司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59,689,627.97</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天津开发区运达棉业有 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天津市金泰来贸易有限 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冀州恒通棉花仓储有限 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449,860,674.48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预付款项主要单位的说明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729"/>
        <w:gridCol w:w="1728"/>
      </w:tblGrid>
      <w:tr>
        <w:trPr>
          <w:trHeight w:val="401"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8"/>
        <w:gridCol w:w="1461"/>
        <w:gridCol w:w="1193"/>
        <w:gridCol w:w="1330"/>
        <w:gridCol w:w="1327"/>
        <w:gridCol w:w="1330"/>
        <w:gridCol w:w="1327"/>
      </w:tblGrid>
      <w:tr>
        <w:trPr>
          <w:trHeight w:val="206" w:hRule="exact"/>
        </w:trPr>
        <w:tc>
          <w:tcPr>
            <w:tcW w:w="15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588" w:type="dxa"/>
            <w:vMerge/>
            <w:tcBorders>
              <w:left w:val="single" w:sz="4" w:space="0" w:color="000000"/>
              <w:bottom w:val="nil" w:sz="6" w:space="0" w:color="auto"/>
              <w:right w:val="single" w:sz="4" w:space="0" w:color="000000"/>
            </w:tcBorders>
            <w:shd w:val="clear" w:color="auto" w:fill="D2D2D2"/>
          </w:tcPr>
          <w:p>
            <w:pPr/>
          </w:p>
        </w:tc>
        <w:tc>
          <w:tcPr>
            <w:tcW w:w="14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1"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299,889,670.42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299,889,670.42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347,672,272.17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347,672,272.17</w:t>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62,416,434.66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62,416,434.66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87,826,457.51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87,826,457.51</w:t>
            </w: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788,767,156.63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8,639,925.91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780,127,230.72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568,081,909.75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7,728,449.58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560,353,460.17</w:t>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13,135,672.53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13,135,672.53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8,040,206.04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8,040,206.04</w:t>
            </w: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1,164,208,934.24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8,639,925.91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1,155,569,008.33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1,011,620,845.47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7,728,449.58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1,003,892,395.89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26"/>
        <w:gridCol w:w="1616"/>
        <w:gridCol w:w="1615"/>
        <w:gridCol w:w="1414"/>
        <w:gridCol w:w="1431"/>
        <w:gridCol w:w="1757"/>
      </w:tblGrid>
      <w:tr>
        <w:trPr>
          <w:trHeight w:val="206" w:hRule="exact"/>
        </w:trPr>
        <w:tc>
          <w:tcPr>
            <w:tcW w:w="17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7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1726"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1"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7,728,449.58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5,576,181.89</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4,664,705.56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8,639,925.91</w:t>
            </w:r>
          </w:p>
        </w:tc>
      </w:tr>
      <w:tr>
        <w:trPr>
          <w:trHeight w:val="401"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7,728,449.58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5,576,181.89</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4,664,705.56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8,639,925.91</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381"/>
        <w:gridCol w:w="2391"/>
        <w:gridCol w:w="2393"/>
        <w:gridCol w:w="2393"/>
      </w:tblGrid>
      <w:tr>
        <w:trPr>
          <w:trHeight w:val="161"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96" w:right="111"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2"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2381" w:type="dxa"/>
            <w:tcBorders>
              <w:top w:val="single" w:sz="4" w:space="0" w:color="000000"/>
              <w:left w:val="single" w:sz="4" w:space="0" w:color="000000"/>
              <w:bottom w:val="nil" w:sz="6" w:space="0" w:color="auto"/>
              <w:right w:val="single" w:sz="10" w:space="0" w:color="C6ECCC"/>
            </w:tcBorders>
            <w:shd w:val="clear" w:color="auto" w:fill="D2D2D2"/>
          </w:tcPr>
          <w:p>
            <w:pPr/>
          </w:p>
        </w:tc>
        <w:tc>
          <w:tcPr>
            <w:tcW w:w="2391" w:type="dxa"/>
            <w:vMerge w:val="restart"/>
            <w:tcBorders>
              <w:top w:val="single" w:sz="4" w:space="0" w:color="000000"/>
              <w:left w:val="single" w:sz="10" w:space="0" w:color="D2D2D2"/>
              <w:right w:val="single" w:sz="4" w:space="0" w:color="000000"/>
            </w:tcBorders>
            <w:shd w:val="clear" w:color="auto" w:fill="C6ECCC"/>
          </w:tcPr>
          <w:p>
            <w:pPr>
              <w:pStyle w:val="TableParagraph"/>
              <w:spacing w:line="316" w:lineRule="auto" w:before="50"/>
              <w:ind w:left="16" w:right="195"/>
              <w:jc w:val="both"/>
              <w:rPr>
                <w:rFonts w:ascii="宋体" w:hAnsi="宋体" w:cs="宋体" w:eastAsia="宋体" w:hint="default"/>
                <w:sz w:val="18"/>
                <w:szCs w:val="18"/>
              </w:rPr>
            </w:pPr>
            <w:r>
              <w:rPr>
                <w:rFonts w:ascii="宋体" w:hAnsi="宋体" w:cs="宋体" w:eastAsia="宋体" w:hint="default"/>
                <w:sz w:val="18"/>
                <w:szCs w:val="18"/>
              </w:rPr>
              <w:t>按照单个存货项目成本高于 可变现净值的差额计提存货 跌价准备</w:t>
            </w:r>
          </w:p>
        </w:tc>
        <w:tc>
          <w:tcPr>
            <w:tcW w:w="2393" w:type="dxa"/>
            <w:vMerge w:val="restart"/>
            <w:tcBorders>
              <w:top w:val="single" w:sz="4" w:space="0" w:color="000000"/>
              <w:left w:val="single" w:sz="4" w:space="0" w:color="000000"/>
              <w:right w:val="single" w:sz="4" w:space="0" w:color="000000"/>
            </w:tcBorders>
            <w:shd w:val="clear" w:color="auto" w:fill="C6ECCC"/>
          </w:tcPr>
          <w:p>
            <w:pPr/>
          </w:p>
        </w:tc>
        <w:tc>
          <w:tcPr>
            <w:tcW w:w="2393" w:type="dxa"/>
            <w:vMerge w:val="restart"/>
            <w:tcBorders>
              <w:top w:val="single" w:sz="4" w:space="0" w:color="000000"/>
              <w:left w:val="single" w:sz="4" w:space="0" w:color="000000"/>
              <w:right w:val="single" w:sz="4" w:space="0" w:color="000000"/>
            </w:tcBorders>
          </w:tcPr>
          <w:p>
            <w:pPr/>
          </w:p>
        </w:tc>
      </w:tr>
      <w:tr>
        <w:trPr>
          <w:trHeight w:val="391" w:hRule="exact"/>
        </w:trPr>
        <w:tc>
          <w:tcPr>
            <w:tcW w:w="2381" w:type="dxa"/>
            <w:tcBorders>
              <w:top w:val="nil" w:sz="6" w:space="0" w:color="auto"/>
              <w:left w:val="single" w:sz="4" w:space="0" w:color="000000"/>
              <w:bottom w:val="nil" w:sz="6" w:space="0" w:color="auto"/>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91" w:type="dxa"/>
            <w:vMerge/>
            <w:tcBorders>
              <w:left w:val="single" w:sz="10" w:space="0" w:color="D2D2D2"/>
              <w:right w:val="single" w:sz="4" w:space="0" w:color="000000"/>
            </w:tcBorders>
            <w:shd w:val="clear" w:color="auto" w:fill="C6ECCC"/>
          </w:tcPr>
          <w:p>
            <w:pPr/>
          </w:p>
        </w:tc>
        <w:tc>
          <w:tcPr>
            <w:tcW w:w="2393" w:type="dxa"/>
            <w:vMerge/>
            <w:tcBorders>
              <w:left w:val="single" w:sz="4" w:space="0" w:color="000000"/>
              <w:right w:val="single" w:sz="4" w:space="0" w:color="000000"/>
            </w:tcBorders>
            <w:shd w:val="clear" w:color="auto" w:fill="C6ECCC"/>
          </w:tcPr>
          <w:p>
            <w:pPr/>
          </w:p>
        </w:tc>
        <w:tc>
          <w:tcPr>
            <w:tcW w:w="2393" w:type="dxa"/>
            <w:vMerge/>
            <w:tcBorders>
              <w:left w:val="single" w:sz="4" w:space="0" w:color="000000"/>
              <w:right w:val="single" w:sz="4" w:space="0" w:color="000000"/>
            </w:tcBorders>
          </w:tcPr>
          <w:p>
            <w:pPr/>
          </w:p>
        </w:tc>
      </w:tr>
      <w:tr>
        <w:trPr>
          <w:trHeight w:val="317" w:hRule="exact"/>
        </w:trPr>
        <w:tc>
          <w:tcPr>
            <w:tcW w:w="2381" w:type="dxa"/>
            <w:tcBorders>
              <w:top w:val="nil" w:sz="6" w:space="0" w:color="auto"/>
              <w:left w:val="single" w:sz="4" w:space="0" w:color="000000"/>
              <w:bottom w:val="single" w:sz="4" w:space="0" w:color="000000"/>
              <w:right w:val="single" w:sz="10" w:space="0" w:color="C6ECCC"/>
            </w:tcBorders>
            <w:shd w:val="clear" w:color="auto" w:fill="D2D2D2"/>
          </w:tcPr>
          <w:p>
            <w:pPr/>
          </w:p>
        </w:tc>
        <w:tc>
          <w:tcPr>
            <w:tcW w:w="2391" w:type="dxa"/>
            <w:vMerge/>
            <w:tcBorders>
              <w:left w:val="single" w:sz="10" w:space="0" w:color="D2D2D2"/>
              <w:bottom w:val="single" w:sz="4" w:space="0" w:color="000000"/>
              <w:right w:val="single" w:sz="4" w:space="0" w:color="000000"/>
            </w:tcBorders>
            <w:shd w:val="clear" w:color="auto" w:fill="C6ECCC"/>
          </w:tcPr>
          <w:p>
            <w:pPr/>
          </w:p>
        </w:tc>
        <w:tc>
          <w:tcPr>
            <w:tcW w:w="2393" w:type="dxa"/>
            <w:vMerge/>
            <w:tcBorders>
              <w:left w:val="single" w:sz="4" w:space="0" w:color="000000"/>
              <w:bottom w:val="single" w:sz="4" w:space="0" w:color="000000"/>
              <w:right w:val="single" w:sz="4" w:space="0" w:color="000000"/>
            </w:tcBorders>
            <w:shd w:val="clear" w:color="auto" w:fill="C6ECCC"/>
          </w:tcPr>
          <w:p>
            <w:pPr/>
          </w:p>
        </w:tc>
        <w:tc>
          <w:tcPr>
            <w:tcW w:w="2393"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t>存货的说明</w:t>
      </w:r>
    </w:p>
    <w:p>
      <w:pPr>
        <w:pStyle w:val="BodyText"/>
        <w:spacing w:line="316" w:lineRule="auto" w:before="115"/>
        <w:ind w:left="441" w:right="1031"/>
        <w:jc w:val="left"/>
      </w:pPr>
      <w:r>
        <w:rPr/>
        <w:t>存货可变现净值是按存货的估计售价减去至完工时估计将要发生的成本、估计的销售费用以及相关税费后的金额。 </w:t>
      </w:r>
      <w:r>
        <w:rPr>
          <w:spacing w:val="-2"/>
        </w:rPr>
        <w:t>本公司期末存货成本高于其可变现净值的，计提存货跌价准备。本公司通常按照单个存货项目计提存货跌价准备，期末，</w:t>
      </w:r>
    </w:p>
    <w:p>
      <w:pPr>
        <w:pStyle w:val="BodyText"/>
        <w:spacing w:line="240" w:lineRule="auto" w:before="19"/>
        <w:ind w:right="982"/>
        <w:jc w:val="left"/>
      </w:pPr>
      <w:r>
        <w:rPr/>
        <w:t>以前减记存货价值的影响因素已经消失的，存货跌价准备在原已计提的金额内转回。</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0"/>
      </w:tblGrid>
      <w:tr>
        <w:trPr>
          <w:trHeight w:val="401"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所得税重分类</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2,118,880.13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2,118,880.13</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2,118,880.13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2,118,880.13</w:t>
            </w:r>
          </w:p>
        </w:tc>
      </w:tr>
    </w:tbl>
    <w:p>
      <w:pPr>
        <w:pStyle w:val="BodyText"/>
        <w:spacing w:line="626" w:lineRule="auto" w:before="49"/>
        <w:ind w:right="2654"/>
        <w:jc w:val="left"/>
      </w:pPr>
      <w:r>
        <w:rPr/>
        <w:t>其他流动资产说明 期末其它流动资产系公司实际缴纳的所得税大于按税法规定计算的应缴税款而形成的当期所得税资产。</w:t>
      </w:r>
    </w:p>
    <w:p>
      <w:pPr>
        <w:pStyle w:val="Heading3"/>
        <w:spacing w:line="240" w:lineRule="auto" w:before="63"/>
        <w:ind w:right="982"/>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15,797,848.30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14,326,793.60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15,797,848.30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14,326,793.60</w:t>
            </w:r>
          </w:p>
        </w:tc>
      </w:tr>
    </w:tbl>
    <w:p>
      <w:pPr>
        <w:pStyle w:val="BodyText"/>
        <w:spacing w:line="360" w:lineRule="auto" w:before="49"/>
        <w:ind w:right="982"/>
        <w:jc w:val="left"/>
      </w:pPr>
      <w:r>
        <w:rPr>
          <w:spacing w:val="-4"/>
        </w:rPr>
        <w:t>本期将持有至到期投资重分类为可供出售金融资产的，本期重分类的金额元，该金额占重分类前持有至到期投资总额的比例。</w:t>
      </w:r>
      <w:r>
        <w:rPr>
          <w:spacing w:val="-44"/>
        </w:rPr>
        <w:t> </w:t>
      </w:r>
      <w:r>
        <w:rPr>
          <w:spacing w:val="-44"/>
        </w:rPr>
      </w:r>
      <w:r>
        <w:rPr/>
        <w:t>可供出售金融资产的说明</w:t>
      </w:r>
    </w:p>
    <w:p>
      <w:pPr>
        <w:spacing w:after="0" w:line="36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69" w:firstLine="360"/>
        <w:jc w:val="left"/>
      </w:pPr>
      <w:r>
        <w:rPr/>
        <w:t>本报告期末，公司将持有交通银行</w:t>
      </w:r>
      <w:r>
        <w:rPr>
          <w:rFonts w:ascii="Times New Roman" w:hAnsi="Times New Roman" w:cs="Times New Roman" w:eastAsia="Times New Roman" w:hint="default"/>
        </w:rPr>
        <w:t>3,197,945.00</w:t>
      </w:r>
      <w:r>
        <w:rPr/>
        <w:t>股，成本</w:t>
      </w:r>
      <w:r>
        <w:rPr>
          <w:rFonts w:ascii="Times New Roman" w:hAnsi="Times New Roman" w:cs="Times New Roman" w:eastAsia="Times New Roman" w:hint="default"/>
        </w:rPr>
        <w:t>5,139,369.50</w:t>
      </w:r>
      <w:r>
        <w:rPr/>
        <w:t>元的股权，按该股票期末收盘价每股</w:t>
      </w:r>
      <w:r>
        <w:rPr>
          <w:rFonts w:ascii="Times New Roman" w:hAnsi="Times New Roman" w:cs="Times New Roman" w:eastAsia="Times New Roman" w:hint="default"/>
        </w:rPr>
        <w:t>4.94</w:t>
      </w:r>
      <w:r>
        <w:rPr/>
        <w:t>元调整了 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1"/>
        <w:ind w:right="982"/>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1"/>
        <w:gridCol w:w="1064"/>
        <w:gridCol w:w="1063"/>
        <w:gridCol w:w="1063"/>
        <w:gridCol w:w="1064"/>
        <w:gridCol w:w="1063"/>
      </w:tblGrid>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75" w:hanging="89"/>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982"/>
        <w:jc w:val="left"/>
      </w:pPr>
      <w:r>
        <w:rPr/>
        <w:t>可供出售金融资产的长期债权投资的说明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3"/>
        <w:gridCol w:w="3178"/>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pStyle w:val="BodyText"/>
        <w:spacing w:line="240" w:lineRule="auto" w:before="49"/>
        <w:ind w:right="982"/>
        <w:jc w:val="left"/>
      </w:pPr>
      <w:r>
        <w:rPr/>
        <w:t>持有至到期投资的说明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6"/>
        <w:gridCol w:w="2792"/>
        <w:gridCol w:w="3970"/>
      </w:tblGrid>
      <w:tr>
        <w:trPr>
          <w:trHeight w:val="401"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49"/>
        <w:ind w:right="982"/>
        <w:jc w:val="left"/>
      </w:pPr>
      <w:r>
        <w:rPr/>
        <w:t>本报告期内出售但尚未到期的持有至到期投资情况说明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3324"/>
        <w:gridCol w:w="3442"/>
      </w:tblGrid>
      <w:tr>
        <w:trPr>
          <w:trHeight w:val="402"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3"/>
        <w:gridCol w:w="1198"/>
        <w:gridCol w:w="1198"/>
      </w:tblGrid>
      <w:tr>
        <w:trPr>
          <w:trHeight w:val="1028"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3"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8"/>
              <w:jc w:val="righ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2"/>
              <w:jc w:val="both"/>
              <w:rPr>
                <w:rFonts w:ascii="宋体" w:hAnsi="宋体" w:cs="宋体" w:eastAsia="宋体" w:hint="default"/>
                <w:sz w:val="18"/>
                <w:szCs w:val="18"/>
              </w:rPr>
            </w:pPr>
            <w:r>
              <w:rPr>
                <w:rFonts w:ascii="宋体" w:hAnsi="宋体" w:cs="宋体" w:eastAsia="宋体" w:hint="default"/>
                <w:sz w:val="18"/>
                <w:szCs w:val="18"/>
              </w:rPr>
              <w:t>石家庄常山明 荣家纺有限公 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7,039,371.00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7,454,674.98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-415,303.98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17,766,986.98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-265,138.86</w:t>
            </w:r>
          </w:p>
        </w:tc>
      </w:tr>
    </w:tbl>
    <w:p>
      <w:pPr>
        <w:spacing w:after="0" w:line="240" w:lineRule="auto"/>
        <w:jc w:val="left"/>
        <w:rPr>
          <w:rFonts w:ascii="Times New Roman" w:hAnsi="Times New Roman" w:cs="Times New Roman" w:eastAsia="Times New Roman" w:hint="default"/>
          <w:sz w:val="18"/>
          <w:szCs w:val="18"/>
        </w:rPr>
        <w:sectPr>
          <w:footerReference w:type="default" r:id="rId55"/>
          <w:pgSz w:w="11910" w:h="16840"/>
          <w:pgMar w:footer="1340" w:header="877"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t>合营企业、联营企业的重要会计政策、会计估计与公司的会计政策、会计估计存在重大差异的说明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57"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44" w:hRule="exact"/>
        </w:trPr>
        <w:tc>
          <w:tcPr>
            <w:tcW w:w="7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4" w:right="39"/>
              <w:jc w:val="both"/>
              <w:rPr>
                <w:rFonts w:ascii="宋体" w:hAnsi="宋体" w:cs="宋体" w:eastAsia="宋体" w:hint="default"/>
                <w:sz w:val="18"/>
                <w:szCs w:val="18"/>
              </w:rPr>
            </w:pPr>
            <w:r>
              <w:rPr>
                <w:rFonts w:ascii="宋体" w:hAnsi="宋体" w:cs="宋体" w:eastAsia="宋体" w:hint="default"/>
                <w:sz w:val="18"/>
                <w:szCs w:val="18"/>
              </w:rPr>
              <w:t>河北国信 投资控股 集团股份 有限公司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283,445.0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283,445.0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283,445.0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0.15%</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紫光创新 投资有限 公司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8.00%</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11,564,32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4,623,936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河北银行 股份有限 公司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25,933,50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25,933,50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25,933,50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1.41%</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4,789,059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50,216,94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50,216,94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50,216,94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11,564,32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4,623,936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4,789,059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59" w:right="60" w:hanging="901"/>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pStyle w:val="BodyText"/>
        <w:spacing w:line="240" w:lineRule="auto" w:before="49"/>
        <w:ind w:right="982"/>
        <w:jc w:val="left"/>
      </w:pPr>
      <w:r>
        <w:rPr/>
        <w:t>长期股权投资的说明</w:t>
      </w:r>
    </w:p>
    <w:p>
      <w:pPr>
        <w:spacing w:line="240" w:lineRule="auto" w:before="0"/>
        <w:rPr>
          <w:rFonts w:ascii="宋体" w:hAnsi="宋体" w:cs="宋体" w:eastAsia="宋体" w:hint="default"/>
          <w:sz w:val="18"/>
          <w:szCs w:val="18"/>
        </w:rPr>
      </w:pPr>
    </w:p>
    <w:p>
      <w:pPr>
        <w:pStyle w:val="Heading3"/>
        <w:spacing w:line="240" w:lineRule="auto" w:before="121"/>
        <w:ind w:right="982"/>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8"/>
        <w:gridCol w:w="2003"/>
        <w:gridCol w:w="1863"/>
        <w:gridCol w:w="1860"/>
        <w:gridCol w:w="2127"/>
      </w:tblGrid>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198,298,373.12</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198,298,373.12</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198,298,373.12</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198,298,373.12</w:t>
            </w:r>
          </w:p>
        </w:tc>
      </w:tr>
    </w:tbl>
    <w:p>
      <w:pPr>
        <w:spacing w:after="0" w:line="240" w:lineRule="auto"/>
        <w:jc w:val="right"/>
        <w:rPr>
          <w:rFonts w:ascii="Times New Roman" w:hAnsi="Times New Roman" w:cs="Times New Roman" w:eastAsia="Times New Roman" w:hint="default"/>
          <w:sz w:val="18"/>
          <w:szCs w:val="18"/>
        </w:rPr>
        <w:sectPr>
          <w:footerReference w:type="default" r:id="rId56"/>
          <w:pgSz w:w="11910" w:h="16840"/>
          <w:pgMar w:footer="1340" w:header="877" w:top="1060" w:bottom="154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948496" coordorigin="9206,15298" coordsize="2700,1540">
            <v:shape style="position:absolute;left:9206;top:15298;width:2700;height:1540" type="#_x0000_t75" stroked="false">
              <v:imagedata r:id="rId16" o:title=""/>
            </v:shape>
            <v:shape style="position:absolute;left:10504;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102</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730"/>
        <w:gridCol w:w="1993"/>
        <w:gridCol w:w="1863"/>
        <w:gridCol w:w="1860"/>
        <w:gridCol w:w="2127"/>
      </w:tblGrid>
      <w:tr>
        <w:trPr>
          <w:trHeight w:val="71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9,537,683.75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4,810,835.16</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14,348,518.91</w:t>
            </w:r>
          </w:p>
        </w:tc>
      </w:tr>
      <w:tr>
        <w:trPr>
          <w:trHeight w:val="40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9,537,683.75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4,810,835.16</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14,348,518.91</w:t>
            </w:r>
          </w:p>
        </w:tc>
      </w:tr>
      <w:tr>
        <w:trPr>
          <w:trHeight w:val="71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188,760,689.37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-4,810,835.16</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183,949,854.21</w:t>
            </w:r>
          </w:p>
        </w:tc>
      </w:tr>
      <w:tr>
        <w:trPr>
          <w:trHeight w:val="40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188,760,689.37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-4,810,835.16</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183,949,854.21</w:t>
            </w:r>
          </w:p>
        </w:tc>
      </w:tr>
      <w:tr>
        <w:trPr>
          <w:trHeight w:val="71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188,760,689.37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-4,810,835.16</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183,949,854.21</w:t>
            </w:r>
          </w:p>
        </w:tc>
      </w:tr>
      <w:tr>
        <w:trPr>
          <w:trHeight w:val="40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188,760,689.37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-4,810,835.16</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183,949,854.21</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38"/>
        <w:gridCol w:w="4221"/>
      </w:tblGrid>
      <w:tr>
        <w:trPr>
          <w:trHeight w:val="404"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4,810,835.16</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43"/>
        <w:gridCol w:w="1011"/>
        <w:gridCol w:w="1010"/>
        <w:gridCol w:w="1011"/>
        <w:gridCol w:w="1010"/>
        <w:gridCol w:w="1010"/>
        <w:gridCol w:w="1018"/>
        <w:gridCol w:w="955"/>
      </w:tblGrid>
      <w:tr>
        <w:trPr>
          <w:trHeight w:val="402" w:hRule="exact"/>
        </w:trPr>
        <w:tc>
          <w:tcPr>
            <w:tcW w:w="2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413" w:right="46" w:hanging="361"/>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4" w:hRule="exact"/>
        </w:trPr>
        <w:tc>
          <w:tcPr>
            <w:tcW w:w="254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4" w:right="51"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19" w:lineRule="auto" w:before="49"/>
        <w:ind w:right="982"/>
        <w:jc w:val="left"/>
      </w:pPr>
      <w:r>
        <w:rPr>
          <w:spacing w:val="-2"/>
        </w:rPr>
        <w:t>说明报告期内改变计量模式的投资性房地产和未办妥产权证书的投资性房地产有关情况，说明未办妥产权证书的原因和预计</w:t>
      </w:r>
      <w:r>
        <w:rPr>
          <w:spacing w:val="-64"/>
        </w:rPr>
        <w:t> </w:t>
      </w:r>
      <w:r>
        <w:rPr>
          <w:spacing w:val="-64"/>
        </w:rPr>
      </w:r>
      <w:r>
        <w:rPr/>
        <w:t>办结时间</w:t>
      </w:r>
    </w:p>
    <w:p>
      <w:pPr>
        <w:spacing w:line="240" w:lineRule="auto" w:before="6"/>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17"/>
        <w:gridCol w:w="1462"/>
        <w:gridCol w:w="1327"/>
        <w:gridCol w:w="1594"/>
        <w:gridCol w:w="1597"/>
        <w:gridCol w:w="1459"/>
      </w:tblGrid>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2,443,463,095.28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390,739,313.38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424,665,293.00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2,409,537,115.66</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370,248,718.54</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55" w:right="0"/>
              <w:jc w:val="left"/>
              <w:rPr>
                <w:rFonts w:ascii="Times New Roman" w:hAnsi="Times New Roman" w:cs="Times New Roman" w:eastAsia="Times New Roman" w:hint="default"/>
                <w:sz w:val="18"/>
                <w:szCs w:val="18"/>
              </w:rPr>
            </w:pPr>
            <w:r>
              <w:rPr>
                <w:rFonts w:ascii="Times New Roman"/>
                <w:sz w:val="18"/>
              </w:rPr>
              <w:t>48,310,385.74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7,315,327.79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411,243,776.49</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2,023,529,646.87</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341,475,477.66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406,610,954.69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1,958,394,169.84</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20,753,057.79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393,308.00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6,024,789.99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15,121,575.80</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28,931,672.08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560,141.98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4,714,220.53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24,777,593.53</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7"/>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942,693,502.99</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123,811,814.00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325,286,390.32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741,218,926.67</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44,688,421.32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13,454,011.99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2,009,538.13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56,132,895.18</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864,550,774.78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105,470,472.87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314,767,656.74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655,253,590.91</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12,880,422.01</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1,356,914.79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5,078,725.14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9,158,611.66</w:t>
            </w:r>
          </w:p>
        </w:tc>
      </w:tr>
    </w:tbl>
    <w:p>
      <w:pPr>
        <w:spacing w:after="0" w:line="240" w:lineRule="auto"/>
        <w:jc w:val="right"/>
        <w:rPr>
          <w:rFonts w:ascii="Times New Roman" w:hAnsi="Times New Roman" w:cs="Times New Roman" w:eastAsia="Times New Roman" w:hint="default"/>
          <w:sz w:val="18"/>
          <w:szCs w:val="18"/>
        </w:rPr>
        <w:sectPr>
          <w:footerReference w:type="default" r:id="rId57"/>
          <w:pgSz w:w="11910" w:h="16840"/>
          <w:pgMar w:footer="0" w:header="877"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1315"/>
        <w:gridCol w:w="1594"/>
        <w:gridCol w:w="1585"/>
        <w:gridCol w:w="1471"/>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20,573,884.88</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3,530,414.35</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3,430,470.31</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20,673,828.92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1,500,769,592.29</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1,668,318,188.99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325,560,297.22</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355,110,881.31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1,158,978,872.09</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1,303,140,578.93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7,872,635.78</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5,962,964.14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8,357,787.20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4,103,764.61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3,032,377.57</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1,114,926.53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3,032,377.57</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1,114,926.53</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1,497,737,214.72</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1,667,203,262.46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325,560,297.22</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355,110,881.31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1,155,946,494.52</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1,302,025,652.40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7,872,635.78</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5,962,964.14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8,357,787.20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4,103,764.61</w:t>
            </w:r>
          </w:p>
        </w:tc>
      </w:tr>
    </w:tbl>
    <w:p>
      <w:pPr>
        <w:pStyle w:val="BodyText"/>
        <w:spacing w:line="240" w:lineRule="auto" w:before="49"/>
        <w:ind w:right="982"/>
        <w:jc w:val="left"/>
      </w:pPr>
      <w:r>
        <w:rPr/>
        <w:t>本期折旧额</w:t>
      </w:r>
      <w:r>
        <w:rPr>
          <w:spacing w:val="-49"/>
        </w:rPr>
        <w:t> </w:t>
      </w:r>
      <w:r>
        <w:rPr>
          <w:rFonts w:ascii="Times New Roman" w:hAnsi="Times New Roman" w:cs="Times New Roman" w:eastAsia="Times New Roman" w:hint="default"/>
        </w:rPr>
        <w:t>123,811,814.00</w:t>
      </w:r>
      <w:r>
        <w:rPr>
          <w:rFonts w:ascii="Times New Roman" w:hAnsi="Times New Roman" w:cs="Times New Roman" w:eastAsia="Times New Roman" w:hint="default"/>
          <w:spacing w:val="-3"/>
        </w:rPr>
        <w:t> </w:t>
      </w:r>
      <w:r>
        <w:rPr/>
        <w:t>元；本期由在建工程转入固定资产原价为</w:t>
      </w:r>
      <w:r>
        <w:rPr>
          <w:spacing w:val="-49"/>
        </w:rPr>
        <w:t> </w:t>
      </w:r>
      <w:r>
        <w:rPr>
          <w:rFonts w:ascii="Times New Roman" w:hAnsi="Times New Roman" w:cs="Times New Roman" w:eastAsia="Times New Roman" w:hint="default"/>
        </w:rPr>
        <w:t>390,559,598.69</w:t>
      </w:r>
      <w:r>
        <w:rPr>
          <w:rFonts w:ascii="Times New Roman" w:hAnsi="Times New Roman" w:cs="Times New Roman" w:eastAsia="Times New Roman" w:hint="default"/>
          <w:spacing w:val="-3"/>
        </w:rPr>
        <w:t> </w:t>
      </w:r>
      <w:r>
        <w:rPr/>
        <w:t>元。</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2"/>
        <w:gridCol w:w="1721"/>
        <w:gridCol w:w="1875"/>
        <w:gridCol w:w="1875"/>
        <w:gridCol w:w="1874"/>
      </w:tblGrid>
      <w:tr>
        <w:trPr>
          <w:trHeight w:val="403" w:hRule="exact"/>
        </w:trPr>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after="0" w:line="240" w:lineRule="auto"/>
        <w:jc w:val="left"/>
        <w:rPr>
          <w:rFonts w:ascii="宋体" w:hAnsi="宋体" w:cs="宋体" w:eastAsia="宋体" w:hint="default"/>
          <w:sz w:val="18"/>
          <w:szCs w:val="18"/>
        </w:rPr>
        <w:sectPr>
          <w:footerReference w:type="default" r:id="rId58"/>
          <w:pgSz w:w="11910" w:h="16840"/>
          <w:pgMar w:footer="1340" w:header="877" w:top="1060" w:bottom="1540" w:left="980" w:right="0"/>
          <w:pgNumType w:start="103"/>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bl>
    <w:p>
      <w:pPr>
        <w:pStyle w:val="BodyText"/>
        <w:spacing w:line="240" w:lineRule="auto" w:before="49"/>
        <w:ind w:right="982"/>
        <w:jc w:val="left"/>
      </w:pPr>
      <w:r>
        <w:rPr/>
        <w:t>固定资产说明</w:t>
      </w:r>
    </w:p>
    <w:p>
      <w:pPr>
        <w:pStyle w:val="BodyText"/>
        <w:spacing w:line="338" w:lineRule="auto" w:before="117"/>
        <w:ind w:right="1229"/>
        <w:jc w:val="left"/>
      </w:pPr>
      <w:r>
        <w:rPr>
          <w:rFonts w:ascii="Times New Roman" w:hAnsi="Times New Roman" w:cs="Times New Roman" w:eastAsia="Times New Roman" w:hint="default"/>
        </w:rPr>
        <w:t>A</w:t>
      </w:r>
      <w:r>
        <w:rPr/>
        <w:t>、固定资产本期原价增加</w:t>
      </w:r>
      <w:r>
        <w:rPr>
          <w:rFonts w:ascii="Times New Roman" w:hAnsi="Times New Roman" w:cs="Times New Roman" w:eastAsia="Times New Roman" w:hint="default"/>
        </w:rPr>
        <w:t>390,739,313.38</w:t>
      </w:r>
      <w:r>
        <w:rPr/>
        <w:t>元</w:t>
      </w:r>
      <w:r>
        <w:rPr>
          <w:rFonts w:ascii="Times New Roman" w:hAnsi="Times New Roman" w:cs="Times New Roman" w:eastAsia="Times New Roman" w:hint="default"/>
        </w:rPr>
        <w:t>,</w:t>
      </w:r>
      <w:r>
        <w:rPr/>
        <w:t>其中在建工程转入固定资产</w:t>
      </w:r>
      <w:r>
        <w:rPr>
          <w:rFonts w:ascii="Times New Roman" w:hAnsi="Times New Roman" w:cs="Times New Roman" w:eastAsia="Times New Roman" w:hint="default"/>
        </w:rPr>
        <w:t>390,559,598.69</w:t>
      </w:r>
      <w:r>
        <w:rPr/>
        <w:t>元。 </w:t>
      </w:r>
      <w:r>
        <w:rPr>
          <w:rFonts w:ascii="Times New Roman" w:hAnsi="Times New Roman" w:cs="Times New Roman" w:eastAsia="Times New Roman" w:hint="default"/>
        </w:rPr>
        <w:t>B</w:t>
      </w:r>
      <w:r>
        <w:rPr/>
        <w:t>、固定资产本期原价减少</w:t>
      </w:r>
      <w:r>
        <w:rPr>
          <w:rFonts w:ascii="Times New Roman" w:hAnsi="Times New Roman" w:cs="Times New Roman" w:eastAsia="Times New Roman" w:hint="default"/>
        </w:rPr>
        <w:t>424,665,293.00</w:t>
      </w:r>
      <w:r>
        <w:rPr/>
        <w:t>元，主要系公司部分设备改良转入在建工程及处置设备转入固定资产清理所致。</w:t>
      </w:r>
    </w:p>
    <w:p>
      <w:pPr>
        <w:spacing w:line="240" w:lineRule="auto" w:before="12"/>
        <w:rPr>
          <w:rFonts w:ascii="宋体" w:hAnsi="宋体" w:cs="宋体" w:eastAsia="宋体" w:hint="default"/>
          <w:sz w:val="19"/>
          <w:szCs w:val="19"/>
        </w:rPr>
      </w:pPr>
    </w:p>
    <w:p>
      <w:pPr>
        <w:pStyle w:val="Heading3"/>
        <w:spacing w:line="240" w:lineRule="auto"/>
        <w:ind w:right="982"/>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5"/>
        <w:gridCol w:w="1196"/>
        <w:gridCol w:w="1195"/>
        <w:gridCol w:w="1196"/>
        <w:gridCol w:w="1193"/>
        <w:gridCol w:w="1196"/>
        <w:gridCol w:w="1330"/>
      </w:tblGrid>
      <w:tr>
        <w:trPr>
          <w:trHeight w:val="402" w:hRule="exact"/>
        </w:trPr>
        <w:tc>
          <w:tcPr>
            <w:tcW w:w="22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5"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22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0"/>
              <w:jc w:val="left"/>
              <w:rPr>
                <w:rFonts w:ascii="宋体" w:hAnsi="宋体" w:cs="宋体" w:eastAsia="宋体" w:hint="default"/>
                <w:sz w:val="18"/>
                <w:szCs w:val="18"/>
              </w:rPr>
            </w:pPr>
            <w:r>
              <w:rPr>
                <w:rFonts w:ascii="宋体" w:hAnsi="宋体" w:cs="宋体" w:eastAsia="宋体" w:hint="default"/>
                <w:sz w:val="18"/>
                <w:szCs w:val="18"/>
              </w:rPr>
              <w:t>开发高档多组分纤维服装面 料项目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202,399,093.85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202,399,093.85</w:t>
            </w:r>
          </w:p>
        </w:tc>
      </w:tr>
      <w:tr>
        <w:trPr>
          <w:trHeight w:val="715" w:hRule="exact"/>
        </w:trPr>
        <w:tc>
          <w:tcPr>
            <w:tcW w:w="22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97"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整体改造优化升级项目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高 档服装面料项目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375,628,494.61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375,628,494.61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304,529,562.15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304,529,562.15</w:t>
            </w:r>
          </w:p>
        </w:tc>
      </w:tr>
      <w:tr>
        <w:trPr>
          <w:trHeight w:val="713" w:hRule="exact"/>
        </w:trPr>
        <w:tc>
          <w:tcPr>
            <w:tcW w:w="22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0"/>
              <w:jc w:val="left"/>
              <w:rPr>
                <w:rFonts w:ascii="宋体" w:hAnsi="宋体" w:cs="宋体" w:eastAsia="宋体" w:hint="default"/>
                <w:sz w:val="18"/>
                <w:szCs w:val="18"/>
              </w:rPr>
            </w:pPr>
            <w:r>
              <w:rPr>
                <w:rFonts w:ascii="宋体" w:hAnsi="宋体" w:cs="宋体" w:eastAsia="宋体" w:hint="default"/>
                <w:sz w:val="18"/>
                <w:szCs w:val="18"/>
              </w:rPr>
              <w:t>提高纱质量开发新型产品设 备改良</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33,262,182.26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33,262,182.26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57,234,795.29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57,234,795.29</w:t>
            </w:r>
          </w:p>
        </w:tc>
      </w:tr>
      <w:tr>
        <w:trPr>
          <w:trHeight w:val="403" w:hRule="exact"/>
        </w:trPr>
        <w:tc>
          <w:tcPr>
            <w:tcW w:w="22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高档柔性纱线项目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38,019,689.27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38,019,689.27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8,001,318.88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8,001,318.88</w:t>
            </w:r>
          </w:p>
        </w:tc>
      </w:tr>
      <w:tr>
        <w:trPr>
          <w:trHeight w:val="401" w:hRule="exact"/>
        </w:trPr>
        <w:tc>
          <w:tcPr>
            <w:tcW w:w="22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布机拆迁改造</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43,122,159.08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43,122,159.08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29,970,520.88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29,970,520.88</w:t>
            </w:r>
          </w:p>
        </w:tc>
      </w:tr>
      <w:tr>
        <w:trPr>
          <w:trHeight w:val="403" w:hRule="exact"/>
        </w:trPr>
        <w:tc>
          <w:tcPr>
            <w:tcW w:w="22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2,942,131.40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2,942,131.40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3,361,643.69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3,361,643.69</w:t>
            </w:r>
          </w:p>
        </w:tc>
      </w:tr>
      <w:tr>
        <w:trPr>
          <w:trHeight w:val="403"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492,974,656.62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492,974,656.62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605,496,934.74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605,496,934.74</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4"/>
        <w:gridCol w:w="737"/>
        <w:gridCol w:w="734"/>
        <w:gridCol w:w="735"/>
        <w:gridCol w:w="734"/>
        <w:gridCol w:w="737"/>
        <w:gridCol w:w="737"/>
        <w:gridCol w:w="735"/>
        <w:gridCol w:w="737"/>
        <w:gridCol w:w="737"/>
        <w:gridCol w:w="736"/>
        <w:gridCol w:w="736"/>
        <w:gridCol w:w="737"/>
      </w:tblGrid>
      <w:tr>
        <w:trPr>
          <w:trHeight w:val="1333"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2"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7"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期末数</w:t>
            </w:r>
          </w:p>
        </w:tc>
      </w:tr>
      <w:tr>
        <w:trPr>
          <w:trHeight w:val="1656" w:hRule="exact"/>
        </w:trPr>
        <w:tc>
          <w:tcPr>
            <w:tcW w:w="7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2" w:right="159"/>
              <w:jc w:val="both"/>
              <w:rPr>
                <w:rFonts w:ascii="宋体" w:hAnsi="宋体" w:cs="宋体" w:eastAsia="宋体" w:hint="default"/>
                <w:sz w:val="18"/>
                <w:szCs w:val="18"/>
              </w:rPr>
            </w:pPr>
            <w:r>
              <w:rPr>
                <w:rFonts w:ascii="宋体" w:hAnsi="宋体" w:cs="宋体" w:eastAsia="宋体" w:hint="default"/>
                <w:sz w:val="18"/>
                <w:szCs w:val="18"/>
              </w:rPr>
              <w:t>开发高 档多组 分纤维 服装面 料项目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430,390,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202,399,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093.85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202,399,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093.85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100.00%</w:t>
            </w:r>
          </w:p>
        </w:tc>
        <w:tc>
          <w:tcPr>
            <w:tcW w:w="7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4" w:right="19"/>
              <w:jc w:val="center"/>
              <w:rPr>
                <w:rFonts w:ascii="宋体" w:hAnsi="宋体" w:cs="宋体" w:eastAsia="宋体" w:hint="default"/>
                <w:sz w:val="18"/>
                <w:szCs w:val="18"/>
              </w:rPr>
            </w:pPr>
            <w:r>
              <w:rPr>
                <w:rFonts w:ascii="宋体" w:hAnsi="宋体" w:cs="宋体" w:eastAsia="宋体" w:hint="default"/>
                <w:sz w:val="18"/>
                <w:szCs w:val="18"/>
              </w:rPr>
              <w:t>达到可 使用状 </w:t>
            </w:r>
            <w:r>
              <w:rPr>
                <w:rFonts w:ascii="宋体" w:hAnsi="宋体" w:cs="宋体" w:eastAsia="宋体" w:hint="default"/>
                <w:spacing w:val="-11"/>
                <w:sz w:val="18"/>
                <w:szCs w:val="18"/>
              </w:rPr>
              <w:t>态，转入</w:t>
            </w:r>
            <w:r>
              <w:rPr>
                <w:rFonts w:ascii="宋体" w:hAnsi="宋体" w:cs="宋体" w:eastAsia="宋体" w:hint="default"/>
                <w:sz w:val="18"/>
                <w:szCs w:val="18"/>
              </w:rPr>
              <w:t> 固定资 产</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986" w:hRule="exact"/>
        </w:trPr>
        <w:tc>
          <w:tcPr>
            <w:tcW w:w="7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整体改 造优化 升级项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836,660,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304,529,</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562.15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126,002,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699.00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54,903,7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66.54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32" w:right="0"/>
              <w:jc w:val="center"/>
              <w:rPr>
                <w:rFonts w:ascii="Times New Roman" w:hAnsi="Times New Roman" w:cs="Times New Roman" w:eastAsia="Times New Roman" w:hint="default"/>
                <w:sz w:val="18"/>
                <w:szCs w:val="18"/>
              </w:rPr>
            </w:pPr>
            <w:r>
              <w:rPr>
                <w:rFonts w:ascii="Times New Roman"/>
                <w:sz w:val="18"/>
              </w:rPr>
              <w:t>81.35%</w:t>
            </w:r>
          </w:p>
        </w:tc>
        <w:tc>
          <w:tcPr>
            <w:tcW w:w="7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93" w:right="19" w:hanging="70"/>
              <w:jc w:val="left"/>
              <w:rPr>
                <w:rFonts w:ascii="宋体" w:hAnsi="宋体" w:cs="宋体" w:eastAsia="宋体" w:hint="default"/>
                <w:sz w:val="18"/>
                <w:szCs w:val="18"/>
              </w:rPr>
            </w:pPr>
            <w:r>
              <w:rPr>
                <w:rFonts w:ascii="宋体" w:hAnsi="宋体" w:cs="宋体" w:eastAsia="宋体" w:hint="default"/>
                <w:spacing w:val="-11"/>
                <w:sz w:val="18"/>
                <w:szCs w:val="18"/>
              </w:rPr>
              <w:t>厂房、公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用工程 及设施</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37,852,1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80.32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6,911,86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7" w:right="0"/>
              <w:jc w:val="left"/>
              <w:rPr>
                <w:rFonts w:ascii="Times New Roman" w:hAnsi="Times New Roman" w:cs="Times New Roman" w:eastAsia="Times New Roman" w:hint="default"/>
                <w:sz w:val="18"/>
                <w:szCs w:val="18"/>
              </w:rPr>
            </w:pPr>
            <w:r>
              <w:rPr>
                <w:rFonts w:ascii="Times New Roman"/>
                <w:sz w:val="18"/>
              </w:rPr>
              <w:t>6.89%</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22"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375,628,</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494.61</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4"/>
        <w:gridCol w:w="737"/>
        <w:gridCol w:w="734"/>
        <w:gridCol w:w="735"/>
        <w:gridCol w:w="734"/>
        <w:gridCol w:w="737"/>
        <w:gridCol w:w="737"/>
        <w:gridCol w:w="735"/>
        <w:gridCol w:w="737"/>
        <w:gridCol w:w="737"/>
        <w:gridCol w:w="736"/>
        <w:gridCol w:w="736"/>
        <w:gridCol w:w="737"/>
      </w:tblGrid>
      <w:tr>
        <w:trPr>
          <w:trHeight w:val="3795" w:hRule="exact"/>
        </w:trPr>
        <w:tc>
          <w:tcPr>
            <w:tcW w:w="7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8"/>
              <w:ind w:left="22" w:right="38"/>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高档 服装面 料项目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8"/>
              <w:ind w:left="24" w:right="19"/>
              <w:jc w:val="center"/>
              <w:rPr>
                <w:rFonts w:ascii="宋体" w:hAnsi="宋体" w:cs="宋体" w:eastAsia="宋体" w:hint="default"/>
                <w:sz w:val="18"/>
                <w:szCs w:val="18"/>
              </w:rPr>
            </w:pPr>
            <w:r>
              <w:rPr>
                <w:rFonts w:ascii="宋体" w:hAnsi="宋体" w:cs="宋体" w:eastAsia="宋体" w:hint="default"/>
                <w:sz w:val="18"/>
                <w:szCs w:val="18"/>
              </w:rPr>
              <w:t>已基本 </w:t>
            </w:r>
            <w:r>
              <w:rPr>
                <w:rFonts w:ascii="宋体" w:hAnsi="宋体" w:cs="宋体" w:eastAsia="宋体" w:hint="default"/>
                <w:spacing w:val="-11"/>
                <w:sz w:val="18"/>
                <w:szCs w:val="18"/>
              </w:rPr>
              <w:t>完工，部</w:t>
            </w:r>
            <w:r>
              <w:rPr>
                <w:rFonts w:ascii="宋体" w:hAnsi="宋体" w:cs="宋体" w:eastAsia="宋体" w:hint="default"/>
                <w:sz w:val="18"/>
                <w:szCs w:val="18"/>
              </w:rPr>
              <w:t> 分生产 线已陆 续试投 </w:t>
            </w:r>
            <w:r>
              <w:rPr>
                <w:rFonts w:ascii="宋体" w:hAnsi="宋体" w:cs="宋体" w:eastAsia="宋体" w:hint="default"/>
                <w:spacing w:val="-11"/>
                <w:sz w:val="18"/>
                <w:szCs w:val="18"/>
              </w:rPr>
              <w:t>产，部分</w:t>
            </w:r>
            <w:r>
              <w:rPr>
                <w:rFonts w:ascii="宋体" w:hAnsi="宋体" w:cs="宋体" w:eastAsia="宋体" w:hint="default"/>
                <w:sz w:val="18"/>
                <w:szCs w:val="18"/>
              </w:rPr>
              <w:t> 设备及 配套设 备正在 陆续到 </w:t>
            </w:r>
            <w:r>
              <w:rPr>
                <w:rFonts w:ascii="宋体" w:hAnsi="宋体" w:cs="宋体" w:eastAsia="宋体" w:hint="default"/>
                <w:spacing w:val="-11"/>
                <w:sz w:val="18"/>
                <w:szCs w:val="18"/>
              </w:rPr>
              <w:t>货、安装</w:t>
            </w:r>
            <w:r>
              <w:rPr>
                <w:rFonts w:ascii="宋体" w:hAnsi="宋体" w:cs="宋体" w:eastAsia="宋体" w:hint="default"/>
                <w:sz w:val="18"/>
                <w:szCs w:val="18"/>
              </w:rPr>
              <w:t> 调试</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提高纱 质量开 发新型 产品设 备改良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57,234,7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95.29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37,285,8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87.17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61,258,5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82.91%</w:t>
            </w:r>
          </w:p>
        </w:tc>
        <w:tc>
          <w:tcPr>
            <w:tcW w:w="7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设备正 在改造</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3,937,60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2,250,59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33,262,1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82.26</w:t>
            </w:r>
          </w:p>
        </w:tc>
      </w:tr>
      <w:tr>
        <w:trPr>
          <w:trHeight w:val="1027" w:hRule="exact"/>
        </w:trPr>
        <w:tc>
          <w:tcPr>
            <w:tcW w:w="7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高档柔 性纱线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8,001,31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8.88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30,018,3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70.39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54.31%</w:t>
            </w:r>
          </w:p>
        </w:tc>
        <w:tc>
          <w:tcPr>
            <w:tcW w:w="7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项目正 在建设 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2,207,75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2,100,20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38,019,6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89.27</w:t>
            </w:r>
          </w:p>
        </w:tc>
      </w:tr>
      <w:tr>
        <w:trPr>
          <w:trHeight w:val="1025" w:hRule="exact"/>
        </w:trPr>
        <w:tc>
          <w:tcPr>
            <w:tcW w:w="7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布机改 造</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29,970,5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20.88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80,082,4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66,930,8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16.39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86.37%</w:t>
            </w:r>
          </w:p>
        </w:tc>
        <w:tc>
          <w:tcPr>
            <w:tcW w:w="7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设备改 造尚未 完毕</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43,122,1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59.08</w:t>
            </w:r>
          </w:p>
        </w:tc>
      </w:tr>
    </w:tbl>
    <w:p>
      <w:pPr>
        <w:pStyle w:val="BodyText"/>
        <w:spacing w:line="240" w:lineRule="auto" w:before="49"/>
        <w:ind w:right="982"/>
        <w:jc w:val="left"/>
      </w:pPr>
      <w:r>
        <w:rPr/>
        <w:t>在建工程项目变动情况的说明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7"/>
        <w:gridCol w:w="1591"/>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开发高档多组分纤维服装面料项目</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达到可使用状态，转入固定资产</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025"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2" w:right="154"/>
              <w:jc w:val="left"/>
              <w:rPr>
                <w:rFonts w:ascii="宋体" w:hAnsi="宋体" w:cs="宋体" w:eastAsia="宋体" w:hint="default"/>
                <w:sz w:val="18"/>
                <w:szCs w:val="18"/>
              </w:rPr>
            </w:pPr>
            <w:r>
              <w:rPr>
                <w:rFonts w:ascii="宋体" w:hAnsi="宋体" w:cs="宋体" w:eastAsia="宋体" w:hint="default"/>
                <w:sz w:val="18"/>
                <w:szCs w:val="18"/>
              </w:rPr>
              <w:t>整体改造优化升级项目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高档服装面料 项目</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5"/>
              <w:jc w:val="both"/>
              <w:rPr>
                <w:rFonts w:ascii="宋体" w:hAnsi="宋体" w:cs="宋体" w:eastAsia="宋体" w:hint="default"/>
                <w:sz w:val="18"/>
                <w:szCs w:val="18"/>
              </w:rPr>
            </w:pPr>
            <w:r>
              <w:rPr>
                <w:rFonts w:ascii="宋体" w:hAnsi="宋体" w:cs="宋体" w:eastAsia="宋体" w:hint="default"/>
                <w:spacing w:val="3"/>
                <w:sz w:val="18"/>
                <w:szCs w:val="18"/>
              </w:rPr>
              <w:t>厂房、公用工程及设施已基本完工，部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分生产线已陆续试投产，部分设备及配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套设备正在陆续到货、安装调试</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提高纱质量开发新型产品设备改良</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设备正在改造</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高档柔性纱线项目</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项目正在建设中</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布机改造</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设备改造尚未完毕</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877" w:footer="1340" w:top="1060" w:bottom="154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3" w:firstLine="379"/>
        <w:jc w:val="both"/>
      </w:pPr>
      <w:r>
        <w:rPr/>
        <w:t>本期在建工程中资本化的利息主要系整体改造优化升级项目高档服装面料项目、提高纱质量开发新型产品设备改良、 </w:t>
      </w:r>
      <w:r>
        <w:rPr>
          <w:spacing w:val="-2"/>
        </w:rPr>
        <w:t>高档柔性纱线项目，在所购建的工程达到预定可使用状态前发生的利息支出，公司用于确定资本化金额的资本化利率平均为</w:t>
      </w:r>
      <w:r>
        <w:rPr>
          <w:spacing w:val="-64"/>
        </w:rPr>
        <w:t> </w:t>
      </w:r>
      <w:r>
        <w:rPr>
          <w:spacing w:val="-64"/>
        </w:rPr>
      </w:r>
      <w:r>
        <w:rPr>
          <w:rFonts w:ascii="Times New Roman" w:hAnsi="Times New Roman" w:cs="Times New Roman" w:eastAsia="Times New Roman" w:hint="default"/>
        </w:rPr>
        <w:t>6.70%</w:t>
      </w:r>
      <w:r>
        <w:rPr/>
        <w:t>。</w:t>
      </w:r>
    </w:p>
    <w:p>
      <w:pPr>
        <w:spacing w:line="240" w:lineRule="auto" w:before="4"/>
        <w:rPr>
          <w:rFonts w:ascii="宋体" w:hAnsi="宋体" w:cs="宋体" w:eastAsia="宋体" w:hint="default"/>
          <w:sz w:val="21"/>
          <w:szCs w:val="21"/>
        </w:rPr>
      </w:pPr>
    </w:p>
    <w:p>
      <w:pPr>
        <w:pStyle w:val="Heading3"/>
        <w:spacing w:line="240" w:lineRule="auto"/>
        <w:ind w:right="982"/>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1"/>
        <w:gridCol w:w="1594"/>
        <w:gridCol w:w="1462"/>
        <w:gridCol w:w="1594"/>
        <w:gridCol w:w="1860"/>
      </w:tblGrid>
      <w:tr>
        <w:trPr>
          <w:trHeight w:val="401"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89,188.59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9,003.15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98,191.74</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9,132.47</w:t>
            </w: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9,132.47</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专用物资</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94,500.00</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98,321.06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103,503.15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201,824.21</w:t>
            </w:r>
          </w:p>
        </w:tc>
      </w:tr>
    </w:tbl>
    <w:p>
      <w:pPr>
        <w:pStyle w:val="BodyText"/>
        <w:spacing w:line="240" w:lineRule="auto" w:before="49"/>
        <w:ind w:right="982"/>
        <w:jc w:val="left"/>
      </w:pPr>
      <w:r>
        <w:rPr/>
        <w:t>工程物资的说明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17"/>
        <w:gridCol w:w="2004"/>
        <w:gridCol w:w="2127"/>
        <w:gridCol w:w="2512"/>
      </w:tblGrid>
      <w:tr>
        <w:trPr>
          <w:trHeight w:val="403"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r>
        <w:trPr>
          <w:trHeight w:val="401" w:hRule="exact"/>
        </w:trPr>
        <w:tc>
          <w:tcPr>
            <w:tcW w:w="29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0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13,278,460.03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28,486,882.28</w:t>
            </w:r>
          </w:p>
        </w:tc>
        <w:tc>
          <w:tcPr>
            <w:tcW w:w="25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报废及搬迁处置</w:t>
            </w:r>
          </w:p>
        </w:tc>
      </w:tr>
      <w:tr>
        <w:trPr>
          <w:trHeight w:val="404"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13,278,460.03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28,486,882.28</w:t>
            </w:r>
          </w:p>
        </w:tc>
        <w:tc>
          <w:tcPr>
            <w:tcW w:w="2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说明转入固定资产清理起始时间已超过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年的固定资产清理进展情况</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59"/>
      </w:tblGrid>
      <w:tr>
        <w:trPr>
          <w:trHeight w:val="402" w:hRule="exact"/>
        </w:trPr>
        <w:tc>
          <w:tcPr>
            <w:tcW w:w="9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pStyle w:val="BodyText"/>
        <w:spacing w:line="240" w:lineRule="auto" w:before="49"/>
        <w:ind w:right="982"/>
        <w:jc w:val="left"/>
      </w:pPr>
      <w:r>
        <w:rPr/>
        <w:t>生产性生物资产的说明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73"/>
        <w:gridCol w:w="1709"/>
        <w:gridCol w:w="1841"/>
        <w:gridCol w:w="2107"/>
        <w:gridCol w:w="1829"/>
      </w:tblGrid>
      <w:tr>
        <w:trPr>
          <w:trHeight w:val="403" w:hRule="exact"/>
        </w:trPr>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pStyle w:val="BodyText"/>
        <w:spacing w:line="240" w:lineRule="auto" w:before="49"/>
        <w:ind w:right="982"/>
        <w:jc w:val="left"/>
      </w:pPr>
      <w:r>
        <w:rPr/>
        <w:t>油气资产的说明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5"/>
        <w:gridCol w:w="1844"/>
        <w:gridCol w:w="1844"/>
        <w:gridCol w:w="1844"/>
        <w:gridCol w:w="1843"/>
      </w:tblGrid>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162,848,641.89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58,321,867.21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218,770,509.10</w:t>
            </w: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162,706,686.89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58,321,867.21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218,628,554.10</w:t>
            </w: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141,955.00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141,955.00</w:t>
            </w: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12,083,796.52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3,491,591.82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15,431,388.34</w:t>
            </w: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12,083,796.52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3,440,330.35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15,380,126.87</w:t>
            </w: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51,261.47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51,261.47</w:t>
            </w: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150,764,845.37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54,830,275.39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203,339,120.76</w:t>
            </w: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150,622,890.37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54,881,536.86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203,248,427.23</w:t>
            </w: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141,955.00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-51,261.47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90,693.53</w:t>
            </w: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150,764,845.37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54,830,275.39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203,339,120.76</w:t>
            </w: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150,622,890.37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54,881,536.86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203,248,427.23</w:t>
            </w: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141,955.00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-51,261.47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90,693.53</w:t>
            </w:r>
          </w:p>
        </w:tc>
      </w:tr>
    </w:tbl>
    <w:p>
      <w:pPr>
        <w:pStyle w:val="BodyText"/>
        <w:spacing w:line="240" w:lineRule="auto" w:before="49"/>
        <w:ind w:right="982"/>
        <w:jc w:val="left"/>
      </w:pPr>
      <w:r>
        <w:rPr/>
        <w:t>本期摊销额</w:t>
      </w:r>
      <w:r>
        <w:rPr>
          <w:spacing w:val="-47"/>
        </w:rPr>
        <w:t> </w:t>
      </w:r>
      <w:r>
        <w:rPr>
          <w:rFonts w:ascii="Times New Roman" w:hAnsi="Times New Roman" w:cs="Times New Roman" w:eastAsia="Times New Roman" w:hint="default"/>
        </w:rPr>
        <w:t>3,491,591.82</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35.455723pt;width:135pt;height:77pt;mso-position-horizontal-relative:page;mso-position-vertical-relative:paragraph;z-index:-948448" coordorigin="9206,709" coordsize="2700,1540">
            <v:shape style="position:absolute;left:9206;top:709;width:2700;height:1540" type="#_x0000_t75" stroked="false">
              <v:imagedata r:id="rId16" o:title=""/>
            </v:shape>
            <v:shape style="position:absolute;left:10504;top:106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107</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597"/>
        <w:gridCol w:w="1594"/>
        <w:gridCol w:w="3186"/>
        <w:gridCol w:w="1594"/>
      </w:tblGrid>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headerReference w:type="default" r:id="rId59"/>
          <w:footerReference w:type="default" r:id="rId60"/>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8"/>
        <w:gridCol w:w="1597"/>
        <w:gridCol w:w="1594"/>
        <w:gridCol w:w="1592"/>
        <w:gridCol w:w="1594"/>
        <w:gridCol w:w="1594"/>
      </w:tblGrid>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357" w:lineRule="auto" w:before="50"/>
        <w:ind w:right="5354"/>
        <w:jc w:val="left"/>
      </w:pPr>
      <w:r>
        <w:rPr/>
        <w:t>本期开发支出占本期研究开发项目支出总额的比例。 通过公司内部研发形成的无形资产占无形资产期末账面价值的比例。</w:t>
      </w:r>
    </w:p>
    <w:p>
      <w:pPr>
        <w:pStyle w:val="BodyText"/>
        <w:spacing w:line="240" w:lineRule="auto" w:before="29"/>
        <w:ind w:right="982"/>
        <w:jc w:val="left"/>
      </w:pPr>
      <w:r>
        <w:rPr>
          <w:spacing w:val="-2"/>
        </w:rPr>
        <w:t>公司开发项目的说明，包括本期发生的单项价值在</w:t>
      </w:r>
      <w:r>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24"/>
        </w:rPr>
        <w:t> </w:t>
      </w:r>
      <w:r>
        <w:rPr>
          <w:spacing w:val="-2"/>
        </w:rPr>
        <w:t>万元以上且以评估值为入账依据的，应披露评估机构名称、评估方法</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462"/>
        <w:gridCol w:w="1460"/>
        <w:gridCol w:w="1459"/>
        <w:gridCol w:w="1462"/>
        <w:gridCol w:w="1198"/>
      </w:tblGrid>
      <w:tr>
        <w:trPr>
          <w:trHeight w:val="71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79"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bl>
    <w:p>
      <w:pPr>
        <w:pStyle w:val="BodyText"/>
        <w:spacing w:line="240" w:lineRule="auto" w:before="50"/>
        <w:ind w:right="982"/>
        <w:jc w:val="left"/>
      </w:pPr>
      <w:r>
        <w:rPr/>
        <w:t>说明商誉的减值测试方法和减值准备计提方法</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78"/>
        <w:gridCol w:w="1356"/>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361,588.92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173,127.36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188,461.56</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绿化工程</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2,060,156.15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34,335.94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2,025,820.21</w:t>
            </w:r>
          </w:p>
        </w:tc>
        <w:tc>
          <w:tcPr>
            <w:tcW w:w="135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361,588.92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2,060,156.15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207,463.30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2,214,281.77</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长期待摊费用的说明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982"/>
        <w:jc w:val="left"/>
      </w:pPr>
      <w:r>
        <w:rPr/>
        <w:t>已确认的递延所得税资产和递延所得税负债</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8"/>
        <w:gridCol w:w="2927"/>
        <w:gridCol w:w="2921"/>
      </w:tblGrid>
      <w:tr>
        <w:trPr>
          <w:trHeight w:val="406"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7,557,568.00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6,478,835.95</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棉花期货合约公允价值变动</w:t>
            </w:r>
          </w:p>
        </w:tc>
        <w:tc>
          <w:tcPr>
            <w:tcW w:w="2927"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39,331.25</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7,557,568.00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6,518,167.20</w:t>
            </w:r>
          </w:p>
        </w:tc>
      </w:tr>
      <w:tr>
        <w:trPr>
          <w:trHeight w:val="403"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计入资本公积的可供出售金融资产公允价值变 动</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2,664,619.70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2,296,856.03</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2,664,619.70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2,296,856.03</w:t>
            </w:r>
          </w:p>
        </w:tc>
      </w:tr>
    </w:tbl>
    <w:p>
      <w:pPr>
        <w:pStyle w:val="BodyText"/>
        <w:spacing w:line="240" w:lineRule="auto" w:before="49"/>
        <w:ind w:right="982"/>
        <w:jc w:val="left"/>
      </w:pPr>
      <w:r>
        <w:rPr/>
        <w:t>未确认递延所得税资产明细</w:t>
      </w:r>
    </w:p>
    <w:p>
      <w:pPr>
        <w:pStyle w:val="BodyText"/>
        <w:spacing w:line="240" w:lineRule="auto" w:before="114"/>
        <w:ind w:left="0" w:right="1131"/>
        <w:jc w:val="right"/>
      </w:pPr>
      <w:r>
        <w:rPr/>
        <w:t>单位：</w:t>
      </w:r>
      <w:r>
        <w:rPr>
          <w:spacing w:val="1"/>
        </w:rPr>
        <w:t> </w:t>
      </w:r>
      <w:r>
        <w:rPr/>
        <w:t>元</w:t>
      </w:r>
    </w:p>
    <w:p>
      <w:pPr>
        <w:spacing w:after="0" w:line="240" w:lineRule="auto"/>
        <w:jc w:val="right"/>
        <w:sectPr>
          <w:footerReference w:type="default" r:id="rId61"/>
          <w:pgSz w:w="11910" w:h="16840"/>
          <w:pgMar w:footer="1340" w:header="877" w:top="1060" w:bottom="1540" w:left="980" w:right="0"/>
          <w:pgNumType w:start="108"/>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2"/>
        <w:gridCol w:w="2924"/>
        <w:gridCol w:w="2910"/>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50"/>
        <w:ind w:right="982"/>
        <w:jc w:val="left"/>
      </w:pPr>
      <w:r>
        <w:rPr/>
        <w:t>未确认递延所得税资产的可抵扣亏损将于以下年度到期</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2259"/>
        <w:gridCol w:w="1995"/>
        <w:gridCol w:w="3309"/>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982"/>
        <w:jc w:val="left"/>
      </w:pPr>
      <w:r>
        <w:rPr/>
        <w:t>应纳税差异和可抵扣差异项目明细</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48"/>
        <w:gridCol w:w="2933"/>
        <w:gridCol w:w="2787"/>
      </w:tblGrid>
      <w:tr>
        <w:trPr>
          <w:trHeight w:val="403" w:hRule="exact"/>
        </w:trPr>
        <w:tc>
          <w:tcPr>
            <w:tcW w:w="3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1" w:hRule="exact"/>
        </w:trPr>
        <w:tc>
          <w:tcPr>
            <w:tcW w:w="3848" w:type="dxa"/>
            <w:vMerge/>
            <w:tcBorders>
              <w:left w:val="single" w:sz="4" w:space="0" w:color="000000"/>
              <w:bottom w:val="single" w:sz="4" w:space="0" w:color="000000"/>
              <w:right w:val="single" w:sz="4" w:space="0" w:color="000000"/>
            </w:tcBorders>
            <w:shd w:val="clear" w:color="auto" w:fill="D2D2D2"/>
          </w:tcPr>
          <w:p>
            <w:pPr/>
          </w:p>
        </w:tc>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398"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6" w:hRule="exact"/>
        </w:trPr>
        <w:tc>
          <w:tcPr>
            <w:tcW w:w="38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交通银行公允价值变动</w:t>
            </w:r>
          </w:p>
        </w:tc>
        <w:tc>
          <w:tcPr>
            <w:tcW w:w="2933"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10,658,478.80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9,187,424.10</w:t>
            </w:r>
          </w:p>
        </w:tc>
      </w:tr>
      <w:tr>
        <w:trPr>
          <w:trHeight w:val="408"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10,658,478.80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9,187,424.10</w:t>
            </w:r>
          </w:p>
        </w:tc>
      </w:tr>
      <w:tr>
        <w:trPr>
          <w:trHeight w:val="39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8" w:hRule="exact"/>
        </w:trPr>
        <w:tc>
          <w:tcPr>
            <w:tcW w:w="38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33"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10,918,048.93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10,987,816.81</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933"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7,043,015.49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5,160,551.24</w:t>
            </w:r>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2933"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1,114,926.53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3,032,377.57</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2933"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11,564,329.21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6,940,392.27</w:t>
            </w:r>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棉花期货合约公允价值变动</w:t>
            </w:r>
          </w:p>
        </w:tc>
        <w:tc>
          <w:tcPr>
            <w:tcW w:w="2933" w:type="dxa"/>
            <w:tcBorders>
              <w:top w:val="single" w:sz="4" w:space="0" w:color="000000"/>
              <w:left w:val="single" w:sz="10" w:space="0" w:color="C6ECCC"/>
              <w:bottom w:val="single" w:sz="4" w:space="0" w:color="000000"/>
              <w:right w:val="single" w:sz="4" w:space="0" w:color="000000"/>
            </w:tcBorders>
          </w:tcPr>
          <w:p>
            <w:pP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157,325.00</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30,640,320.16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26,278,462.89</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互抵后的递延所得税资产及负债的组成项目</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1"/>
        <w:gridCol w:w="1625"/>
        <w:gridCol w:w="1628"/>
        <w:gridCol w:w="1628"/>
        <w:gridCol w:w="1630"/>
      </w:tblGrid>
      <w:tr>
        <w:trPr>
          <w:trHeight w:val="319"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88" w:right="84"/>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88" w:right="89"/>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30" w:type="dxa"/>
            <w:vMerge/>
            <w:tcBorders>
              <w:left w:val="single" w:sz="4" w:space="0" w:color="000000"/>
              <w:right w:val="single" w:sz="4" w:space="0" w:color="000000"/>
            </w:tcBorders>
            <w:shd w:val="clear" w:color="auto" w:fill="D2D2D2"/>
          </w:tcPr>
          <w:p>
            <w:pPr/>
          </w:p>
        </w:tc>
      </w:tr>
      <w:tr>
        <w:trPr>
          <w:trHeight w:val="31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5"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3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7,557,568.00</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6,518,167.20</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2,664,619.70</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2,296,856.03</w:t>
            </w:r>
          </w:p>
        </w:tc>
        <w:tc>
          <w:tcPr>
            <w:tcW w:w="16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t>递延所得税资产和递延所得税负债互抵明细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pStyle w:val="BodyText"/>
        <w:spacing w:line="240" w:lineRule="auto" w:before="49"/>
        <w:ind w:right="982"/>
        <w:jc w:val="left"/>
      </w:pPr>
      <w:r>
        <w:rPr/>
        <w:t>递延所得税资产和递延所得税负债的说明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5"/>
        <w:gridCol w:w="1527"/>
        <w:gridCol w:w="1529"/>
        <w:gridCol w:w="2797"/>
        <w:gridCol w:w="1452"/>
      </w:tblGrid>
      <w:tr>
        <w:trPr>
          <w:trHeight w:val="401"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399"/>
        <w:gridCol w:w="1397"/>
        <w:gridCol w:w="1452"/>
      </w:tblGrid>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12,861,590.31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1,982,471.51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4" w:right="0"/>
              <w:jc w:val="left"/>
              <w:rPr>
                <w:rFonts w:ascii="Times New Roman" w:hAnsi="Times New Roman" w:cs="Times New Roman" w:eastAsia="Times New Roman" w:hint="default"/>
                <w:sz w:val="18"/>
                <w:szCs w:val="18"/>
              </w:rPr>
            </w:pPr>
            <w:r>
              <w:rPr>
                <w:rFonts w:ascii="Times New Roman"/>
                <w:sz w:val="18"/>
              </w:rPr>
              <w:t>161,388.07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1,756,612.26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12,926,061.49</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7,728,449.58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5,576,181.89</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4,664,705.56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8,639,925.91</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6,940,392.27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4,623,936.94</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11,564,329.21</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3,032,377.57</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1,917,451.04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1,114,926.53</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30,562,809.73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12,182,590.34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4" w:right="0"/>
              <w:jc w:val="left"/>
              <w:rPr>
                <w:rFonts w:ascii="Times New Roman" w:hAnsi="Times New Roman" w:cs="Times New Roman" w:eastAsia="Times New Roman" w:hint="default"/>
                <w:sz w:val="18"/>
                <w:szCs w:val="18"/>
              </w:rPr>
            </w:pPr>
            <w:r>
              <w:rPr>
                <w:rFonts w:ascii="Times New Roman"/>
                <w:sz w:val="18"/>
              </w:rPr>
              <w:t>161,388.07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8,338,768.86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34,245,243.14</w:t>
            </w:r>
          </w:p>
        </w:tc>
      </w:tr>
    </w:tbl>
    <w:p>
      <w:pPr>
        <w:pStyle w:val="BodyText"/>
        <w:spacing w:line="240" w:lineRule="auto" w:before="49"/>
        <w:ind w:right="982"/>
        <w:jc w:val="left"/>
      </w:pPr>
      <w:r>
        <w:rPr/>
        <w:t>资产减值明细情况的说明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49"/>
        <w:ind w:right="982"/>
        <w:jc w:val="left"/>
      </w:pPr>
      <w:r>
        <w:rPr/>
        <w:t>其他非流动资产的说明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32" w:type="dxa"/>
            <w:tcBorders>
              <w:top w:val="single" w:sz="4" w:space="0" w:color="000000"/>
              <w:left w:val="single" w:sz="9" w:space="0" w:color="D2D2D2"/>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51,869,650.54</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1,520,417,697.95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1,457,700,000.00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9" w:space="0" w:color="D2D2D2"/>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9,474,989.41</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1,520,417,697.95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1,519,044,639.95</w:t>
            </w:r>
          </w:p>
        </w:tc>
      </w:tr>
    </w:tbl>
    <w:p>
      <w:pPr>
        <w:pStyle w:val="BodyText"/>
        <w:spacing w:line="240" w:lineRule="auto" w:before="49"/>
        <w:ind w:right="982"/>
        <w:jc w:val="left"/>
        <w:rPr>
          <w:rFonts w:ascii="Times New Roman" w:hAnsi="Times New Roman" w:cs="Times New Roman" w:eastAsia="Times New Roman" w:hint="default"/>
        </w:rPr>
      </w:pPr>
      <w:r>
        <w:rPr/>
        <w:t>短期借款分类的说明</w:t>
      </w:r>
      <w:r>
        <w:rPr>
          <w:rFonts w:ascii="Times New Roman" w:hAnsi="Times New Roman" w:cs="Times New Roman" w:eastAsia="Times New Roman" w:hint="default"/>
        </w:rPr>
        <w:t>:</w:t>
      </w:r>
    </w:p>
    <w:p>
      <w:pPr>
        <w:pStyle w:val="BodyText"/>
        <w:spacing w:line="240" w:lineRule="auto" w:before="101"/>
        <w:ind w:left="513" w:right="982"/>
        <w:jc w:val="left"/>
      </w:pPr>
      <w:r>
        <w:rPr>
          <w:rFonts w:ascii="Times New Roman" w:hAnsi="Times New Roman" w:cs="Times New Roman" w:eastAsia="Times New Roman" w:hint="default"/>
        </w:rPr>
        <w:t>(1) </w:t>
      </w:r>
      <w:r>
        <w:rPr/>
        <w:t>母公司期末保证短期借款 </w:t>
      </w:r>
      <w:r>
        <w:rPr>
          <w:rFonts w:ascii="Times New Roman" w:hAnsi="Times New Roman" w:cs="Times New Roman" w:eastAsia="Times New Roman" w:hint="default"/>
        </w:rPr>
        <w:t>1,322,700,000.00</w:t>
      </w:r>
      <w:r>
        <w:rPr>
          <w:rFonts w:ascii="Times New Roman" w:hAnsi="Times New Roman" w:cs="Times New Roman" w:eastAsia="Times New Roman" w:hint="default"/>
          <w:spacing w:val="-10"/>
        </w:rPr>
        <w:t> </w:t>
      </w:r>
      <w:r>
        <w:rPr/>
        <w:t>元及子公司石家庄常山恒新纺织有限公司期末保证短期借款</w:t>
      </w:r>
    </w:p>
    <w:p>
      <w:pPr>
        <w:pStyle w:val="BodyText"/>
        <w:spacing w:line="240" w:lineRule="auto" w:before="63"/>
        <w:ind w:right="982"/>
        <w:jc w:val="left"/>
      </w:pPr>
      <w:r>
        <w:rPr>
          <w:rFonts w:ascii="Times New Roman" w:hAnsi="Times New Roman" w:cs="Times New Roman" w:eastAsia="Times New Roman" w:hint="default"/>
        </w:rPr>
        <w:t>60,000,000.00</w:t>
      </w:r>
      <w:r>
        <w:rPr>
          <w:rFonts w:ascii="Times New Roman" w:hAnsi="Times New Roman" w:cs="Times New Roman" w:eastAsia="Times New Roman" w:hint="default"/>
          <w:spacing w:val="-5"/>
        </w:rPr>
        <w:t> </w:t>
      </w:r>
      <w:r>
        <w:rPr/>
        <w:t>元均由石家庄常山纺织集团有限责任公司提供保证担保。</w:t>
      </w:r>
    </w:p>
    <w:p>
      <w:pPr>
        <w:pStyle w:val="BodyText"/>
        <w:spacing w:line="240" w:lineRule="auto" w:before="103"/>
        <w:ind w:left="513" w:right="982"/>
        <w:jc w:val="left"/>
      </w:pPr>
      <w:r>
        <w:rPr>
          <w:rFonts w:ascii="Times New Roman" w:hAnsi="Times New Roman" w:cs="Times New Roman" w:eastAsia="Times New Roman" w:hint="default"/>
        </w:rPr>
        <w:t>(2) </w:t>
      </w:r>
      <w:r>
        <w:rPr/>
        <w:t>本公司之控股子公司石家庄常山恒新纺织有限公司期末短期借款 </w:t>
      </w:r>
      <w:r>
        <w:rPr>
          <w:rFonts w:ascii="Times New Roman" w:hAnsi="Times New Roman" w:cs="Times New Roman" w:eastAsia="Times New Roman" w:hint="default"/>
        </w:rPr>
        <w:t>135,000,000.00</w:t>
      </w:r>
      <w:r>
        <w:rPr>
          <w:rFonts w:ascii="Times New Roman" w:hAnsi="Times New Roman" w:cs="Times New Roman" w:eastAsia="Times New Roman" w:hint="default"/>
          <w:spacing w:val="-8"/>
        </w:rPr>
        <w:t> </w:t>
      </w:r>
      <w:r>
        <w:rPr/>
        <w:t>元由本公司提供保证担保。</w:t>
      </w:r>
    </w:p>
    <w:p>
      <w:pPr>
        <w:pStyle w:val="BodyText"/>
        <w:spacing w:line="240" w:lineRule="auto" w:before="101"/>
        <w:ind w:left="513" w:right="982"/>
        <w:jc w:val="left"/>
      </w:pPr>
      <w:r>
        <w:rPr>
          <w:rFonts w:ascii="Times New Roman" w:hAnsi="Times New Roman" w:cs="Times New Roman" w:eastAsia="Times New Roman" w:hint="default"/>
        </w:rPr>
        <w:t>(3) </w:t>
      </w:r>
      <w:r>
        <w:rPr/>
        <w:t>本公司之控股子公司石家庄常山恒荣进出口贸易有限公司进口押汇借款 </w:t>
      </w:r>
      <w:r>
        <w:rPr>
          <w:rFonts w:ascii="Times New Roman" w:hAnsi="Times New Roman" w:cs="Times New Roman" w:eastAsia="Times New Roman" w:hint="default"/>
        </w:rPr>
        <w:t>2,717,697.95</w:t>
      </w:r>
      <w:r>
        <w:rPr>
          <w:rFonts w:ascii="Times New Roman" w:hAnsi="Times New Roman" w:cs="Times New Roman" w:eastAsia="Times New Roman" w:hint="default"/>
          <w:spacing w:val="-7"/>
        </w:rPr>
        <w:t> </w:t>
      </w:r>
      <w:r>
        <w:rPr/>
        <w:t>元由本公司提供保证担保。</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7"/>
        <w:gridCol w:w="1282"/>
        <w:gridCol w:w="1279"/>
        <w:gridCol w:w="1654"/>
        <w:gridCol w:w="1752"/>
        <w:gridCol w:w="1983"/>
      </w:tblGrid>
      <w:tr>
        <w:trPr>
          <w:trHeight w:val="401"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pStyle w:val="BodyText"/>
        <w:spacing w:line="360" w:lineRule="auto" w:before="49"/>
        <w:ind w:right="4634"/>
        <w:jc w:val="left"/>
      </w:pPr>
      <w:r>
        <w:rPr/>
        <w:t>资产负债表日后已偿还金额元。 短期借款的说明，包括已到期短期借款获展期的，说明展期条件、新的到期日</w:t>
      </w:r>
    </w:p>
    <w:p>
      <w:pPr>
        <w:spacing w:after="0" w:line="360" w:lineRule="auto"/>
        <w:jc w:val="left"/>
        <w:sectPr>
          <w:footerReference w:type="default" r:id="rId62"/>
          <w:pgSz w:w="11910" w:h="16840"/>
          <w:pgMar w:footer="1340" w:header="877" w:top="1060" w:bottom="1540" w:left="980" w:right="0"/>
          <w:pgNumType w:start="11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3"/>
        <w:gridCol w:w="2921"/>
        <w:gridCol w:w="3043"/>
      </w:tblGrid>
      <w:tr>
        <w:trPr>
          <w:trHeight w:val="403" w:hRule="exact"/>
        </w:trPr>
        <w:tc>
          <w:tcPr>
            <w:tcW w:w="3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pStyle w:val="BodyText"/>
        <w:spacing w:line="240" w:lineRule="auto" w:before="49"/>
        <w:ind w:right="982"/>
        <w:jc w:val="left"/>
      </w:pPr>
      <w:r>
        <w:rPr/>
        <w:t>交易性金融负债的说明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0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8234"/>
        <w:jc w:val="left"/>
      </w:pPr>
      <w:r>
        <w:rPr/>
        <w:t>下一会计期间将到期的金额元。 应付票据的说明</w:t>
      </w:r>
    </w:p>
    <w:p>
      <w:pPr>
        <w:pStyle w:val="BodyText"/>
        <w:spacing w:line="240" w:lineRule="auto" w:before="106"/>
        <w:ind w:right="982"/>
        <w:jc w:val="left"/>
      </w:pPr>
      <w:r>
        <w:rPr/>
        <w:t>（</w:t>
      </w:r>
      <w:r>
        <w:rPr>
          <w:rFonts w:ascii="Times New Roman" w:hAnsi="Times New Roman" w:cs="Times New Roman" w:eastAsia="Times New Roman" w:hint="default"/>
        </w:rPr>
        <w:t>1</w:t>
      </w:r>
      <w:r>
        <w:rPr/>
        <w:t>）应付票据期末余额中无对持本公司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）以上表决权股份的股东单位开具的票据。</w:t>
      </w:r>
    </w:p>
    <w:p>
      <w:pPr>
        <w:spacing w:line="240" w:lineRule="auto" w:before="4"/>
        <w:rPr>
          <w:rFonts w:ascii="宋体" w:hAnsi="宋体" w:cs="宋体" w:eastAsia="宋体" w:hint="default"/>
          <w:sz w:val="21"/>
          <w:szCs w:val="21"/>
        </w:rPr>
      </w:pPr>
    </w:p>
    <w:p>
      <w:pPr>
        <w:pStyle w:val="BodyText"/>
        <w:spacing w:line="240" w:lineRule="auto"/>
        <w:ind w:right="982"/>
        <w:jc w:val="left"/>
      </w:pPr>
      <w:r>
        <w:rPr/>
        <w:t>（</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日应付票据较年初增加</w:t>
      </w:r>
      <w:r>
        <w:rPr>
          <w:rFonts w:ascii="Times New Roman" w:hAnsi="Times New Roman" w:cs="Times New Roman" w:eastAsia="Times New Roman" w:hint="default"/>
        </w:rPr>
        <w:t>20,000,000.00</w:t>
      </w:r>
      <w:r>
        <w:rPr/>
        <w:t>元，主要原因系本期公司采用商业承兑汇票结算所致。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3"/>
        <w:spacing w:line="240" w:lineRule="auto"/>
        <w:ind w:right="982"/>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5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238,997,605.31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260,607,161.90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42,727,690.72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5,234,605.98</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874,923.95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6,623,707.43</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3,475,742.89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2,467,642.76</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286,075,962.87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274,933,118.07</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4"/>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t>账龄超过</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年的大额应付账款主要为应付未付的购买原材料款、设备款。</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43"/>
        <w:gridCol w:w="2802"/>
        <w:gridCol w:w="2921"/>
      </w:tblGrid>
      <w:tr>
        <w:trPr>
          <w:trHeight w:val="396" w:hRule="exact"/>
        </w:trPr>
        <w:tc>
          <w:tcPr>
            <w:tcW w:w="3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8" w:hRule="exact"/>
        </w:trPr>
        <w:tc>
          <w:tcPr>
            <w:tcW w:w="38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80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425,572,783.31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456,475,169.87</w:t>
            </w:r>
          </w:p>
        </w:tc>
      </w:tr>
      <w:tr>
        <w:trPr>
          <w:trHeight w:val="401" w:hRule="exact"/>
        </w:trPr>
        <w:tc>
          <w:tcPr>
            <w:tcW w:w="38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0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1,306,369.61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1,435,248.56</w:t>
            </w:r>
          </w:p>
        </w:tc>
      </w:tr>
      <w:tr>
        <w:trPr>
          <w:trHeight w:val="403" w:hRule="exact"/>
        </w:trPr>
        <w:tc>
          <w:tcPr>
            <w:tcW w:w="38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0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781,169.24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169,213.65</w:t>
            </w:r>
          </w:p>
        </w:tc>
      </w:tr>
      <w:tr>
        <w:trPr>
          <w:trHeight w:val="401" w:hRule="exact"/>
        </w:trPr>
        <w:tc>
          <w:tcPr>
            <w:tcW w:w="38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80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2,000,514.78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1,920,214.30</w:t>
            </w:r>
          </w:p>
        </w:tc>
      </w:tr>
      <w:tr>
        <w:trPr>
          <w:trHeight w:val="404" w:hRule="exact"/>
        </w:trPr>
        <w:tc>
          <w:tcPr>
            <w:tcW w:w="3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429,660,836.94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459,999,846.38</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792"/>
        <w:gridCol w:w="2910"/>
      </w:tblGrid>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863"/>
        <w:gridCol w:w="1992"/>
        <w:gridCol w:w="2259"/>
        <w:gridCol w:w="1860"/>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3,101,353.35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297,593,623.10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297,273,988.04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3,420,988.41</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20,650,847.58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20,650,847.58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3,591,754.19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134,424,538.84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133,869,624.89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4,146,668.14</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40,205,030.81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40,092,783.67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112,247.14</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2,729,275.30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78,765,227.00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78,572,363.38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2,922,138.92</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年金缴费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525,833.91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7,706,651.29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7,559,392.16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673,093.04</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156,874.94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3,711,553.63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3,653,090.49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215,338.08</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179,770.04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4,036,076.11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3,991,995.19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223,850.96</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3,770,601.11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9,416,870.80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9,359,387.56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3,828,084.35</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2,988,603.22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45,432,356.92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42,799,794.14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5,621,166.00</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工会经费和职工教 育经费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2,988,603.22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5,303,790.47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3,890,604.64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4,401,789.05</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因解除劳动关系给</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40,128,566.45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38,909,189.50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1,219,376.95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予的补偿</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1" w:right="0"/>
              <w:jc w:val="left"/>
              <w:rPr>
                <w:rFonts w:ascii="Times New Roman" w:hAnsi="Times New Roman" w:cs="Times New Roman" w:eastAsia="Times New Roman" w:hint="default"/>
                <w:sz w:val="18"/>
                <w:szCs w:val="18"/>
              </w:rPr>
            </w:pPr>
            <w:r>
              <w:rPr>
                <w:rFonts w:ascii="Times New Roman"/>
                <w:sz w:val="18"/>
              </w:rPr>
              <w:t>13,452,311.87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5" w:right="0"/>
              <w:jc w:val="left"/>
              <w:rPr>
                <w:rFonts w:ascii="Times New Roman" w:hAnsi="Times New Roman" w:cs="Times New Roman" w:eastAsia="Times New Roman" w:hint="default"/>
                <w:sz w:val="18"/>
                <w:szCs w:val="18"/>
              </w:rPr>
            </w:pPr>
            <w:r>
              <w:rPr>
                <w:rFonts w:ascii="Times New Roman"/>
                <w:sz w:val="18"/>
              </w:rPr>
              <w:t>507,518,237.24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1" w:right="0"/>
              <w:jc w:val="left"/>
              <w:rPr>
                <w:rFonts w:ascii="Times New Roman" w:hAnsi="Times New Roman" w:cs="Times New Roman" w:eastAsia="Times New Roman" w:hint="default"/>
                <w:sz w:val="18"/>
                <w:szCs w:val="18"/>
              </w:rPr>
            </w:pPr>
            <w:r>
              <w:rPr>
                <w:rFonts w:ascii="Times New Roman"/>
                <w:sz w:val="18"/>
              </w:rPr>
              <w:t>503,953,642.21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4" w:right="0"/>
              <w:jc w:val="left"/>
              <w:rPr>
                <w:rFonts w:ascii="Times New Roman" w:hAnsi="Times New Roman" w:cs="Times New Roman" w:eastAsia="Times New Roman" w:hint="default"/>
                <w:sz w:val="18"/>
                <w:szCs w:val="18"/>
              </w:rPr>
            </w:pPr>
            <w:r>
              <w:rPr>
                <w:rFonts w:ascii="Times New Roman"/>
                <w:sz w:val="18"/>
              </w:rPr>
              <w:t>17,016,906.90</w:t>
            </w:r>
          </w:p>
        </w:tc>
      </w:tr>
    </w:tbl>
    <w:p>
      <w:pPr>
        <w:pStyle w:val="BodyText"/>
        <w:spacing w:line="240" w:lineRule="auto" w:before="49"/>
        <w:ind w:right="982"/>
        <w:jc w:val="left"/>
      </w:pPr>
      <w:r>
        <w:rPr/>
        <w:t>应付职工薪酬中属于拖欠性质的金额元。</w:t>
      </w:r>
    </w:p>
    <w:p>
      <w:pPr>
        <w:pStyle w:val="BodyText"/>
        <w:spacing w:line="338" w:lineRule="auto" w:before="117"/>
        <w:ind w:right="1356"/>
        <w:jc w:val="left"/>
      </w:pPr>
      <w:r>
        <w:rPr/>
        <w:t>工会经费和职工教育经费金额</w:t>
      </w:r>
      <w:r>
        <w:rPr>
          <w:spacing w:val="-47"/>
        </w:rPr>
        <w:t> </w:t>
      </w:r>
      <w:r>
        <w:rPr>
          <w:rFonts w:ascii="Times New Roman" w:hAnsi="Times New Roman" w:cs="Times New Roman" w:eastAsia="Times New Roman" w:hint="default"/>
        </w:rPr>
        <w:t>3,890,604.64 </w:t>
      </w:r>
      <w:r>
        <w:rPr/>
        <w:t>元，非货币性福利金额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元，因解除劳动关系给予补偿</w:t>
      </w:r>
      <w:r>
        <w:rPr>
          <w:spacing w:val="-46"/>
        </w:rPr>
        <w:t> </w:t>
      </w:r>
      <w:r>
        <w:rPr>
          <w:rFonts w:ascii="Times New Roman" w:hAnsi="Times New Roman" w:cs="Times New Roman" w:eastAsia="Times New Roman" w:hint="default"/>
        </w:rPr>
        <w:t>38,909,189.50</w:t>
      </w:r>
      <w:r>
        <w:rPr>
          <w:rFonts w:ascii="Times New Roman" w:hAnsi="Times New Roman" w:cs="Times New Roman" w:eastAsia="Times New Roman" w:hint="default"/>
          <w:spacing w:val="-1"/>
        </w:rPr>
        <w:t> </w:t>
      </w:r>
      <w:r>
        <w:rPr/>
        <w:t>元。 应付职工薪酬预计发放时间、金额等安排</w:t>
      </w:r>
    </w:p>
    <w:p>
      <w:pPr>
        <w:pStyle w:val="BodyText"/>
        <w:spacing w:line="240" w:lineRule="auto" w:before="43"/>
        <w:ind w:right="982"/>
        <w:jc w:val="left"/>
      </w:pPr>
      <w:r>
        <w:rPr/>
        <w:t>应付职工薪酬余额将于</w:t>
      </w:r>
      <w:r>
        <w:rPr>
          <w:rFonts w:ascii="宋体" w:hAnsi="宋体" w:cs="宋体" w:eastAsia="宋体" w:hint="default"/>
        </w:rPr>
        <w:t>2013</w:t>
      </w:r>
      <w:r>
        <w:rPr/>
        <w:t>年发放及缴纳。</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12"/>
        <w:gridCol w:w="2801"/>
        <w:gridCol w:w="2657"/>
      </w:tblGrid>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-44,416,432.61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-1,953,724.69</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451,620.17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181,981.75</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2,384,684.59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151,200.07</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43,883.64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117,546.69</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375,222.52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138,983.49</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269,005.17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98,483.96</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407,784.59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279,180.72</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86,827.40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52,284.10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211,083.88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105,541.94</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-40,186,320.65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-828,521.97</w:t>
            </w:r>
          </w:p>
        </w:tc>
      </w:tr>
    </w:tbl>
    <w:p>
      <w:pPr>
        <w:pStyle w:val="BodyText"/>
        <w:spacing w:line="240" w:lineRule="auto" w:before="49"/>
        <w:ind w:right="982"/>
        <w:jc w:val="left"/>
      </w:pPr>
      <w:r>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41,471,500.00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790,139.51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1,862,740.36</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42,261,639.51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1,862,740.36</w:t>
            </w:r>
          </w:p>
        </w:tc>
      </w:tr>
    </w:tbl>
    <w:p>
      <w:pPr>
        <w:pStyle w:val="BodyText"/>
        <w:spacing w:line="240" w:lineRule="auto" w:before="49"/>
        <w:ind w:right="982"/>
        <w:jc w:val="left"/>
      </w:pPr>
      <w:r>
        <w:rPr/>
        <w:t>应付利息说明</w:t>
      </w:r>
    </w:p>
    <w:p>
      <w:pPr>
        <w:pStyle w:val="BodyText"/>
        <w:spacing w:line="240" w:lineRule="auto" w:before="115"/>
        <w:ind w:right="982"/>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日应付利息主要系公司按照发行的企业债券约定利率计算确定的应付尚未到期的利息。</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58.011723pt;width:135pt;height:77pt;mso-position-horizontal-relative:page;mso-position-vertical-relative:paragraph;z-index:-948400" coordorigin="9206,1160" coordsize="2700,1540">
            <v:shape style="position:absolute;left:9206;top:1160;width:2700;height:1540" type="#_x0000_t75" stroked="false">
              <v:imagedata r:id="rId16" o:title=""/>
            </v:shape>
            <v:shape style="position:absolute;left:10509;top:1521;width:2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113</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2"/>
        <w:gridCol w:w="1994"/>
        <w:gridCol w:w="2127"/>
        <w:gridCol w:w="2645"/>
      </w:tblGrid>
      <w:tr>
        <w:trPr>
          <w:trHeight w:val="396"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8" w:hRule="exact"/>
        </w:trPr>
        <w:tc>
          <w:tcPr>
            <w:tcW w:w="27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发起人</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0" w:right="0"/>
              <w:jc w:val="left"/>
              <w:rPr>
                <w:rFonts w:ascii="Times New Roman" w:hAnsi="Times New Roman" w:cs="Times New Roman" w:eastAsia="Times New Roman" w:hint="default"/>
                <w:sz w:val="18"/>
                <w:szCs w:val="18"/>
              </w:rPr>
            </w:pPr>
            <w:r>
              <w:rPr>
                <w:rFonts w:ascii="Times New Roman"/>
                <w:sz w:val="18"/>
              </w:rPr>
              <w:t>97,509.48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75" w:right="0"/>
              <w:jc w:val="left"/>
              <w:rPr>
                <w:rFonts w:ascii="Times New Roman" w:hAnsi="Times New Roman" w:cs="Times New Roman" w:eastAsia="Times New Roman" w:hint="default"/>
                <w:sz w:val="18"/>
                <w:szCs w:val="18"/>
              </w:rPr>
            </w:pPr>
            <w:r>
              <w:rPr>
                <w:rFonts w:ascii="Times New Roman"/>
                <w:sz w:val="18"/>
              </w:rPr>
              <w:t>97,509.48</w:t>
            </w:r>
          </w:p>
        </w:tc>
        <w:tc>
          <w:tcPr>
            <w:tcW w:w="26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股东尚未领取</w:t>
            </w:r>
          </w:p>
        </w:tc>
      </w:tr>
    </w:tbl>
    <w:p>
      <w:pPr>
        <w:spacing w:after="0" w:line="240" w:lineRule="auto"/>
        <w:jc w:val="left"/>
        <w:rPr>
          <w:rFonts w:ascii="宋体" w:hAnsi="宋体" w:cs="宋体" w:eastAsia="宋体" w:hint="default"/>
          <w:sz w:val="18"/>
          <w:szCs w:val="18"/>
        </w:rPr>
        <w:sectPr>
          <w:headerReference w:type="default" r:id="rId63"/>
          <w:footerReference w:type="default" r:id="rId64"/>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91"/>
        <w:gridCol w:w="1994"/>
        <w:gridCol w:w="2127"/>
        <w:gridCol w:w="2645"/>
      </w:tblGrid>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社会流通股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9,628.34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9,628.34</w:t>
            </w:r>
          </w:p>
        </w:tc>
        <w:tc>
          <w:tcPr>
            <w:tcW w:w="26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股东尚未领取</w:t>
            </w:r>
          </w:p>
        </w:tc>
      </w:tr>
      <w:tr>
        <w:trPr>
          <w:trHeight w:val="403" w:hRule="exact"/>
        </w:trPr>
        <w:tc>
          <w:tcPr>
            <w:tcW w:w="27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其他股东</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361,284.31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361,284.31</w:t>
            </w:r>
          </w:p>
        </w:tc>
        <w:tc>
          <w:tcPr>
            <w:tcW w:w="26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股东尚未领取</w:t>
            </w:r>
          </w:p>
        </w:tc>
      </w:tr>
      <w:tr>
        <w:trPr>
          <w:trHeight w:val="403"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468,422.13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468,422.13</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5624"/>
        <w:jc w:val="left"/>
      </w:pPr>
      <w:r>
        <w:rPr/>
        <w:t>应付股利的说明 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日欠付股利</w:t>
      </w:r>
      <w:r>
        <w:rPr>
          <w:rFonts w:ascii="Times New Roman" w:hAnsi="Times New Roman" w:cs="Times New Roman" w:eastAsia="Times New Roman" w:hint="default"/>
        </w:rPr>
        <w:t>468,422.13</w:t>
      </w:r>
      <w:r>
        <w:rPr/>
        <w:t>元系股东尚未领取形成。</w:t>
      </w:r>
    </w:p>
    <w:p>
      <w:pPr>
        <w:spacing w:line="240" w:lineRule="auto" w:before="9"/>
        <w:rPr>
          <w:rFonts w:ascii="宋体" w:hAnsi="宋体" w:cs="宋体" w:eastAsia="宋体" w:hint="default"/>
          <w:sz w:val="18"/>
          <w:szCs w:val="18"/>
        </w:rPr>
      </w:pPr>
    </w:p>
    <w:p>
      <w:pPr>
        <w:pStyle w:val="Heading3"/>
        <w:spacing w:line="240" w:lineRule="auto"/>
        <w:ind w:right="982"/>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89"/>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19,145,997.70</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37,342,877.33</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3,119,173.93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2,991,910.44</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790,838.73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4,370,994.22</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11,052,613.80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8,152,382.39</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34,108,624.16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52,858,164.38</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77"/>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9"/>
        <w:rPr>
          <w:rFonts w:ascii="宋体" w:hAnsi="宋体" w:cs="宋体" w:eastAsia="宋体" w:hint="default"/>
          <w:b/>
          <w:bCs/>
          <w:sz w:val="25"/>
          <w:szCs w:val="25"/>
        </w:rPr>
      </w:pPr>
    </w:p>
    <w:tbl>
      <w:tblPr>
        <w:tblW w:w="0" w:type="auto"/>
        <w:jc w:val="left"/>
        <w:tblInd w:w="150" w:type="dxa"/>
        <w:tblLayout w:type="fixed"/>
        <w:tblCellMar>
          <w:top w:w="0" w:type="dxa"/>
          <w:left w:w="0" w:type="dxa"/>
          <w:bottom w:w="0" w:type="dxa"/>
          <w:right w:w="0" w:type="dxa"/>
        </w:tblCellMar>
        <w:tblLook w:val="01E0"/>
      </w:tblPr>
      <w:tblGrid>
        <w:gridCol w:w="3457"/>
        <w:gridCol w:w="1690"/>
        <w:gridCol w:w="2055"/>
        <w:gridCol w:w="1973"/>
      </w:tblGrid>
      <w:tr>
        <w:trPr>
          <w:trHeight w:val="341" w:hRule="exact"/>
        </w:trPr>
        <w:tc>
          <w:tcPr>
            <w:tcW w:w="3457"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690"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7"/>
              <w:ind w:left="10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055"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7"/>
              <w:ind w:right="482"/>
              <w:jc w:val="right"/>
              <w:rPr>
                <w:rFonts w:ascii="宋体" w:hAnsi="宋体" w:cs="宋体" w:eastAsia="宋体" w:hint="default"/>
                <w:sz w:val="18"/>
                <w:szCs w:val="18"/>
              </w:rPr>
            </w:pPr>
            <w:r>
              <w:rPr>
                <w:rFonts w:ascii="宋体" w:hAnsi="宋体" w:cs="宋体" w:eastAsia="宋体" w:hint="default"/>
                <w:sz w:val="18"/>
                <w:szCs w:val="18"/>
              </w:rPr>
              <w:t>账龄</w:t>
            </w:r>
          </w:p>
        </w:tc>
        <w:tc>
          <w:tcPr>
            <w:tcW w:w="1973"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7"/>
              <w:ind w:right="439"/>
              <w:jc w:val="right"/>
              <w:rPr>
                <w:rFonts w:ascii="宋体" w:hAnsi="宋体" w:cs="宋体" w:eastAsia="宋体" w:hint="default"/>
                <w:sz w:val="18"/>
                <w:szCs w:val="18"/>
              </w:rPr>
            </w:pPr>
            <w:r>
              <w:rPr>
                <w:rFonts w:ascii="宋体" w:hAnsi="宋体" w:cs="宋体" w:eastAsia="宋体" w:hint="default"/>
                <w:sz w:val="18"/>
                <w:szCs w:val="18"/>
              </w:rPr>
              <w:t>内容</w:t>
            </w:r>
          </w:p>
        </w:tc>
      </w:tr>
      <w:tr>
        <w:trPr>
          <w:trHeight w:val="338" w:hRule="exact"/>
        </w:trPr>
        <w:tc>
          <w:tcPr>
            <w:tcW w:w="3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租赁保证金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1,892,330.69</w:t>
            </w:r>
          </w:p>
        </w:tc>
        <w:tc>
          <w:tcPr>
            <w:tcW w:w="20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39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年以内及</w:t>
            </w:r>
            <w:r>
              <w:rPr>
                <w:rFonts w:ascii="宋体" w:hAnsi="宋体" w:cs="宋体" w:eastAsia="宋体" w:hint="default"/>
                <w:sz w:val="18"/>
                <w:szCs w:val="18"/>
              </w:rPr>
              <w:t>1-2</w:t>
            </w:r>
            <w:r>
              <w:rPr>
                <w:rFonts w:ascii="宋体" w:hAnsi="宋体" w:cs="宋体" w:eastAsia="宋体" w:hint="default"/>
                <w:sz w:val="18"/>
                <w:szCs w:val="18"/>
              </w:rPr>
              <w:t>年</w:t>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336" w:hRule="exact"/>
        </w:trPr>
        <w:tc>
          <w:tcPr>
            <w:tcW w:w="3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代扣代缴职工保险</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1,843,966.17</w:t>
            </w:r>
          </w:p>
        </w:tc>
        <w:tc>
          <w:tcPr>
            <w:tcW w:w="20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left="627" w:right="0"/>
              <w:jc w:val="left"/>
              <w:rPr>
                <w:rFonts w:ascii="宋体" w:hAnsi="宋体" w:cs="宋体" w:eastAsia="宋体" w:hint="default"/>
                <w:sz w:val="18"/>
                <w:szCs w:val="18"/>
              </w:rPr>
            </w:pPr>
            <w:r>
              <w:rPr>
                <w:rFonts w:ascii="宋体" w:hAnsi="宋体" w:cs="宋体" w:eastAsia="宋体" w:hint="default"/>
                <w:sz w:val="18"/>
                <w:szCs w:val="18"/>
              </w:rPr>
              <w:t>代交保险</w:t>
            </w:r>
          </w:p>
        </w:tc>
      </w:tr>
      <w:tr>
        <w:trPr>
          <w:trHeight w:val="338" w:hRule="exact"/>
        </w:trPr>
        <w:tc>
          <w:tcPr>
            <w:tcW w:w="3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879,531.24</w:t>
            </w:r>
          </w:p>
        </w:tc>
        <w:tc>
          <w:tcPr>
            <w:tcW w:w="20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351"/>
              <w:jc w:val="right"/>
              <w:rPr>
                <w:rFonts w:ascii="宋体" w:hAnsi="宋体" w:cs="宋体" w:eastAsia="宋体" w:hint="default"/>
                <w:sz w:val="18"/>
                <w:szCs w:val="18"/>
              </w:rPr>
            </w:pPr>
            <w:r>
              <w:rPr>
                <w:rFonts w:ascii="宋体" w:hAnsi="宋体" w:cs="宋体" w:eastAsia="宋体" w:hint="default"/>
                <w:sz w:val="18"/>
                <w:szCs w:val="18"/>
              </w:rPr>
              <w:t>工程设备质保金</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982"/>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861"/>
        <w:gridCol w:w="1860"/>
        <w:gridCol w:w="1860"/>
        <w:gridCol w:w="1983"/>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pStyle w:val="BodyText"/>
        <w:spacing w:line="240" w:lineRule="auto" w:before="50"/>
        <w:ind w:right="982"/>
        <w:jc w:val="left"/>
      </w:pPr>
      <w:r>
        <w:rPr/>
        <w:t>预计负债说明</w:t>
      </w:r>
    </w:p>
    <w:p>
      <w:pPr>
        <w:spacing w:after="0" w:line="240" w:lineRule="auto"/>
        <w:jc w:val="left"/>
        <w:sectPr>
          <w:footerReference w:type="default" r:id="rId65"/>
          <w:pgSz w:w="11910" w:h="16840"/>
          <w:pgMar w:footer="1340" w:header="877" w:top="1060" w:bottom="1540" w:left="980" w:right="0"/>
          <w:pgNumType w:start="114"/>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7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一年内到期的长期借款</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78"/>
      </w:tblGrid>
      <w:tr>
        <w:trPr>
          <w:trHeight w:val="404"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pStyle w:val="BodyText"/>
        <w:spacing w:line="357" w:lineRule="auto" w:before="49"/>
        <w:ind w:right="-19"/>
        <w:jc w:val="left"/>
      </w:pPr>
      <w:r>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834" w:space="399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6"/>
        <w:gridCol w:w="1061"/>
      </w:tblGrid>
      <w:tr>
        <w:trPr>
          <w:trHeight w:val="401"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49"/>
        <w:ind w:right="982"/>
        <w:jc w:val="left"/>
      </w:pPr>
      <w:r>
        <w:rPr/>
        <w:t>一年内到期的长期借款中的逾期借款</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8"/>
        <w:gridCol w:w="1366"/>
        <w:gridCol w:w="1369"/>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pStyle w:val="BodyText"/>
        <w:spacing w:line="360" w:lineRule="auto" w:before="49"/>
        <w:ind w:right="8054"/>
        <w:jc w:val="left"/>
      </w:pPr>
      <w:r>
        <w:rPr/>
        <w:t>资产负债表日后已偿还的金额元。 一年内到期的长期借款说明</w:t>
      </w:r>
    </w:p>
    <w:p>
      <w:pPr>
        <w:spacing w:line="240" w:lineRule="auto" w:before="2"/>
        <w:rPr>
          <w:rFonts w:ascii="宋体" w:hAnsi="宋体" w:cs="宋体" w:eastAsia="宋体" w:hint="default"/>
          <w:sz w:val="20"/>
          <w:szCs w:val="20"/>
        </w:rPr>
      </w:pPr>
    </w:p>
    <w:p>
      <w:pPr>
        <w:pStyle w:val="Heading3"/>
        <w:spacing w:line="240" w:lineRule="auto"/>
        <w:ind w:right="982"/>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0"/>
        <w:ind w:right="982"/>
        <w:jc w:val="left"/>
      </w:pPr>
      <w:r>
        <w:rPr/>
        <w:t>一年内到期的应付债券说明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8"/>
        <w:gridCol w:w="1369"/>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pStyle w:val="BodyText"/>
        <w:spacing w:line="240" w:lineRule="auto" w:before="49"/>
        <w:ind w:right="982"/>
        <w:jc w:val="left"/>
      </w:pPr>
      <w:r>
        <w:rPr/>
        <w:t>一年内到期的长期应付款的说明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5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短期融资券</w:t>
            </w:r>
            <w:r>
              <w:rPr>
                <w:rFonts w:ascii="Times New Roman" w:hAnsi="Times New Roman" w:cs="Times New Roman" w:eastAsia="Times New Roman" w:hint="default"/>
                <w:sz w:val="18"/>
                <w:szCs w:val="18"/>
              </w:rPr>
              <w:t>-</w:t>
            </w:r>
            <w:r>
              <w:rPr>
                <w:rFonts w:ascii="宋体" w:hAnsi="宋体" w:cs="宋体" w:eastAsia="宋体" w:hint="default"/>
                <w:sz w:val="18"/>
                <w:szCs w:val="18"/>
              </w:rPr>
              <w:t>本金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短期融资券</w:t>
            </w:r>
            <w:r>
              <w:rPr>
                <w:rFonts w:ascii="Times New Roman" w:hAnsi="Times New Roman" w:cs="Times New Roman" w:eastAsia="Times New Roman" w:hint="default"/>
                <w:sz w:val="18"/>
                <w:szCs w:val="18"/>
              </w:rPr>
              <w:t>-</w:t>
            </w:r>
            <w:r>
              <w:rPr>
                <w:rFonts w:ascii="宋体" w:hAnsi="宋体" w:cs="宋体" w:eastAsia="宋体" w:hint="default"/>
                <w:sz w:val="18"/>
                <w:szCs w:val="18"/>
              </w:rPr>
              <w:t>利息</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5,337,123.29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14,873,633.90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一年内结转的递延收益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825,206.29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139,492.00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276,162,329.58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515,013,125.90</w:t>
            </w:r>
          </w:p>
        </w:tc>
      </w:tr>
    </w:tbl>
    <w:p>
      <w:pPr>
        <w:pStyle w:val="BodyText"/>
        <w:spacing w:line="240" w:lineRule="auto" w:before="49"/>
        <w:ind w:right="982"/>
        <w:jc w:val="left"/>
      </w:pPr>
      <w:r>
        <w:rPr/>
        <w:t>其他流动负债说明</w:t>
      </w:r>
    </w:p>
    <w:p>
      <w:pPr>
        <w:pStyle w:val="BodyText"/>
        <w:spacing w:line="240" w:lineRule="auto" w:before="115"/>
        <w:ind w:right="982"/>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29"/>
        </w:rPr>
        <w:t> </w:t>
      </w:r>
      <w:r>
        <w:rPr/>
        <w:t>年短期融资券的发行</w:t>
      </w:r>
    </w:p>
    <w:p>
      <w:pPr>
        <w:spacing w:line="240" w:lineRule="auto" w:before="13"/>
        <w:rPr>
          <w:rFonts w:ascii="宋体" w:hAnsi="宋体" w:cs="宋体" w:eastAsia="宋体" w:hint="default"/>
          <w:sz w:val="13"/>
          <w:szCs w:val="13"/>
        </w:rPr>
      </w:pPr>
    </w:p>
    <w:p>
      <w:pPr>
        <w:pStyle w:val="BodyText"/>
        <w:spacing w:line="300" w:lineRule="auto"/>
        <w:ind w:right="1128" w:firstLine="360"/>
        <w:jc w:val="both"/>
      </w:pPr>
      <w:r>
        <w:rPr>
          <w:spacing w:val="-2"/>
        </w:rPr>
        <w:t>经中国银行间市场交易商协会备案，</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日，公司在全国银行间债券市场公开发行</w:t>
      </w:r>
      <w:r>
        <w:rPr>
          <w:rFonts w:ascii="Times New Roman" w:hAnsi="Times New Roman" w:cs="Times New Roman" w:eastAsia="Times New Roman" w:hint="default"/>
          <w:spacing w:val="-2"/>
        </w:rPr>
        <w:t>2012</w:t>
      </w:r>
      <w:r>
        <w:rPr>
          <w:spacing w:val="-2"/>
        </w:rPr>
        <w:t>年度第一期短</w:t>
      </w:r>
      <w:r>
        <w:rPr/>
        <w:t> 期融资券（简称</w:t>
      </w:r>
      <w:r>
        <w:rPr>
          <w:rFonts w:ascii="Times New Roman" w:hAnsi="Times New Roman" w:cs="Times New Roman" w:eastAsia="Times New Roman" w:hint="default"/>
        </w:rPr>
        <w:t>“12</w:t>
      </w:r>
      <w:r>
        <w:rPr/>
        <w:t>常纺</w:t>
      </w:r>
      <w:r>
        <w:rPr>
          <w:rFonts w:ascii="Times New Roman" w:hAnsi="Times New Roman" w:cs="Times New Roman" w:eastAsia="Times New Roman" w:hint="default"/>
        </w:rPr>
        <w:t>CP001”</w:t>
      </w:r>
      <w:r>
        <w:rPr/>
        <w:t>），短期融资券代码</w:t>
      </w:r>
      <w:r>
        <w:rPr>
          <w:rFonts w:ascii="Times New Roman" w:hAnsi="Times New Roman" w:cs="Times New Roman" w:eastAsia="Times New Roman" w:hint="default"/>
        </w:rPr>
        <w:t>041259051</w:t>
      </w:r>
      <w:r>
        <w:rPr/>
        <w:t>，发行总额为</w:t>
      </w:r>
      <w:r>
        <w:rPr>
          <w:rFonts w:ascii="Times New Roman" w:hAnsi="Times New Roman" w:cs="Times New Roman" w:eastAsia="Times New Roman" w:hint="default"/>
        </w:rPr>
        <w:t>2.7</w:t>
      </w:r>
      <w:r>
        <w:rPr/>
        <w:t>亿元人民币，期限</w:t>
      </w:r>
      <w:r>
        <w:rPr>
          <w:rFonts w:ascii="Times New Roman" w:hAnsi="Times New Roman" w:cs="Times New Roman" w:eastAsia="Times New Roman" w:hint="default"/>
        </w:rPr>
        <w:t>365</w:t>
      </w:r>
      <w:r>
        <w:rPr/>
        <w:t>天，每张面值</w:t>
      </w:r>
      <w:r>
        <w:rPr>
          <w:rFonts w:ascii="Times New Roman" w:hAnsi="Times New Roman" w:cs="Times New Roman" w:eastAsia="Times New Roman" w:hint="default"/>
        </w:rPr>
        <w:t>100</w:t>
      </w:r>
      <w:r>
        <w:rPr/>
        <w:t>元，</w:t>
      </w:r>
      <w:r>
        <w:rPr>
          <w:spacing w:val="-68"/>
        </w:rPr>
        <w:t> </w:t>
      </w:r>
      <w:r>
        <w:rPr/>
        <w:t>票面年利率为</w:t>
      </w:r>
      <w:r>
        <w:rPr>
          <w:rFonts w:ascii="Times New Roman" w:hAnsi="Times New Roman" w:cs="Times New Roman" w:eastAsia="Times New Roman" w:hint="default"/>
        </w:rPr>
        <w:t>6.50%</w:t>
      </w:r>
      <w:r>
        <w:rPr/>
        <w:t>，主承销商为中信银行股份有限公司，起息日为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日，计息方式为利随本清。</w:t>
      </w:r>
    </w:p>
    <w:p>
      <w:pPr>
        <w:pStyle w:val="BodyText"/>
        <w:spacing w:line="240" w:lineRule="auto" w:before="133"/>
        <w:ind w:right="982"/>
        <w:jc w:val="left"/>
      </w:pPr>
      <w:r>
        <w:rPr>
          <w:rFonts w:ascii="Times New Roman" w:hAnsi="Times New Roman" w:cs="Times New Roman" w:eastAsia="Times New Roman" w:hint="default"/>
        </w:rPr>
        <w:t>2</w:t>
      </w:r>
      <w:r>
        <w:rPr/>
        <w:t>、一年内结转的递延收益</w:t>
      </w:r>
    </w:p>
    <w:p>
      <w:pPr>
        <w:spacing w:line="240" w:lineRule="auto" w:before="2"/>
        <w:rPr>
          <w:rFonts w:ascii="宋体" w:hAnsi="宋体" w:cs="宋体" w:eastAsia="宋体" w:hint="default"/>
          <w:sz w:val="4"/>
          <w:szCs w:val="4"/>
        </w:rPr>
      </w:pPr>
    </w:p>
    <w:tbl>
      <w:tblPr>
        <w:tblW w:w="0" w:type="auto"/>
        <w:jc w:val="left"/>
        <w:tblInd w:w="150" w:type="dxa"/>
        <w:tblLayout w:type="fixed"/>
        <w:tblCellMar>
          <w:top w:w="0" w:type="dxa"/>
          <w:left w:w="0" w:type="dxa"/>
          <w:bottom w:w="0" w:type="dxa"/>
          <w:right w:w="0" w:type="dxa"/>
        </w:tblCellMar>
        <w:tblLook w:val="01E0"/>
      </w:tblPr>
      <w:tblGrid>
        <w:gridCol w:w="5776"/>
        <w:gridCol w:w="1786"/>
        <w:gridCol w:w="1582"/>
      </w:tblGrid>
      <w:tr>
        <w:trPr>
          <w:trHeight w:val="344" w:hRule="exact"/>
        </w:trPr>
        <w:tc>
          <w:tcPr>
            <w:tcW w:w="577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786"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w w:val="95"/>
                <w:sz w:val="18"/>
              </w:rPr>
              <w:t>2012.12.31</w:t>
            </w:r>
          </w:p>
        </w:tc>
        <w:tc>
          <w:tcPr>
            <w:tcW w:w="1582"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w w:val="95"/>
                <w:sz w:val="18"/>
              </w:rPr>
              <w:t>2011.12.31</w:t>
            </w:r>
          </w:p>
        </w:tc>
      </w:tr>
      <w:tr>
        <w:trPr>
          <w:trHeight w:val="336" w:hRule="exact"/>
        </w:trPr>
        <w:tc>
          <w:tcPr>
            <w:tcW w:w="5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高档新型纤维面料项目开发补助</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124,992.00</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124,992.00</w:t>
            </w:r>
          </w:p>
        </w:tc>
      </w:tr>
      <w:tr>
        <w:trPr>
          <w:trHeight w:val="338" w:hRule="exact"/>
        </w:trPr>
        <w:tc>
          <w:tcPr>
            <w:tcW w:w="5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石家庄常山纺织股份有限公司技术中心项目专项资金</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14,500.00</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14,500.00</w:t>
            </w:r>
          </w:p>
        </w:tc>
      </w:tr>
      <w:tr>
        <w:trPr>
          <w:trHeight w:val="336" w:hRule="exact"/>
        </w:trPr>
        <w:tc>
          <w:tcPr>
            <w:tcW w:w="5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重点产业振兴和技术改造项目专项资金</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685,714.29</w:t>
            </w:r>
          </w:p>
        </w:tc>
        <w:tc>
          <w:tcPr>
            <w:tcW w:w="1582" w:type="dxa"/>
            <w:tcBorders>
              <w:top w:val="single" w:sz="2" w:space="0" w:color="000000"/>
              <w:left w:val="single" w:sz="2" w:space="0" w:color="000000"/>
              <w:bottom w:val="single" w:sz="2" w:space="0" w:color="000000"/>
              <w:right w:val="single" w:sz="2" w:space="0" w:color="000000"/>
            </w:tcBorders>
          </w:tcPr>
          <w:p>
            <w:pPr/>
          </w:p>
        </w:tc>
      </w:tr>
      <w:tr>
        <w:trPr>
          <w:trHeight w:val="338" w:hRule="exact"/>
        </w:trPr>
        <w:tc>
          <w:tcPr>
            <w:tcW w:w="5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825,206.29</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139,492.00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982"/>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10,235,000.00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12,943,000.00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10,235,000.00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12,943,000.00</w:t>
            </w:r>
          </w:p>
        </w:tc>
      </w:tr>
    </w:tbl>
    <w:p>
      <w:pPr>
        <w:pStyle w:val="BodyText"/>
        <w:spacing w:line="360" w:lineRule="auto" w:before="49"/>
        <w:ind w:right="7514"/>
        <w:jc w:val="left"/>
      </w:pPr>
      <w:r>
        <w:rPr/>
        <w:t>长期借款分类的说明 公司的长期借款为石家庄市财政局借款。</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6"/>
        <w:gridCol w:w="1063"/>
        <w:gridCol w:w="1063"/>
        <w:gridCol w:w="1066"/>
        <w:gridCol w:w="1056"/>
      </w:tblGrid>
      <w:tr>
        <w:trPr>
          <w:trHeight w:val="401"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49"/>
        <w:ind w:right="982"/>
        <w:jc w:val="left"/>
      </w:pPr>
      <w:r>
        <w:rPr/>
        <w:t>长期借款说明，因逾期借款获得展期形成的长期借款，应说明获得展期的条件、本金、利息、预计还款安排等</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58"/>
        <w:gridCol w:w="958"/>
        <w:gridCol w:w="958"/>
        <w:gridCol w:w="955"/>
        <w:gridCol w:w="958"/>
        <w:gridCol w:w="958"/>
        <w:gridCol w:w="958"/>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4"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公司债券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630,000,000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630,000,000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41,471,500.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41,471,500.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621,952,566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.67</w:t>
            </w:r>
          </w:p>
        </w:tc>
      </w:tr>
    </w:tbl>
    <w:p>
      <w:pPr>
        <w:pStyle w:val="BodyText"/>
        <w:spacing w:line="357" w:lineRule="auto" w:before="49"/>
        <w:ind w:left="441" w:right="982" w:hanging="289"/>
        <w:jc w:val="left"/>
      </w:pPr>
      <w:r>
        <w:rPr/>
        <w:t>应付债券说明，包括可转换公司债券的转股条件、转股时间 </w:t>
      </w:r>
      <w:r>
        <w:rPr>
          <w:spacing w:val="-2"/>
        </w:rPr>
        <w:t>经中国证券监督管理委员会证监许可</w:t>
      </w:r>
      <w:r>
        <w:rPr>
          <w:rFonts w:ascii="Times New Roman" w:hAnsi="Times New Roman" w:cs="Times New Roman" w:eastAsia="Times New Roman" w:hint="default"/>
          <w:spacing w:val="-2"/>
        </w:rPr>
        <w:t>[2011]1650</w:t>
      </w:r>
      <w:r>
        <w:rPr>
          <w:spacing w:val="-2"/>
        </w:rPr>
        <w:t>号文核准，公司公开发行</w:t>
      </w:r>
      <w:r>
        <w:rPr>
          <w:rFonts w:ascii="Times New Roman" w:hAnsi="Times New Roman" w:cs="Times New Roman" w:eastAsia="Times New Roman" w:hint="default"/>
          <w:spacing w:val="-2"/>
        </w:rPr>
        <w:t>2011</w:t>
      </w:r>
      <w:r>
        <w:rPr>
          <w:spacing w:val="-2"/>
        </w:rPr>
        <w:t>年公司债券。本期债券发行总额为</w:t>
      </w:r>
      <w:r>
        <w:rPr>
          <w:rFonts w:ascii="Times New Roman" w:hAnsi="Times New Roman" w:cs="Times New Roman" w:eastAsia="Times New Roman" w:hint="default"/>
          <w:spacing w:val="-2"/>
        </w:rPr>
        <w:t>6.3</w:t>
      </w:r>
      <w:r>
        <w:rPr>
          <w:spacing w:val="-2"/>
        </w:rPr>
        <w:t>亿元，</w:t>
      </w:r>
    </w:p>
    <w:p>
      <w:pPr>
        <w:pStyle w:val="BodyText"/>
        <w:spacing w:line="214" w:lineRule="exact"/>
        <w:ind w:right="982"/>
        <w:jc w:val="left"/>
      </w:pPr>
      <w:r>
        <w:rPr/>
        <w:t>发行价格每张</w:t>
      </w:r>
      <w:r>
        <w:rPr>
          <w:rFonts w:ascii="Times New Roman" w:hAnsi="Times New Roman" w:cs="Times New Roman" w:eastAsia="Times New Roman" w:hint="default"/>
        </w:rPr>
        <w:t>100</w:t>
      </w:r>
      <w:r>
        <w:rPr/>
        <w:t>元，本期债券面值</w:t>
      </w:r>
      <w:r>
        <w:rPr>
          <w:rFonts w:ascii="Times New Roman" w:hAnsi="Times New Roman" w:cs="Times New Roman" w:eastAsia="Times New Roman" w:hint="default"/>
        </w:rPr>
        <w:t>100</w:t>
      </w:r>
      <w:r>
        <w:rPr/>
        <w:t>元，按面值平价发行。本期债券期限为</w:t>
      </w:r>
      <w:r>
        <w:rPr>
          <w:rFonts w:ascii="Times New Roman" w:hAnsi="Times New Roman" w:cs="Times New Roman" w:eastAsia="Times New Roman" w:hint="default"/>
        </w:rPr>
        <w:t>3</w:t>
      </w:r>
      <w:r>
        <w:rPr/>
        <w:t>年期，票面年利率为</w:t>
      </w:r>
      <w:r>
        <w:rPr>
          <w:rFonts w:ascii="Times New Roman" w:hAnsi="Times New Roman" w:cs="Times New Roman" w:eastAsia="Times New Roman" w:hint="default"/>
        </w:rPr>
        <w:t>8.20%</w:t>
      </w:r>
      <w:r>
        <w:rPr/>
        <w:t>。本期债券每年</w:t>
      </w:r>
    </w:p>
    <w:p>
      <w:pPr>
        <w:pStyle w:val="BodyText"/>
        <w:spacing w:line="240" w:lineRule="auto" w:before="63"/>
        <w:ind w:right="982"/>
        <w:jc w:val="left"/>
      </w:pPr>
      <w:r>
        <w:rPr/>
        <w:t>付息一次，起息日为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日，到期一次还本，最后一期利息随本金的兑付一起支付。</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982"/>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5"/>
        <w:gridCol w:w="1728"/>
        <w:gridCol w:w="1726"/>
        <w:gridCol w:w="1594"/>
        <w:gridCol w:w="1596"/>
      </w:tblGrid>
      <w:tr>
        <w:trPr>
          <w:trHeight w:val="403"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pStyle w:val="BodyText"/>
        <w:spacing w:line="360" w:lineRule="auto" w:before="49"/>
        <w:ind w:right="6794"/>
        <w:jc w:val="left"/>
      </w:pPr>
      <w:r>
        <w:rPr/>
        <w:t>由独立第三方为公司融资租赁提供担保的金额元。 长期应付款的说明</w:t>
      </w:r>
    </w:p>
    <w:p>
      <w:pPr>
        <w:spacing w:line="240" w:lineRule="auto" w:before="2"/>
        <w:rPr>
          <w:rFonts w:ascii="宋体" w:hAnsi="宋体" w:cs="宋体" w:eastAsia="宋体" w:hint="default"/>
          <w:sz w:val="20"/>
          <w:szCs w:val="20"/>
        </w:rPr>
      </w:pPr>
    </w:p>
    <w:p>
      <w:pPr>
        <w:pStyle w:val="Heading3"/>
        <w:spacing w:line="240" w:lineRule="auto"/>
        <w:ind w:right="982"/>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1328"/>
        <w:gridCol w:w="1330"/>
        <w:gridCol w:w="1198"/>
        <w:gridCol w:w="1327"/>
        <w:gridCol w:w="198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bl>
    <w:p>
      <w:pPr>
        <w:pStyle w:val="BodyText"/>
        <w:spacing w:line="240" w:lineRule="auto" w:before="49"/>
        <w:ind w:right="982"/>
        <w:jc w:val="left"/>
      </w:pPr>
      <w:r>
        <w:rPr/>
        <w:t>专项应付款说明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789"/>
        <w:gridCol w:w="3058"/>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高档新型纤维面料项目开发补助</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937,552.00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1,062,544.00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企业搬迁补助</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43,658,528.14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4,415,309.93</w:t>
            </w:r>
          </w:p>
        </w:tc>
      </w:tr>
      <w:tr>
        <w:trPr>
          <w:trHeight w:val="714" w:hRule="exact"/>
        </w:trPr>
        <w:tc>
          <w:tcPr>
            <w:tcW w:w="37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7"/>
              <w:jc w:val="left"/>
              <w:rPr>
                <w:rFonts w:ascii="宋体" w:hAnsi="宋体" w:cs="宋体" w:eastAsia="宋体" w:hint="default"/>
                <w:sz w:val="18"/>
                <w:szCs w:val="18"/>
              </w:rPr>
            </w:pPr>
            <w:r>
              <w:rPr>
                <w:rFonts w:ascii="宋体" w:hAnsi="宋体" w:cs="宋体" w:eastAsia="宋体" w:hint="default"/>
                <w:sz w:val="18"/>
                <w:szCs w:val="18"/>
              </w:rPr>
              <w:t>提高自主创新能力及高技术产业发展项目专项 资金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重点产业振兴和技术改造项目专项资金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15,971,428.55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11,500,000.00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2"/>
        <w:gridCol w:w="2789"/>
        <w:gridCol w:w="3058"/>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多组分差别化纤维面料研发项目专项资金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714" w:hRule="exact"/>
        </w:trPr>
        <w:tc>
          <w:tcPr>
            <w:tcW w:w="37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0"/>
              <w:ind w:left="22" w:right="87"/>
              <w:jc w:val="left"/>
              <w:rPr>
                <w:rFonts w:ascii="宋体" w:hAnsi="宋体" w:cs="宋体" w:eastAsia="宋体" w:hint="default"/>
                <w:sz w:val="18"/>
                <w:szCs w:val="18"/>
              </w:rPr>
            </w:pPr>
            <w:r>
              <w:rPr>
                <w:rFonts w:ascii="宋体" w:hAnsi="宋体" w:cs="宋体" w:eastAsia="宋体" w:hint="default"/>
                <w:sz w:val="18"/>
                <w:szCs w:val="18"/>
              </w:rPr>
              <w:t>石家庄常山纺织股份有限公司技术中心项目专 项资金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426,500.00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正定纺织工业园建设资金补助</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3,866,626.14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3,866,626.14</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高档服装面料工程技术研究中心</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68,376,134.83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24,220,980.07</w:t>
            </w:r>
          </w:p>
        </w:tc>
      </w:tr>
    </w:tbl>
    <w:p>
      <w:pPr>
        <w:pStyle w:val="BodyText"/>
        <w:spacing w:line="240" w:lineRule="auto" w:before="49"/>
        <w:ind w:right="982"/>
        <w:jc w:val="left"/>
      </w:pPr>
      <w:r>
        <w:rPr/>
        <w:t>其他非流动负债说明，包括本报告期取得的各类与资产相关、与收益相关的政府补助及其期末金额</w:t>
      </w:r>
    </w:p>
    <w:p>
      <w:pPr>
        <w:spacing w:line="240" w:lineRule="auto" w:before="0"/>
        <w:rPr>
          <w:rFonts w:ascii="宋体" w:hAnsi="宋体" w:cs="宋体" w:eastAsia="宋体" w:hint="default"/>
          <w:sz w:val="15"/>
          <w:szCs w:val="15"/>
        </w:rPr>
      </w:pPr>
    </w:p>
    <w:p>
      <w:pPr>
        <w:pStyle w:val="BodyText"/>
        <w:spacing w:line="314" w:lineRule="auto"/>
        <w:ind w:right="982" w:firstLine="271"/>
        <w:jc w:val="left"/>
      </w:pPr>
      <w:r>
        <w:rPr>
          <w:spacing w:val="-2"/>
        </w:rPr>
        <w:t>公司</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日其他非流动负债较年初数增加</w:t>
      </w:r>
      <w:r>
        <w:rPr>
          <w:rFonts w:ascii="宋体" w:hAnsi="宋体" w:cs="宋体" w:eastAsia="宋体" w:hint="default"/>
          <w:spacing w:val="-2"/>
        </w:rPr>
        <w:t>44,155,154.76</w:t>
      </w:r>
      <w:r>
        <w:rPr>
          <w:spacing w:val="-2"/>
        </w:rPr>
        <w:t>元，增幅</w:t>
      </w:r>
      <w:r>
        <w:rPr>
          <w:rFonts w:ascii="宋体" w:hAnsi="宋体" w:cs="宋体" w:eastAsia="宋体" w:hint="default"/>
          <w:spacing w:val="-2"/>
        </w:rPr>
        <w:t>182.30%</w:t>
      </w:r>
      <w:r>
        <w:rPr>
          <w:spacing w:val="-2"/>
        </w:rPr>
        <w:t>，主要原因系收到企业搬迁补助</w:t>
      </w:r>
      <w:r>
        <w:rPr/>
        <w:t> 及重点产业振兴和技术改造项目专项资金所致。</w:t>
      </w:r>
    </w:p>
    <w:p>
      <w:pPr>
        <w:spacing w:line="240" w:lineRule="auto" w:before="13"/>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9"/>
      </w:tblGrid>
      <w:tr>
        <w:trPr>
          <w:trHeight w:val="204"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718,861,000.00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718,861,000.00</w:t>
            </w:r>
          </w:p>
        </w:tc>
      </w:tr>
    </w:tbl>
    <w:p>
      <w:pPr>
        <w:pStyle w:val="BodyText"/>
        <w:spacing w:line="240" w:lineRule="auto" w:before="49"/>
        <w:ind w:right="982"/>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3"/>
        </w:rPr>
        <w:t> </w:t>
      </w:r>
      <w:r>
        <w:rPr>
          <w:rFonts w:ascii="Times New Roman" w:hAnsi="Times New Roman" w:cs="Times New Roman" w:eastAsia="Times New Roman" w:hint="default"/>
        </w:rPr>
        <w:t>3</w:t>
      </w:r>
    </w:p>
    <w:p>
      <w:pPr>
        <w:pStyle w:val="BodyText"/>
        <w:spacing w:line="240" w:lineRule="auto" w:before="63"/>
        <w:ind w:right="982"/>
        <w:jc w:val="left"/>
      </w:pPr>
      <w:r>
        <w:rPr/>
        <w:t>年的股份有限公司，设立前的年份只需说明净资产情况；有限责任公司整体变更为股份公司应说明公司设立时的验资情况</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2"/>
        <w:jc w:val="left"/>
      </w:pPr>
      <w:r>
        <w:rPr/>
        <w:t>库存股情况说明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专项储备情况说明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998,331,445.49</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998,331,445.49</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119,713,306.92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1,103,291.03</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120,816,597.95</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1,118,044,752.41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1,103,291.03</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1,119,148,043.44</w:t>
            </w:r>
          </w:p>
        </w:tc>
      </w:tr>
    </w:tbl>
    <w:p>
      <w:pPr>
        <w:pStyle w:val="BodyText"/>
        <w:spacing w:line="240" w:lineRule="auto" w:before="49"/>
        <w:ind w:right="982"/>
        <w:jc w:val="left"/>
      </w:pPr>
      <w:r>
        <w:rPr/>
        <w:t>资本公积说明</w:t>
      </w:r>
    </w:p>
    <w:p>
      <w:pPr>
        <w:pStyle w:val="BodyText"/>
        <w:spacing w:line="300" w:lineRule="auto" w:before="117"/>
        <w:ind w:right="1169" w:firstLine="360"/>
        <w:jc w:val="left"/>
      </w:pPr>
      <w:r>
        <w:rPr/>
        <w:t>其他资本公积本年度增加</w:t>
      </w:r>
      <w:r>
        <w:rPr>
          <w:rFonts w:ascii="Times New Roman" w:hAnsi="Times New Roman" w:cs="Times New Roman" w:eastAsia="Times New Roman" w:hint="default"/>
        </w:rPr>
        <w:t>1,103,291.03</w:t>
      </w:r>
      <w:r>
        <w:rPr/>
        <w:t>元，系公司可供出售金融资产（交通银行股权）公允价值变动增加（扣除对递延 所得税负债影响后的净额）所致。</w:t>
      </w:r>
    </w:p>
    <w:p>
      <w:pPr>
        <w:spacing w:after="0" w:line="30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136,980,398.57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919,389.87</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137,899,788.44</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44,364,562.75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459,694.93</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44,824,257.68</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181,344,961.32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1,379,084.80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182,724,046.12</w:t>
            </w:r>
          </w:p>
        </w:tc>
      </w:tr>
    </w:tbl>
    <w:p>
      <w:pPr>
        <w:pStyle w:val="BodyText"/>
        <w:spacing w:line="240" w:lineRule="auto" w:before="49"/>
        <w:ind w:right="982"/>
        <w:jc w:val="left"/>
      </w:pPr>
      <w:r>
        <w:rPr/>
        <w:t>盈余公积说明，用盈余公积转增股本、弥补亏损、分派股利的，应说明有关决议</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2"/>
        <w:jc w:val="left"/>
      </w:pPr>
      <w:r>
        <w:rPr/>
        <w:t>一般风险准备情况说明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395,923,711.70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395,923,711.70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11,763,142.83</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919,389.87</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459,694.93</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406,307,769.73</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调整年初未分配利润明细：</w:t>
      </w:r>
    </w:p>
    <w:p>
      <w:pPr>
        <w:pStyle w:val="BodyText"/>
        <w:spacing w:line="240" w:lineRule="auto" w:before="117"/>
        <w:ind w:right="982"/>
        <w:jc w:val="left"/>
      </w:pPr>
      <w:r>
        <w:rPr>
          <w:rFonts w:ascii="Times New Roman" w:hAnsi="Times New Roman" w:cs="Times New Roman" w:eastAsia="Times New Roman" w:hint="default"/>
        </w:rPr>
        <w:t>1)</w:t>
      </w:r>
      <w:r>
        <w:rPr/>
        <w:t>、由于《企业会计准则》及其相关新规定进行追溯调整，影响年初未分配利润元。</w:t>
      </w:r>
    </w:p>
    <w:p>
      <w:pPr>
        <w:pStyle w:val="BodyText"/>
        <w:spacing w:line="240" w:lineRule="auto" w:before="101"/>
        <w:ind w:right="982"/>
        <w:jc w:val="left"/>
      </w:pPr>
      <w:r>
        <w:rPr>
          <w:rFonts w:ascii="Times New Roman" w:hAnsi="Times New Roman" w:cs="Times New Roman" w:eastAsia="Times New Roman" w:hint="default"/>
        </w:rPr>
        <w:t>2)</w:t>
      </w:r>
      <w:r>
        <w:rPr/>
        <w:t>、由于会计政策变更，影响年初未分配利润元。</w:t>
      </w:r>
    </w:p>
    <w:p>
      <w:pPr>
        <w:pStyle w:val="BodyText"/>
        <w:spacing w:line="240" w:lineRule="auto" w:before="103"/>
        <w:ind w:right="982"/>
        <w:jc w:val="left"/>
      </w:pPr>
      <w:r>
        <w:rPr>
          <w:rFonts w:ascii="Times New Roman" w:hAnsi="Times New Roman" w:cs="Times New Roman" w:eastAsia="Times New Roman" w:hint="default"/>
        </w:rPr>
        <w:t>3)</w:t>
      </w:r>
      <w:r>
        <w:rPr/>
        <w:t>、由于重大会计差错更正，影响年初未分配利润元。</w:t>
      </w:r>
    </w:p>
    <w:p>
      <w:pPr>
        <w:pStyle w:val="BodyText"/>
        <w:spacing w:line="240" w:lineRule="auto" w:before="103"/>
        <w:ind w:right="982"/>
        <w:jc w:val="left"/>
      </w:pPr>
      <w:r>
        <w:rPr>
          <w:rFonts w:ascii="Times New Roman" w:hAnsi="Times New Roman" w:cs="Times New Roman" w:eastAsia="Times New Roman" w:hint="default"/>
        </w:rPr>
        <w:t>4)</w:t>
      </w:r>
      <w:r>
        <w:rPr/>
        <w:t>、由于同一控制导致的合并范围变更，影响年初未分配利润元。</w:t>
      </w:r>
    </w:p>
    <w:p>
      <w:pPr>
        <w:pStyle w:val="BodyText"/>
        <w:spacing w:line="326" w:lineRule="auto" w:before="101"/>
        <w:ind w:right="982"/>
        <w:jc w:val="left"/>
      </w:pPr>
      <w:r>
        <w:rPr>
          <w:rFonts w:ascii="Times New Roman" w:hAnsi="Times New Roman" w:cs="Times New Roman" w:eastAsia="Times New Roman" w:hint="default"/>
        </w:rPr>
        <w:t>5)</w:t>
      </w:r>
      <w:r>
        <w:rPr/>
        <w:t>、其他调整合计影响年初未分配利润元。</w:t>
      </w:r>
      <w:r>
        <w:rPr>
          <w:w w:val="99"/>
        </w:rPr>
        <w:t> </w:t>
      </w:r>
      <w:r>
        <w:rPr>
          <w:spacing w:val="-2"/>
        </w:rPr>
        <w:t>未分配利润说明，对于首次公开发行证券的公司，如果发行前的滚存利润经股东大会决议由新老股东共同享有，应明确予以</w:t>
      </w:r>
      <w:r>
        <w:rPr>
          <w:spacing w:val="-64"/>
        </w:rPr>
        <w:t> </w:t>
      </w:r>
      <w:r>
        <w:rPr>
          <w:spacing w:val="-64"/>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spacing w:line="240" w:lineRule="auto" w:before="3"/>
        <w:rPr>
          <w:rFonts w:ascii="宋体" w:hAnsi="宋体" w:cs="宋体" w:eastAsia="宋体" w:hint="default"/>
          <w:sz w:val="22"/>
          <w:szCs w:val="22"/>
        </w:rPr>
      </w:pPr>
    </w:p>
    <w:p>
      <w:pPr>
        <w:pStyle w:val="Heading3"/>
        <w:spacing w:line="240" w:lineRule="auto"/>
        <w:ind w:right="982"/>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1"/>
        <w:gridCol w:w="3058"/>
        <w:gridCol w:w="3179"/>
      </w:tblGrid>
      <w:tr>
        <w:trPr>
          <w:trHeight w:val="402" w:hRule="exact"/>
        </w:trPr>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1"/>
        <w:gridCol w:w="3058"/>
        <w:gridCol w:w="3190"/>
      </w:tblGrid>
      <w:tr>
        <w:trPr>
          <w:trHeight w:val="401" w:hRule="exact"/>
        </w:trPr>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4,978,359,108.92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4,659,774,871.07</w:t>
            </w:r>
          </w:p>
        </w:tc>
      </w:tr>
      <w:tr>
        <w:trPr>
          <w:trHeight w:val="403" w:hRule="exact"/>
        </w:trPr>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44,155,119.66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45,108,776.63</w:t>
            </w:r>
          </w:p>
        </w:tc>
      </w:tr>
      <w:tr>
        <w:trPr>
          <w:trHeight w:val="403" w:hRule="exact"/>
        </w:trPr>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4,766,399,395.27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4,449,268,161.41</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棉纺织业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4,978,359,108.92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4,741,586,791.85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4,659,774,871.07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4,423,363,804.84</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4,978,359,108.92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68" w:right="0"/>
              <w:jc w:val="left"/>
              <w:rPr>
                <w:rFonts w:ascii="Times New Roman" w:hAnsi="Times New Roman" w:cs="Times New Roman" w:eastAsia="Times New Roman" w:hint="default"/>
                <w:sz w:val="18"/>
                <w:szCs w:val="18"/>
              </w:rPr>
            </w:pPr>
            <w:r>
              <w:rPr>
                <w:rFonts w:ascii="Times New Roman"/>
                <w:sz w:val="18"/>
              </w:rPr>
              <w:t>4,741,586,791.85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4" w:right="0"/>
              <w:jc w:val="left"/>
              <w:rPr>
                <w:rFonts w:ascii="Times New Roman" w:hAnsi="Times New Roman" w:cs="Times New Roman" w:eastAsia="Times New Roman" w:hint="default"/>
                <w:sz w:val="18"/>
                <w:szCs w:val="18"/>
              </w:rPr>
            </w:pPr>
            <w:r>
              <w:rPr>
                <w:rFonts w:ascii="Times New Roman"/>
                <w:sz w:val="18"/>
              </w:rPr>
              <w:t>4,659,774,871.07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4" w:right="0"/>
              <w:jc w:val="left"/>
              <w:rPr>
                <w:rFonts w:ascii="Times New Roman" w:hAnsi="Times New Roman" w:cs="Times New Roman" w:eastAsia="Times New Roman" w:hint="default"/>
                <w:sz w:val="18"/>
                <w:szCs w:val="18"/>
              </w:rPr>
            </w:pPr>
            <w:r>
              <w:rPr>
                <w:rFonts w:ascii="Times New Roman"/>
                <w:sz w:val="18"/>
              </w:rPr>
              <w:t>4,423,363,804.84</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863"/>
        <w:gridCol w:w="1726"/>
        <w:gridCol w:w="1726"/>
      </w:tblGrid>
      <w:tr>
        <w:trPr>
          <w:trHeight w:val="403"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1,764,147,436.62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1,620,251,491.64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2,179,042,224.35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2,013,529,273.16</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纱</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758,429,923.95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734,599,877.25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527,249,615.68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497,601,103.06</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1,259,150,935.01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1,239,618,130.88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1,084,490,380.48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1,082,194,897.12</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涤纶</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14,848,198.97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14,951,917.48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35,809,618.95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35,881,300.57</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1,175,051,954.31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1,129,154,062.06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606,505,871.72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573,582,638.18</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6,730,660.06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3,011,312.54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226,677,159.89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220,574,592.75</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4,978,359,108.92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4,741,586,791.85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4,659,774,871.07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4,423,363,804.84</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3,662,690,924.92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3,474,772,573.97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3,922,779,854.23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3,730,264,057.22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1,315,668,184.00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1,266,814,217.88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736,995,016.84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693,099,747.62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4,978,359,108.92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4,741,586,791.85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4,659,774,871.07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4,423,363,804.84</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35.095722pt;width:135pt;height:77pt;mso-position-horizontal-relative:page;mso-position-vertical-relative:paragraph;z-index:-948352" coordorigin="9206,702" coordsize="2700,1540">
            <v:shape style="position:absolute;left:9206;top:702;width:2700;height:1540" type="#_x0000_t75" stroked="false">
              <v:imagedata r:id="rId16" o:title=""/>
            </v:shape>
            <v:shape style="position:absolute;left:10504;top:1062;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120</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94"/>
        <w:gridCol w:w="2850"/>
        <w:gridCol w:w="4115"/>
      </w:tblGrid>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headerReference w:type="default" r:id="rId66"/>
          <w:footerReference w:type="default" r:id="rId67"/>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948304" coordorigin="9206,15298" coordsize="2700,1540">
            <v:shape style="position:absolute;left:9206;top:15298;width:2700;height:1540" type="#_x0000_t75" stroked="false">
              <v:imagedata r:id="rId16" o:title=""/>
            </v:shape>
            <v:shape style="position:absolute;left:10504;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121</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2594"/>
        <w:gridCol w:w="2850"/>
        <w:gridCol w:w="4126"/>
      </w:tblGrid>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LPP</w:t>
            </w:r>
            <w:r>
              <w:rPr>
                <w:rFonts w:ascii="Times New Roman"/>
                <w:spacing w:val="-18"/>
                <w:sz w:val="18"/>
              </w:rPr>
              <w:t> </w:t>
            </w:r>
            <w:r>
              <w:rPr>
                <w:rFonts w:ascii="Times New Roman"/>
                <w:sz w:val="18"/>
              </w:rPr>
              <w:t>ZNTERNATZONAL</w:t>
            </w:r>
            <w:r>
              <w:rPr>
                <w:rFonts w:ascii="Times New Roman"/>
                <w:spacing w:val="-22"/>
                <w:sz w:val="18"/>
              </w:rPr>
              <w:t> </w:t>
            </w:r>
            <w:r>
              <w:rPr>
                <w:rFonts w:ascii="Times New Roman"/>
                <w:sz w:val="18"/>
              </w:rPr>
              <w:t>S.A</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326,352,915.70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天津市纺织工业供销公司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304,825,997.27</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6.07%</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际华三五四三针织服饰有限公司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297,448,294.94</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LA HALLE</w:t>
            </w:r>
            <w:r>
              <w:rPr>
                <w:rFonts w:ascii="Times New Roman"/>
                <w:spacing w:val="-18"/>
                <w:sz w:val="18"/>
              </w:rPr>
              <w:t> </w:t>
            </w:r>
            <w:r>
              <w:rPr>
                <w:rFonts w:ascii="Times New Roman"/>
                <w:sz w:val="18"/>
              </w:rPr>
              <w:t>LIMTED</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258,418,347.29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5.15%</w:t>
            </w:r>
          </w:p>
        </w:tc>
      </w:tr>
      <w:tr>
        <w:trPr>
          <w:trHeight w:val="713"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91"/>
              <w:ind w:left="22" w:right="438"/>
              <w:jc w:val="left"/>
              <w:rPr>
                <w:rFonts w:ascii="Times New Roman" w:hAnsi="Times New Roman" w:cs="Times New Roman" w:eastAsia="Times New Roman" w:hint="default"/>
                <w:sz w:val="18"/>
                <w:szCs w:val="18"/>
              </w:rPr>
            </w:pPr>
            <w:r>
              <w:rPr>
                <w:rFonts w:ascii="Times New Roman"/>
                <w:spacing w:val="-3"/>
                <w:sz w:val="18"/>
              </w:rPr>
              <w:t>G-STAR</w:t>
            </w:r>
            <w:r>
              <w:rPr>
                <w:rFonts w:ascii="Times New Roman"/>
                <w:spacing w:val="-15"/>
                <w:sz w:val="18"/>
              </w:rPr>
              <w:t> </w:t>
            </w:r>
            <w:r>
              <w:rPr>
                <w:rFonts w:ascii="Times New Roman"/>
                <w:sz w:val="18"/>
              </w:rPr>
              <w:t>INTERNATIONAL</w:t>
            </w:r>
            <w:r>
              <w:rPr>
                <w:rFonts w:ascii="Times New Roman"/>
                <w:w w:val="99"/>
                <w:sz w:val="18"/>
              </w:rPr>
              <w:t> </w:t>
            </w:r>
            <w:r>
              <w:rPr>
                <w:rFonts w:ascii="Times New Roman"/>
                <w:sz w:val="18"/>
              </w:rPr>
              <w:t>LIMTED</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257,396,983.60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1,444,442,538.80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28.76%</w:t>
            </w:r>
          </w:p>
        </w:tc>
      </w:tr>
    </w:tbl>
    <w:p>
      <w:pPr>
        <w:pStyle w:val="BodyText"/>
        <w:spacing w:line="240" w:lineRule="auto" w:before="49"/>
        <w:ind w:right="982"/>
        <w:jc w:val="left"/>
      </w:pPr>
      <w:r>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6"/>
        <w:gridCol w:w="1594"/>
        <w:gridCol w:w="1592"/>
        <w:gridCol w:w="1596"/>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20" w:hanging="17"/>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0" w:right="20" w:hanging="17"/>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pStyle w:val="BodyText"/>
        <w:spacing w:line="240" w:lineRule="auto" w:before="49"/>
        <w:ind w:right="982"/>
        <w:jc w:val="left"/>
      </w:pPr>
      <w:r>
        <w:rPr/>
        <w:t>合同项目的说明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09"/>
      </w:tblGrid>
      <w:tr>
        <w:trPr>
          <w:trHeight w:val="404"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2,110,972.74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1,824,792.06</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租赁收入的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8,240,513.75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7,298,630.75</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应纳流转税额的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6,117,988.52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5,448,861.61</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应纳流转税额的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投资性房地产房产税</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1,247,780.40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1,647,345.18</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房租收入的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17,717,255.41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16,219,629.60</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营业税金及附加的说明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12,214,204.91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12,812,135.48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5,774,004.83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4,797,908.00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895,337.59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2,785,906.14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808,446.49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790,620.34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1,153,656.70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480,345.80</w:t>
            </w:r>
          </w:p>
        </w:tc>
      </w:tr>
    </w:tbl>
    <w:p>
      <w:pPr>
        <w:spacing w:after="0" w:line="240" w:lineRule="auto"/>
        <w:jc w:val="right"/>
        <w:rPr>
          <w:rFonts w:ascii="Times New Roman" w:hAnsi="Times New Roman" w:cs="Times New Roman" w:eastAsia="Times New Roman" w:hint="default"/>
          <w:sz w:val="18"/>
          <w:szCs w:val="18"/>
        </w:rPr>
        <w:sectPr>
          <w:headerReference w:type="default" r:id="rId68"/>
          <w:footerReference w:type="default" r:id="rId69"/>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仓储费用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1,149,558.36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862,494.44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180,174.13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106,021.95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港口费用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7,014,532.05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2,178,334.07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28,686,131.61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26,946,555.50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1,404,163.15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5,549,553.01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59,280,209.82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57,309,874.73</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101,342,681.36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55,997,221.70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16,746,730.26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14,695,483.58</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8,468,635.47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9,109,106.70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7,739,620.40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9,170,557.24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6,913,155.15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8,020,687.08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3,491,591.82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5,053,429.66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汽费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4,785,465.79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2,078,903.52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3,023,589.29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3,213,969.50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3,788,619.88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3,368,207.61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1,492,863.38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1,387,143.30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1,641,862.34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2,428,189.57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1,563,295.45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1,726,006.25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675,775.81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846,434.82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858,276.87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1,211,826.96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3,430,835.04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939,961.25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财产保险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1,004,290.35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987,427.41</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仓库经费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830,643.16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814,660.46</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2"/>
                <w:sz w:val="18"/>
              </w:rPr>
              <w:t>111,000.00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108,000.00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7,150,682.95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9,349,401.03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175,059,614.77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130,506,617.64</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footerReference w:type="default" r:id="rId70"/>
          <w:pgSz w:w="11910" w:h="16840"/>
          <w:pgMar w:footer="1340" w:header="877" w:top="1060" w:bottom="1540" w:left="980" w:right="0"/>
          <w:pgNumType w:start="122"/>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124,795,739.08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95,303,320.43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-7,314,041.14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-13,520,773.98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1,074,877.03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-2,324,242.29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673,461.43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441,360.85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119,230,036.40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79,899,665.01</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157,325.00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-157,325.00</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157,325.00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-157,325.00</w:t>
            </w:r>
          </w:p>
        </w:tc>
      </w:tr>
    </w:tbl>
    <w:p>
      <w:pPr>
        <w:pStyle w:val="BodyText"/>
        <w:spacing w:line="357" w:lineRule="auto" w:before="49"/>
        <w:ind w:left="513" w:right="2653" w:hanging="361"/>
        <w:jc w:val="left"/>
      </w:pPr>
      <w:r>
        <w:rPr/>
        <w:t>公允价值变动收益的说明 本年度公允价值变动收益为公司上年末持有的棉花期货合约本期平仓导致公允价值变动收益转回。</w:t>
      </w:r>
    </w:p>
    <w:p>
      <w:pPr>
        <w:spacing w:line="240" w:lineRule="auto" w:before="6"/>
        <w:rPr>
          <w:rFonts w:ascii="宋体" w:hAnsi="宋体" w:cs="宋体" w:eastAsia="宋体" w:hint="default"/>
          <w:sz w:val="20"/>
          <w:szCs w:val="20"/>
        </w:rPr>
      </w:pPr>
    </w:p>
    <w:p>
      <w:pPr>
        <w:pStyle w:val="Heading3"/>
        <w:spacing w:line="240" w:lineRule="auto"/>
        <w:ind w:right="982"/>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4,789,059.80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4,225,641.00</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-9.02</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00" w:type="dxa"/>
            <w:tcBorders>
              <w:top w:val="single" w:sz="4" w:space="0" w:color="000000"/>
              <w:left w:val="single" w:sz="10"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-851,094.30</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319,794.50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58,144.46</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5,108,854.30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3,432,682.14</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17"/>
        <w:gridCol w:w="2004"/>
        <w:gridCol w:w="1728"/>
        <w:gridCol w:w="2909"/>
      </w:tblGrid>
      <w:tr>
        <w:trPr>
          <w:trHeight w:val="401"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29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河北银行</w:t>
            </w:r>
          </w:p>
        </w:tc>
        <w:tc>
          <w:tcPr>
            <w:tcW w:w="20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4,789,059.80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4,225,641.00</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本期现金分红增加所致。</w:t>
            </w:r>
          </w:p>
        </w:tc>
      </w:tr>
      <w:tr>
        <w:trPr>
          <w:trHeight w:val="403"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4,789,059.80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4,225,641.00</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t>投资收益的说明，若投资收益汇回有重大限制的，应予以说明。若不存在此类重大限制，也应做出说明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1,821,083.44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-2,448,440.59</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5,576,181.89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4,354,583.06</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4,623,936.94</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12,021,202.27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1,906,142.47</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1"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8,269,355.74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3,187,704.33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8,269,355.74</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8,269,355.74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3,187,704.33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8,269,355.74</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84,537,230.95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16,751,759.55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84,537,230.95</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土地房屋征收补偿</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46,281,448.85</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46,281,448.85</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土地收储利得</w:t>
            </w:r>
          </w:p>
        </w:tc>
        <w:tc>
          <w:tcPr>
            <w:tcW w:w="195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69,333,338.07</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1,764,383.94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380,486.75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1,764,383.94</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140,852,419.48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89,653,288.70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140,852,419.48</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994"/>
        <w:gridCol w:w="1995"/>
        <w:gridCol w:w="2921"/>
      </w:tblGrid>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中小企业国际市场开拓资金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工业奖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融资利息补助资金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22,820,000.00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电子商务扶持资金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棉锦竹炭防红外线隐形功能性面 料开发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政府搬迁补助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48,519,781.79</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政府支持企业发展补助资金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9"/>
        <w:gridCol w:w="1994"/>
        <w:gridCol w:w="1995"/>
        <w:gridCol w:w="2921"/>
      </w:tblGrid>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年技术改造对标专项补助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新型自动落砂机的研究与开发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04"/>
              <w:jc w:val="left"/>
              <w:rPr>
                <w:rFonts w:ascii="宋体" w:hAnsi="宋体" w:cs="宋体" w:eastAsia="宋体" w:hint="default"/>
                <w:sz w:val="18"/>
                <w:szCs w:val="18"/>
              </w:rPr>
            </w:pPr>
            <w:r>
              <w:rPr>
                <w:rFonts w:ascii="宋体" w:hAnsi="宋体" w:cs="宋体" w:eastAsia="宋体" w:hint="default"/>
                <w:sz w:val="18"/>
                <w:szCs w:val="18"/>
              </w:rPr>
              <w:t>纤维素纤维加工公共技术研发平 台</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出口信用保险扶持发展扶持资金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321,100.00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04"/>
              <w:jc w:val="left"/>
              <w:rPr>
                <w:rFonts w:ascii="宋体" w:hAnsi="宋体" w:cs="宋体" w:eastAsia="宋体" w:hint="default"/>
                <w:sz w:val="18"/>
                <w:szCs w:val="18"/>
              </w:rPr>
            </w:pPr>
            <w:r>
              <w:rPr>
                <w:rFonts w:ascii="宋体" w:hAnsi="宋体" w:cs="宋体" w:eastAsia="宋体" w:hint="default"/>
                <w:sz w:val="18"/>
                <w:szCs w:val="18"/>
              </w:rPr>
              <w:t>重点产业振兴和技术改造项目专 项资金摊销</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342,857.16</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高档新型纤维面料项目开发补助 摊销</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124,992.00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124,992.00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常山纺织股份技术中心项目摊销</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4"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流动资金贷款贴息</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450,000.00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年技术改造对标专项补助</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企业发展补助资金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11,039,267.55</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2"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年度工业项目建设优秀项目 奖励</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97" w:lineRule="auto" w:before="51"/>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年外贸公共服务平台建设资 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中小企业国际市场开拓资金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高档柔性纱线项目经费财政补贴</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年度第一批工业企业技术改 造补助资金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97" w:lineRule="auto" w:before="51"/>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年技术中心及工程研究中心 企业奖励</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出口信用保险扶持发展资金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84,537,230.95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16,751,759.55</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营业外收入说明</w:t>
      </w:r>
    </w:p>
    <w:p>
      <w:pPr>
        <w:pStyle w:val="BodyText"/>
        <w:spacing w:line="300" w:lineRule="auto" w:before="115"/>
        <w:ind w:right="1130"/>
        <w:jc w:val="left"/>
      </w:pPr>
      <w:r>
        <w:rPr>
          <w:spacing w:val="-1"/>
        </w:rPr>
        <w:t>公司</w:t>
      </w:r>
      <w:r>
        <w:rPr>
          <w:rFonts w:ascii="Times New Roman" w:hAnsi="Times New Roman" w:cs="Times New Roman" w:eastAsia="Times New Roman" w:hint="default"/>
          <w:spacing w:val="-1"/>
        </w:rPr>
        <w:t>2012</w:t>
      </w:r>
      <w:r>
        <w:rPr>
          <w:spacing w:val="-1"/>
        </w:rPr>
        <w:t>年度营业外收入较上年数增加</w:t>
      </w:r>
      <w:r>
        <w:rPr>
          <w:rFonts w:ascii="Times New Roman" w:hAnsi="Times New Roman" w:cs="Times New Roman" w:eastAsia="Times New Roman" w:hint="default"/>
          <w:spacing w:val="-1"/>
        </w:rPr>
        <w:t>51,199,130.78</w:t>
      </w:r>
      <w:r>
        <w:rPr>
          <w:spacing w:val="-1"/>
        </w:rPr>
        <w:t>元，增幅</w:t>
      </w:r>
      <w:r>
        <w:rPr>
          <w:rFonts w:ascii="Times New Roman" w:hAnsi="Times New Roman" w:cs="Times New Roman" w:eastAsia="Times New Roman" w:hint="default"/>
          <w:spacing w:val="-1"/>
        </w:rPr>
        <w:t>57.11%</w:t>
      </w:r>
      <w:r>
        <w:rPr>
          <w:spacing w:val="-1"/>
        </w:rPr>
        <w:t>，主要原因系公司本期政府补助增加及确认土地房屋征</w:t>
      </w:r>
      <w:r>
        <w:rPr>
          <w:spacing w:val="-85"/>
        </w:rPr>
        <w:t> </w:t>
      </w:r>
      <w:r>
        <w:rPr>
          <w:spacing w:val="-85"/>
        </w:rPr>
      </w:r>
      <w:r>
        <w:rPr/>
        <w:t>收补偿所致。</w:t>
      </w:r>
    </w:p>
    <w:p>
      <w:pPr>
        <w:spacing w:line="240" w:lineRule="auto" w:before="10"/>
        <w:rPr>
          <w:rFonts w:ascii="宋体" w:hAnsi="宋体" w:cs="宋体" w:eastAsia="宋体" w:hint="default"/>
          <w:sz w:val="23"/>
          <w:szCs w:val="23"/>
        </w:rPr>
      </w:pPr>
    </w:p>
    <w:p>
      <w:pPr>
        <w:pStyle w:val="Heading3"/>
        <w:spacing w:line="240" w:lineRule="auto"/>
        <w:ind w:right="982"/>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2,786,564.99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432,882.99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2,786,564.99</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2,786,564.99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432,882.99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2,786,564.99</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非公益捐赠支出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230,938.85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263,561.33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230,938.85</w:t>
            </w: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3,019,503.84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706,444.32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3,019,503.84</w:t>
            </w:r>
          </w:p>
        </w:tc>
      </w:tr>
    </w:tbl>
    <w:p>
      <w:pPr>
        <w:pStyle w:val="BodyText"/>
        <w:spacing w:line="439" w:lineRule="auto" w:before="49"/>
        <w:ind w:right="1964"/>
        <w:jc w:val="left"/>
      </w:pPr>
      <w:r>
        <w:rPr/>
        <w:t>营业外支出说明 公司</w:t>
      </w:r>
      <w:r>
        <w:rPr>
          <w:rFonts w:ascii="Times New Roman" w:hAnsi="Times New Roman" w:cs="Times New Roman" w:eastAsia="Times New Roman" w:hint="default"/>
        </w:rPr>
        <w:t>2012</w:t>
      </w:r>
      <w:r>
        <w:rPr/>
        <w:t>年度营业外支出较上年数增加</w:t>
      </w:r>
      <w:r>
        <w:rPr>
          <w:rFonts w:ascii="Times New Roman" w:hAnsi="Times New Roman" w:cs="Times New Roman" w:eastAsia="Times New Roman" w:hint="default"/>
        </w:rPr>
        <w:t>2,313,059.52</w:t>
      </w:r>
      <w:r>
        <w:rPr/>
        <w:t>元，增幅</w:t>
      </w:r>
      <w:r>
        <w:rPr>
          <w:rFonts w:ascii="Times New Roman" w:hAnsi="Times New Roman" w:cs="Times New Roman" w:eastAsia="Times New Roman" w:hint="default"/>
        </w:rPr>
        <w:t>327.42%</w:t>
      </w:r>
      <w:r>
        <w:rPr/>
        <w:t>，主要原因系公司处置设备损失增加所致。</w:t>
      </w:r>
    </w:p>
    <w:p>
      <w:pPr>
        <w:spacing w:line="240" w:lineRule="auto" w:before="7"/>
        <w:rPr>
          <w:rFonts w:ascii="宋体" w:hAnsi="宋体" w:cs="宋体" w:eastAsia="宋体" w:hint="default"/>
          <w:sz w:val="13"/>
          <w:szCs w:val="13"/>
        </w:rPr>
      </w:pPr>
    </w:p>
    <w:p>
      <w:pPr>
        <w:pStyle w:val="Heading3"/>
        <w:spacing w:line="240" w:lineRule="auto"/>
        <w:ind w:right="982"/>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5,244,714.47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2,825,336.29</w:t>
            </w:r>
          </w:p>
        </w:tc>
      </w:tr>
      <w:tr>
        <w:trPr>
          <w:trHeight w:val="404"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-1,039,400.80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1,980,518.92</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4,205,313.67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4,805,855.21</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9"/>
        <w:rPr>
          <w:rFonts w:ascii="宋体" w:hAnsi="宋体" w:cs="宋体" w:eastAsia="宋体" w:hint="default"/>
          <w:b/>
          <w:bCs/>
          <w:sz w:val="25"/>
          <w:szCs w:val="25"/>
        </w:rPr>
      </w:pPr>
    </w:p>
    <w:tbl>
      <w:tblPr>
        <w:tblW w:w="0" w:type="auto"/>
        <w:jc w:val="left"/>
        <w:tblInd w:w="152" w:type="dxa"/>
        <w:tblLayout w:type="fixed"/>
        <w:tblCellMar>
          <w:top w:w="0" w:type="dxa"/>
          <w:left w:w="0" w:type="dxa"/>
          <w:bottom w:w="0" w:type="dxa"/>
          <w:right w:w="0" w:type="dxa"/>
        </w:tblCellMar>
        <w:tblLook w:val="01E0"/>
      </w:tblPr>
      <w:tblGrid>
        <w:gridCol w:w="2015"/>
        <w:gridCol w:w="1127"/>
        <w:gridCol w:w="2888"/>
        <w:gridCol w:w="2270"/>
      </w:tblGrid>
      <w:tr>
        <w:trPr>
          <w:trHeight w:val="348" w:hRule="exact"/>
        </w:trPr>
        <w:tc>
          <w:tcPr>
            <w:tcW w:w="2015" w:type="dxa"/>
            <w:tcBorders>
              <w:top w:val="single" w:sz="6" w:space="0" w:color="000000"/>
              <w:left w:val="nil" w:sz="6" w:space="0" w:color="auto"/>
              <w:bottom w:val="single" w:sz="8" w:space="0" w:color="000000"/>
              <w:right w:val="nil" w:sz="6" w:space="0" w:color="auto"/>
            </w:tcBorders>
          </w:tcPr>
          <w:p>
            <w:pPr>
              <w:pStyle w:val="TableParagraph"/>
              <w:spacing w:line="240" w:lineRule="auto" w:before="17"/>
              <w:ind w:left="187" w:right="0"/>
              <w:jc w:val="left"/>
              <w:rPr>
                <w:rFonts w:ascii="宋体" w:hAnsi="宋体" w:cs="宋体" w:eastAsia="宋体" w:hint="default"/>
                <w:sz w:val="18"/>
                <w:szCs w:val="18"/>
              </w:rPr>
            </w:pPr>
            <w:r>
              <w:rPr>
                <w:rFonts w:ascii="宋体" w:hAnsi="宋体" w:cs="宋体" w:eastAsia="宋体" w:hint="default"/>
                <w:b/>
                <w:bCs/>
                <w:sz w:val="18"/>
                <w:szCs w:val="18"/>
              </w:rPr>
              <w:t>每股收益的计算</w:t>
            </w:r>
            <w:r>
              <w:rPr>
                <w:rFonts w:ascii="宋体" w:hAnsi="宋体" w:cs="宋体" w:eastAsia="宋体" w:hint="default"/>
                <w:sz w:val="18"/>
                <w:szCs w:val="18"/>
              </w:rPr>
            </w:r>
          </w:p>
        </w:tc>
        <w:tc>
          <w:tcPr>
            <w:tcW w:w="1127" w:type="dxa"/>
            <w:tcBorders>
              <w:top w:val="single" w:sz="6" w:space="0" w:color="000000"/>
              <w:left w:val="nil" w:sz="6" w:space="0" w:color="auto"/>
              <w:bottom w:val="single" w:sz="8" w:space="0" w:color="000000"/>
              <w:right w:val="nil" w:sz="6" w:space="0" w:color="auto"/>
            </w:tcBorders>
          </w:tcPr>
          <w:p>
            <w:pPr>
              <w:pStyle w:val="TableParagraph"/>
              <w:spacing w:line="240" w:lineRule="auto" w:before="17"/>
              <w:ind w:right="345"/>
              <w:jc w:val="center"/>
              <w:rPr>
                <w:rFonts w:ascii="宋体" w:hAnsi="宋体" w:cs="宋体" w:eastAsia="宋体" w:hint="default"/>
                <w:sz w:val="18"/>
                <w:szCs w:val="18"/>
              </w:rPr>
            </w:pPr>
            <w:r>
              <w:rPr>
                <w:rFonts w:ascii="宋体" w:hAnsi="宋体" w:cs="宋体" w:eastAsia="宋体" w:hint="default"/>
                <w:b/>
                <w:bCs/>
                <w:sz w:val="18"/>
                <w:szCs w:val="18"/>
              </w:rPr>
              <w:t>计算</w:t>
            </w:r>
            <w:r>
              <w:rPr>
                <w:rFonts w:ascii="宋体" w:hAnsi="宋体" w:cs="宋体" w:eastAsia="宋体" w:hint="default"/>
                <w:sz w:val="18"/>
                <w:szCs w:val="18"/>
              </w:rPr>
            </w:r>
          </w:p>
        </w:tc>
        <w:tc>
          <w:tcPr>
            <w:tcW w:w="2888" w:type="dxa"/>
            <w:tcBorders>
              <w:top w:val="single" w:sz="6" w:space="0" w:color="000000"/>
              <w:left w:val="nil" w:sz="6" w:space="0" w:color="auto"/>
              <w:bottom w:val="single" w:sz="8" w:space="0" w:color="000000"/>
              <w:right w:val="nil" w:sz="6" w:space="0" w:color="auto"/>
            </w:tcBorders>
          </w:tcPr>
          <w:p>
            <w:pPr>
              <w:pStyle w:val="TableParagraph"/>
              <w:spacing w:line="240" w:lineRule="auto" w:before="17"/>
              <w:ind w:left="55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1-12</w:t>
            </w:r>
            <w:r>
              <w:rPr>
                <w:rFonts w:ascii="宋体" w:hAnsi="宋体" w:cs="宋体" w:eastAsia="宋体" w:hint="default"/>
                <w:b/>
                <w:bCs/>
                <w:sz w:val="18"/>
                <w:szCs w:val="18"/>
              </w:rPr>
              <w:t>月</w:t>
            </w:r>
            <w:r>
              <w:rPr>
                <w:rFonts w:ascii="宋体" w:hAnsi="宋体" w:cs="宋体" w:eastAsia="宋体" w:hint="default"/>
                <w:sz w:val="18"/>
                <w:szCs w:val="18"/>
              </w:rPr>
            </w:r>
          </w:p>
        </w:tc>
        <w:tc>
          <w:tcPr>
            <w:tcW w:w="2270" w:type="dxa"/>
            <w:tcBorders>
              <w:top w:val="single" w:sz="6" w:space="0" w:color="000000"/>
              <w:left w:val="nil" w:sz="6" w:space="0" w:color="auto"/>
              <w:bottom w:val="single" w:sz="8" w:space="0" w:color="000000"/>
              <w:right w:val="nil" w:sz="6" w:space="0" w:color="auto"/>
            </w:tcBorders>
          </w:tcPr>
          <w:p>
            <w:pPr>
              <w:pStyle w:val="TableParagraph"/>
              <w:spacing w:line="240" w:lineRule="auto" w:before="17"/>
              <w:ind w:left="41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1-12</w:t>
            </w:r>
            <w:r>
              <w:rPr>
                <w:rFonts w:ascii="宋体" w:hAnsi="宋体" w:cs="宋体" w:eastAsia="宋体" w:hint="default"/>
                <w:b/>
                <w:bCs/>
                <w:sz w:val="18"/>
                <w:szCs w:val="18"/>
              </w:rPr>
              <w:t>月</w:t>
            </w:r>
            <w:r>
              <w:rPr>
                <w:rFonts w:ascii="宋体" w:hAnsi="宋体" w:cs="宋体" w:eastAsia="宋体" w:hint="default"/>
                <w:sz w:val="18"/>
                <w:szCs w:val="18"/>
              </w:rPr>
            </w:r>
          </w:p>
        </w:tc>
      </w:tr>
      <w:tr>
        <w:trPr>
          <w:trHeight w:val="660" w:hRule="exact"/>
        </w:trPr>
        <w:tc>
          <w:tcPr>
            <w:tcW w:w="2015" w:type="dxa"/>
            <w:tcBorders>
              <w:top w:val="single" w:sz="8" w:space="0" w:color="000000"/>
              <w:left w:val="nil" w:sz="6" w:space="0" w:color="auto"/>
              <w:bottom w:val="single" w:sz="8" w:space="0" w:color="000000"/>
              <w:right w:val="nil" w:sz="6" w:space="0" w:color="auto"/>
            </w:tcBorders>
          </w:tcPr>
          <w:p>
            <w:pPr>
              <w:pStyle w:val="TableParagraph"/>
              <w:spacing w:line="316" w:lineRule="auto" w:before="15"/>
              <w:ind w:left="187" w:right="205"/>
              <w:jc w:val="left"/>
              <w:rPr>
                <w:rFonts w:ascii="宋体" w:hAnsi="宋体" w:cs="宋体" w:eastAsia="宋体" w:hint="default"/>
                <w:sz w:val="18"/>
                <w:szCs w:val="18"/>
              </w:rPr>
            </w:pPr>
            <w:r>
              <w:rPr>
                <w:rFonts w:ascii="宋体" w:hAnsi="宋体" w:cs="宋体" w:eastAsia="宋体" w:hint="default"/>
                <w:sz w:val="18"/>
                <w:szCs w:val="18"/>
              </w:rPr>
              <w:t>归属于母公司普通股 股东的净利润</w:t>
            </w:r>
          </w:p>
        </w:tc>
        <w:tc>
          <w:tcPr>
            <w:tcW w:w="112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346"/>
              <w:jc w:val="center"/>
              <w:rPr>
                <w:rFonts w:ascii="Times New Roman" w:hAnsi="Times New Roman" w:cs="Times New Roman" w:eastAsia="Times New Roman" w:hint="default"/>
                <w:sz w:val="18"/>
                <w:szCs w:val="18"/>
              </w:rPr>
            </w:pPr>
            <w:r>
              <w:rPr>
                <w:rFonts w:ascii="Times New Roman"/>
                <w:sz w:val="18"/>
              </w:rPr>
              <w:t>a</w:t>
            </w:r>
          </w:p>
        </w:tc>
        <w:tc>
          <w:tcPr>
            <w:tcW w:w="2888"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09"/>
              <w:jc w:val="right"/>
              <w:rPr>
                <w:rFonts w:ascii="Times New Roman" w:hAnsi="Times New Roman" w:cs="Times New Roman" w:eastAsia="Times New Roman" w:hint="default"/>
                <w:sz w:val="18"/>
                <w:szCs w:val="18"/>
              </w:rPr>
            </w:pPr>
            <w:r>
              <w:rPr>
                <w:rFonts w:ascii="Times New Roman"/>
                <w:spacing w:val="-1"/>
                <w:sz w:val="18"/>
              </w:rPr>
              <w:t>11,763,142.83</w:t>
            </w:r>
          </w:p>
        </w:tc>
        <w:tc>
          <w:tcPr>
            <w:tcW w:w="2270"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57,284,042.20</w:t>
            </w:r>
          </w:p>
        </w:tc>
      </w:tr>
      <w:tr>
        <w:trPr>
          <w:trHeight w:val="658" w:hRule="exact"/>
        </w:trPr>
        <w:tc>
          <w:tcPr>
            <w:tcW w:w="2015" w:type="dxa"/>
            <w:tcBorders>
              <w:top w:val="single" w:sz="8" w:space="0" w:color="000000"/>
              <w:left w:val="nil" w:sz="6" w:space="0" w:color="auto"/>
              <w:bottom w:val="single" w:sz="8" w:space="0" w:color="000000"/>
              <w:right w:val="nil" w:sz="6" w:space="0" w:color="auto"/>
            </w:tcBorders>
          </w:tcPr>
          <w:p>
            <w:pPr>
              <w:pStyle w:val="TableParagraph"/>
              <w:spacing w:line="316" w:lineRule="auto" w:before="13"/>
              <w:ind w:left="187" w:right="205"/>
              <w:jc w:val="left"/>
              <w:rPr>
                <w:rFonts w:ascii="宋体" w:hAnsi="宋体" w:cs="宋体" w:eastAsia="宋体" w:hint="default"/>
                <w:sz w:val="18"/>
                <w:szCs w:val="18"/>
              </w:rPr>
            </w:pPr>
            <w:r>
              <w:rPr>
                <w:rFonts w:ascii="宋体" w:hAnsi="宋体" w:cs="宋体" w:eastAsia="宋体" w:hint="default"/>
                <w:sz w:val="18"/>
                <w:szCs w:val="18"/>
              </w:rPr>
              <w:t>母公司发行在外普通 股的加权平均数</w:t>
            </w:r>
          </w:p>
        </w:tc>
        <w:tc>
          <w:tcPr>
            <w:tcW w:w="1127"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346"/>
              <w:jc w:val="center"/>
              <w:rPr>
                <w:rFonts w:ascii="Times New Roman" w:hAnsi="Times New Roman" w:cs="Times New Roman" w:eastAsia="Times New Roman" w:hint="default"/>
                <w:sz w:val="18"/>
                <w:szCs w:val="18"/>
              </w:rPr>
            </w:pPr>
            <w:r>
              <w:rPr>
                <w:rFonts w:ascii="Times New Roman"/>
                <w:sz w:val="18"/>
              </w:rPr>
              <w:t>b</w:t>
            </w:r>
          </w:p>
        </w:tc>
        <w:tc>
          <w:tcPr>
            <w:tcW w:w="2888"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409"/>
              <w:jc w:val="right"/>
              <w:rPr>
                <w:rFonts w:ascii="Times New Roman" w:hAnsi="Times New Roman" w:cs="Times New Roman" w:eastAsia="Times New Roman" w:hint="default"/>
                <w:sz w:val="18"/>
                <w:szCs w:val="18"/>
              </w:rPr>
            </w:pPr>
            <w:r>
              <w:rPr>
                <w:rFonts w:ascii="Times New Roman"/>
                <w:spacing w:val="-1"/>
                <w:sz w:val="18"/>
              </w:rPr>
              <w:t>718,861,000.00</w:t>
            </w:r>
          </w:p>
        </w:tc>
        <w:tc>
          <w:tcPr>
            <w:tcW w:w="2270"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5"/>
              <w:jc w:val="right"/>
              <w:rPr>
                <w:rFonts w:ascii="Times New Roman" w:hAnsi="Times New Roman" w:cs="Times New Roman" w:eastAsia="Times New Roman" w:hint="default"/>
                <w:sz w:val="18"/>
                <w:szCs w:val="18"/>
              </w:rPr>
            </w:pPr>
            <w:r>
              <w:rPr>
                <w:rFonts w:ascii="Times New Roman"/>
                <w:spacing w:val="-1"/>
                <w:sz w:val="18"/>
              </w:rPr>
              <w:t>718,861,000.00</w:t>
            </w:r>
          </w:p>
        </w:tc>
      </w:tr>
      <w:tr>
        <w:trPr>
          <w:trHeight w:val="348" w:hRule="exact"/>
        </w:trPr>
        <w:tc>
          <w:tcPr>
            <w:tcW w:w="2015"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87"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12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346"/>
              <w:jc w:val="center"/>
              <w:rPr>
                <w:rFonts w:ascii="Times New Roman" w:hAnsi="Times New Roman" w:cs="Times New Roman" w:eastAsia="Times New Roman" w:hint="default"/>
                <w:sz w:val="18"/>
                <w:szCs w:val="18"/>
              </w:rPr>
            </w:pPr>
            <w:r>
              <w:rPr>
                <w:rFonts w:ascii="Times New Roman"/>
                <w:sz w:val="18"/>
              </w:rPr>
              <w:t>a/b</w:t>
            </w:r>
          </w:p>
        </w:tc>
        <w:tc>
          <w:tcPr>
            <w:tcW w:w="2888"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08"/>
              <w:jc w:val="right"/>
              <w:rPr>
                <w:rFonts w:ascii="Times New Roman" w:hAnsi="Times New Roman" w:cs="Times New Roman" w:eastAsia="Times New Roman" w:hint="default"/>
                <w:sz w:val="18"/>
                <w:szCs w:val="18"/>
              </w:rPr>
            </w:pPr>
            <w:r>
              <w:rPr>
                <w:rFonts w:ascii="Times New Roman"/>
                <w:spacing w:val="-1"/>
                <w:sz w:val="18"/>
              </w:rPr>
              <w:t>0.02</w:t>
            </w:r>
          </w:p>
        </w:tc>
        <w:tc>
          <w:tcPr>
            <w:tcW w:w="2270"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0.08</w:t>
            </w:r>
          </w:p>
        </w:tc>
      </w:tr>
    </w:tbl>
    <w:p>
      <w:pPr>
        <w:pStyle w:val="BodyText"/>
        <w:spacing w:line="316" w:lineRule="auto" w:before="8"/>
        <w:ind w:right="7334"/>
        <w:jc w:val="left"/>
      </w:pPr>
      <w:r>
        <w:rPr/>
        <w:t>说明：本公司不存在稀释性的潜在普通股。 基本每股收益：</w:t>
      </w:r>
    </w:p>
    <w:p>
      <w:pPr>
        <w:pStyle w:val="BodyText"/>
        <w:spacing w:line="319" w:lineRule="auto" w:before="19"/>
        <w:ind w:right="1124"/>
        <w:jc w:val="left"/>
      </w:pPr>
      <w:r>
        <w:rPr/>
        <w:t>母公司发行在外普通股的加权平均数＝期初发行在外普通股股数＋当期新发行普通股股数</w:t>
      </w:r>
      <w:r>
        <w:rPr>
          <w:rFonts w:ascii="Times New Roman" w:hAnsi="Times New Roman" w:cs="Times New Roman" w:eastAsia="Times New Roman" w:hint="default"/>
        </w:rPr>
        <w:t>×</w:t>
      </w:r>
      <w:r>
        <w:rPr/>
        <w:t>已发行时间</w:t>
      </w:r>
      <w:r>
        <w:rPr>
          <w:rFonts w:ascii="Times New Roman" w:hAnsi="Times New Roman" w:cs="Times New Roman" w:eastAsia="Times New Roman" w:hint="default"/>
        </w:rPr>
        <w:t>÷</w:t>
      </w:r>
      <w:r>
        <w:rPr/>
        <w:t>报告期时间－当期</w:t>
      </w:r>
      <w:r>
        <w:rPr>
          <w:spacing w:val="-18"/>
        </w:rPr>
        <w:t> </w:t>
      </w:r>
      <w:r>
        <w:rPr>
          <w:spacing w:val="-18"/>
        </w:rPr>
      </w:r>
      <w:r>
        <w:rPr/>
        <w:t>回购普通股股数</w:t>
      </w:r>
      <w:r>
        <w:rPr>
          <w:rFonts w:ascii="Times New Roman" w:hAnsi="Times New Roman" w:cs="Times New Roman" w:eastAsia="Times New Roman" w:hint="default"/>
        </w:rPr>
        <w:t>×</w:t>
      </w:r>
      <w:r>
        <w:rPr/>
        <w:t>已回购时间</w:t>
      </w:r>
      <w:r>
        <w:rPr>
          <w:rFonts w:ascii="Times New Roman" w:hAnsi="Times New Roman" w:cs="Times New Roman" w:eastAsia="Times New Roman" w:hint="default"/>
        </w:rPr>
        <w:t>÷</w:t>
      </w:r>
      <w:r>
        <w:rPr/>
        <w:t>报告期时间 注：根据《企业会计准则第</w:t>
      </w:r>
      <w:r>
        <w:rPr>
          <w:rFonts w:ascii="Times New Roman" w:hAnsi="Times New Roman" w:cs="Times New Roman" w:eastAsia="Times New Roman" w:hint="default"/>
        </w:rPr>
        <w:t>34</w:t>
      </w:r>
      <w:r>
        <w:rPr/>
        <w:t>号</w:t>
      </w:r>
      <w:r>
        <w:rPr>
          <w:rFonts w:ascii="Times New Roman" w:hAnsi="Times New Roman" w:cs="Times New Roman" w:eastAsia="Times New Roman" w:hint="default"/>
        </w:rPr>
        <w:t>—</w:t>
      </w:r>
      <w:r>
        <w:rPr/>
        <w:t>每股收益》及《公开发行证券的公司信息披露编报规则第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净资产收益率和每股收益</w:t>
      </w:r>
    </w:p>
    <w:p>
      <w:pPr>
        <w:pStyle w:val="BodyText"/>
        <w:spacing w:line="246" w:lineRule="exact"/>
        <w:ind w:right="982"/>
        <w:jc w:val="left"/>
      </w:pPr>
      <w:r>
        <w:rPr/>
        <w:t>的计算及披露》（</w:t>
      </w:r>
      <w:r>
        <w:rPr>
          <w:rFonts w:ascii="Times New Roman" w:hAnsi="Times New Roman" w:cs="Times New Roman" w:eastAsia="Times New Roman" w:hint="default"/>
        </w:rPr>
        <w:t>2010</w:t>
      </w:r>
      <w:r>
        <w:rPr/>
        <w:t>年修订）的规定列示计算公式及相关数据的计算过程。</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3"/>
      </w:tblGrid>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5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可供出售金融资产产生的利得（损失）金额</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1,471,054.70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-1,604,788.44</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94"/>
              <w:jc w:val="right"/>
              <w:rPr>
                <w:rFonts w:ascii="宋体" w:hAnsi="宋体" w:cs="宋体" w:eastAsia="宋体" w:hint="default"/>
                <w:sz w:val="18"/>
                <w:szCs w:val="18"/>
              </w:rPr>
            </w:pPr>
            <w:r>
              <w:rPr>
                <w:rFonts w:ascii="宋体" w:hAnsi="宋体" w:cs="宋体" w:eastAsia="宋体" w:hint="default"/>
                <w:spacing w:val="-1"/>
                <w:sz w:val="18"/>
                <w:szCs w:val="18"/>
              </w:rPr>
              <w:t>减：可供出售金融资产产生的所得税影响</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367,763.67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-401,197.11</w:t>
            </w:r>
          </w:p>
        </w:tc>
      </w:tr>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1,103,291.03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-1,203,591.33</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1,103,291.03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-1,203,591.33</w:t>
            </w:r>
          </w:p>
        </w:tc>
      </w:tr>
    </w:tbl>
    <w:p>
      <w:pPr>
        <w:pStyle w:val="BodyText"/>
        <w:spacing w:line="357" w:lineRule="auto" w:before="49"/>
        <w:ind w:right="2609"/>
        <w:jc w:val="left"/>
        <w:rPr>
          <w:rFonts w:ascii="Times New Roman" w:hAnsi="Times New Roman" w:cs="Times New Roman" w:eastAsia="Times New Roman" w:hint="default"/>
        </w:rPr>
      </w:pPr>
      <w:r>
        <w:rPr/>
        <w:t>其他综合收益说明 公司其他综合收益为公司持有交通银行的股权划分为可供出售的金融资产，交通银行公允价值变动产生</w:t>
      </w:r>
      <w:r>
        <w:rPr>
          <w:rFonts w:ascii="Times New Roman" w:hAnsi="Times New Roman" w:cs="Times New Roman" w:eastAsia="Times New Roman" w:hint="default"/>
        </w:rPr>
        <w:t>.</w:t>
      </w:r>
    </w:p>
    <w:p>
      <w:pPr>
        <w:spacing w:after="0" w:line="357" w:lineRule="auto"/>
        <w:jc w:val="left"/>
        <w:rPr>
          <w:rFonts w:ascii="Times New Roman" w:hAnsi="Times New Roman" w:cs="Times New Roman" w:eastAsia="Times New Roman" w:hint="default"/>
        </w:rPr>
        <w:sectPr>
          <w:pgSz w:w="11910" w:h="16840"/>
          <w:pgMar w:header="877" w:footer="1340" w:top="1060" w:bottom="154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982"/>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85"/>
      </w:tblGrid>
      <w:tr>
        <w:trPr>
          <w:trHeight w:val="396"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8"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7,314,041.14</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17,851,266.24</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43,735,100.00</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2,630,688.02</w:t>
            </w:r>
          </w:p>
        </w:tc>
      </w:tr>
      <w:tr>
        <w:trPr>
          <w:trHeight w:val="404"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71,531,095.40</w:t>
            </w:r>
          </w:p>
        </w:tc>
      </w:tr>
    </w:tbl>
    <w:p>
      <w:pPr>
        <w:pStyle w:val="BodyText"/>
        <w:spacing w:line="240" w:lineRule="auto" w:before="49"/>
        <w:ind w:right="982"/>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85"/>
      </w:tblGrid>
      <w:tr>
        <w:trPr>
          <w:trHeight w:val="396"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8"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4,613,999.37</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3,903,025.88</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3,071,960.29</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1,641,862.34</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1,004,290.35</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8,290,731.09</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12,410,128.79</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34,935,998.11</w:t>
            </w:r>
          </w:p>
        </w:tc>
      </w:tr>
    </w:tbl>
    <w:p>
      <w:pPr>
        <w:pStyle w:val="BodyText"/>
        <w:spacing w:line="240" w:lineRule="auto" w:before="49"/>
        <w:ind w:right="982"/>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4"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982"/>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right="982"/>
        <w:jc w:val="left"/>
      </w:pPr>
      <w:r>
        <w:rPr/>
        <w:t>支付的其他与投资活动有关的现金说明</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398"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6"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268,920,000.00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借款质押存单</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8,527,490.46</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277,447,490.46</w:t>
            </w:r>
          </w:p>
        </w:tc>
      </w:tr>
    </w:tbl>
    <w:p>
      <w:pPr>
        <w:pStyle w:val="BodyText"/>
        <w:spacing w:line="240" w:lineRule="auto" w:before="49"/>
        <w:ind w:right="982"/>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398"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6"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公司债券费用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1,062,600.00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短期融资券费用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501,312,600.00</w:t>
            </w:r>
          </w:p>
        </w:tc>
      </w:tr>
    </w:tbl>
    <w:p>
      <w:pPr>
        <w:pStyle w:val="BodyText"/>
        <w:spacing w:line="240" w:lineRule="auto" w:before="49"/>
        <w:ind w:right="982"/>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3"/>
        <w:gridCol w:w="2538"/>
        <w:gridCol w:w="2657"/>
      </w:tblGrid>
      <w:tr>
        <w:trPr>
          <w:trHeight w:val="403"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11,700,295.91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57,189,903.15</w:t>
            </w:r>
          </w:p>
        </w:tc>
      </w:tr>
      <w:tr>
        <w:trPr>
          <w:trHeight w:val="401"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12,021,202.27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1,906,142.47</w:t>
            </w:r>
          </w:p>
        </w:tc>
      </w:tr>
      <w:tr>
        <w:trPr>
          <w:trHeight w:val="403"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128,622,649.16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122,899,629.12</w:t>
            </w:r>
          </w:p>
        </w:tc>
      </w:tr>
      <w:tr>
        <w:trPr>
          <w:trHeight w:val="401"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3,491,591.82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5,053,429.66</w:t>
            </w:r>
          </w:p>
        </w:tc>
      </w:tr>
      <w:tr>
        <w:trPr>
          <w:trHeight w:val="404"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207,463.30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以“－”号填列）</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-100,284,021.39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-72,088,159.41</w:t>
            </w:r>
          </w:p>
        </w:tc>
      </w:tr>
      <w:tr>
        <w:trPr>
          <w:trHeight w:val="403"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38"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148,158.40</w:t>
            </w:r>
          </w:p>
        </w:tc>
      </w:tr>
      <w:tr>
        <w:trPr>
          <w:trHeight w:val="401"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-157,325.00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157,325.00</w:t>
            </w:r>
          </w:p>
        </w:tc>
      </w:tr>
      <w:tr>
        <w:trPr>
          <w:trHeight w:val="403"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124,795,739.08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95,303,320.43</w:t>
            </w:r>
          </w:p>
        </w:tc>
      </w:tr>
      <w:tr>
        <w:trPr>
          <w:trHeight w:val="401"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-5,108,854.30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-3,432,682.14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-1,039,400.80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2,099,812.67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-119,293.75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-152,588,088.77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-247,477,880.83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-64,038,694.22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-375,423,612.57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-78,794,712.02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234,050,570.42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-121,172,154.96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-179,733,337.38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733,873,975.41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551,014,883.95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551,014,883.95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883,775,506.40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182,859,091.46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-332,760,622.45</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80"/>
        <w:gridCol w:w="2523"/>
        <w:gridCol w:w="2644"/>
      </w:tblGrid>
      <w:tr>
        <w:trPr>
          <w:trHeight w:val="402" w:hRule="exact"/>
        </w:trPr>
        <w:tc>
          <w:tcPr>
            <w:tcW w:w="4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3"/>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523" w:type="dxa"/>
            <w:tcBorders>
              <w:top w:val="single" w:sz="4" w:space="0" w:color="000000"/>
              <w:left w:val="single" w:sz="12" w:space="0" w:color="D2D2D2"/>
              <w:bottom w:val="single" w:sz="4" w:space="0" w:color="000000"/>
              <w:right w:val="single" w:sz="4" w:space="0" w:color="000000"/>
            </w:tcBorders>
          </w:tcPr>
          <w:p>
            <w:pPr/>
          </w:p>
        </w:tc>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76" w:right="0"/>
              <w:jc w:val="left"/>
              <w:rPr>
                <w:rFonts w:ascii="Times New Roman" w:hAnsi="Times New Roman" w:cs="Times New Roman" w:eastAsia="Times New Roman" w:hint="default"/>
                <w:sz w:val="18"/>
                <w:szCs w:val="18"/>
              </w:rPr>
            </w:pPr>
            <w:r>
              <w:rPr>
                <w:rFonts w:ascii="Times New Roman"/>
                <w:sz w:val="18"/>
              </w:rPr>
              <w:t>3,839,346.81</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733,873,975.41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551,014,883.95</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1,075,694.29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1,591,264.10</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728,768,279.78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539,142,456.10</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4,030,001.34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10,281,163.75</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733,873,975.41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551,014,883.95</w:t>
            </w:r>
          </w:p>
        </w:tc>
      </w:tr>
    </w:tbl>
    <w:p>
      <w:pPr>
        <w:pStyle w:val="BodyText"/>
        <w:spacing w:line="240" w:lineRule="auto" w:before="49"/>
        <w:ind w:right="982"/>
        <w:jc w:val="left"/>
      </w:pPr>
      <w:r>
        <w:rPr/>
        <w:t>现金流量表补充资料的说明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说明对上年年末余额进行调整的“其他”项目名称及调整金额、由同一控制下企业合并产生的追溯调整等事项</w:t>
      </w:r>
    </w:p>
    <w:p>
      <w:pPr>
        <w:spacing w:after="0" w:line="240" w:lineRule="auto"/>
        <w:jc w:val="left"/>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八、资产证券化业务的会计处理</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71"/>
        <w:gridCol w:w="1367"/>
        <w:gridCol w:w="1365"/>
        <w:gridCol w:w="1368"/>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
        <w:rPr>
          <w:rFonts w:ascii="宋体" w:hAnsi="宋体" w:cs="宋体" w:eastAsia="宋体" w:hint="default"/>
          <w:sz w:val="18"/>
          <w:szCs w:val="18"/>
        </w:rPr>
      </w:pPr>
    </w:p>
    <w:p>
      <w:pPr>
        <w:pStyle w:val="Heading2"/>
        <w:spacing w:line="240" w:lineRule="auto" w:before="26"/>
        <w:ind w:right="982"/>
        <w:jc w:val="left"/>
        <w:rPr>
          <w:b w:val="0"/>
          <w:bCs w:val="0"/>
        </w:rPr>
      </w:pPr>
      <w:r>
        <w:rPr/>
        <w:t>九、关联方及关联交易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pict>
          <v:shape style="position:absolute;margin-left:275.809998pt;margin-top:86.751709pt;width:85.35pt;height:140.450pt;mso-position-horizontal-relative:page;mso-position-vertical-relative:paragraph;z-index:-9482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0" w:right="0"/>
                    <w:jc w:val="left"/>
                  </w:pPr>
                  <w:r>
                    <w:rPr/>
                    <w:t>售，棉花、</w:t>
                  </w:r>
                </w:p>
              </w:txbxContent>
            </v:textbox>
            <w10:wrap type="none"/>
          </v:shape>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3"/>
        <w:gridCol w:w="870"/>
        <w:gridCol w:w="870"/>
        <w:gridCol w:w="869"/>
        <w:gridCol w:w="871"/>
        <w:gridCol w:w="869"/>
        <w:gridCol w:w="871"/>
        <w:gridCol w:w="869"/>
        <w:gridCol w:w="872"/>
        <w:gridCol w:w="869"/>
        <w:gridCol w:w="862"/>
      </w:tblGrid>
      <w:tr>
        <w:trPr>
          <w:trHeight w:val="1337" w:hRule="exact"/>
        </w:trPr>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持股比例 </w:t>
            </w:r>
            <w:r>
              <w:rPr>
                <w:rFonts w:ascii="Times New Roman" w:hAnsi="Times New Roman" w:cs="Times New Roman" w:eastAsia="Times New Roman"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6332" w:hRule="exact"/>
        </w:trPr>
        <w:tc>
          <w:tcPr>
            <w:tcW w:w="87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2" w:right="118"/>
              <w:jc w:val="both"/>
              <w:rPr>
                <w:rFonts w:ascii="宋体" w:hAnsi="宋体" w:cs="宋体" w:eastAsia="宋体" w:hint="default"/>
                <w:sz w:val="18"/>
                <w:szCs w:val="18"/>
              </w:rPr>
            </w:pPr>
            <w:r>
              <w:rPr>
                <w:rFonts w:ascii="宋体" w:hAnsi="宋体" w:cs="宋体" w:eastAsia="宋体" w:hint="default"/>
                <w:sz w:val="18"/>
                <w:szCs w:val="18"/>
              </w:rPr>
              <w:t>石家庄常 山纺织集 团有限责 任公司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国有独资</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石家庄和 平东路 </w:t>
            </w:r>
            <w:r>
              <w:rPr>
                <w:rFonts w:ascii="Times New Roman" w:hAnsi="Times New Roman" w:cs="Times New Roman" w:eastAsia="Times New Roman" w:hint="default"/>
                <w:sz w:val="18"/>
                <w:szCs w:val="18"/>
              </w:rPr>
              <w:t>260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8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针纺织品 设计、开 </w:t>
            </w:r>
            <w:r>
              <w:rPr>
                <w:rFonts w:ascii="宋体" w:hAnsi="宋体" w:cs="宋体" w:eastAsia="宋体" w:hint="default"/>
                <w:spacing w:val="-18"/>
                <w:sz w:val="18"/>
                <w:szCs w:val="18"/>
              </w:rPr>
              <w:t>发、制造销</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纺织品的 </w:t>
            </w:r>
            <w:r>
              <w:rPr>
                <w:rFonts w:ascii="宋体" w:hAnsi="宋体" w:cs="宋体" w:eastAsia="宋体" w:hint="default"/>
                <w:spacing w:val="-18"/>
                <w:sz w:val="18"/>
                <w:szCs w:val="18"/>
              </w:rPr>
              <w:t>进出口，纺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织技术咨 </w:t>
            </w:r>
            <w:r>
              <w:rPr>
                <w:rFonts w:ascii="宋体" w:hAnsi="宋体" w:cs="宋体" w:eastAsia="宋体" w:hint="default"/>
                <w:spacing w:val="-18"/>
                <w:sz w:val="18"/>
                <w:szCs w:val="18"/>
              </w:rPr>
              <w:t>询，纺织设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备配件配 材加工销 </w:t>
            </w:r>
            <w:r>
              <w:rPr>
                <w:rFonts w:ascii="宋体" w:hAnsi="宋体" w:cs="宋体" w:eastAsia="宋体" w:hint="default"/>
                <w:spacing w:val="-18"/>
                <w:sz w:val="18"/>
                <w:szCs w:val="18"/>
              </w:rPr>
              <w:t>售，轻化工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产品，电子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机械，普通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机械，百 </w:t>
            </w:r>
            <w:r>
              <w:rPr>
                <w:rFonts w:ascii="宋体" w:hAnsi="宋体" w:cs="宋体" w:eastAsia="宋体" w:hint="default"/>
                <w:spacing w:val="-18"/>
                <w:sz w:val="18"/>
                <w:szCs w:val="18"/>
              </w:rPr>
              <w:t>货，金属材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料（不含稀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贵金属）批</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仓库出租</w:t>
            </w:r>
          </w:p>
        </w:tc>
        <w:tc>
          <w:tcPr>
            <w:tcW w:w="8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1,253,540,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48.06%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48.06%</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石家庄市 国有资产 监督管理 委员会</w:t>
            </w:r>
          </w:p>
        </w:tc>
        <w:tc>
          <w:tcPr>
            <w:tcW w:w="8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23604417-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982"/>
        <w:jc w:val="left"/>
      </w:pPr>
      <w:r>
        <w:rPr/>
        <w:pict>
          <v:shape style="position:absolute;margin-left:275.809998pt;margin-top:-140.89827pt;width:85.35pt;height:140.450pt;mso-position-horizontal-relative:page;mso-position-vertical-relative:paragraph;z-index:-9482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BodyText"/>
                    <w:spacing w:line="316" w:lineRule="auto"/>
                    <w:ind w:left="0" w:right="804"/>
                    <w:jc w:val="left"/>
                  </w:pPr>
                  <w:r>
                    <w:rPr/>
                    <w:t>发、零售、 仓储服务、</w:t>
                  </w:r>
                </w:p>
              </w:txbxContent>
            </v:textbox>
            <w10:wrap type="none"/>
          </v:shape>
        </w:pict>
      </w:r>
      <w:r>
        <w:rPr/>
        <w:t>本企业的母公司情况的说明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60"/>
        <w:gridCol w:w="958"/>
        <w:gridCol w:w="956"/>
        <w:gridCol w:w="958"/>
        <w:gridCol w:w="955"/>
        <w:gridCol w:w="958"/>
        <w:gridCol w:w="958"/>
      </w:tblGrid>
      <w:tr>
        <w:trPr>
          <w:trHeight w:val="714" w:hRule="exact"/>
        </w:trPr>
        <w:tc>
          <w:tcPr>
            <w:tcW w:w="957"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9"/>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319"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6" w:hRule="exact"/>
        </w:trPr>
        <w:tc>
          <w:tcPr>
            <w:tcW w:w="957" w:type="dxa"/>
            <w:tcBorders>
              <w:top w:val="single" w:sz="5" w:space="0" w:color="FFFFFF"/>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22"/>
              <w:jc w:val="both"/>
              <w:rPr>
                <w:rFonts w:ascii="宋体" w:hAnsi="宋体" w:cs="宋体" w:eastAsia="宋体" w:hint="default"/>
                <w:sz w:val="18"/>
                <w:szCs w:val="18"/>
              </w:rPr>
            </w:pPr>
            <w:r>
              <w:rPr>
                <w:rFonts w:ascii="宋体" w:hAnsi="宋体" w:cs="宋体" w:eastAsia="宋体" w:hint="default"/>
                <w:sz w:val="18"/>
                <w:szCs w:val="18"/>
              </w:rPr>
              <w:t>上海棉宏国 际贸易有限 公司</w:t>
            </w:r>
          </w:p>
        </w:tc>
        <w:tc>
          <w:tcPr>
            <w:tcW w:w="958" w:type="dxa"/>
            <w:tcBorders>
              <w:top w:val="single" w:sz="5" w:space="0" w:color="FFFFFF"/>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5" w:space="0" w:color="FFFFFF"/>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5" w:space="0" w:color="FFFFFF"/>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上海泰谷路</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p>
        </w:tc>
        <w:tc>
          <w:tcPr>
            <w:tcW w:w="958" w:type="dxa"/>
            <w:tcBorders>
              <w:top w:val="single" w:sz="5" w:space="0" w:color="FFFFFF"/>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刘运海</w:t>
            </w:r>
          </w:p>
        </w:tc>
        <w:tc>
          <w:tcPr>
            <w:tcW w:w="956" w:type="dxa"/>
            <w:tcBorders>
              <w:top w:val="single" w:sz="5" w:space="0" w:color="FFFFFF"/>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国际贸易</w:t>
            </w:r>
          </w:p>
        </w:tc>
        <w:tc>
          <w:tcPr>
            <w:tcW w:w="958" w:type="dxa"/>
            <w:tcBorders>
              <w:top w:val="single" w:sz="5" w:space="0" w:color="FFFFFF"/>
              <w:left w:val="single" w:sz="4" w:space="0" w:color="000000"/>
              <w:bottom w:val="single" w:sz="4" w:space="0" w:color="000000"/>
              <w:right w:val="single" w:sz="4" w:space="0" w:color="000000"/>
            </w:tcBorders>
            <w:shd w:val="clear" w:color="auto" w:fill="C6ECCC"/>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5" w:space="0" w:color="FFFFFF"/>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5" w:space="0" w:color="FFFFFF"/>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5" w:space="0" w:color="FFFFFF"/>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13388293-2</w:t>
            </w:r>
          </w:p>
        </w:tc>
      </w:tr>
      <w:tr>
        <w:trPr>
          <w:trHeight w:val="1025"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22"/>
              <w:jc w:val="both"/>
              <w:rPr>
                <w:rFonts w:ascii="宋体" w:hAnsi="宋体" w:cs="宋体" w:eastAsia="宋体" w:hint="default"/>
                <w:sz w:val="18"/>
                <w:szCs w:val="18"/>
              </w:rPr>
            </w:pPr>
            <w:r>
              <w:rPr>
                <w:rFonts w:ascii="宋体" w:hAnsi="宋体" w:cs="宋体" w:eastAsia="宋体" w:hint="default"/>
                <w:sz w:val="18"/>
                <w:szCs w:val="18"/>
              </w:rPr>
              <w:t>上海冀源国 际贸易有限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上海泰谷路</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邓中斌</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国际贸易</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1,980,000.0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13388085-7</w:t>
            </w:r>
          </w:p>
        </w:tc>
      </w:tr>
      <w:tr>
        <w:trPr>
          <w:trHeight w:val="1652"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2"/>
              <w:jc w:val="both"/>
              <w:rPr>
                <w:rFonts w:ascii="宋体" w:hAnsi="宋体" w:cs="宋体" w:eastAsia="宋体" w:hint="default"/>
                <w:sz w:val="18"/>
                <w:szCs w:val="18"/>
              </w:rPr>
            </w:pPr>
            <w:r>
              <w:rPr>
                <w:rFonts w:ascii="宋体" w:hAnsi="宋体" w:cs="宋体" w:eastAsia="宋体" w:hint="default"/>
                <w:sz w:val="18"/>
                <w:szCs w:val="18"/>
              </w:rPr>
              <w:t>石家庄常山 恒新纺织有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24"/>
              <w:jc w:val="both"/>
              <w:rPr>
                <w:rFonts w:ascii="宋体" w:hAnsi="宋体" w:cs="宋体" w:eastAsia="宋体" w:hint="default"/>
                <w:sz w:val="18"/>
                <w:szCs w:val="18"/>
              </w:rPr>
            </w:pPr>
            <w:r>
              <w:rPr>
                <w:rFonts w:ascii="宋体" w:hAnsi="宋体" w:cs="宋体" w:eastAsia="宋体" w:hint="default"/>
                <w:sz w:val="18"/>
                <w:szCs w:val="18"/>
              </w:rPr>
              <w:t>石家庄开发 区黄河大道 </w:t>
            </w:r>
            <w:r>
              <w:rPr>
                <w:rFonts w:ascii="Times New Roman" w:hAnsi="Times New Roman" w:cs="Times New Roman" w:eastAsia="Times New Roman" w:hint="default"/>
                <w:sz w:val="18"/>
                <w:szCs w:val="18"/>
              </w:rPr>
              <w:t>151 </w:t>
            </w:r>
            <w:r>
              <w:rPr>
                <w:rFonts w:ascii="宋体" w:hAnsi="宋体" w:cs="宋体" w:eastAsia="宋体" w:hint="default"/>
                <w:sz w:val="18"/>
                <w:szCs w:val="18"/>
              </w:rPr>
              <w:t>号</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天然、功能 型纤维、纺 织品及服装 的研究开发 制造销售等</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150,000,000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75240504-3</w:t>
            </w:r>
          </w:p>
        </w:tc>
      </w:tr>
      <w:tr>
        <w:trPr>
          <w:trHeight w:val="1337"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z w:val="18"/>
                <w:szCs w:val="18"/>
              </w:rPr>
              <w:t>上海常纺恒 友国际贸易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上海市浦东 新区商城路 </w:t>
            </w:r>
            <w:r>
              <w:rPr>
                <w:rFonts w:ascii="Times New Roman" w:hAnsi="Times New Roman" w:cs="Times New Roman" w:eastAsia="Times New Roman" w:hint="default"/>
                <w:sz w:val="18"/>
                <w:szCs w:val="18"/>
              </w:rPr>
              <w:t>297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1206</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室</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自营和代理 各类商品和 技术进出口 及内销等</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97%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97%</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75381126-2</w:t>
            </w:r>
          </w:p>
        </w:tc>
      </w:tr>
      <w:tr>
        <w:trPr>
          <w:trHeight w:val="1964"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2"/>
              <w:jc w:val="both"/>
              <w:rPr>
                <w:rFonts w:ascii="宋体" w:hAnsi="宋体" w:cs="宋体" w:eastAsia="宋体" w:hint="default"/>
                <w:sz w:val="18"/>
                <w:szCs w:val="18"/>
              </w:rPr>
            </w:pPr>
            <w:r>
              <w:rPr>
                <w:rFonts w:ascii="宋体" w:hAnsi="宋体" w:cs="宋体" w:eastAsia="宋体" w:hint="default"/>
                <w:sz w:val="18"/>
                <w:szCs w:val="18"/>
              </w:rPr>
              <w:t>石家庄常山 赵州纺织有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05"/>
              <w:ind w:left="24" w:right="24"/>
              <w:jc w:val="both"/>
              <w:rPr>
                <w:rFonts w:ascii="宋体" w:hAnsi="宋体" w:cs="宋体" w:eastAsia="宋体" w:hint="default"/>
                <w:sz w:val="18"/>
                <w:szCs w:val="18"/>
              </w:rPr>
            </w:pPr>
            <w:r>
              <w:rPr>
                <w:rFonts w:ascii="宋体" w:hAnsi="宋体" w:cs="宋体" w:eastAsia="宋体" w:hint="default"/>
                <w:sz w:val="18"/>
                <w:szCs w:val="18"/>
              </w:rPr>
              <w:t>河北省赵县 石塔路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132 </w:t>
            </w:r>
            <w:r>
              <w:rPr>
                <w:rFonts w:ascii="宋体" w:hAnsi="宋体" w:cs="宋体" w:eastAsia="宋体" w:hint="default"/>
                <w:sz w:val="18"/>
                <w:szCs w:val="18"/>
              </w:rPr>
              <w:t>号</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谈亚平</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纺织产品、 针织品、服 装印染加 工；棉花的 收购加工批 发零售等</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10,500,000.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75548120-1</w:t>
            </w:r>
          </w:p>
        </w:tc>
      </w:tr>
      <w:tr>
        <w:trPr>
          <w:trHeight w:val="5081"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z w:val="18"/>
                <w:szCs w:val="18"/>
              </w:rPr>
              <w:t>石家庄常山 恒荣进出口 贸易有限公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石家庄和平 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 </w:t>
            </w:r>
            <w:r>
              <w:rPr>
                <w:rFonts w:ascii="宋体" w:hAnsi="宋体" w:cs="宋体" w:eastAsia="宋体" w:hint="default"/>
                <w:sz w:val="18"/>
                <w:szCs w:val="18"/>
              </w:rPr>
              <w:t>号</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自营和代理 各类商品和 技术进出 口，机电设 备及零配 件，车辆配 件，金属材 料，化工产 品</w:t>
            </w:r>
            <w:r>
              <w:rPr>
                <w:rFonts w:ascii="Times New Roman" w:hAnsi="Times New Roman" w:cs="Times New Roman" w:eastAsia="Times New Roman" w:hint="default"/>
                <w:sz w:val="18"/>
                <w:szCs w:val="18"/>
              </w:rPr>
              <w:t>(</w:t>
            </w:r>
            <w:r>
              <w:rPr>
                <w:rFonts w:ascii="宋体" w:hAnsi="宋体" w:cs="宋体" w:eastAsia="宋体" w:hint="default"/>
                <w:sz w:val="18"/>
                <w:szCs w:val="18"/>
              </w:rPr>
              <w:t>危险品 </w:t>
            </w:r>
            <w:r>
              <w:rPr>
                <w:rFonts w:ascii="宋体" w:hAnsi="宋体" w:cs="宋体" w:eastAsia="宋体" w:hint="default"/>
                <w:spacing w:val="-10"/>
                <w:sz w:val="18"/>
                <w:szCs w:val="18"/>
              </w:rPr>
              <w:t>除外</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，建筑</w:t>
            </w:r>
            <w:r>
              <w:rPr>
                <w:rFonts w:ascii="宋体" w:hAnsi="宋体" w:cs="宋体" w:eastAsia="宋体" w:hint="default"/>
                <w:sz w:val="18"/>
                <w:szCs w:val="18"/>
              </w:rPr>
              <w:t> 装饰材料， 纺织原料 </w:t>
            </w:r>
            <w:r>
              <w:rPr>
                <w:rFonts w:ascii="Times New Roman" w:hAnsi="Times New Roman" w:cs="Times New Roman" w:eastAsia="Times New Roman" w:hint="default"/>
                <w:sz w:val="18"/>
                <w:szCs w:val="18"/>
              </w:rPr>
              <w:t>(</w:t>
            </w:r>
            <w:r>
              <w:rPr>
                <w:rFonts w:ascii="宋体" w:hAnsi="宋体" w:cs="宋体" w:eastAsia="宋体" w:hint="default"/>
                <w:sz w:val="18"/>
                <w:szCs w:val="18"/>
              </w:rPr>
              <w:t>棉花收购 除外</w:t>
            </w:r>
            <w:r>
              <w:rPr>
                <w:rFonts w:ascii="Times New Roman" w:hAnsi="Times New Roman" w:cs="Times New Roman" w:eastAsia="Times New Roman" w:hint="default"/>
                <w:sz w:val="18"/>
                <w:szCs w:val="18"/>
              </w:rPr>
              <w:t>)</w:t>
            </w:r>
            <w:r>
              <w:rPr>
                <w:rFonts w:ascii="宋体" w:hAnsi="宋体" w:cs="宋体" w:eastAsia="宋体" w:hint="default"/>
                <w:sz w:val="18"/>
                <w:szCs w:val="18"/>
              </w:rPr>
              <w:t>，百 货，五金交 电的销售</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sz w:val="18"/>
              </w:rPr>
              <w:t>79957978-8</w:t>
            </w:r>
          </w:p>
        </w:tc>
      </w:tr>
      <w:tr>
        <w:trPr>
          <w:trHeight w:val="1027"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常山股份香 港国际贸易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112"/>
              <w:ind w:left="24" w:right="99"/>
              <w:jc w:val="left"/>
              <w:rPr>
                <w:rFonts w:ascii="Times New Roman" w:hAnsi="Times New Roman" w:cs="Times New Roman" w:eastAsia="Times New Roman" w:hint="default"/>
                <w:sz w:val="18"/>
                <w:szCs w:val="18"/>
              </w:rPr>
            </w:pPr>
            <w:r>
              <w:rPr>
                <w:rFonts w:ascii="Times New Roman"/>
                <w:sz w:val="18"/>
              </w:rPr>
              <w:t>SUITE 2006</w:t>
            </w:r>
            <w:r>
              <w:rPr>
                <w:rFonts w:ascii="Times New Roman"/>
                <w:spacing w:val="-1"/>
                <w:sz w:val="18"/>
              </w:rPr>
              <w:t> </w:t>
            </w:r>
            <w:r>
              <w:rPr>
                <w:rFonts w:ascii="Times New Roman"/>
                <w:sz w:val="18"/>
              </w:rPr>
              <w:t>20TH</w:t>
            </w:r>
            <w:r>
              <w:rPr>
                <w:rFonts w:ascii="Times New Roman"/>
                <w:w w:val="99"/>
                <w:sz w:val="18"/>
              </w:rPr>
              <w:t> </w:t>
            </w:r>
            <w:r>
              <w:rPr>
                <w:rFonts w:ascii="Times New Roman"/>
                <w:sz w:val="18"/>
              </w:rPr>
              <w:t>FLOOR</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纺织、服装 产品的销售 及国际贸易</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877" w:footer="1340" w:top="1060" w:bottom="15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60"/>
        <w:gridCol w:w="958"/>
        <w:gridCol w:w="956"/>
        <w:gridCol w:w="958"/>
        <w:gridCol w:w="955"/>
        <w:gridCol w:w="958"/>
        <w:gridCol w:w="958"/>
      </w:tblGrid>
      <w:tr>
        <w:trPr>
          <w:trHeight w:val="1611"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340</w:t>
            </w:r>
          </w:p>
          <w:p>
            <w:pPr>
              <w:pStyle w:val="TableParagraph"/>
              <w:spacing w:line="362" w:lineRule="auto" w:before="105"/>
              <w:ind w:left="24" w:right="94"/>
              <w:jc w:val="left"/>
              <w:rPr>
                <w:rFonts w:ascii="Times New Roman" w:hAnsi="Times New Roman" w:cs="Times New Roman" w:eastAsia="Times New Roman" w:hint="default"/>
                <w:sz w:val="18"/>
                <w:szCs w:val="18"/>
              </w:rPr>
            </w:pPr>
            <w:r>
              <w:rPr>
                <w:rFonts w:ascii="Times New Roman"/>
                <w:sz w:val="18"/>
              </w:rPr>
              <w:t>QUEEN'S</w:t>
            </w:r>
            <w:r>
              <w:rPr>
                <w:rFonts w:ascii="Times New Roman"/>
                <w:w w:val="99"/>
                <w:sz w:val="18"/>
              </w:rPr>
              <w:t> </w:t>
            </w:r>
            <w:r>
              <w:rPr>
                <w:rFonts w:ascii="Times New Roman"/>
                <w:sz w:val="18"/>
              </w:rPr>
              <w:t>ROAD</w:t>
            </w:r>
            <w:r>
              <w:rPr>
                <w:rFonts w:ascii="Times New Roman"/>
                <w:w w:val="99"/>
                <w:sz w:val="18"/>
              </w:rPr>
              <w:t> </w:t>
            </w:r>
            <w:r>
              <w:rPr>
                <w:rFonts w:ascii="Times New Roman"/>
                <w:sz w:val="18"/>
              </w:rPr>
              <w:t>CENTRAL</w:t>
            </w:r>
            <w:r>
              <w:rPr>
                <w:rFonts w:ascii="Times New Roman"/>
                <w:w w:val="99"/>
                <w:sz w:val="18"/>
              </w:rPr>
              <w:t> </w:t>
            </w:r>
            <w:r>
              <w:rPr>
                <w:rFonts w:ascii="Times New Roman"/>
                <w:sz w:val="18"/>
              </w:rPr>
              <w:t>HK</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649"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2"/>
              <w:jc w:val="both"/>
              <w:rPr>
                <w:rFonts w:ascii="宋体" w:hAnsi="宋体" w:cs="宋体" w:eastAsia="宋体" w:hint="default"/>
                <w:sz w:val="18"/>
                <w:szCs w:val="18"/>
              </w:rPr>
            </w:pPr>
            <w:r>
              <w:rPr>
                <w:rFonts w:ascii="宋体" w:hAnsi="宋体" w:cs="宋体" w:eastAsia="宋体" w:hint="default"/>
                <w:sz w:val="18"/>
                <w:szCs w:val="18"/>
              </w:rPr>
              <w:t>石家庄常山 物业服务有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4"/>
              <w:jc w:val="both"/>
              <w:rPr>
                <w:rFonts w:ascii="宋体" w:hAnsi="宋体" w:cs="宋体" w:eastAsia="宋体" w:hint="default"/>
                <w:sz w:val="18"/>
                <w:szCs w:val="18"/>
              </w:rPr>
            </w:pPr>
            <w:r>
              <w:rPr>
                <w:rFonts w:ascii="宋体" w:hAnsi="宋体" w:cs="宋体" w:eastAsia="宋体" w:hint="default"/>
                <w:sz w:val="18"/>
                <w:szCs w:val="18"/>
              </w:rPr>
              <w:t>石家庄长安 区广安大街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胡绪利</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物业管理、 房屋租赁、 保洁服务、 日用百货的 销售</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55766093-8</w:t>
            </w:r>
          </w:p>
        </w:tc>
      </w:tr>
      <w:tr>
        <w:trPr>
          <w:trHeight w:val="6644"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z w:val="18"/>
                <w:szCs w:val="18"/>
              </w:rPr>
              <w:t>库尔勒常山 恒丰商贸有 限责任公司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4"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库尔勒市康 都世纪花园 </w:t>
            </w:r>
            <w:r>
              <w:rPr>
                <w:rFonts w:ascii="Times New Roman" w:hAnsi="Times New Roman" w:cs="Times New Roman" w:eastAsia="Times New Roman" w:hint="default"/>
                <w:sz w:val="18"/>
                <w:szCs w:val="18"/>
              </w:rPr>
              <w:t>47 </w:t>
            </w:r>
            <w:r>
              <w:rPr>
                <w:rFonts w:ascii="宋体" w:hAnsi="宋体" w:cs="宋体" w:eastAsia="宋体" w:hint="default"/>
                <w:sz w:val="18"/>
                <w:szCs w:val="18"/>
              </w:rPr>
              <w:t>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B1-12</w:t>
            </w:r>
          </w:p>
          <w:p>
            <w:pPr>
              <w:pStyle w:val="TableParagraph"/>
              <w:spacing w:line="248" w:lineRule="exact"/>
              <w:ind w:left="24" w:right="0"/>
              <w:jc w:val="both"/>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批发零售： 针纺织品、 服装、其他 农畜产品、 棉花及棉花 副产品、其 他化工产 品、其他机 械设备及电 子产品、有 色金属材 料、建材、 皮革制品、 五金交电、 其他日用 品、服装加 工、产业用 纺织品的设 计、开发， 商业项目的 投资</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3" w:right="0"/>
              <w:jc w:val="left"/>
              <w:rPr>
                <w:rFonts w:ascii="Times New Roman" w:hAnsi="Times New Roman" w:cs="Times New Roman" w:eastAsia="Times New Roman" w:hint="default"/>
                <w:sz w:val="18"/>
                <w:szCs w:val="18"/>
              </w:rPr>
            </w:pPr>
            <w:r>
              <w:rPr>
                <w:rFonts w:ascii="Times New Roman"/>
                <w:sz w:val="18"/>
              </w:rPr>
              <w:t>56052957-8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82"/>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4"/>
        <w:gridCol w:w="954"/>
        <w:gridCol w:w="959"/>
        <w:gridCol w:w="955"/>
        <w:gridCol w:w="956"/>
        <w:gridCol w:w="954"/>
        <w:gridCol w:w="963"/>
        <w:gridCol w:w="964"/>
        <w:gridCol w:w="952"/>
        <w:gridCol w:w="960"/>
      </w:tblGrid>
      <w:tr>
        <w:trPr>
          <w:trHeight w:val="1339"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0"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6"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6" w:right="25"/>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 </w:t>
            </w:r>
            <w:r>
              <w:rPr>
                <w:rFonts w:ascii="Times New Roman" w:hAnsi="Times New Roman" w:cs="Times New Roman" w:eastAsia="Times New Roman" w:hint="default"/>
                <w:sz w:val="18"/>
                <w:szCs w:val="18"/>
              </w:rPr>
              <w:t>(%)</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1"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13" w:hRule="exact"/>
        </w:trPr>
        <w:tc>
          <w:tcPr>
            <w:tcW w:w="9572" w:type="dxa"/>
            <w:gridSpan w:val="10"/>
            <w:tcBorders>
              <w:top w:val="single" w:sz="4" w:space="0" w:color="000000"/>
              <w:left w:val="single" w:sz="4" w:space="0" w:color="000000"/>
              <w:bottom w:val="single" w:sz="8" w:space="0" w:color="C6ECCC"/>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82" w:hRule="exact"/>
        </w:trPr>
        <w:tc>
          <w:tcPr>
            <w:tcW w:w="9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9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石家庄高新</w:t>
            </w:r>
          </w:p>
        </w:tc>
        <w:tc>
          <w:tcPr>
            <w:tcW w:w="9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王天光</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床上用品、</w:t>
            </w:r>
          </w:p>
        </w:tc>
        <w:tc>
          <w:tcPr>
            <w:tcW w:w="9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0"/>
              <w:ind w:right="64"/>
              <w:jc w:val="right"/>
              <w:rPr>
                <w:rFonts w:ascii="Times New Roman" w:hAnsi="Times New Roman" w:cs="Times New Roman" w:eastAsia="Times New Roman" w:hint="default"/>
                <w:sz w:val="18"/>
                <w:szCs w:val="18"/>
              </w:rPr>
            </w:pPr>
            <w:r>
              <w:rPr>
                <w:rFonts w:ascii="Times New Roman"/>
                <w:spacing w:val="-1"/>
                <w:sz w:val="18"/>
              </w:rPr>
              <w:t>1,000,000.0</w:t>
            </w:r>
          </w:p>
        </w:tc>
        <w:tc>
          <w:tcPr>
            <w:tcW w:w="963"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81"/>
              <w:ind w:left="592" w:right="0"/>
              <w:jc w:val="left"/>
              <w:rPr>
                <w:rFonts w:ascii="Times New Roman" w:hAnsi="Times New Roman" w:cs="Times New Roman" w:eastAsia="Times New Roman" w:hint="default"/>
                <w:sz w:val="18"/>
                <w:szCs w:val="18"/>
              </w:rPr>
            </w:pPr>
            <w:r>
              <w:rPr>
                <w:rFonts w:ascii="Times New Roman"/>
                <w:sz w:val="18"/>
              </w:rPr>
              <w:t>40%</w:t>
            </w:r>
          </w:p>
        </w:tc>
        <w:tc>
          <w:tcPr>
            <w:tcW w:w="964"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81"/>
              <w:ind w:left="597" w:right="0"/>
              <w:jc w:val="left"/>
              <w:rPr>
                <w:rFonts w:ascii="Times New Roman" w:hAnsi="Times New Roman" w:cs="Times New Roman" w:eastAsia="Times New Roman" w:hint="default"/>
                <w:sz w:val="18"/>
                <w:szCs w:val="18"/>
              </w:rPr>
            </w:pPr>
            <w:r>
              <w:rPr>
                <w:rFonts w:ascii="Times New Roman"/>
                <w:sz w:val="18"/>
              </w:rPr>
              <w:t>40%</w:t>
            </w:r>
          </w:p>
        </w:tc>
        <w:tc>
          <w:tcPr>
            <w:tcW w:w="9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9"/>
              <w:ind w:left="17"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1"/>
              <w:ind w:left="23" w:right="0"/>
              <w:jc w:val="left"/>
              <w:rPr>
                <w:rFonts w:ascii="Times New Roman" w:hAnsi="Times New Roman" w:cs="Times New Roman" w:eastAsia="Times New Roman" w:hint="default"/>
                <w:sz w:val="18"/>
                <w:szCs w:val="18"/>
              </w:rPr>
            </w:pPr>
            <w:r>
              <w:rPr>
                <w:rFonts w:ascii="Times New Roman"/>
                <w:sz w:val="18"/>
              </w:rPr>
              <w:t>55188251-3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957"/>
        <w:gridCol w:w="953"/>
        <w:gridCol w:w="961"/>
        <w:gridCol w:w="955"/>
        <w:gridCol w:w="955"/>
        <w:gridCol w:w="960"/>
        <w:gridCol w:w="958"/>
        <w:gridCol w:w="959"/>
        <w:gridCol w:w="957"/>
        <w:gridCol w:w="960"/>
      </w:tblGrid>
      <w:tr>
        <w:trPr>
          <w:trHeight w:val="987"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8"/>
              <w:ind w:left="22" w:right="204"/>
              <w:jc w:val="both"/>
              <w:rPr>
                <w:rFonts w:ascii="宋体" w:hAnsi="宋体" w:cs="宋体" w:eastAsia="宋体" w:hint="default"/>
                <w:sz w:val="18"/>
                <w:szCs w:val="18"/>
              </w:rPr>
            </w:pPr>
            <w:r>
              <w:rPr>
                <w:rFonts w:ascii="宋体" w:hAnsi="宋体" w:cs="宋体" w:eastAsia="宋体" w:hint="default"/>
                <w:sz w:val="18"/>
                <w:szCs w:val="18"/>
              </w:rPr>
              <w:t>山明荣家 纺有限公 司</w:t>
            </w:r>
          </w:p>
        </w:tc>
        <w:tc>
          <w:tcPr>
            <w:tcW w:w="95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区长江大道</w:t>
            </w:r>
          </w:p>
          <w:p>
            <w:pPr>
              <w:pStyle w:val="TableParagraph"/>
              <w:spacing w:line="240" w:lineRule="auto" w:before="77"/>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 </w:t>
            </w:r>
            <w:r>
              <w:rPr>
                <w:rFonts w:ascii="宋体" w:hAnsi="宋体" w:cs="宋体" w:eastAsia="宋体" w:hint="default"/>
                <w:sz w:val="18"/>
                <w:szCs w:val="18"/>
              </w:rPr>
              <w:t>号</w:t>
            </w:r>
          </w:p>
        </w:tc>
        <w:tc>
          <w:tcPr>
            <w:tcW w:w="95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服装、纺织 等</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92"/>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 任公司</w:t>
            </w: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71314843-5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石家庄常山纺织集团第二实业有限公司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71838162-3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71587578-3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71838775-0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10439486-8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石家庄常山纺织贸易有限公司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71583735-7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石家庄化工化纤有限公司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10462248-8</w:t>
            </w:r>
          </w:p>
        </w:tc>
      </w:tr>
    </w:tbl>
    <w:p>
      <w:pPr>
        <w:pStyle w:val="BodyText"/>
        <w:spacing w:line="240" w:lineRule="auto" w:before="49"/>
        <w:ind w:right="982"/>
        <w:jc w:val="left"/>
      </w:pPr>
      <w:r>
        <w:rPr/>
        <w:t>本企业的其他关联方情况的说明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40"/>
        <w:jc w:val="right"/>
      </w:pPr>
      <w:r>
        <w:rPr/>
        <w:pict>
          <v:shape style="position:absolute;margin-left:409.630005pt;margin-top:3.831727pt;width:85.5pt;height:15.6pt;mso-position-horizontal-relative:page;mso-position-vertical-relative:paragraph;z-index:-948232" type="#_x0000_t202" filled="false" stroked="false">
            <v:textbox inset="0,0,0,0">
              <w:txbxContent>
                <w:p>
                  <w:pPr>
                    <w:pStyle w:val="BodyText"/>
                    <w:spacing w:line="203" w:lineRule="exact"/>
                    <w:ind w:left="0" w:right="0"/>
                    <w:jc w:val="left"/>
                  </w:pPr>
                  <w:r>
                    <w:rPr/>
                    <w:t>）</w:t>
                  </w:r>
                </w:p>
              </w:txbxContent>
            </v:textbox>
            <w10:wrap type="none"/>
          </v:shape>
        </w:pict>
      </w:r>
      <w:r>
        <w:rPr/>
        <w:pict>
          <v:shape style="position:absolute;margin-left:56.459999pt;margin-top:-51.968273pt;width:479.1pt;height:297.3pt;mso-position-horizontal-relative:page;mso-position-vertical-relative:paragraph;z-index:3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1594"/>
                    <w:gridCol w:w="797"/>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0"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20"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团供销公司</w:t>
                        </w:r>
                      </w:p>
                    </w:tc>
                    <w:tc>
                      <w:tcPr>
                        <w:tcW w:w="17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采购货物</w:t>
                        </w:r>
                      </w:p>
                    </w:tc>
                    <w:tc>
                      <w:tcPr>
                        <w:tcW w:w="14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71,646,219.56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12,986,214.62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r>
                  <w:tr>
                    <w:trPr>
                      <w:trHeight w:val="102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both"/>
                          <w:rPr>
                            <w:rFonts w:ascii="宋体" w:hAnsi="宋体" w:cs="宋体" w:eastAsia="宋体" w:hint="default"/>
                            <w:sz w:val="18"/>
                            <w:szCs w:val="18"/>
                          </w:rPr>
                        </w:pPr>
                        <w:r>
                          <w:rPr>
                            <w:rFonts w:ascii="宋体" w:hAnsi="宋体" w:cs="宋体" w:eastAsia="宋体" w:hint="default"/>
                            <w:sz w:val="18"/>
                            <w:szCs w:val="18"/>
                          </w:rPr>
                          <w:t>石家庄常山纺织集 团进出口贸易有限 责任公司</w:t>
                        </w:r>
                      </w:p>
                    </w:tc>
                    <w:tc>
                      <w:tcPr>
                        <w:tcW w:w="17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采购货物</w:t>
                        </w:r>
                      </w:p>
                    </w:tc>
                    <w:tc>
                      <w:tcPr>
                        <w:tcW w:w="14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55,854,719.43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35,597,861.43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0.87%</w:t>
                        </w:r>
                      </w:p>
                    </w:tc>
                  </w:tr>
                  <w:tr>
                    <w:trPr>
                      <w:trHeight w:val="1028"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both"/>
                          <w:rPr>
                            <w:rFonts w:ascii="宋体" w:hAnsi="宋体" w:cs="宋体" w:eastAsia="宋体" w:hint="default"/>
                            <w:sz w:val="18"/>
                            <w:szCs w:val="18"/>
                          </w:rPr>
                        </w:pPr>
                        <w:r>
                          <w:rPr>
                            <w:rFonts w:ascii="宋体" w:hAnsi="宋体" w:cs="宋体" w:eastAsia="宋体" w:hint="default"/>
                            <w:sz w:val="18"/>
                            <w:szCs w:val="18"/>
                          </w:rPr>
                          <w:t>石家庄常山纺织集 团第四实业有限公 司</w:t>
                        </w:r>
                      </w:p>
                    </w:tc>
                    <w:tc>
                      <w:tcPr>
                        <w:tcW w:w="17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采购货物</w:t>
                        </w:r>
                      </w:p>
                    </w:tc>
                    <w:tc>
                      <w:tcPr>
                        <w:tcW w:w="14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1,465,693.19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1,438,032.31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r>
                  <w:tr>
                    <w:trPr>
                      <w:trHeight w:val="102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both"/>
                          <w:rPr>
                            <w:rFonts w:ascii="宋体" w:hAnsi="宋体" w:cs="宋体" w:eastAsia="宋体" w:hint="default"/>
                            <w:sz w:val="18"/>
                            <w:szCs w:val="18"/>
                          </w:rPr>
                        </w:pPr>
                        <w:r>
                          <w:rPr>
                            <w:rFonts w:ascii="宋体" w:hAnsi="宋体" w:cs="宋体" w:eastAsia="宋体" w:hint="default"/>
                            <w:sz w:val="18"/>
                            <w:szCs w:val="18"/>
                          </w:rPr>
                          <w:t>石家庄常山纺织集 团经编实业有限公 司</w:t>
                        </w:r>
                      </w:p>
                    </w:tc>
                    <w:tc>
                      <w:tcPr>
                        <w:tcW w:w="17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采购货物</w:t>
                        </w:r>
                      </w:p>
                    </w:tc>
                    <w:tc>
                      <w:tcPr>
                        <w:tcW w:w="14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43,862,428.01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60,527,837.59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石家庄化工化纤有 限公司</w:t>
                        </w:r>
                      </w:p>
                    </w:tc>
                    <w:tc>
                      <w:tcPr>
                        <w:tcW w:w="17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采购货物</w:t>
                        </w:r>
                      </w:p>
                    </w:tc>
                    <w:tc>
                      <w:tcPr>
                        <w:tcW w:w="14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2,664,429.48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11,396,068.39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0.28%</w:t>
                        </w:r>
                      </w:p>
                    </w:tc>
                  </w:tr>
                </w:tbl>
                <w:p>
                  <w:pPr/>
                </w:p>
              </w:txbxContent>
            </v:textbox>
            <w10:wrap type="none"/>
          </v:shape>
        </w:pict>
      </w:r>
      <w:r>
        <w:rPr/>
        <w:t>）</w:t>
      </w:r>
    </w:p>
    <w:p>
      <w:pPr>
        <w:spacing w:after="0" w:line="240" w:lineRule="auto"/>
        <w:jc w:val="right"/>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729"/>
        <w:gridCol w:w="1462"/>
        <w:gridCol w:w="1594"/>
        <w:gridCol w:w="797"/>
        <w:gridCol w:w="1594"/>
        <w:gridCol w:w="797"/>
      </w:tblGrid>
      <w:tr>
        <w:trPr>
          <w:trHeight w:val="1028"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2" w:right="120"/>
              <w:jc w:val="both"/>
              <w:rPr>
                <w:rFonts w:ascii="宋体" w:hAnsi="宋体" w:cs="宋体" w:eastAsia="宋体" w:hint="default"/>
                <w:sz w:val="18"/>
                <w:szCs w:val="18"/>
              </w:rPr>
            </w:pPr>
            <w:r>
              <w:rPr>
                <w:rFonts w:ascii="宋体" w:hAnsi="宋体" w:cs="宋体" w:eastAsia="宋体" w:hint="default"/>
                <w:sz w:val="18"/>
                <w:szCs w:val="18"/>
              </w:rPr>
              <w:t>石家庄常山纺织集 团第二实业有限公 司</w:t>
            </w:r>
          </w:p>
        </w:tc>
        <w:tc>
          <w:tcPr>
            <w:tcW w:w="17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采购货物</w:t>
            </w:r>
          </w:p>
        </w:tc>
        <w:tc>
          <w:tcPr>
            <w:tcW w:w="14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25,020.00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982"/>
        <w:jc w:val="left"/>
      </w:pPr>
      <w:r>
        <w:rPr/>
        <w:t>出售商品、提供劳务情况表</w:t>
      </w:r>
    </w:p>
    <w:p>
      <w:pPr>
        <w:pStyle w:val="BodyText"/>
        <w:spacing w:line="240" w:lineRule="auto" w:before="115"/>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40"/>
        <w:jc w:val="right"/>
      </w:pPr>
      <w:r>
        <w:rPr/>
        <w:pict>
          <v:shape style="position:absolute;margin-left:409.630005pt;margin-top:3.831712pt;width:85.5pt;height:15.6pt;mso-position-horizontal-relative:page;mso-position-vertical-relative:paragraph;z-index:-948184" type="#_x0000_t202" filled="false" stroked="false">
            <v:textbox inset="0,0,0,0">
              <w:txbxContent>
                <w:p>
                  <w:pPr>
                    <w:pStyle w:val="BodyText"/>
                    <w:spacing w:line="203" w:lineRule="exact"/>
                    <w:ind w:left="0" w:right="0"/>
                    <w:jc w:val="left"/>
                  </w:pPr>
                  <w:r>
                    <w:rPr/>
                    <w:t>）</w:t>
                  </w:r>
                </w:p>
              </w:txbxContent>
            </v:textbox>
            <w10:wrap type="none"/>
          </v:shape>
        </w:pict>
      </w:r>
      <w:r>
        <w:rPr/>
        <w:pict>
          <v:shape style="position:absolute;margin-left:56.459999pt;margin-top:-51.968288pt;width:479.1pt;height:332.95pt;mso-position-horizontal-relative:page;mso-position-vertical-relative:paragraph;z-index:3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1594"/>
                    <w:gridCol w:w="797"/>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1030"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2" w:right="120"/>
                          <w:jc w:val="both"/>
                          <w:rPr>
                            <w:rFonts w:ascii="宋体" w:hAnsi="宋体" w:cs="宋体" w:eastAsia="宋体" w:hint="default"/>
                            <w:sz w:val="18"/>
                            <w:szCs w:val="18"/>
                          </w:rPr>
                        </w:pPr>
                        <w:r>
                          <w:rPr>
                            <w:rFonts w:ascii="宋体" w:hAnsi="宋体" w:cs="宋体" w:eastAsia="宋体" w:hint="default"/>
                            <w:sz w:val="18"/>
                            <w:szCs w:val="18"/>
                          </w:rPr>
                          <w:t>石家庄常山纺织集 团进出口贸易有限 责任公司</w:t>
                        </w:r>
                      </w:p>
                    </w:tc>
                    <w:tc>
                      <w:tcPr>
                        <w:tcW w:w="17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14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25,579,025.24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12,539,597.41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0.27%</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石家庄常山纺织贸 易有限责任公司</w:t>
                        </w:r>
                      </w:p>
                    </w:tc>
                    <w:tc>
                      <w:tcPr>
                        <w:tcW w:w="17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14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551,186.74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2,039,597.30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团供销公司</w:t>
                        </w:r>
                      </w:p>
                    </w:tc>
                    <w:tc>
                      <w:tcPr>
                        <w:tcW w:w="17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14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8,654,078.59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15,800,583.20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0.34%</w:t>
                        </w:r>
                      </w:p>
                    </w:tc>
                  </w:tr>
                  <w:tr>
                    <w:trPr>
                      <w:trHeight w:val="1027"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both"/>
                          <w:rPr>
                            <w:rFonts w:ascii="宋体" w:hAnsi="宋体" w:cs="宋体" w:eastAsia="宋体" w:hint="default"/>
                            <w:sz w:val="18"/>
                            <w:szCs w:val="18"/>
                          </w:rPr>
                        </w:pPr>
                        <w:r>
                          <w:rPr>
                            <w:rFonts w:ascii="宋体" w:hAnsi="宋体" w:cs="宋体" w:eastAsia="宋体" w:hint="default"/>
                            <w:sz w:val="18"/>
                            <w:szCs w:val="18"/>
                          </w:rPr>
                          <w:t>石家庄常山纺织集 团经编实业有限公 司</w:t>
                        </w:r>
                      </w:p>
                    </w:tc>
                    <w:tc>
                      <w:tcPr>
                        <w:tcW w:w="17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14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26,867,203.37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70,549,775.36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w:t>
                        </w:r>
                      </w:p>
                    </w:tc>
                  </w:tr>
                  <w:tr>
                    <w:trPr>
                      <w:trHeight w:val="102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both"/>
                          <w:rPr>
                            <w:rFonts w:ascii="宋体" w:hAnsi="宋体" w:cs="宋体" w:eastAsia="宋体" w:hint="default"/>
                            <w:sz w:val="18"/>
                            <w:szCs w:val="18"/>
                          </w:rPr>
                        </w:pPr>
                        <w:r>
                          <w:rPr>
                            <w:rFonts w:ascii="宋体" w:hAnsi="宋体" w:cs="宋体" w:eastAsia="宋体" w:hint="default"/>
                            <w:sz w:val="18"/>
                            <w:szCs w:val="18"/>
                          </w:rPr>
                          <w:t>石家庄常山纺织集 团第四实业有限公 司</w:t>
                        </w:r>
                      </w:p>
                    </w:tc>
                    <w:tc>
                      <w:tcPr>
                        <w:tcW w:w="17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14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503,139.15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29,176.75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7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14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7,330.34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3,213.68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982"/>
        <w:jc w:val="left"/>
      </w:pPr>
      <w:r>
        <w:rPr/>
        <w:t>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1"/>
        <w:gridCol w:w="1348"/>
      </w:tblGrid>
      <w:tr>
        <w:trPr>
          <w:trHeight w:val="1025"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2" w:right="22" w:hanging="20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45" w:right="30"/>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pStyle w:val="BodyText"/>
        <w:spacing w:line="240" w:lineRule="auto" w:before="49"/>
        <w:ind w:right="982"/>
        <w:jc w:val="left"/>
      </w:pPr>
      <w:r>
        <w:rPr/>
        <w:t>公司委托管理</w:t>
      </w:r>
      <w:r>
        <w:rPr>
          <w:rFonts w:ascii="Times New Roman" w:hAnsi="Times New Roman" w:cs="Times New Roman" w:eastAsia="Times New Roman" w:hint="default"/>
        </w:rPr>
        <w:t>/</w:t>
      </w:r>
      <w:r>
        <w:rPr/>
        <w:t>出包情况表</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2"/>
        <w:gridCol w:w="1346"/>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412" w:right="23" w:hanging="38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9" w:right="30"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982"/>
        <w:jc w:val="left"/>
      </w:pPr>
      <w:r>
        <w:rPr/>
        <w:t>关联托管</w:t>
      </w:r>
      <w:r>
        <w:rPr>
          <w:rFonts w:ascii="Times New Roman" w:hAnsi="Times New Roman" w:cs="Times New Roman" w:eastAsia="Times New Roman" w:hint="default"/>
        </w:rPr>
        <w:t>/</w:t>
      </w:r>
      <w:r>
        <w:rPr/>
        <w:t>承包情况说明</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公司出租情况表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4"/>
        <w:gridCol w:w="1373"/>
        <w:gridCol w:w="1368"/>
        <w:gridCol w:w="1370"/>
        <w:gridCol w:w="1372"/>
        <w:gridCol w:w="1360"/>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50"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3"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pStyle w:val="BodyText"/>
        <w:spacing w:line="240" w:lineRule="auto" w:before="50"/>
        <w:ind w:right="982"/>
        <w:jc w:val="left"/>
      </w:pPr>
      <w:r>
        <w:rPr/>
        <w:t>公司承租情况表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2"/>
        <w:gridCol w:w="1371"/>
        <w:gridCol w:w="1373"/>
        <w:gridCol w:w="1368"/>
        <w:gridCol w:w="1368"/>
        <w:gridCol w:w="1369"/>
        <w:gridCol w:w="1351"/>
      </w:tblGrid>
      <w:tr>
        <w:trPr>
          <w:trHeight w:val="713"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pStyle w:val="BodyText"/>
        <w:spacing w:line="240" w:lineRule="auto" w:before="49"/>
        <w:ind w:right="982"/>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21"/>
        <w:ind w:right="982"/>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83"/>
        <w:gridCol w:w="160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2"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5"/>
        <w:gridCol w:w="1583"/>
        <w:gridCol w:w="160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204,414,900.00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82,116,500.00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16,629,000.00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10,118,800.00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35,613,600.00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30,374,600.00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5"/>
        <w:gridCol w:w="1583"/>
        <w:gridCol w:w="160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4,875,000.00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4,479,874.92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7,262,500.00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石家庄常山恒荣进 出口贸易有限公司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138,930,787.30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石家庄常山恒荣进 出口贸易有限公司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2,305,033.24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石家庄常山恒荣进 出口贸易有限公司</w:t>
            </w:r>
          </w:p>
        </w:tc>
        <w:tc>
          <w:tcPr>
            <w:tcW w:w="160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412,664.71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982"/>
        <w:jc w:val="left"/>
      </w:pPr>
      <w:r>
        <w:rPr/>
        <w:t>关联担保情况说明</w:t>
      </w:r>
    </w:p>
    <w:p>
      <w:pPr>
        <w:pStyle w:val="BodyText"/>
        <w:spacing w:line="240" w:lineRule="auto" w:before="115"/>
        <w:ind w:right="982"/>
        <w:jc w:val="left"/>
      </w:pPr>
      <w:r>
        <w:rPr/>
        <w:t>①借款担保情况</w:t>
      </w:r>
    </w:p>
    <w:p>
      <w:pPr>
        <w:pStyle w:val="BodyText"/>
        <w:spacing w:line="300" w:lineRule="auto" w:before="117"/>
        <w:ind w:right="1259"/>
        <w:jc w:val="left"/>
      </w:pPr>
      <w:r>
        <w:rPr/>
        <w:t>本公司期末保证短期借款</w:t>
      </w:r>
      <w:r>
        <w:rPr>
          <w:rFonts w:ascii="Times New Roman" w:hAnsi="Times New Roman" w:cs="Times New Roman" w:eastAsia="Times New Roman" w:hint="default"/>
        </w:rPr>
        <w:t>1,322,700,000.00</w:t>
      </w:r>
      <w:r>
        <w:rPr/>
        <w:t>元及子公司石家庄常山恒新纺织有限公司期末保证短期借款</w:t>
      </w:r>
      <w:r>
        <w:rPr>
          <w:rFonts w:ascii="Times New Roman" w:hAnsi="Times New Roman" w:cs="Times New Roman" w:eastAsia="Times New Roman" w:hint="default"/>
        </w:rPr>
        <w:t>60,000,000.00</w:t>
      </w:r>
      <w:r>
        <w:rPr/>
        <w:t>元均由 石家庄常山纺织集团有限责任公司提供保证担保。</w:t>
      </w:r>
    </w:p>
    <w:p>
      <w:pPr>
        <w:pStyle w:val="BodyText"/>
        <w:spacing w:line="316" w:lineRule="auto" w:before="70"/>
        <w:ind w:right="3509"/>
        <w:jc w:val="left"/>
      </w:pPr>
      <w:r>
        <w:rPr/>
        <w:t>②债券担保 石家庄常山纺织集团有限责任公司为本公司发行的公司债券</w:t>
      </w:r>
      <w:r>
        <w:rPr>
          <w:rFonts w:ascii="Times New Roman" w:hAnsi="Times New Roman" w:cs="Times New Roman" w:eastAsia="Times New Roman" w:hint="default"/>
        </w:rPr>
        <w:t>630,000,000.00</w:t>
      </w:r>
      <w:r>
        <w:rPr/>
        <w:t>元提供保证担保。</w:t>
      </w:r>
    </w:p>
    <w:p>
      <w:pPr>
        <w:pStyle w:val="BodyText"/>
        <w:spacing w:line="360" w:lineRule="auto"/>
        <w:ind w:right="2024"/>
        <w:jc w:val="left"/>
      </w:pPr>
      <w:r>
        <w:rPr/>
        <w:t>③其他担保情况 石家庄常山纺织集团有限责任公司为本公司提供</w:t>
      </w:r>
      <w:r>
        <w:rPr>
          <w:rFonts w:ascii="Times New Roman" w:hAnsi="Times New Roman" w:cs="Times New Roman" w:eastAsia="Times New Roman" w:hint="default"/>
        </w:rPr>
        <w:t>379,267,400.00</w:t>
      </w:r>
      <w:r>
        <w:rPr/>
        <w:t>元的信用证保证担保和</w:t>
      </w:r>
      <w:r>
        <w:rPr>
          <w:rFonts w:ascii="Times New Roman" w:hAnsi="Times New Roman" w:cs="Times New Roman" w:eastAsia="Times New Roman" w:hint="default"/>
        </w:rPr>
        <w:t>2,410,000.00</w:t>
      </w:r>
      <w:r>
        <w:rPr/>
        <w:t>元保函担保。</w:t>
      </w:r>
    </w:p>
    <w:p>
      <w:pPr>
        <w:pStyle w:val="BodyText"/>
        <w:spacing w:line="240" w:lineRule="auto" w:before="4"/>
        <w:ind w:right="982"/>
        <w:jc w:val="left"/>
      </w:pPr>
      <w:r>
        <w:rPr/>
        <w:t>④为子公司担保</w:t>
      </w:r>
    </w:p>
    <w:p>
      <w:pPr>
        <w:pStyle w:val="BodyText"/>
        <w:spacing w:line="319" w:lineRule="auto" w:before="118"/>
        <w:ind w:right="982"/>
        <w:jc w:val="left"/>
      </w:pPr>
      <w:r>
        <w:rPr>
          <w:spacing w:val="20"/>
        </w:rPr>
        <w:t>本公司为控股子公司石家庄常山恒新纺织有限公司短期借款</w:t>
      </w:r>
      <w:r>
        <w:rPr>
          <w:spacing w:val="-67"/>
        </w:rPr>
        <w:t> </w:t>
      </w:r>
      <w:r>
        <w:rPr>
          <w:rFonts w:ascii="Times New Roman" w:hAnsi="Times New Roman" w:cs="Times New Roman" w:eastAsia="Times New Roman" w:hint="default"/>
        </w:rPr>
        <w:t>135,000,000.00</w:t>
      </w:r>
      <w:r>
        <w:rPr>
          <w:rFonts w:ascii="Times New Roman" w:hAnsi="Times New Roman" w:cs="Times New Roman" w:eastAsia="Times New Roman" w:hint="default"/>
          <w:spacing w:val="-21"/>
        </w:rPr>
        <w:t> </w:t>
      </w:r>
      <w:r>
        <w:rPr>
          <w:spacing w:val="10"/>
        </w:rPr>
        <w:t>元、</w:t>
      </w:r>
      <w:r>
        <w:rPr>
          <w:spacing w:val="-69"/>
        </w:rPr>
        <w:t> </w:t>
      </w:r>
      <w:r>
        <w:rPr>
          <w:spacing w:val="15"/>
        </w:rPr>
        <w:t>应付票据</w:t>
      </w:r>
      <w:r>
        <w:rPr>
          <w:spacing w:val="-68"/>
        </w:rPr>
        <w:t> </w:t>
      </w:r>
      <w:r>
        <w:rPr>
          <w:rFonts w:ascii="Times New Roman" w:hAnsi="Times New Roman" w:cs="Times New Roman" w:eastAsia="Times New Roman" w:hint="default"/>
        </w:rPr>
        <w:t>20,000,000.00</w:t>
      </w:r>
      <w:r>
        <w:rPr>
          <w:rFonts w:ascii="Times New Roman" w:hAnsi="Times New Roman" w:cs="Times New Roman" w:eastAsia="Times New Roman" w:hint="default"/>
          <w:spacing w:val="-21"/>
        </w:rPr>
        <w:t> </w:t>
      </w:r>
      <w:r>
        <w:rPr>
          <w:spacing w:val="16"/>
        </w:rPr>
        <w:t>元和信用证</w:t>
      </w:r>
      <w:r>
        <w:rPr>
          <w:spacing w:val="-69"/>
        </w:rPr>
        <w:t> </w:t>
      </w:r>
      <w:r>
        <w:rPr>
          <w:rFonts w:ascii="Times New Roman" w:hAnsi="Times New Roman" w:cs="Times New Roman" w:eastAsia="Times New Roman" w:hint="default"/>
        </w:rPr>
        <w:t>16,617,374.92</w:t>
      </w:r>
      <w:r>
        <w:rPr/>
        <w:t>元提供保证担保。 本公司为控股子公司石家庄常山恒荣进出口贸易有限公司进口押汇借款</w:t>
      </w:r>
      <w:r>
        <w:rPr>
          <w:rFonts w:ascii="Times New Roman" w:hAnsi="Times New Roman" w:cs="Times New Roman" w:eastAsia="Times New Roman" w:hint="default"/>
        </w:rPr>
        <w:t>2,717,697.95</w:t>
      </w:r>
      <w:r>
        <w:rPr/>
        <w:t>元和信用证</w:t>
      </w:r>
      <w:r>
        <w:rPr>
          <w:rFonts w:ascii="Times New Roman" w:hAnsi="Times New Roman" w:cs="Times New Roman" w:eastAsia="Times New Roman" w:hint="default"/>
        </w:rPr>
        <w:t>138,930,787.30</w:t>
      </w:r>
      <w:r>
        <w:rPr/>
        <w:t>元提供保证担</w:t>
      </w:r>
    </w:p>
    <w:p>
      <w:pPr>
        <w:pStyle w:val="BodyText"/>
        <w:spacing w:line="233" w:lineRule="exact"/>
        <w:ind w:right="982"/>
        <w:jc w:val="left"/>
      </w:pPr>
      <w:r>
        <w:rPr/>
        <w:t>保。</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pict>
          <v:group style="position:absolute;margin-left:460.320007pt;margin-top:34.811722pt;width:135pt;height:77pt;mso-position-horizontal-relative:page;mso-position-vertical-relative:paragraph;z-index:-948112" coordorigin="9206,696" coordsize="2700,1540">
            <v:shape style="position:absolute;left:9206;top:696;width:2700;height:1540" type="#_x0000_t75" stroked="false">
              <v:imagedata r:id="rId16" o:title=""/>
            </v:shape>
            <v:shape style="position:absolute;left:10504;top:1057;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137</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headerReference w:type="default" r:id="rId71"/>
          <w:footerReference w:type="default" r:id="rId72"/>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72"/>
      </w:tblGrid>
      <w:tr>
        <w:trPr>
          <w:trHeight w:val="402" w:hRule="exact"/>
        </w:trPr>
        <w:tc>
          <w:tcPr>
            <w:tcW w:w="9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38"/>
        <w:jc w:val="right"/>
      </w:pPr>
      <w:r>
        <w:rPr/>
        <w:pict>
          <v:shape style="position:absolute;margin-left:416.350006pt;margin-top:3.711711pt;width:78.75pt;height:15.6pt;mso-position-horizontal-relative:page;mso-position-vertical-relative:paragraph;z-index:-948088" type="#_x0000_t202" filled="false" stroked="false">
            <v:textbox inset="0,0,0,0">
              <w:txbxContent>
                <w:p>
                  <w:pPr>
                    <w:pStyle w:val="BodyText"/>
                    <w:spacing w:line="205" w:lineRule="exact"/>
                    <w:ind w:left="0" w:right="0"/>
                    <w:jc w:val="left"/>
                  </w:pPr>
                  <w:r>
                    <w:rPr/>
                    <w:t>）</w:t>
                  </w:r>
                </w:p>
              </w:txbxContent>
            </v:textbox>
            <w10:wrap type="none"/>
          </v:shape>
        </w:pict>
      </w:r>
      <w:r>
        <w:rPr/>
        <w:pict>
          <v:shape style="position:absolute;margin-left:56.459999pt;margin-top:-52.02829pt;width:479.2pt;height:71.9pt;mso-position-horizontal-relative:page;mso-position-vertical-relative:paragraph;z-index:3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1"/>
                    <w:gridCol w:w="931"/>
                    <w:gridCol w:w="1460"/>
                    <w:gridCol w:w="1330"/>
                    <w:gridCol w:w="1462"/>
                    <w:gridCol w:w="797"/>
                    <w:gridCol w:w="306"/>
                    <w:gridCol w:w="1156"/>
                    <w:gridCol w:w="797"/>
                  </w:tblGrid>
                  <w:tr>
                    <w:trPr>
                      <w:trHeight w:val="402" w:hRule="exact"/>
                    </w:trPr>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283" w:right="9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331"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single" w:sz="4" w:space="0" w:color="000000"/>
                          <w:left w:val="single" w:sz="4" w:space="0" w:color="000000"/>
                          <w:bottom w:val="single" w:sz="4" w:space="0" w:color="000000"/>
                          <w:right w:val="nil" w:sz="6" w:space="0" w:color="auto"/>
                        </w:tcBorders>
                        <w:shd w:val="clear" w:color="auto" w:fill="D2D2D2"/>
                      </w:tcPr>
                      <w:p>
                        <w:pPr/>
                      </w:p>
                    </w:tc>
                    <w:tc>
                      <w:tcPr>
                        <w:tcW w:w="115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上市公司应收关联方款项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79"/>
        <w:gridCol w:w="3770"/>
        <w:gridCol w:w="1271"/>
        <w:gridCol w:w="1080"/>
        <w:gridCol w:w="1261"/>
        <w:gridCol w:w="1080"/>
      </w:tblGrid>
      <w:tr>
        <w:trPr>
          <w:trHeight w:val="402" w:hRule="exact"/>
        </w:trPr>
        <w:tc>
          <w:tcPr>
            <w:tcW w:w="10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3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397" w:hRule="exact"/>
        </w:trPr>
        <w:tc>
          <w:tcPr>
            <w:tcW w:w="1079" w:type="dxa"/>
            <w:vMerge/>
            <w:tcBorders>
              <w:left w:val="single" w:sz="4" w:space="0" w:color="000000"/>
              <w:bottom w:val="single" w:sz="4" w:space="0" w:color="000000"/>
              <w:right w:val="single" w:sz="4" w:space="0" w:color="000000"/>
            </w:tcBorders>
            <w:shd w:val="clear" w:color="auto" w:fill="D2D2D2"/>
          </w:tcPr>
          <w:p>
            <w:pPr/>
          </w:p>
        </w:tc>
        <w:tc>
          <w:tcPr>
            <w:tcW w:w="3770" w:type="dxa"/>
            <w:vMerge/>
            <w:tcBorders>
              <w:left w:val="single" w:sz="4" w:space="0" w:color="000000"/>
              <w:bottom w:val="single" w:sz="4" w:space="0" w:color="000000"/>
              <w:right w:val="single" w:sz="4" w:space="0" w:color="000000"/>
            </w:tcBorders>
            <w:shd w:val="clear" w:color="auto" w:fill="D2D2D2"/>
          </w:tcPr>
          <w:p>
            <w:pPr/>
          </w:p>
        </w:tc>
        <w:tc>
          <w:tcPr>
            <w:tcW w:w="1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7" w:hRule="exact"/>
        </w:trPr>
        <w:tc>
          <w:tcPr>
            <w:tcW w:w="10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271"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4,737,013.39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189,480.54</w:t>
            </w:r>
          </w:p>
        </w:tc>
      </w:tr>
      <w:tr>
        <w:trPr>
          <w:trHeight w:val="402" w:hRule="exact"/>
        </w:trPr>
        <w:tc>
          <w:tcPr>
            <w:tcW w:w="10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71"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5,287.00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211.48</w:t>
            </w:r>
          </w:p>
        </w:tc>
      </w:tr>
      <w:tr>
        <w:trPr>
          <w:trHeight w:val="402" w:hRule="exact"/>
        </w:trPr>
        <w:tc>
          <w:tcPr>
            <w:tcW w:w="10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71"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709,183.36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3,511,045.30</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石家庄化工化纤有限公司</w:t>
            </w:r>
          </w:p>
        </w:tc>
        <w:tc>
          <w:tcPr>
            <w:tcW w:w="1271"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399,812.10</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271"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2,596.74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2,950,896.74</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271"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14,521,247.21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8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t>上市公司应付关联方款项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19"/>
        <w:gridCol w:w="3961"/>
        <w:gridCol w:w="1980"/>
        <w:gridCol w:w="1981"/>
      </w:tblGrid>
      <w:tr>
        <w:trPr>
          <w:trHeight w:val="398" w:hRule="exact"/>
        </w:trPr>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6" w:hRule="exact"/>
        </w:trPr>
        <w:tc>
          <w:tcPr>
            <w:tcW w:w="16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86,767.00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134,855.26</w:t>
            </w:r>
          </w:p>
        </w:tc>
      </w:tr>
      <w:tr>
        <w:trPr>
          <w:trHeight w:val="403" w:hRule="exact"/>
        </w:trPr>
        <w:tc>
          <w:tcPr>
            <w:tcW w:w="16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1,941,230.40</w:t>
            </w:r>
          </w:p>
        </w:tc>
      </w:tr>
      <w:tr>
        <w:trPr>
          <w:trHeight w:val="401" w:hRule="exact"/>
        </w:trPr>
        <w:tc>
          <w:tcPr>
            <w:tcW w:w="16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204,450.39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403,792.97</w:t>
            </w:r>
          </w:p>
        </w:tc>
      </w:tr>
      <w:tr>
        <w:trPr>
          <w:trHeight w:val="403" w:hRule="exact"/>
        </w:trPr>
        <w:tc>
          <w:tcPr>
            <w:tcW w:w="16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石家庄常山纺织集团第二实业有限公司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25,770.60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25,770.60</w:t>
            </w:r>
          </w:p>
        </w:tc>
      </w:tr>
      <w:tr>
        <w:trPr>
          <w:trHeight w:val="401" w:hRule="exact"/>
        </w:trPr>
        <w:tc>
          <w:tcPr>
            <w:tcW w:w="16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石家庄化工化纤有限公司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217,570.40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9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89.28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9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2,384,995.10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73"/>
          <w:pgSz w:w="11910" w:h="16840"/>
          <w:pgMar w:footer="1340" w:header="877" w:top="1060" w:bottom="1540" w:left="980" w:right="0"/>
          <w:pgNumType w:start="138"/>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十、股份支付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340" w:top="1060" w:bottom="1540" w:left="980" w:right="0"/>
        </w:sectPr>
      </w:pPr>
    </w:p>
    <w:p>
      <w:pPr>
        <w:spacing w:line="240" w:lineRule="auto" w:before="0"/>
        <w:rPr>
          <w:rFonts w:ascii="宋体" w:hAnsi="宋体" w:cs="宋体" w:eastAsia="宋体" w:hint="default"/>
          <w:b/>
          <w:bCs/>
          <w:sz w:val="18"/>
          <w:szCs w:val="18"/>
        </w:rPr>
      </w:pPr>
    </w:p>
    <w:p>
      <w:pPr>
        <w:pStyle w:val="BodyText"/>
        <w:spacing w:line="240" w:lineRule="auto" w:before="161"/>
        <w:ind w:right="-5"/>
        <w:jc w:val="left"/>
      </w:pPr>
      <w:r>
        <w:rPr/>
        <w:t>股份支付情况的说明</w:t>
      </w:r>
    </w:p>
    <w:p>
      <w:pPr>
        <w:spacing w:line="240" w:lineRule="auto" w:before="0"/>
        <w:rPr>
          <w:rFonts w:ascii="宋体" w:hAnsi="宋体" w:cs="宋体" w:eastAsia="宋体" w:hint="default"/>
          <w:sz w:val="18"/>
          <w:szCs w:val="18"/>
        </w:rPr>
      </w:pPr>
    </w:p>
    <w:p>
      <w:pPr>
        <w:pStyle w:val="Heading3"/>
        <w:spacing w:line="240" w:lineRule="auto" w:before="118"/>
        <w:ind w:right="-5"/>
        <w:jc w:val="left"/>
        <w:rPr>
          <w:b w:val="0"/>
          <w:bCs w:val="0"/>
        </w:rPr>
      </w:pPr>
      <w:r>
        <w:rPr>
          <w:rFonts w:ascii="Times New Roman" w:hAnsi="Times New Roman" w:cs="Times New Roman" w:eastAsia="Times New Roman" w:hint="default"/>
          <w:spacing w:val="-1"/>
        </w:rPr>
        <w:t>2</w:t>
      </w:r>
      <w:r>
        <w:rPr>
          <w:spacing w:val="-1"/>
        </w:rPr>
        <w:t>、以权益结算的股份支付情况</w:t>
      </w:r>
      <w:r>
        <w:rPr>
          <w:b w:val="0"/>
          <w:bCs w:val="0"/>
          <w:spacing w:val="-1"/>
        </w:rPr>
      </w:r>
    </w:p>
    <w:p>
      <w:pPr>
        <w:pStyle w:val="BodyText"/>
        <w:spacing w:line="240" w:lineRule="auto" w:before="44"/>
        <w:ind w:right="0"/>
        <w:jc w:val="left"/>
      </w:pPr>
      <w:r>
        <w:rPr/>
        <w:br w:type="column"/>
      </w:r>
      <w:r>
        <w:rPr/>
        <w:t>单位：</w:t>
      </w:r>
      <w:r>
        <w:rPr>
          <w:spacing w:val="1"/>
        </w:rPr>
        <w:t> </w:t>
      </w:r>
      <w:r>
        <w:rPr/>
        <w:t>元</w:t>
      </w:r>
    </w:p>
    <w:p>
      <w:pPr>
        <w:spacing w:after="0" w:line="240" w:lineRule="auto"/>
        <w:jc w:val="left"/>
        <w:sectPr>
          <w:type w:val="continuous"/>
          <w:pgSz w:w="11910" w:h="16840"/>
          <w:pgMar w:top="1060" w:bottom="1540" w:left="980" w:right="0"/>
          <w:cols w:num="2" w:equalWidth="0">
            <w:col w:w="3000" w:space="5829"/>
            <w:col w:w="2101"/>
          </w:cols>
        </w:sectPr>
      </w:pP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540" w:left="980" w:right="0"/>
        </w:sectPr>
      </w:pPr>
    </w:p>
    <w:p>
      <w:pPr>
        <w:spacing w:line="240" w:lineRule="auto" w:before="0"/>
        <w:rPr>
          <w:rFonts w:ascii="宋体" w:hAnsi="宋体" w:cs="宋体" w:eastAsia="宋体" w:hint="default"/>
          <w:sz w:val="18"/>
          <w:szCs w:val="18"/>
        </w:rPr>
      </w:pPr>
    </w:p>
    <w:p>
      <w:pPr>
        <w:pStyle w:val="BodyText"/>
        <w:spacing w:line="240" w:lineRule="auto" w:before="161"/>
        <w:ind w:right="-5"/>
        <w:jc w:val="left"/>
      </w:pPr>
      <w:r>
        <w:rPr/>
        <w:t>以权益结算的股份支付的说明</w:t>
      </w:r>
    </w:p>
    <w:p>
      <w:pPr>
        <w:spacing w:line="240" w:lineRule="auto" w:before="0"/>
        <w:rPr>
          <w:rFonts w:ascii="宋体" w:hAnsi="宋体" w:cs="宋体" w:eastAsia="宋体" w:hint="default"/>
          <w:sz w:val="18"/>
          <w:szCs w:val="18"/>
        </w:rPr>
      </w:pPr>
    </w:p>
    <w:p>
      <w:pPr>
        <w:pStyle w:val="Heading3"/>
        <w:spacing w:line="240" w:lineRule="auto" w:before="121"/>
        <w:ind w:right="-5"/>
        <w:jc w:val="left"/>
        <w:rPr>
          <w:b w:val="0"/>
          <w:bCs w:val="0"/>
        </w:rPr>
      </w:pPr>
      <w:r>
        <w:rPr>
          <w:rFonts w:ascii="Times New Roman" w:hAnsi="Times New Roman" w:cs="Times New Roman" w:eastAsia="Times New Roman" w:hint="default"/>
          <w:spacing w:val="-1"/>
        </w:rPr>
        <w:t>3</w:t>
      </w:r>
      <w:r>
        <w:rPr>
          <w:spacing w:val="-1"/>
        </w:rPr>
        <w:t>、以现金结算的股份支付情况</w:t>
      </w:r>
      <w:r>
        <w:rPr>
          <w:b w:val="0"/>
          <w:bCs w:val="0"/>
          <w:spacing w:val="-1"/>
        </w:rPr>
      </w:r>
    </w:p>
    <w:p>
      <w:pPr>
        <w:pStyle w:val="BodyText"/>
        <w:spacing w:line="240" w:lineRule="auto" w:before="44"/>
        <w:ind w:right="0"/>
        <w:jc w:val="left"/>
      </w:pPr>
      <w:r>
        <w:rPr/>
        <w:br w:type="column"/>
      </w:r>
      <w:r>
        <w:rPr/>
        <w:t>单位：</w:t>
      </w:r>
      <w:r>
        <w:rPr>
          <w:spacing w:val="1"/>
        </w:rPr>
        <w:t> </w:t>
      </w:r>
      <w:r>
        <w:rPr/>
        <w:t>元</w:t>
      </w:r>
    </w:p>
    <w:p>
      <w:pPr>
        <w:spacing w:after="0" w:line="240" w:lineRule="auto"/>
        <w:jc w:val="left"/>
        <w:sectPr>
          <w:type w:val="continuous"/>
          <w:pgSz w:w="11910" w:h="16840"/>
          <w:pgMar w:top="1060" w:bottom="1540" w:left="980" w:right="0"/>
          <w:cols w:num="2" w:equalWidth="0">
            <w:col w:w="3000" w:space="5829"/>
            <w:col w:w="2101"/>
          </w:cols>
        </w:sectPr>
      </w:pP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540" w:left="980" w:right="0"/>
        </w:sectPr>
      </w:pPr>
    </w:p>
    <w:p>
      <w:pPr>
        <w:spacing w:line="240" w:lineRule="auto" w:before="0"/>
        <w:rPr>
          <w:rFonts w:ascii="宋体" w:hAnsi="宋体" w:cs="宋体" w:eastAsia="宋体" w:hint="default"/>
          <w:sz w:val="18"/>
          <w:szCs w:val="18"/>
        </w:rPr>
      </w:pPr>
    </w:p>
    <w:p>
      <w:pPr>
        <w:pStyle w:val="BodyText"/>
        <w:spacing w:line="240" w:lineRule="auto" w:before="161"/>
        <w:ind w:right="-20"/>
        <w:jc w:val="left"/>
      </w:pPr>
      <w:r>
        <w:rPr/>
        <w:t>以现金结算的股份支付的说明</w:t>
      </w:r>
    </w:p>
    <w:p>
      <w:pPr>
        <w:spacing w:line="240" w:lineRule="auto" w:before="0"/>
        <w:rPr>
          <w:rFonts w:ascii="宋体" w:hAnsi="宋体" w:cs="宋体" w:eastAsia="宋体" w:hint="default"/>
          <w:sz w:val="18"/>
          <w:szCs w:val="18"/>
        </w:rPr>
      </w:pPr>
    </w:p>
    <w:p>
      <w:pPr>
        <w:pStyle w:val="Heading3"/>
        <w:spacing w:line="240" w:lineRule="auto" w:before="120"/>
        <w:ind w:right="-20"/>
        <w:jc w:val="left"/>
        <w:rPr>
          <w:b w:val="0"/>
          <w:bCs w:val="0"/>
        </w:rPr>
      </w:pPr>
      <w:r>
        <w:rPr>
          <w:rFonts w:ascii="Times New Roman" w:hAnsi="Times New Roman" w:cs="Times New Roman" w:eastAsia="Times New Roman" w:hint="default"/>
        </w:rPr>
        <w:t>4</w:t>
      </w:r>
      <w:r>
        <w:rPr/>
        <w:t>、以股份支付服务情况</w:t>
      </w:r>
      <w:r>
        <w:rPr>
          <w:b w:val="0"/>
          <w:bCs w:val="0"/>
        </w:rPr>
      </w:r>
    </w:p>
    <w:p>
      <w:pPr>
        <w:pStyle w:val="BodyText"/>
        <w:spacing w:line="240" w:lineRule="auto" w:before="44"/>
        <w:ind w:right="0"/>
        <w:jc w:val="left"/>
      </w:pPr>
      <w:r>
        <w:rPr/>
        <w:br w:type="column"/>
      </w:r>
      <w:r>
        <w:rPr/>
        <w:t>单位：</w:t>
      </w:r>
      <w:r>
        <w:rPr>
          <w:spacing w:val="1"/>
        </w:rPr>
        <w:t> </w:t>
      </w:r>
      <w:r>
        <w:rPr/>
        <w:t>元</w:t>
      </w:r>
    </w:p>
    <w:p>
      <w:pPr>
        <w:spacing w:after="0" w:line="240" w:lineRule="auto"/>
        <w:jc w:val="left"/>
        <w:sectPr>
          <w:type w:val="continuous"/>
          <w:pgSz w:w="11910" w:h="16840"/>
          <w:pgMar w:top="1060" w:bottom="1540" w:left="980" w:right="0"/>
          <w:cols w:num="2" w:equalWidth="0">
            <w:col w:w="2493" w:space="6336"/>
            <w:col w:w="2101"/>
          </w:cols>
        </w:sectPr>
      </w:pPr>
    </w:p>
    <w:p>
      <w:pPr>
        <w:spacing w:line="240" w:lineRule="auto" w:before="12"/>
        <w:rPr>
          <w:rFonts w:ascii="宋体" w:hAnsi="宋体" w:cs="宋体" w:eastAsia="宋体" w:hint="default"/>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5</w:t>
      </w:r>
      <w:r>
        <w:rPr/>
        <w:t>、股份支付的修改、终止情况</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982"/>
        <w:jc w:val="left"/>
        <w:rPr>
          <w:b w:val="0"/>
          <w:bCs w:val="0"/>
        </w:rPr>
      </w:pPr>
      <w:r>
        <w:rPr/>
        <w:t>十一、或有事项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、未决诉讼或仲裁形成的或有负债及其财务影响</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其他或有负债及其财务影响</w:t>
      </w:r>
    </w:p>
    <w:p>
      <w:pPr>
        <w:spacing w:line="240" w:lineRule="auto" w:before="3"/>
        <w:rPr>
          <w:rFonts w:ascii="宋体" w:hAnsi="宋体" w:cs="宋体" w:eastAsia="宋体" w:hint="default"/>
          <w:sz w:val="25"/>
          <w:szCs w:val="25"/>
        </w:rPr>
      </w:pPr>
    </w:p>
    <w:p>
      <w:pPr>
        <w:pStyle w:val="Heading2"/>
        <w:spacing w:line="240" w:lineRule="auto"/>
        <w:ind w:right="982"/>
        <w:jc w:val="left"/>
        <w:rPr>
          <w:b w:val="0"/>
          <w:bCs w:val="0"/>
        </w:rPr>
      </w:pPr>
      <w:r>
        <w:rPr/>
        <w:t>十二、承诺事项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7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w w:val="100"/>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、重要的资产负债表日后事项说明</w:t>
      </w:r>
      <w:r>
        <w:rPr>
          <w:rFonts w:ascii="宋体" w:hAnsi="宋体" w:cs="宋体" w:eastAsia="宋体" w:hint="default"/>
          <w:spacing w:val="-1"/>
          <w:sz w:val="21"/>
          <w:szCs w:val="21"/>
        </w:rPr>
      </w:r>
    </w:p>
    <w:p>
      <w:pPr>
        <w:pStyle w:val="BodyText"/>
        <w:spacing w:line="240" w:lineRule="auto" w:before="10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24"/>
          <w:szCs w:val="24"/>
        </w:rPr>
      </w:pPr>
    </w:p>
    <w:p>
      <w:pPr>
        <w:spacing w:line="487" w:lineRule="auto" w:before="36"/>
        <w:ind w:left="152" w:right="771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pStyle w:val="Heading3"/>
        <w:spacing w:line="240" w:lineRule="auto" w:before="81"/>
        <w:ind w:right="982"/>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44"/>
        <w:gridCol w:w="1532"/>
        <w:gridCol w:w="1517"/>
        <w:gridCol w:w="1517"/>
        <w:gridCol w:w="1528"/>
        <w:gridCol w:w="1522"/>
      </w:tblGrid>
      <w:tr>
        <w:trPr>
          <w:trHeight w:val="161" w:hRule="exact"/>
        </w:trPr>
        <w:tc>
          <w:tcPr>
            <w:tcW w:w="1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71"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07" w:right="30"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9" w:hRule="exact"/>
        </w:trPr>
        <w:tc>
          <w:tcPr>
            <w:tcW w:w="955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7"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7"/>
                <w:sz w:val="18"/>
                <w:szCs w:val="18"/>
              </w:rPr>
              <w:t>融资产（不含衍生金融资</w:t>
            </w:r>
            <w:r>
              <w:rPr>
                <w:rFonts w:ascii="宋体" w:hAnsi="宋体" w:cs="宋体" w:eastAsia="宋体" w:hint="default"/>
                <w:sz w:val="18"/>
                <w:szCs w:val="18"/>
              </w:rPr>
              <w:t> 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1,635,043.00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157,325.00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14,326,793.60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1,471,054.70</w:t>
            </w: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15,797,848.30</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15,961,836.60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157,325.00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1,471,054.70</w:t>
            </w: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15,797,848.30</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15,961,836.60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157,325.00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1,471,054.70</w:t>
            </w: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15,797,848.30</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3"/>
        <w:gridCol w:w="1531"/>
        <w:gridCol w:w="1511"/>
        <w:gridCol w:w="1517"/>
        <w:gridCol w:w="1517"/>
        <w:gridCol w:w="1517"/>
      </w:tblGrid>
      <w:tr>
        <w:trPr>
          <w:trHeight w:val="163" w:hRule="exact"/>
        </w:trPr>
        <w:tc>
          <w:tcPr>
            <w:tcW w:w="19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567"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05" w:right="33"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3" w:right="982" w:hanging="361"/>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28"/>
        </w:rPr>
        <w:t> </w:t>
      </w:r>
      <w:r>
        <w:rPr/>
        <w:t>年公司债券的发行 </w:t>
      </w:r>
      <w:r>
        <w:rPr>
          <w:spacing w:val="-3"/>
        </w:rPr>
        <w:t>经中国证券监督管理委员会证监许可</w:t>
      </w:r>
      <w:r>
        <w:rPr>
          <w:rFonts w:ascii="Times New Roman" w:hAnsi="Times New Roman" w:cs="Times New Roman" w:eastAsia="Times New Roman" w:hint="default"/>
          <w:spacing w:val="-3"/>
        </w:rPr>
        <w:t>[2011]1650</w:t>
      </w:r>
      <w:r>
        <w:rPr>
          <w:spacing w:val="-3"/>
        </w:rPr>
        <w:t>号文核准，公司公开发行</w:t>
      </w:r>
      <w:r>
        <w:rPr>
          <w:rFonts w:ascii="Times New Roman" w:hAnsi="Times New Roman" w:cs="Times New Roman" w:eastAsia="Times New Roman" w:hint="default"/>
          <w:spacing w:val="-3"/>
        </w:rPr>
        <w:t>2011</w:t>
      </w:r>
      <w:r>
        <w:rPr>
          <w:spacing w:val="-3"/>
        </w:rPr>
        <w:t>年公司债券。本期债券发行总额为</w:t>
      </w:r>
      <w:r>
        <w:rPr>
          <w:rFonts w:ascii="Times New Roman" w:hAnsi="Times New Roman" w:cs="Times New Roman" w:eastAsia="Times New Roman" w:hint="default"/>
          <w:spacing w:val="-3"/>
        </w:rPr>
        <w:t>6.3</w:t>
      </w:r>
      <w:r>
        <w:rPr>
          <w:spacing w:val="-3"/>
        </w:rPr>
        <w:t>亿元，</w:t>
      </w:r>
    </w:p>
    <w:p>
      <w:pPr>
        <w:pStyle w:val="BodyText"/>
        <w:spacing w:line="228" w:lineRule="exact"/>
        <w:ind w:right="982"/>
        <w:jc w:val="left"/>
      </w:pPr>
      <w:r>
        <w:rPr/>
        <w:t>发行价格每张</w:t>
      </w:r>
      <w:r>
        <w:rPr>
          <w:rFonts w:ascii="Times New Roman" w:hAnsi="Times New Roman" w:cs="Times New Roman" w:eastAsia="Times New Roman" w:hint="default"/>
        </w:rPr>
        <w:t>100</w:t>
      </w:r>
      <w:r>
        <w:rPr/>
        <w:t>元，本期债券面值</w:t>
      </w:r>
      <w:r>
        <w:rPr>
          <w:rFonts w:ascii="Times New Roman" w:hAnsi="Times New Roman" w:cs="Times New Roman" w:eastAsia="Times New Roman" w:hint="default"/>
        </w:rPr>
        <w:t>100</w:t>
      </w:r>
      <w:r>
        <w:rPr/>
        <w:t>元，按面值平价发行。本期债券期限为</w:t>
      </w:r>
      <w:r>
        <w:rPr>
          <w:rFonts w:ascii="Times New Roman" w:hAnsi="Times New Roman" w:cs="Times New Roman" w:eastAsia="Times New Roman" w:hint="default"/>
        </w:rPr>
        <w:t>3</w:t>
      </w:r>
      <w:r>
        <w:rPr/>
        <w:t>年期，票面年利率为</w:t>
      </w:r>
      <w:r>
        <w:rPr>
          <w:rFonts w:ascii="Times New Roman" w:hAnsi="Times New Roman" w:cs="Times New Roman" w:eastAsia="Times New Roman" w:hint="default"/>
        </w:rPr>
        <w:t>8.20%</w:t>
      </w:r>
      <w:r>
        <w:rPr/>
        <w:t>。本期债券每年</w:t>
      </w:r>
    </w:p>
    <w:p>
      <w:pPr>
        <w:pStyle w:val="BodyText"/>
        <w:spacing w:line="240" w:lineRule="auto" w:before="63"/>
        <w:ind w:right="982"/>
        <w:jc w:val="left"/>
      </w:pPr>
      <w:r>
        <w:rPr/>
        <w:t>付息一次，起息日为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日，到期一次还本，最后一期利息随本金的兑付一起支付。</w:t>
      </w:r>
    </w:p>
    <w:p>
      <w:pPr>
        <w:pStyle w:val="BodyText"/>
        <w:spacing w:line="340" w:lineRule="auto" w:before="101"/>
        <w:ind w:left="513" w:right="982" w:hanging="36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28"/>
        </w:rPr>
        <w:t> </w:t>
      </w:r>
      <w:r>
        <w:rPr/>
        <w:t>年短期融资券的发行 </w:t>
      </w:r>
      <w:r>
        <w:rPr>
          <w:spacing w:val="-2"/>
        </w:rPr>
        <w:t>经中国银行间市场交易商协会备案，</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日，公司在全国银行间债券市场公开发行</w:t>
      </w:r>
      <w:r>
        <w:rPr>
          <w:rFonts w:ascii="Times New Roman" w:hAnsi="Times New Roman" w:cs="Times New Roman" w:eastAsia="Times New Roman" w:hint="default"/>
          <w:spacing w:val="-2"/>
        </w:rPr>
        <w:t>2012</w:t>
      </w:r>
      <w:r>
        <w:rPr>
          <w:spacing w:val="-2"/>
        </w:rPr>
        <w:t>年度第一期短</w:t>
      </w:r>
    </w:p>
    <w:p>
      <w:pPr>
        <w:pStyle w:val="BodyText"/>
        <w:spacing w:line="228" w:lineRule="exact"/>
        <w:ind w:right="982"/>
        <w:jc w:val="left"/>
      </w:pPr>
      <w:r>
        <w:rPr/>
        <w:t>期融资券（简称</w:t>
      </w:r>
      <w:r>
        <w:rPr>
          <w:rFonts w:ascii="Times New Roman" w:hAnsi="Times New Roman" w:cs="Times New Roman" w:eastAsia="Times New Roman" w:hint="default"/>
        </w:rPr>
        <w:t>“12</w:t>
      </w:r>
      <w:r>
        <w:rPr/>
        <w:t>常纺</w:t>
      </w:r>
      <w:r>
        <w:rPr>
          <w:rFonts w:ascii="Times New Roman" w:hAnsi="Times New Roman" w:cs="Times New Roman" w:eastAsia="Times New Roman" w:hint="default"/>
        </w:rPr>
        <w:t>CP001”</w:t>
      </w:r>
      <w:r>
        <w:rPr/>
        <w:t>），短期融资券代码</w:t>
      </w:r>
      <w:r>
        <w:rPr>
          <w:rFonts w:ascii="Times New Roman" w:hAnsi="Times New Roman" w:cs="Times New Roman" w:eastAsia="Times New Roman" w:hint="default"/>
        </w:rPr>
        <w:t>041259051</w:t>
      </w:r>
      <w:r>
        <w:rPr/>
        <w:t>，发行总额为</w:t>
      </w:r>
      <w:r>
        <w:rPr>
          <w:rFonts w:ascii="Times New Roman" w:hAnsi="Times New Roman" w:cs="Times New Roman" w:eastAsia="Times New Roman" w:hint="default"/>
        </w:rPr>
        <w:t>2.7</w:t>
      </w:r>
      <w:r>
        <w:rPr/>
        <w:t>亿元人民币，期限</w:t>
      </w:r>
      <w:r>
        <w:rPr>
          <w:rFonts w:ascii="Times New Roman" w:hAnsi="Times New Roman" w:cs="Times New Roman" w:eastAsia="Times New Roman" w:hint="default"/>
        </w:rPr>
        <w:t>365</w:t>
      </w:r>
      <w:r>
        <w:rPr/>
        <w:t>天，每张面值</w:t>
      </w:r>
      <w:r>
        <w:rPr>
          <w:rFonts w:ascii="Times New Roman" w:hAnsi="Times New Roman" w:cs="Times New Roman" w:eastAsia="Times New Roman" w:hint="default"/>
        </w:rPr>
        <w:t>100</w:t>
      </w:r>
      <w:r>
        <w:rPr/>
        <w:t>元，</w:t>
      </w:r>
    </w:p>
    <w:p>
      <w:pPr>
        <w:pStyle w:val="BodyText"/>
        <w:spacing w:line="240" w:lineRule="auto" w:before="63"/>
        <w:ind w:right="982"/>
        <w:jc w:val="left"/>
      </w:pPr>
      <w:r>
        <w:rPr/>
        <w:t>票面年利率为</w:t>
      </w:r>
      <w:r>
        <w:rPr>
          <w:rFonts w:ascii="Times New Roman" w:hAnsi="Times New Roman" w:cs="Times New Roman" w:eastAsia="Times New Roman" w:hint="default"/>
        </w:rPr>
        <w:t>6.50%</w:t>
      </w:r>
      <w:r>
        <w:rPr/>
        <w:t>，主承销商为中信银行股份有限公司，起息日为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日，计息方式为利随本清。</w:t>
      </w:r>
    </w:p>
    <w:p>
      <w:pPr>
        <w:pStyle w:val="BodyText"/>
        <w:spacing w:line="240" w:lineRule="auto" w:before="104"/>
        <w:ind w:right="982"/>
        <w:jc w:val="left"/>
      </w:pPr>
      <w:r>
        <w:rPr>
          <w:rFonts w:ascii="Times New Roman" w:hAnsi="Times New Roman" w:cs="Times New Roman" w:eastAsia="Times New Roman" w:hint="default"/>
        </w:rPr>
        <w:t>3</w:t>
      </w:r>
      <w:r>
        <w:rPr/>
        <w:t>、资产处置情况</w:t>
      </w:r>
    </w:p>
    <w:p>
      <w:pPr>
        <w:pStyle w:val="BodyText"/>
        <w:spacing w:line="300" w:lineRule="auto" w:before="101"/>
        <w:ind w:right="1128" w:firstLine="360"/>
        <w:jc w:val="right"/>
        <w:rPr>
          <w:rFonts w:ascii="Times New Roman" w:hAnsi="Times New Roman" w:cs="Times New Roman" w:eastAsia="Times New Roman" w:hint="default"/>
        </w:rPr>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月，公司与石家庄市桥东区房屋征收管理办公室（以下简称</w:t>
      </w:r>
      <w:r>
        <w:rPr>
          <w:rFonts w:ascii="Times New Roman" w:hAnsi="Times New Roman" w:cs="Times New Roman" w:eastAsia="Times New Roman" w:hint="default"/>
          <w:spacing w:val="-2"/>
        </w:rPr>
        <w:t>“</w:t>
      </w:r>
      <w:r>
        <w:rPr>
          <w:spacing w:val="-2"/>
        </w:rPr>
        <w:t>桥东区征收办</w:t>
      </w:r>
      <w:r>
        <w:rPr>
          <w:rFonts w:ascii="Times New Roman" w:hAnsi="Times New Roman" w:cs="Times New Roman" w:eastAsia="Times New Roman" w:hint="default"/>
          <w:spacing w:val="-2"/>
        </w:rPr>
        <w:t>”</w:t>
      </w:r>
      <w:r>
        <w:rPr>
          <w:spacing w:val="-2"/>
        </w:rPr>
        <w:t>）签订《征收补偿协议书》，交易</w:t>
      </w:r>
      <w:r>
        <w:rPr/>
        <w:t> 标的为本公司所属位于石家庄市槐安东路</w:t>
      </w:r>
      <w:r>
        <w:rPr>
          <w:spacing w:val="-43"/>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号之土地及房屋，房屋所有权证号为：石房权证字第</w:t>
      </w:r>
      <w:r>
        <w:rPr>
          <w:rFonts w:ascii="Times New Roman" w:hAnsi="Times New Roman" w:cs="Times New Roman" w:eastAsia="Times New Roman" w:hint="default"/>
        </w:rPr>
        <w:t>250000869</w:t>
      </w:r>
      <w:r>
        <w:rPr/>
        <w:t>号至</w:t>
      </w:r>
      <w:r>
        <w:rPr>
          <w:rFonts w:ascii="Times New Roman" w:hAnsi="Times New Roman" w:cs="Times New Roman" w:eastAsia="Times New Roman" w:hint="default"/>
        </w:rPr>
        <w:t>250000885</w:t>
      </w:r>
    </w:p>
    <w:p>
      <w:pPr>
        <w:pStyle w:val="BodyText"/>
        <w:spacing w:line="240" w:lineRule="auto" w:before="13"/>
        <w:ind w:right="982"/>
        <w:jc w:val="left"/>
      </w:pPr>
      <w:r>
        <w:rPr/>
        <w:t>号，建设面积</w:t>
      </w:r>
      <w:r>
        <w:rPr>
          <w:rFonts w:ascii="Times New Roman" w:hAnsi="Times New Roman" w:cs="Times New Roman" w:eastAsia="Times New Roman" w:hint="default"/>
        </w:rPr>
        <w:t>7476.2</w:t>
      </w:r>
      <w:r>
        <w:rPr/>
        <w:t>平方米；国有土地使用权证号为：桥东国用（</w:t>
      </w:r>
      <w:r>
        <w:rPr>
          <w:rFonts w:ascii="Times New Roman" w:hAnsi="Times New Roman" w:cs="Times New Roman" w:eastAsia="Times New Roman" w:hint="default"/>
        </w:rPr>
        <w:t>2010</w:t>
      </w:r>
      <w:r>
        <w:rPr/>
        <w:t>）第 </w:t>
      </w:r>
      <w:r>
        <w:rPr>
          <w:rFonts w:ascii="Times New Roman" w:hAnsi="Times New Roman" w:cs="Times New Roman" w:eastAsia="Times New Roman" w:hint="default"/>
        </w:rPr>
        <w:t>00155 </w:t>
      </w:r>
      <w:r>
        <w:rPr/>
        <w:t>号，占地面积 </w:t>
      </w:r>
      <w:r>
        <w:rPr>
          <w:rFonts w:ascii="Times New Roman" w:hAnsi="Times New Roman" w:cs="Times New Roman" w:eastAsia="Times New Roman" w:hint="default"/>
        </w:rPr>
        <w:t>10496.6</w:t>
      </w:r>
      <w:r>
        <w:rPr>
          <w:rFonts w:ascii="Times New Roman" w:hAnsi="Times New Roman" w:cs="Times New Roman" w:eastAsia="Times New Roman" w:hint="default"/>
          <w:spacing w:val="10"/>
        </w:rPr>
        <w:t> </w:t>
      </w:r>
      <w:r>
        <w:rPr/>
        <w:t>平方米。本次交</w:t>
      </w:r>
    </w:p>
    <w:p>
      <w:pPr>
        <w:pStyle w:val="BodyText"/>
        <w:spacing w:line="300" w:lineRule="auto" w:before="63"/>
        <w:ind w:right="1120"/>
        <w:jc w:val="left"/>
      </w:pPr>
      <w:r>
        <w:rPr/>
        <w:t>易补偿采取货币补偿一揽子补偿方案。根据评估结果及公司提议、申请，最终确定补偿总额为人民币 </w:t>
      </w:r>
      <w:r>
        <w:rPr>
          <w:rFonts w:ascii="Times New Roman" w:hAnsi="Times New Roman" w:cs="Times New Roman" w:eastAsia="Times New Roman" w:hint="default"/>
        </w:rPr>
        <w:t>5500</w:t>
      </w:r>
      <w:r>
        <w:rPr>
          <w:rFonts w:ascii="Times New Roman" w:hAnsi="Times New Roman" w:cs="Times New Roman" w:eastAsia="Times New Roman" w:hint="default"/>
          <w:spacing w:val="-20"/>
        </w:rPr>
        <w:t> </w:t>
      </w:r>
      <w:r>
        <w:rPr>
          <w:spacing w:val="-3"/>
        </w:rPr>
        <w:t>万元，截至本报</w:t>
      </w:r>
      <w:r>
        <w:rPr/>
        <w:t> 告日，公司已收到土地收储款</w:t>
      </w:r>
      <w:r>
        <w:rPr>
          <w:rFonts w:ascii="Times New Roman" w:hAnsi="Times New Roman" w:cs="Times New Roman" w:eastAsia="Times New Roman" w:hint="default"/>
        </w:rPr>
        <w:t>5300</w:t>
      </w:r>
      <w:r>
        <w:rPr/>
        <w:t>万元。</w:t>
      </w:r>
    </w:p>
    <w:p>
      <w:pPr>
        <w:pStyle w:val="BodyText"/>
        <w:spacing w:line="240" w:lineRule="auto" w:before="53"/>
        <w:ind w:right="982"/>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日，本公司不存在应披露的其他重要事项。</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6" w:hRule="exact"/>
        </w:trPr>
        <w:tc>
          <w:tcPr>
            <w:tcW w:w="20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44,877,839.25</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85.76</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5,782,990.43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68,935,315.06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55.69%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6,145,219.98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8.91%</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7,154,934.21</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52,999,107.18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42.81%</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52,032,773.46</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99.43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5,782,990.43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121,934,422.24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6,145,219.98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w:t>
            </w:r>
          </w:p>
        </w:tc>
      </w:tr>
      <w:tr>
        <w:trPr>
          <w:trHeight w:val="102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299,599.25</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0.57%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299,599.25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1,855,370.03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1,855,370.03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195"/>
        <w:gridCol w:w="532"/>
        <w:gridCol w:w="1339"/>
        <w:gridCol w:w="653"/>
        <w:gridCol w:w="1195"/>
        <w:gridCol w:w="665"/>
        <w:gridCol w:w="1329"/>
        <w:gridCol w:w="653"/>
      </w:tblGrid>
      <w:tr>
        <w:trPr>
          <w:trHeight w:val="404"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52,332,372.71</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6,082,589.68</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123,789,792.27</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8,000,590.01</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pStyle w:val="BodyText"/>
        <w:spacing w:line="357" w:lineRule="auto" w:before="49"/>
        <w:ind w:right="-19"/>
        <w:jc w:val="left"/>
      </w:pPr>
      <w:r>
        <w:rPr/>
        <w:t>应收账款种类的说明 期末单项金额重大并单项计提坏账准备的应收账款</w:t>
      </w:r>
    </w:p>
    <w:p>
      <w:pPr>
        <w:pStyle w:val="BodyText"/>
        <w:spacing w:line="240" w:lineRule="auto" w:before="29"/>
        <w:ind w:right="-19"/>
        <w:jc w:val="left"/>
      </w:pPr>
      <w:r>
        <w:rPr/>
        <w:t>□适用 </w:t>
      </w:r>
      <w:r>
        <w:rPr>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114" w:space="471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5"/>
        <w:gridCol w:w="1627"/>
        <w:gridCol w:w="1625"/>
        <w:gridCol w:w="1628"/>
        <w:gridCol w:w="1627"/>
      </w:tblGrid>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8"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pStyle w:val="BodyText"/>
        <w:spacing w:line="240" w:lineRule="auto" w:before="50"/>
        <w:ind w:right="-20"/>
        <w:jc w:val="left"/>
      </w:pPr>
      <w:r>
        <w:rPr/>
        <w:t>组合中，采用账龄分析法计提坏账准备的应收账款</w:t>
      </w:r>
    </w:p>
    <w:p>
      <w:pPr>
        <w:pStyle w:val="BodyText"/>
        <w:spacing w:line="240" w:lineRule="auto" w:before="11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9"/>
        <w:gridCol w:w="2006"/>
        <w:gridCol w:w="657"/>
        <w:gridCol w:w="1468"/>
        <w:gridCol w:w="2126"/>
        <w:gridCol w:w="660"/>
        <w:gridCol w:w="1593"/>
      </w:tblGrid>
      <w:tr>
        <w:trPr>
          <w:trHeight w:val="403" w:hRule="exact"/>
        </w:trPr>
        <w:tc>
          <w:tcPr>
            <w:tcW w:w="1049" w:type="dxa"/>
            <w:vMerge w:val="restart"/>
            <w:tcBorders>
              <w:top w:val="single" w:sz="4" w:space="0" w:color="000000"/>
              <w:left w:val="single" w:sz="4" w:space="0" w:color="000000"/>
              <w:right w:val="single" w:sz="4" w:space="0" w:color="000000"/>
            </w:tcBorders>
            <w:shd w:val="clear" w:color="auto" w:fill="D2D2D2"/>
          </w:tcPr>
          <w:p>
            <w:pPr/>
          </w:p>
        </w:tc>
        <w:tc>
          <w:tcPr>
            <w:tcW w:w="413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6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8" w:type="dxa"/>
            <w:vMerge w:val="restart"/>
            <w:tcBorders>
              <w:top w:val="single" w:sz="4" w:space="0" w:color="000000"/>
              <w:left w:val="single" w:sz="4" w:space="0" w:color="000000"/>
              <w:right w:val="single" w:sz="4" w:space="0" w:color="000000"/>
            </w:tcBorders>
            <w:shd w:val="clear" w:color="auto" w:fill="D2D2D2"/>
          </w:tcPr>
          <w:p>
            <w:pPr/>
          </w:p>
        </w:tc>
        <w:tc>
          <w:tcPr>
            <w:tcW w:w="27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3"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63" w:type="dxa"/>
            <w:gridSpan w:val="2"/>
            <w:vMerge/>
            <w:tcBorders>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2786" w:type="dxa"/>
            <w:gridSpan w:val="2"/>
            <w:vMerge/>
            <w:tcBorders>
              <w:left w:val="single" w:sz="4" w:space="0" w:color="000000"/>
              <w:bottom w:val="single" w:sz="4" w:space="0" w:color="000000"/>
              <w:right w:val="single" w:sz="4" w:space="0" w:color="000000"/>
            </w:tcBorders>
            <w:shd w:val="clear" w:color="auto" w:fill="D2D2D2"/>
          </w:tcPr>
          <w:p>
            <w:pPr/>
          </w:p>
        </w:tc>
        <w:tc>
          <w:tcPr>
            <w:tcW w:w="159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6" w:right="0"/>
              <w:jc w:val="left"/>
              <w:rPr>
                <w:rFonts w:ascii="Times New Roman" w:hAnsi="Times New Roman" w:cs="Times New Roman" w:eastAsia="Times New Roman" w:hint="default"/>
                <w:sz w:val="18"/>
                <w:szCs w:val="18"/>
              </w:rPr>
            </w:pPr>
            <w:r>
              <w:rPr>
                <w:rFonts w:ascii="Times New Roman"/>
                <w:sz w:val="18"/>
              </w:rPr>
              <w:t>(%)</w:t>
            </w:r>
          </w:p>
        </w:tc>
        <w:tc>
          <w:tcPr>
            <w:tcW w:w="1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2" w:hRule="exact"/>
        </w:trPr>
        <w:tc>
          <w:tcPr>
            <w:tcW w:w="1049" w:type="dxa"/>
            <w:vMerge w:val="restart"/>
            <w:tcBorders>
              <w:top w:val="nil" w:sz="6" w:space="0" w:color="auto"/>
              <w:left w:val="single" w:sz="4" w:space="0" w:color="000000"/>
              <w:right w:val="single" w:sz="4" w:space="0" w:color="000000"/>
            </w:tcBorders>
            <w:shd w:val="clear" w:color="auto" w:fill="D2D2D2"/>
          </w:tcPr>
          <w:p>
            <w:pPr/>
          </w:p>
        </w:tc>
        <w:tc>
          <w:tcPr>
            <w:tcW w:w="20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vMerge/>
            <w:tcBorders>
              <w:left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21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5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9" w:type="dxa"/>
            <w:vMerge/>
            <w:tcBorders>
              <w:left w:val="single" w:sz="4" w:space="0" w:color="000000"/>
              <w:right w:val="single" w:sz="4" w:space="0" w:color="000000"/>
            </w:tcBorders>
            <w:shd w:val="clear" w:color="auto" w:fill="D2D2D2"/>
          </w:tcPr>
          <w:p>
            <w:pPr/>
          </w:p>
        </w:tc>
        <w:tc>
          <w:tcPr>
            <w:tcW w:w="2006" w:type="dxa"/>
            <w:vMerge/>
            <w:tcBorders>
              <w:left w:val="single" w:sz="4" w:space="0" w:color="000000"/>
              <w:bottom w:val="nil" w:sz="6" w:space="0" w:color="auto"/>
              <w:right w:val="single" w:sz="4" w:space="0" w:color="000000"/>
            </w:tcBorders>
            <w:shd w:val="clear" w:color="auto" w:fill="D2D2D2"/>
          </w:tcPr>
          <w:p>
            <w:pPr/>
          </w:p>
        </w:tc>
        <w:tc>
          <w:tcPr>
            <w:tcW w:w="657" w:type="dxa"/>
            <w:vMerge/>
            <w:tcBorders>
              <w:left w:val="single" w:sz="4" w:space="0" w:color="000000"/>
              <w:right w:val="single" w:sz="4" w:space="0" w:color="000000"/>
            </w:tcBorders>
            <w:shd w:val="clear" w:color="auto" w:fill="D2D2D2"/>
          </w:tcPr>
          <w:p>
            <w:pPr/>
          </w:p>
        </w:tc>
        <w:tc>
          <w:tcPr>
            <w:tcW w:w="1468" w:type="dxa"/>
            <w:vMerge w:val="restart"/>
            <w:tcBorders>
              <w:top w:val="nil" w:sz="6" w:space="0" w:color="auto"/>
              <w:left w:val="single" w:sz="4" w:space="0" w:color="000000"/>
              <w:right w:val="single" w:sz="4" w:space="0" w:color="000000"/>
            </w:tcBorders>
            <w:shd w:val="clear" w:color="auto" w:fill="D2D2D2"/>
          </w:tcPr>
          <w:p>
            <w:pPr/>
          </w:p>
        </w:tc>
        <w:tc>
          <w:tcPr>
            <w:tcW w:w="2126"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59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049" w:type="dxa"/>
            <w:vMerge/>
            <w:tcBorders>
              <w:left w:val="single" w:sz="4" w:space="0" w:color="000000"/>
              <w:bottom w:val="single" w:sz="4" w:space="0" w:color="000000"/>
              <w:right w:val="single" w:sz="4" w:space="0" w:color="000000"/>
            </w:tcBorders>
            <w:shd w:val="clear" w:color="auto" w:fill="D2D2D2"/>
          </w:tcPr>
          <w:p>
            <w:pPr/>
          </w:p>
        </w:tc>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7" w:type="dxa"/>
            <w:vMerge/>
            <w:tcBorders>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593"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8"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28,458,697.69</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63.41%</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1,138,347.90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43,265,749.25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62.76%</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1,730,629.97</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3,853,659.48</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8.59%</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231,219.58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13,966,989.50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20.26%</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838,019.37</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2,451,079.53</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367,661.94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4,417,839.53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6.41%</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662,675.93</w:t>
            </w:r>
          </w:p>
        </w:tc>
      </w:tr>
      <w:tr>
        <w:trPr>
          <w:trHeight w:val="404"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10,114,402.55</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22.54%</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4,045,761.01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7,284,736.78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10.57%</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2,913,894.71</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5,111,590.88</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11.39%</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2,044,636.34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7,284,736.78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10.57%</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2,913,894.71</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5,002,811.67</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11.15%</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2,001,124.67</w:t>
            </w:r>
          </w:p>
        </w:tc>
        <w:tc>
          <w:tcPr>
            <w:tcW w:w="21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6"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44,877,839.25</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5,782,990.43</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68,935,315.06</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6,145,219.98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pStyle w:val="BodyText"/>
        <w:spacing w:line="240" w:lineRule="auto" w:before="49"/>
        <w:ind w:right="-20"/>
        <w:jc w:val="left"/>
      </w:pPr>
      <w:r>
        <w:rPr/>
        <w:t>组合中，采用余额百分比法计提坏账准备的应收账款</w:t>
      </w:r>
    </w:p>
    <w:p>
      <w:pPr>
        <w:pStyle w:val="BodyText"/>
        <w:spacing w:line="357" w:lineRule="auto" w:before="117"/>
        <w:ind w:right="520"/>
        <w:jc w:val="left"/>
      </w:pPr>
      <w:r>
        <w:rPr/>
        <w:t>□ 适用 √</w:t>
      </w:r>
      <w:r>
        <w:rPr>
          <w:spacing w:val="3"/>
        </w:rPr>
        <w:t> </w:t>
      </w:r>
      <w:r>
        <w:rPr/>
        <w:t>不适用</w:t>
      </w:r>
      <w:r>
        <w:rPr/>
        <w:t> 组合中，采用其他方法计提坏账准备的应收账款</w:t>
      </w:r>
    </w:p>
    <w:p>
      <w:pPr>
        <w:pStyle w:val="BodyText"/>
        <w:spacing w:line="360" w:lineRule="auto" w:before="29"/>
        <w:ind w:right="-20"/>
        <w:jc w:val="left"/>
      </w:pPr>
      <w:r>
        <w:rPr/>
        <w:t>□ 适用 √</w:t>
      </w:r>
      <w:r>
        <w:rPr>
          <w:spacing w:val="3"/>
        </w:rPr>
        <w:t> </w:t>
      </w:r>
      <w:r>
        <w:rPr/>
        <w:t>不适用</w:t>
      </w:r>
      <w:r>
        <w:rPr/>
        <w:t> 期末单项金额虽不重大但单项计提坏账准备的应收账款</w:t>
      </w:r>
    </w:p>
    <w:p>
      <w:pPr>
        <w:pStyle w:val="BodyText"/>
        <w:spacing w:line="240" w:lineRule="auto" w:before="25"/>
        <w:ind w:right="5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25"/>
        <w:gridCol w:w="1903"/>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7"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上海邯达纺织国际贸易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214,832.04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214,832.04</w:t>
            </w:r>
          </w:p>
        </w:tc>
        <w:tc>
          <w:tcPr>
            <w:tcW w:w="1925"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12" w:right="79"/>
              <w:jc w:val="both"/>
              <w:rPr>
                <w:rFonts w:ascii="宋体" w:hAnsi="宋体" w:cs="宋体" w:eastAsia="宋体" w:hint="default"/>
                <w:sz w:val="18"/>
                <w:szCs w:val="18"/>
              </w:rPr>
            </w:pPr>
            <w:r>
              <w:rPr>
                <w:rFonts w:ascii="宋体" w:hAnsi="宋体" w:cs="宋体" w:eastAsia="宋体" w:hint="default"/>
                <w:sz w:val="18"/>
                <w:szCs w:val="18"/>
              </w:rPr>
              <w:t>经单独进行减值测试， 该款项收回的可能性极 小</w:t>
            </w:r>
          </w:p>
        </w:tc>
      </w:tr>
      <w:tr>
        <w:trPr>
          <w:trHeight w:val="1025"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芜湖中天印染有限责任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27,746.19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27,746.19</w:t>
            </w:r>
          </w:p>
        </w:tc>
        <w:tc>
          <w:tcPr>
            <w:tcW w:w="1925"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12" w:right="79"/>
              <w:jc w:val="both"/>
              <w:rPr>
                <w:rFonts w:ascii="宋体" w:hAnsi="宋体" w:cs="宋体" w:eastAsia="宋体" w:hint="default"/>
                <w:sz w:val="18"/>
                <w:szCs w:val="18"/>
              </w:rPr>
            </w:pPr>
            <w:r>
              <w:rPr>
                <w:rFonts w:ascii="宋体" w:hAnsi="宋体" w:cs="宋体" w:eastAsia="宋体" w:hint="default"/>
                <w:sz w:val="18"/>
                <w:szCs w:val="18"/>
              </w:rPr>
              <w:t>经单独进行减值测试， 该款项收回的可能性极 小</w:t>
            </w:r>
          </w:p>
        </w:tc>
      </w:tr>
    </w:tbl>
    <w:p>
      <w:pPr>
        <w:spacing w:after="0" w:line="316" w:lineRule="auto"/>
        <w:jc w:val="both"/>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25"/>
        <w:gridCol w:w="1903"/>
      </w:tblGrid>
      <w:tr>
        <w:trPr>
          <w:trHeight w:val="1025"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福建云敦服饰有限公司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2,187.95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2,187.95</w:t>
            </w:r>
          </w:p>
        </w:tc>
        <w:tc>
          <w:tcPr>
            <w:tcW w:w="1925"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12" w:right="79"/>
              <w:jc w:val="both"/>
              <w:rPr>
                <w:rFonts w:ascii="宋体" w:hAnsi="宋体" w:cs="宋体" w:eastAsia="宋体" w:hint="default"/>
                <w:sz w:val="18"/>
                <w:szCs w:val="18"/>
              </w:rPr>
            </w:pPr>
            <w:r>
              <w:rPr>
                <w:rFonts w:ascii="宋体" w:hAnsi="宋体" w:cs="宋体" w:eastAsia="宋体" w:hint="default"/>
                <w:sz w:val="18"/>
                <w:szCs w:val="18"/>
              </w:rPr>
              <w:t>经单独进行减值测试， 该款项收回的可能性极 小</w:t>
            </w:r>
          </w:p>
        </w:tc>
      </w:tr>
      <w:tr>
        <w:trPr>
          <w:trHeight w:val="1027"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81"/>
              <w:jc w:val="left"/>
              <w:rPr>
                <w:rFonts w:ascii="宋体" w:hAnsi="宋体" w:cs="宋体" w:eastAsia="宋体" w:hint="default"/>
                <w:sz w:val="18"/>
                <w:szCs w:val="18"/>
              </w:rPr>
            </w:pPr>
            <w:r>
              <w:rPr>
                <w:rFonts w:ascii="宋体" w:hAnsi="宋体" w:cs="宋体" w:eastAsia="宋体" w:hint="default"/>
                <w:sz w:val="18"/>
                <w:szCs w:val="18"/>
              </w:rPr>
              <w:t>武汉市江岸区新洪纺织 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1,306.50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1,306.50</w:t>
            </w:r>
          </w:p>
        </w:tc>
        <w:tc>
          <w:tcPr>
            <w:tcW w:w="1925"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2" w:right="79"/>
              <w:jc w:val="both"/>
              <w:rPr>
                <w:rFonts w:ascii="宋体" w:hAnsi="宋体" w:cs="宋体" w:eastAsia="宋体" w:hint="default"/>
                <w:sz w:val="18"/>
                <w:szCs w:val="18"/>
              </w:rPr>
            </w:pPr>
            <w:r>
              <w:rPr>
                <w:rFonts w:ascii="宋体" w:hAnsi="宋体" w:cs="宋体" w:eastAsia="宋体" w:hint="default"/>
                <w:sz w:val="18"/>
                <w:szCs w:val="18"/>
              </w:rPr>
              <w:t>经单独进行减值测试， 该款项收回的可能性极 小</w:t>
            </w:r>
          </w:p>
        </w:tc>
      </w:tr>
      <w:tr>
        <w:trPr>
          <w:trHeight w:val="1025"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湖北世源化工进出口有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870.00</w:t>
            </w:r>
          </w:p>
        </w:tc>
        <w:tc>
          <w:tcPr>
            <w:tcW w:w="1925"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12" w:right="79"/>
              <w:jc w:val="both"/>
              <w:rPr>
                <w:rFonts w:ascii="宋体" w:hAnsi="宋体" w:cs="宋体" w:eastAsia="宋体" w:hint="default"/>
                <w:sz w:val="18"/>
                <w:szCs w:val="18"/>
              </w:rPr>
            </w:pPr>
            <w:r>
              <w:rPr>
                <w:rFonts w:ascii="宋体" w:hAnsi="宋体" w:cs="宋体" w:eastAsia="宋体" w:hint="default"/>
                <w:sz w:val="18"/>
                <w:szCs w:val="18"/>
              </w:rPr>
              <w:t>经单独进行减值测试， 该款项收回的可能性极 小</w:t>
            </w:r>
          </w:p>
        </w:tc>
      </w:tr>
      <w:tr>
        <w:trPr>
          <w:trHeight w:val="1028"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鄂州怡盛印染有限公司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4,713.80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4,713.80</w:t>
            </w:r>
          </w:p>
        </w:tc>
        <w:tc>
          <w:tcPr>
            <w:tcW w:w="1925"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2" w:right="79"/>
              <w:jc w:val="both"/>
              <w:rPr>
                <w:rFonts w:ascii="宋体" w:hAnsi="宋体" w:cs="宋体" w:eastAsia="宋体" w:hint="default"/>
                <w:sz w:val="18"/>
                <w:szCs w:val="18"/>
              </w:rPr>
            </w:pPr>
            <w:r>
              <w:rPr>
                <w:rFonts w:ascii="宋体" w:hAnsi="宋体" w:cs="宋体" w:eastAsia="宋体" w:hint="default"/>
                <w:sz w:val="18"/>
                <w:szCs w:val="18"/>
              </w:rPr>
              <w:t>经单独进行减值测试， 该款项收回的可能性极 小</w:t>
            </w:r>
          </w:p>
        </w:tc>
      </w:tr>
      <w:tr>
        <w:trPr>
          <w:trHeight w:val="1025"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湖南省瑞兴进出口有限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38,707.63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38,707.63</w:t>
            </w:r>
          </w:p>
        </w:tc>
        <w:tc>
          <w:tcPr>
            <w:tcW w:w="1925"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12" w:right="79"/>
              <w:jc w:val="both"/>
              <w:rPr>
                <w:rFonts w:ascii="宋体" w:hAnsi="宋体" w:cs="宋体" w:eastAsia="宋体" w:hint="default"/>
                <w:sz w:val="18"/>
                <w:szCs w:val="18"/>
              </w:rPr>
            </w:pPr>
            <w:r>
              <w:rPr>
                <w:rFonts w:ascii="宋体" w:hAnsi="宋体" w:cs="宋体" w:eastAsia="宋体" w:hint="default"/>
                <w:sz w:val="18"/>
                <w:szCs w:val="18"/>
              </w:rPr>
              <w:t>经单独进行减值测试， 该款项收回的可能性极 小</w:t>
            </w:r>
          </w:p>
        </w:tc>
      </w:tr>
      <w:tr>
        <w:trPr>
          <w:trHeight w:val="1027"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杭州语兰纺织有限公司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9,235.14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9,235.14</w:t>
            </w:r>
          </w:p>
        </w:tc>
        <w:tc>
          <w:tcPr>
            <w:tcW w:w="1925"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2" w:right="79"/>
              <w:jc w:val="both"/>
              <w:rPr>
                <w:rFonts w:ascii="宋体" w:hAnsi="宋体" w:cs="宋体" w:eastAsia="宋体" w:hint="default"/>
                <w:sz w:val="18"/>
                <w:szCs w:val="18"/>
              </w:rPr>
            </w:pPr>
            <w:r>
              <w:rPr>
                <w:rFonts w:ascii="宋体" w:hAnsi="宋体" w:cs="宋体" w:eastAsia="宋体" w:hint="default"/>
                <w:sz w:val="18"/>
                <w:szCs w:val="18"/>
              </w:rPr>
              <w:t>经单独进行减值测试， 该款项收回的可能性极 小</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299,599.25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299,599.25</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0"/>
        <w:ind w:right="982"/>
        <w:jc w:val="left"/>
      </w:pPr>
      <w:r>
        <w:rPr/>
        <w:t>期末单项金额重大或虽不重大但单独进行减值测试的应收账款坏账准备计提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31"/>
        <w:gridCol w:w="1935"/>
        <w:gridCol w:w="1935"/>
        <w:gridCol w:w="1934"/>
        <w:gridCol w:w="1832"/>
      </w:tblGrid>
      <w:tr>
        <w:trPr>
          <w:trHeight w:val="401" w:hRule="exact"/>
        </w:trPr>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982"/>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82"/>
        <w:gridCol w:w="1606"/>
      </w:tblGrid>
      <w:tr>
        <w:trPr>
          <w:trHeight w:val="710"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5"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718"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3"/>
              <w:ind w:left="22" w:right="120"/>
              <w:jc w:val="left"/>
              <w:rPr>
                <w:rFonts w:ascii="宋体" w:hAnsi="宋体" w:cs="宋体" w:eastAsia="宋体" w:hint="default"/>
                <w:sz w:val="18"/>
                <w:szCs w:val="18"/>
              </w:rPr>
            </w:pPr>
            <w:r>
              <w:rPr>
                <w:rFonts w:ascii="宋体" w:hAnsi="宋体" w:cs="宋体" w:eastAsia="宋体" w:hint="default"/>
                <w:sz w:val="18"/>
                <w:szCs w:val="18"/>
              </w:rPr>
              <w:t>上海立本纺织品有 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235,622.40</w:t>
            </w:r>
          </w:p>
        </w:tc>
        <w:tc>
          <w:tcPr>
            <w:tcW w:w="15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3"/>
              <w:ind w:left="23" w:right="106"/>
              <w:jc w:val="left"/>
              <w:rPr>
                <w:rFonts w:ascii="宋体" w:hAnsi="宋体" w:cs="宋体" w:eastAsia="宋体" w:hint="default"/>
                <w:sz w:val="18"/>
                <w:szCs w:val="18"/>
              </w:rPr>
            </w:pPr>
            <w:r>
              <w:rPr>
                <w:rFonts w:ascii="宋体" w:hAnsi="宋体" w:cs="宋体" w:eastAsia="宋体" w:hint="default"/>
                <w:sz w:val="18"/>
                <w:szCs w:val="18"/>
              </w:rPr>
              <w:t>工商注销，催款未 果，无法收回</w:t>
            </w:r>
          </w:p>
        </w:tc>
        <w:tc>
          <w:tcPr>
            <w:tcW w:w="1606"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江阴市璜土澄常漂 染厂</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415,422.56</w:t>
            </w:r>
          </w:p>
        </w:tc>
        <w:tc>
          <w:tcPr>
            <w:tcW w:w="15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8"/>
              <w:jc w:val="both"/>
              <w:rPr>
                <w:rFonts w:ascii="宋体" w:hAnsi="宋体" w:cs="宋体" w:eastAsia="宋体" w:hint="default"/>
                <w:sz w:val="18"/>
                <w:szCs w:val="18"/>
              </w:rPr>
            </w:pPr>
            <w:r>
              <w:rPr>
                <w:rFonts w:ascii="宋体" w:hAnsi="宋体" w:cs="宋体" w:eastAsia="宋体" w:hint="default"/>
                <w:spacing w:val="-10"/>
                <w:sz w:val="18"/>
                <w:szCs w:val="18"/>
              </w:rPr>
              <w:t>营业执照吊销，超过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法定诉讼时效，无法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w:t>
            </w:r>
          </w:p>
        </w:tc>
        <w:tc>
          <w:tcPr>
            <w:tcW w:w="1606"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82"/>
        <w:gridCol w:w="1606"/>
      </w:tblGrid>
      <w:tr>
        <w:trPr>
          <w:trHeight w:val="1026"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常州冀唐商贸有限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210,749.54</w:t>
            </w:r>
          </w:p>
        </w:tc>
        <w:tc>
          <w:tcPr>
            <w:tcW w:w="15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3" w:right="8"/>
              <w:jc w:val="both"/>
              <w:rPr>
                <w:rFonts w:ascii="宋体" w:hAnsi="宋体" w:cs="宋体" w:eastAsia="宋体" w:hint="default"/>
                <w:sz w:val="18"/>
                <w:szCs w:val="18"/>
              </w:rPr>
            </w:pPr>
            <w:r>
              <w:rPr>
                <w:rFonts w:ascii="宋体" w:hAnsi="宋体" w:cs="宋体" w:eastAsia="宋体" w:hint="default"/>
                <w:spacing w:val="-10"/>
                <w:sz w:val="18"/>
                <w:szCs w:val="18"/>
              </w:rPr>
              <w:t>营业执照吊销，超过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法定诉讼时效，无法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w:t>
            </w:r>
          </w:p>
        </w:tc>
        <w:tc>
          <w:tcPr>
            <w:tcW w:w="1606"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江阴市鑫燕纺织整 理有限公司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449,407.36</w:t>
            </w:r>
          </w:p>
        </w:tc>
        <w:tc>
          <w:tcPr>
            <w:tcW w:w="15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0"/>
              <w:ind w:left="23" w:right="8"/>
              <w:jc w:val="left"/>
              <w:rPr>
                <w:rFonts w:ascii="宋体" w:hAnsi="宋体" w:cs="宋体" w:eastAsia="宋体" w:hint="default"/>
                <w:sz w:val="18"/>
                <w:szCs w:val="18"/>
              </w:rPr>
            </w:pPr>
            <w:r>
              <w:rPr>
                <w:rFonts w:ascii="宋体" w:hAnsi="宋体" w:cs="宋体" w:eastAsia="宋体" w:hint="default"/>
                <w:spacing w:val="-10"/>
                <w:sz w:val="18"/>
                <w:szCs w:val="18"/>
              </w:rPr>
              <w:t>长期催款未果，无可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收回财产</w:t>
            </w:r>
          </w:p>
        </w:tc>
        <w:tc>
          <w:tcPr>
            <w:tcW w:w="1606"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绍兴县古亭进出口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140,030.98</w:t>
            </w:r>
          </w:p>
        </w:tc>
        <w:tc>
          <w:tcPr>
            <w:tcW w:w="15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pacing w:val="-10"/>
                <w:sz w:val="18"/>
                <w:szCs w:val="18"/>
              </w:rPr>
              <w:t>长期催款未果，无可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收回财产</w:t>
            </w:r>
          </w:p>
        </w:tc>
        <w:tc>
          <w:tcPr>
            <w:tcW w:w="1606"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常州市兆丰印染有 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305,379.42</w:t>
            </w:r>
          </w:p>
        </w:tc>
        <w:tc>
          <w:tcPr>
            <w:tcW w:w="15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0"/>
              <w:ind w:left="23" w:right="8"/>
              <w:jc w:val="left"/>
              <w:rPr>
                <w:rFonts w:ascii="宋体" w:hAnsi="宋体" w:cs="宋体" w:eastAsia="宋体" w:hint="default"/>
                <w:sz w:val="18"/>
                <w:szCs w:val="18"/>
              </w:rPr>
            </w:pPr>
            <w:r>
              <w:rPr>
                <w:rFonts w:ascii="宋体" w:hAnsi="宋体" w:cs="宋体" w:eastAsia="宋体" w:hint="default"/>
                <w:spacing w:val="-10"/>
                <w:sz w:val="18"/>
                <w:szCs w:val="18"/>
              </w:rPr>
              <w:t>长期催款未果，无可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收回财产</w:t>
            </w:r>
          </w:p>
        </w:tc>
        <w:tc>
          <w:tcPr>
            <w:tcW w:w="1606"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1,756,612.26</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594"/>
        <w:gridCol w:w="1863"/>
        <w:gridCol w:w="1862"/>
      </w:tblGrid>
      <w:tr>
        <w:trPr>
          <w:trHeight w:val="401"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09"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9"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2" w:right="81"/>
              <w:jc w:val="left"/>
              <w:rPr>
                <w:rFonts w:ascii="宋体" w:hAnsi="宋体" w:cs="宋体" w:eastAsia="宋体" w:hint="default"/>
                <w:sz w:val="18"/>
                <w:szCs w:val="18"/>
              </w:rPr>
            </w:pPr>
            <w:r>
              <w:rPr>
                <w:rFonts w:ascii="宋体" w:hAnsi="宋体" w:cs="宋体" w:eastAsia="宋体" w:hint="default"/>
                <w:sz w:val="18"/>
                <w:szCs w:val="18"/>
              </w:rPr>
              <w:t>南通爱尔屋纺织品有限 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3,628,379.24</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57"/>
              <w:jc w:val="center"/>
              <w:rPr>
                <w:rFonts w:ascii="宋体" w:hAnsi="宋体" w:cs="宋体" w:eastAsia="宋体" w:hint="default"/>
                <w:sz w:val="18"/>
                <w:szCs w:val="18"/>
              </w:rPr>
            </w:pPr>
            <w:r>
              <w:rPr>
                <w:rFonts w:ascii="宋体" w:hAnsi="宋体" w:cs="宋体" w:eastAsia="宋体" w:hint="default"/>
                <w:sz w:val="18"/>
                <w:szCs w:val="18"/>
              </w:rPr>
              <w:t>辽宁宏丰印染有限公司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2,947,459.59</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5.63%</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91"/>
              <w:ind w:left="22" w:right="232"/>
              <w:jc w:val="left"/>
              <w:rPr>
                <w:rFonts w:ascii="Times New Roman" w:hAnsi="Times New Roman" w:cs="Times New Roman" w:eastAsia="Times New Roman" w:hint="default"/>
                <w:sz w:val="18"/>
                <w:szCs w:val="18"/>
              </w:rPr>
            </w:pPr>
            <w:r>
              <w:rPr>
                <w:rFonts w:ascii="Times New Roman"/>
                <w:sz w:val="18"/>
              </w:rPr>
              <w:t>ASLAN TEKSTIL</w:t>
            </w:r>
            <w:r>
              <w:rPr>
                <w:rFonts w:ascii="Times New Roman"/>
                <w:spacing w:val="-16"/>
                <w:sz w:val="18"/>
              </w:rPr>
              <w:t> </w:t>
            </w:r>
            <w:r>
              <w:rPr>
                <w:rFonts w:ascii="Times New Roman"/>
                <w:sz w:val="18"/>
              </w:rPr>
              <w:t>VE</w:t>
            </w:r>
            <w:r>
              <w:rPr>
                <w:rFonts w:ascii="Times New Roman"/>
                <w:sz w:val="18"/>
              </w:rPr>
              <w:t> KONF</w:t>
            </w:r>
            <w:r>
              <w:rPr>
                <w:rFonts w:ascii="Times New Roman"/>
                <w:spacing w:val="-5"/>
                <w:sz w:val="18"/>
              </w:rPr>
              <w:t> </w:t>
            </w:r>
            <w:r>
              <w:rPr>
                <w:rFonts w:ascii="Times New Roman"/>
                <w:sz w:val="18"/>
              </w:rPr>
              <w:t>SAN</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2,652,743.62</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5.07%</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0"/>
              <w:ind w:left="22" w:right="81"/>
              <w:jc w:val="left"/>
              <w:rPr>
                <w:rFonts w:ascii="宋体" w:hAnsi="宋体" w:cs="宋体" w:eastAsia="宋体" w:hint="default"/>
                <w:sz w:val="18"/>
                <w:szCs w:val="18"/>
              </w:rPr>
            </w:pPr>
            <w:r>
              <w:rPr>
                <w:rFonts w:ascii="宋体" w:hAnsi="宋体" w:cs="宋体" w:eastAsia="宋体" w:hint="default"/>
                <w:sz w:val="18"/>
                <w:szCs w:val="18"/>
              </w:rPr>
              <w:t>辽宁华福实业股份有限 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1,659,059.50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3.17%</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深圳市圣光达贸易有限 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1,080,245.53</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11,967,887.48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22.87%</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35.215717pt;width:135pt;height:77pt;mso-position-horizontal-relative:page;mso-position-vertical-relative:paragraph;z-index:-948016" coordorigin="9206,704" coordsize="2700,1540">
            <v:shape style="position:absolute;left:9206;top:704;width:2700;height:1540" type="#_x0000_t75" stroked="false">
              <v:imagedata r:id="rId16" o:title=""/>
            </v:shape>
            <v:shape style="position:absolute;left:10504;top:1065;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144</w:t>
                    </w:r>
                  </w:p>
                </w:txbxContent>
              </v:textbox>
              <w10:wrap type="none"/>
            </v:shape>
            <w10:wrap type="none"/>
          </v:group>
        </w:pict>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headerReference w:type="default" r:id="rId74"/>
          <w:footerReference w:type="default" r:id="rId75"/>
          <w:pgSz w:w="11910" w:h="16840"/>
          <w:pgMar w:header="877" w:footer="0" w:top="1060" w:bottom="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2"/>
        <w:jc w:val="left"/>
      </w:pPr>
      <w:r>
        <w:rPr/>
        <w:t>不符合终止确认条件的应收账款的转移金额为元。</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1"/>
        <w:gridCol w:w="1454"/>
        <w:gridCol w:w="523"/>
        <w:gridCol w:w="1326"/>
        <w:gridCol w:w="523"/>
        <w:gridCol w:w="1328"/>
        <w:gridCol w:w="529"/>
        <w:gridCol w:w="1190"/>
        <w:gridCol w:w="526"/>
      </w:tblGrid>
      <w:tr>
        <w:trPr>
          <w:trHeight w:val="396" w:hRule="exact"/>
        </w:trPr>
        <w:tc>
          <w:tcPr>
            <w:tcW w:w="2171" w:type="dxa"/>
            <w:vMerge w:val="restart"/>
            <w:tcBorders>
              <w:top w:val="single" w:sz="4" w:space="0" w:color="000000"/>
              <w:left w:val="single" w:sz="4" w:space="0" w:color="000000"/>
              <w:right w:val="single" w:sz="4" w:space="0" w:color="000000"/>
            </w:tcBorders>
            <w:shd w:val="clear" w:color="auto" w:fill="D2D2D2"/>
          </w:tcPr>
          <w:p>
            <w:pPr/>
          </w:p>
        </w:tc>
        <w:tc>
          <w:tcPr>
            <w:tcW w:w="38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7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2171" w:type="dxa"/>
            <w:vMerge/>
            <w:tcBorders>
              <w:left w:val="single" w:sz="4" w:space="0" w:color="000000"/>
              <w:bottom w:val="nil" w:sz="6" w:space="0" w:color="auto"/>
              <w:right w:val="single" w:sz="4" w:space="0" w:color="000000"/>
            </w:tcBorders>
            <w:shd w:val="clear" w:color="auto" w:fill="D2D2D2"/>
          </w:tcPr>
          <w:p>
            <w:pPr/>
          </w:p>
        </w:tc>
        <w:tc>
          <w:tcPr>
            <w:tcW w:w="19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9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2" w:hRule="exact"/>
        </w:trPr>
        <w:tc>
          <w:tcPr>
            <w:tcW w:w="21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77" w:type="dxa"/>
            <w:gridSpan w:val="2"/>
            <w:vMerge/>
            <w:tcBorders>
              <w:left w:val="single" w:sz="4" w:space="0" w:color="000000"/>
              <w:bottom w:val="single" w:sz="4" w:space="0" w:color="000000"/>
              <w:right w:val="single" w:sz="4" w:space="0" w:color="000000"/>
            </w:tcBorders>
            <w:shd w:val="clear" w:color="auto" w:fill="D2D2D2"/>
          </w:tcPr>
          <w:p>
            <w:pPr/>
          </w:p>
        </w:tc>
        <w:tc>
          <w:tcPr>
            <w:tcW w:w="1848" w:type="dxa"/>
            <w:gridSpan w:val="2"/>
            <w:vMerge/>
            <w:tcBorders>
              <w:left w:val="single" w:sz="4" w:space="0" w:color="000000"/>
              <w:bottom w:val="single" w:sz="4" w:space="0" w:color="000000"/>
              <w:right w:val="single" w:sz="4" w:space="0" w:color="000000"/>
            </w:tcBorders>
            <w:shd w:val="clear" w:color="auto" w:fill="D2D2D2"/>
          </w:tcPr>
          <w:p>
            <w:pPr/>
          </w:p>
        </w:tc>
        <w:tc>
          <w:tcPr>
            <w:tcW w:w="1857" w:type="dxa"/>
            <w:gridSpan w:val="2"/>
            <w:vMerge/>
            <w:tcBorders>
              <w:left w:val="single" w:sz="4" w:space="0" w:color="000000"/>
              <w:bottom w:val="single" w:sz="4" w:space="0" w:color="000000"/>
              <w:right w:val="single" w:sz="4" w:space="0" w:color="000000"/>
            </w:tcBorders>
            <w:shd w:val="clear" w:color="auto" w:fill="D2D2D2"/>
          </w:tcPr>
          <w:p>
            <w:pPr/>
          </w:p>
        </w:tc>
        <w:tc>
          <w:tcPr>
            <w:tcW w:w="1715" w:type="dxa"/>
            <w:gridSpan w:val="2"/>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2171" w:type="dxa"/>
            <w:vMerge/>
            <w:tcBorders>
              <w:left w:val="single" w:sz="4" w:space="0" w:color="000000"/>
              <w:bottom w:val="single" w:sz="4" w:space="0" w:color="FFFFFF"/>
              <w:right w:val="single" w:sz="4" w:space="0" w:color="000000"/>
            </w:tcBorders>
            <w:shd w:val="clear" w:color="auto" w:fill="D2D2D2"/>
          </w:tcPr>
          <w:p>
            <w:pPr/>
          </w:p>
        </w:tc>
        <w:tc>
          <w:tcPr>
            <w:tcW w:w="145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5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171" w:type="dxa"/>
            <w:vMerge w:val="restart"/>
            <w:tcBorders>
              <w:top w:val="single" w:sz="4" w:space="0" w:color="FFFFFF"/>
              <w:left w:val="single" w:sz="4" w:space="0" w:color="000000"/>
              <w:right w:val="single" w:sz="4" w:space="0" w:color="000000"/>
            </w:tcBorders>
            <w:shd w:val="clear" w:color="auto" w:fill="D2D2D2"/>
          </w:tcPr>
          <w:p>
            <w:pPr/>
          </w:p>
        </w:tc>
        <w:tc>
          <w:tcPr>
            <w:tcW w:w="1454"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vMerge/>
            <w:tcBorders>
              <w:left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vMerge/>
            <w:tcBorders>
              <w:left w:val="single" w:sz="4" w:space="0" w:color="000000"/>
              <w:right w:val="single" w:sz="4" w:space="0" w:color="000000"/>
            </w:tcBorders>
            <w:shd w:val="clear" w:color="auto" w:fill="D2D2D2"/>
          </w:tcPr>
          <w:p>
            <w:pPr/>
          </w:p>
        </w:tc>
      </w:tr>
      <w:tr>
        <w:trPr>
          <w:trHeight w:val="161" w:hRule="exact"/>
        </w:trPr>
        <w:tc>
          <w:tcPr>
            <w:tcW w:w="2171" w:type="dxa"/>
            <w:vMerge/>
            <w:tcBorders>
              <w:left w:val="single" w:sz="4" w:space="0" w:color="000000"/>
              <w:bottom w:val="single" w:sz="4" w:space="0" w:color="000000"/>
              <w:right w:val="single" w:sz="4" w:space="0" w:color="000000"/>
            </w:tcBorders>
            <w:shd w:val="clear" w:color="auto" w:fill="D2D2D2"/>
          </w:tcPr>
          <w:p>
            <w:pPr/>
          </w:p>
        </w:tc>
        <w:tc>
          <w:tcPr>
            <w:tcW w:w="1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529"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2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4"/>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54" w:type="dxa"/>
            <w:tcBorders>
              <w:top w:val="single" w:sz="4" w:space="0" w:color="000000"/>
              <w:left w:val="single" w:sz="10" w:space="0" w:color="D2D2D2"/>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1,062,011.92</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1.83%</w:t>
            </w: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21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4,968,963.58</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7.74%</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870,838.99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17.53</w:t>
            </w:r>
          </w:p>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6,724,490.65</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794,859.01</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21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56,289,243.76</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87.62</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49,431,335.58</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61,258,207.34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95.36</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870,838.99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17.53</w:t>
            </w:r>
          </w:p>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56,155,826.23</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794,859.01</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5" w:hRule="exact"/>
        </w:trPr>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2,980,624.80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4.64%</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749,229.80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25.14</w:t>
            </w:r>
          </w:p>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749,229.80</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1.29%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749,229.80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64,238,832.14</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1,620,068.79</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57,967,067.95</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1,544,088.81</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footerReference w:type="default" r:id="rId76"/>
          <w:pgSz w:w="11910" w:h="16840"/>
          <w:pgMar w:footer="1272" w:header="877" w:top="1060" w:bottom="1460" w:left="980" w:right="0"/>
          <w:pgNumType w:start="145"/>
        </w:sectPr>
      </w:pPr>
    </w:p>
    <w:p>
      <w:pPr>
        <w:pStyle w:val="BodyText"/>
        <w:spacing w:line="357" w:lineRule="auto" w:before="49"/>
        <w:ind w:right="-20"/>
        <w:jc w:val="left"/>
      </w:pPr>
      <w:r>
        <w:rPr/>
        <w:t>其他应收款种类的说明 期末单项金额重大并单项计提坏账准备的其他应收款</w:t>
      </w:r>
    </w:p>
    <w:p>
      <w:pPr>
        <w:pStyle w:val="BodyText"/>
        <w:spacing w:line="240" w:lineRule="auto" w:before="29"/>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after="0" w:line="240" w:lineRule="auto"/>
        <w:jc w:val="center"/>
        <w:rPr>
          <w:rFonts w:ascii="宋体" w:hAnsi="宋体" w:cs="宋体" w:eastAsia="宋体" w:hint="default"/>
          <w:sz w:val="18"/>
          <w:szCs w:val="18"/>
        </w:rPr>
        <w:sectPr>
          <w:type w:val="continuous"/>
          <w:pgSz w:w="11910" w:h="16840"/>
          <w:pgMar w:top="1060" w:bottom="1540" w:left="980" w:right="0"/>
        </w:sectPr>
      </w:pPr>
    </w:p>
    <w:p>
      <w:pPr>
        <w:pStyle w:val="BodyText"/>
        <w:spacing w:line="240" w:lineRule="auto" w:before="49"/>
        <w:ind w:right="-20"/>
        <w:jc w:val="left"/>
      </w:pPr>
      <w:r>
        <w:rPr/>
        <w:t>组合中，采用账龄分析法计提坏账准备的其他应收款</w:t>
      </w:r>
    </w:p>
    <w:p>
      <w:pPr>
        <w:pStyle w:val="BodyText"/>
        <w:spacing w:line="240" w:lineRule="auto" w:before="11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2"/>
        <w:gridCol w:w="1594"/>
        <w:gridCol w:w="1862"/>
        <w:gridCol w:w="665"/>
        <w:gridCol w:w="1726"/>
      </w:tblGrid>
      <w:tr>
        <w:trPr>
          <w:trHeight w:val="401" w:hRule="exact"/>
        </w:trPr>
        <w:tc>
          <w:tcPr>
            <w:tcW w:w="1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266"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266"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4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4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26"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250"/>
        <w:gridCol w:w="1805"/>
        <w:gridCol w:w="652"/>
        <w:gridCol w:w="1599"/>
        <w:gridCol w:w="1868"/>
        <w:gridCol w:w="654"/>
        <w:gridCol w:w="1731"/>
      </w:tblGrid>
      <w:tr>
        <w:trPr>
          <w:trHeight w:val="368"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6" w:right="0"/>
              <w:jc w:val="left"/>
              <w:rPr>
                <w:rFonts w:ascii="Times New Roman" w:hAnsi="Times New Roman" w:cs="Times New Roman" w:eastAsia="Times New Roman" w:hint="default"/>
                <w:sz w:val="18"/>
                <w:szCs w:val="18"/>
              </w:rPr>
            </w:pPr>
            <w:r>
              <w:rPr>
                <w:rFonts w:ascii="Times New Roman"/>
                <w:sz w:val="18"/>
              </w:rPr>
              <w:t>(%)</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8" w:right="0"/>
              <w:jc w:val="left"/>
              <w:rPr>
                <w:rFonts w:ascii="Times New Roman" w:hAnsi="Times New Roman" w:cs="Times New Roman" w:eastAsia="Times New Roman" w:hint="default"/>
                <w:sz w:val="18"/>
                <w:szCs w:val="18"/>
              </w:rPr>
            </w:pPr>
            <w:r>
              <w:rPr>
                <w:rFonts w:ascii="Times New Roman"/>
                <w:sz w:val="18"/>
              </w:rPr>
              <w:t>(%)</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1"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8"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3,014,086.63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60.66%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120,563.47</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2,494,014.25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37.09%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99,760.57</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39,191.02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0.79%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2,351.46</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2,309,652.17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34.35%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138,579.13</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73,401.23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11,010.18</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847,241.53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127,086.23</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1,842,284.70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37.07%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736,913.88</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1,073,582.70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15.96%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429,433.08</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778,702.00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15.67%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311,480.80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134,342.70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53,737.08</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124,342.70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49,737.08</w:t>
            </w:r>
          </w:p>
        </w:tc>
        <w:tc>
          <w:tcPr>
            <w:tcW w:w="1868"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939,240.00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18.90%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375,696.00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939,240.00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13.96%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375,696.00</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4,968,963.58</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870,838.99</w:t>
            </w:r>
          </w:p>
        </w:tc>
        <w:tc>
          <w:tcPr>
            <w:tcW w:w="186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6,724,490.65</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7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794,859.01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2" w:top="1060" w:bottom="1460" w:left="980" w:right="0"/>
        </w:sectPr>
      </w:pPr>
    </w:p>
    <w:p>
      <w:pPr>
        <w:pStyle w:val="BodyText"/>
        <w:spacing w:line="240" w:lineRule="auto" w:before="49"/>
        <w:ind w:right="-20"/>
        <w:jc w:val="left"/>
      </w:pPr>
      <w:r>
        <w:rPr/>
        <w:t>组合中，采用余额百分比法计提坏账准备的其他应收款</w:t>
      </w:r>
    </w:p>
    <w:p>
      <w:pPr>
        <w:pStyle w:val="BodyText"/>
        <w:spacing w:line="360" w:lineRule="auto" w:before="115"/>
        <w:ind w:right="520"/>
        <w:jc w:val="left"/>
      </w:pPr>
      <w:r>
        <w:rPr/>
        <w:t>□ 适用 √</w:t>
      </w:r>
      <w:r>
        <w:rPr>
          <w:spacing w:val="3"/>
        </w:rPr>
        <w:t> </w:t>
      </w:r>
      <w:r>
        <w:rPr/>
        <w:t>不适用</w:t>
      </w:r>
      <w:r>
        <w:rPr/>
        <w:t> 组合中，采用其他方法计提坏账准备的其他应收款</w:t>
      </w:r>
    </w:p>
    <w:p>
      <w:pPr>
        <w:pStyle w:val="BodyText"/>
        <w:spacing w:line="357" w:lineRule="auto" w:before="27"/>
        <w:ind w:right="-20"/>
        <w:jc w:val="left"/>
      </w:pPr>
      <w:r>
        <w:rPr/>
        <w:t>□ 适用 √</w:t>
      </w:r>
      <w:r>
        <w:rPr>
          <w:spacing w:val="3"/>
        </w:rPr>
        <w:t> </w:t>
      </w:r>
      <w:r>
        <w:rPr/>
        <w:t>不适用</w:t>
      </w:r>
      <w:r>
        <w:rPr/>
        <w:t> 期末单项金额虽不重大但单项计提坏账准备的其他应收款</w:t>
      </w:r>
    </w:p>
    <w:p>
      <w:pPr>
        <w:pStyle w:val="BodyText"/>
        <w:spacing w:line="240" w:lineRule="auto" w:before="29"/>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653" w:space="417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25"/>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5"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南宫市至尊商业贸易</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257,782.80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257,782.80</w:t>
            </w:r>
          </w:p>
        </w:tc>
        <w:tc>
          <w:tcPr>
            <w:tcW w:w="1925"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12" w:right="79"/>
              <w:jc w:val="both"/>
              <w:rPr>
                <w:rFonts w:ascii="宋体" w:hAnsi="宋体" w:cs="宋体" w:eastAsia="宋体" w:hint="default"/>
                <w:sz w:val="18"/>
                <w:szCs w:val="18"/>
              </w:rPr>
            </w:pPr>
            <w:r>
              <w:rPr>
                <w:rFonts w:ascii="宋体" w:hAnsi="宋体" w:cs="宋体" w:eastAsia="宋体" w:hint="default"/>
                <w:sz w:val="18"/>
                <w:szCs w:val="18"/>
              </w:rPr>
              <w:t>经单独进行减值测试， 该款项收回的可能性极 小</w:t>
            </w:r>
          </w:p>
        </w:tc>
      </w:tr>
      <w:tr>
        <w:trPr>
          <w:trHeight w:val="1027"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第一棉麻总公司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491,447.00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491,447.00</w:t>
            </w:r>
          </w:p>
        </w:tc>
        <w:tc>
          <w:tcPr>
            <w:tcW w:w="1925"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12" w:right="79"/>
              <w:jc w:val="both"/>
              <w:rPr>
                <w:rFonts w:ascii="宋体" w:hAnsi="宋体" w:cs="宋体" w:eastAsia="宋体" w:hint="default"/>
                <w:sz w:val="18"/>
                <w:szCs w:val="18"/>
              </w:rPr>
            </w:pPr>
            <w:r>
              <w:rPr>
                <w:rFonts w:ascii="宋体" w:hAnsi="宋体" w:cs="宋体" w:eastAsia="宋体" w:hint="default"/>
                <w:sz w:val="18"/>
                <w:szCs w:val="18"/>
              </w:rPr>
              <w:t>经单独进行减值测试， 该款项收回的可能性极 小</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维修基金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2,231,395.00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14" w:space="0" w:color="C6ECCC"/>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12" w:right="79"/>
              <w:jc w:val="left"/>
              <w:rPr>
                <w:rFonts w:ascii="宋体" w:hAnsi="宋体" w:cs="宋体" w:eastAsia="宋体" w:hint="default"/>
                <w:sz w:val="18"/>
                <w:szCs w:val="18"/>
              </w:rPr>
            </w:pPr>
            <w:r>
              <w:rPr>
                <w:rFonts w:ascii="宋体" w:hAnsi="宋体" w:cs="宋体" w:eastAsia="宋体" w:hint="default"/>
                <w:sz w:val="18"/>
                <w:szCs w:val="18"/>
              </w:rPr>
              <w:t>经单独进行减值测试， 该款项能全额收回</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2,980,624.80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749,229.80</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982"/>
        <w:jc w:val="left"/>
      </w:pPr>
      <w:r>
        <w:rPr/>
        <w:t>期末单项金额重大或虽不重大但单独进行减值测试的其他应收账款坏账准备计提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982"/>
        <w:jc w:val="left"/>
      </w:pPr>
      <w:r>
        <w:rPr/>
        <w:t>单项金额不重大但按信用风险特征组合后该组合的风险较大的其他应收款的说明</w:t>
      </w:r>
    </w:p>
    <w:p>
      <w:pPr>
        <w:spacing w:after="0" w:line="240" w:lineRule="auto"/>
        <w:jc w:val="left"/>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49"/>
        <w:ind w:right="982"/>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726"/>
        <w:gridCol w:w="1861"/>
        <w:gridCol w:w="1596"/>
      </w:tblGrid>
      <w:tr>
        <w:trPr>
          <w:trHeight w:val="401"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0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8"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维修基金</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2,231,395.00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3.47%</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石家庄市能源管理办公 室用电集资款</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939,240.00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第一棉麻总公司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491,447.00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0.77%</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505,425.50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130,872.79</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4,298,380.29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不符合终止确认条件的其他应收款项的转移金额为元。</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272"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8"/>
        <w:gridCol w:w="798"/>
        <w:gridCol w:w="797"/>
        <w:gridCol w:w="799"/>
        <w:gridCol w:w="797"/>
      </w:tblGrid>
      <w:tr>
        <w:trPr>
          <w:trHeight w:val="1961"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301"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exact" w:before="115"/>
              <w:ind w:left="33" w:right="32"/>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9"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39"/>
              <w:jc w:val="both"/>
              <w:rPr>
                <w:rFonts w:ascii="宋体" w:hAnsi="宋体" w:cs="宋体" w:eastAsia="宋体" w:hint="default"/>
                <w:sz w:val="18"/>
                <w:szCs w:val="18"/>
              </w:rPr>
            </w:pPr>
            <w:r>
              <w:rPr>
                <w:rFonts w:ascii="宋体" w:hAnsi="宋体" w:cs="宋体" w:eastAsia="宋体" w:hint="default"/>
                <w:sz w:val="18"/>
                <w:szCs w:val="18"/>
              </w:rPr>
              <w:t>河北国信 投资控股 集团股份 有限公司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283,445.0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283,445.0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283,445.0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0.15%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0.15%</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紫光创新 投资有限 公司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11,564,32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4,623,936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39"/>
              <w:jc w:val="both"/>
              <w:rPr>
                <w:rFonts w:ascii="宋体" w:hAnsi="宋体" w:cs="宋体" w:eastAsia="宋体" w:hint="default"/>
                <w:sz w:val="18"/>
                <w:szCs w:val="18"/>
              </w:rPr>
            </w:pPr>
            <w:r>
              <w:rPr>
                <w:rFonts w:ascii="宋体" w:hAnsi="宋体" w:cs="宋体" w:eastAsia="宋体" w:hint="default"/>
                <w:sz w:val="18"/>
                <w:szCs w:val="18"/>
              </w:rPr>
              <w:t>河北银行 股份有限 公司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25,933,50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25,933,50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25,933,50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4,789,059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.80</w:t>
            </w:r>
          </w:p>
        </w:tc>
      </w:tr>
      <w:tr>
        <w:trPr>
          <w:trHeight w:val="1337"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石家庄常 山恒新纺 织有限公 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149,374,4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149,374,4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76.14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149,374,4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76.14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38"/>
              <w:jc w:val="both"/>
              <w:rPr>
                <w:rFonts w:ascii="宋体" w:hAnsi="宋体" w:cs="宋体" w:eastAsia="宋体" w:hint="default"/>
                <w:sz w:val="18"/>
                <w:szCs w:val="18"/>
              </w:rPr>
            </w:pPr>
            <w:r>
              <w:rPr>
                <w:rFonts w:ascii="宋体" w:hAnsi="宋体" w:cs="宋体" w:eastAsia="宋体" w:hint="default"/>
                <w:sz w:val="18"/>
                <w:szCs w:val="18"/>
              </w:rPr>
              <w:t>上海常纺 恒友国际 贸易有限 公司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石家庄常 山赵州纺 织有限公 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39"/>
              <w:jc w:val="both"/>
              <w:rPr>
                <w:rFonts w:ascii="宋体" w:hAnsi="宋体" w:cs="宋体" w:eastAsia="宋体" w:hint="default"/>
                <w:sz w:val="18"/>
                <w:szCs w:val="18"/>
              </w:rPr>
            </w:pPr>
            <w:r>
              <w:rPr>
                <w:rFonts w:ascii="宋体" w:hAnsi="宋体" w:cs="宋体" w:eastAsia="宋体" w:hint="default"/>
                <w:sz w:val="18"/>
                <w:szCs w:val="18"/>
              </w:rPr>
              <w:t>石家庄常 山恒荣进 出口贸易 有限公司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上海棉宏 国际贸易 有限公司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39"/>
              <w:jc w:val="both"/>
              <w:rPr>
                <w:rFonts w:ascii="宋体" w:hAnsi="宋体" w:cs="宋体" w:eastAsia="宋体" w:hint="default"/>
                <w:sz w:val="18"/>
                <w:szCs w:val="18"/>
              </w:rPr>
            </w:pPr>
            <w:r>
              <w:rPr>
                <w:rFonts w:ascii="宋体" w:hAnsi="宋体" w:cs="宋体" w:eastAsia="宋体" w:hint="default"/>
                <w:sz w:val="18"/>
                <w:szCs w:val="18"/>
              </w:rPr>
              <w:t>上海冀源 国际贸易 有限公司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常山股份 香港国际 贸易有限</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72"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8"/>
        <w:gridCol w:w="798"/>
        <w:gridCol w:w="797"/>
        <w:gridCol w:w="799"/>
        <w:gridCol w:w="797"/>
      </w:tblGrid>
      <w:tr>
        <w:trPr>
          <w:trHeight w:val="363"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库尔勒常 山恒丰商 贸有限责 任公司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45"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45"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石家庄常 山物业服 务有限公 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45"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45"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322,271,4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21.14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322,271,4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21.14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322,271,4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21.14</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11,564,32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4,623,936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4,789,059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r>
    </w:tbl>
    <w:p>
      <w:pPr>
        <w:pStyle w:val="BodyText"/>
        <w:spacing w:line="240" w:lineRule="auto" w:before="49"/>
        <w:ind w:right="982"/>
        <w:jc w:val="left"/>
      </w:pPr>
      <w:r>
        <w:rPr/>
        <w:t>长期股权投资的说明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3,581,671,525.91</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3,558,323,753.02</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52,495,068.00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55,958,217.83</w:t>
            </w:r>
          </w:p>
        </w:tc>
      </w:tr>
      <w:tr>
        <w:trPr>
          <w:trHeight w:val="404"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3,634,166,593.91</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3,614,281,970.85</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3,444,738,306.98</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3,429,607,451.84</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棉纺织业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3,581,671,525.91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3,410,651,966.47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3,558,323,753.02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3,391,951,448.86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3,581,671,525.91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3,410,651,966.47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3,558,323,753.02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3,391,951,448.86</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1,669,903,242.70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1,531,023,670.46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2,123,316,398.35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1,974,712,937.36</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纱</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306,550,262.69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306,910,532.20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66,831,329.68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61,650,361.78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2" w:top="1060" w:bottom="146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947968" coordorigin="9206,15298" coordsize="2700,1540">
            <v:shape style="position:absolute;left:9206;top:15298;width:2700;height:1540" type="#_x0000_t75" stroked="false">
              <v:imagedata r:id="rId16" o:title=""/>
            </v:shape>
            <v:shape style="position:absolute;left:10504;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150</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1,248,264,876.23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1,231,345,248.08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1,139,322,018.46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1,138,095,837.31</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339,838,124.52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324,171,068.11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178,595,125.04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168,209,568.06</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涤纶</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14,368,158.43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14,502,588.82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36,162,033.65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36,180,644.64</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2,746,861.34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2,698,858.80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14,096,847.84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13,102,099.71</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3,581,671,525.91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3,410,651,966.47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3,558,323,753.02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3,391,951,448.86</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3,203,874,832.13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3,047,677,628.87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3,306,936,106.52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3,158,133,697.56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377,796,693.78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362,974,337.60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251,387,646.50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233,817,751.30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3,581,671,525.91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3,410,651,966.47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3,558,323,753.02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3,391,951,448.86</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2922"/>
        <w:gridCol w:w="1865"/>
      </w:tblGrid>
      <w:tr>
        <w:trPr>
          <w:trHeight w:val="70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天津市纺织工业供销公司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304,825,997.27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8.39%</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新兴际华国际贸易有限公司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183,256,621.69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LPP</w:t>
            </w:r>
            <w:r>
              <w:rPr>
                <w:rFonts w:ascii="Times New Roman"/>
                <w:spacing w:val="-18"/>
                <w:sz w:val="18"/>
              </w:rPr>
              <w:t> </w:t>
            </w:r>
            <w:r>
              <w:rPr>
                <w:rFonts w:ascii="Times New Roman"/>
                <w:sz w:val="18"/>
              </w:rPr>
              <w:t>ZNTERNATZONAL</w:t>
            </w:r>
            <w:r>
              <w:rPr>
                <w:rFonts w:ascii="Times New Roman"/>
                <w:spacing w:val="-22"/>
                <w:sz w:val="18"/>
              </w:rPr>
              <w:t> </w:t>
            </w:r>
            <w:r>
              <w:rPr>
                <w:rFonts w:ascii="Times New Roman"/>
                <w:sz w:val="18"/>
              </w:rPr>
              <w:t>S.A</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147,519,687.09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天津天纺高新物流有限公司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136,077,265.99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湖州蓝翔特种面料有限公司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100,025,848.78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871,705,420.82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23.99%</w:t>
            </w:r>
          </w:p>
        </w:tc>
      </w:tr>
    </w:tbl>
    <w:p>
      <w:pPr>
        <w:pStyle w:val="BodyText"/>
        <w:spacing w:line="240" w:lineRule="auto" w:before="49"/>
        <w:ind w:right="982"/>
        <w:jc w:val="left"/>
      </w:pPr>
      <w:r>
        <w:rPr/>
        <w:t>营业收入的说明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4,789,059.80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4,225,641.00</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34" w:type="dxa"/>
            <w:tcBorders>
              <w:top w:val="single" w:sz="4" w:space="0" w:color="000000"/>
              <w:left w:val="single" w:sz="10" w:space="0" w:color="D2D2D2"/>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-9,773,366.48</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319,794.50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58,144.46</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5,108,854.30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-5,489,581.02</w:t>
            </w:r>
          </w:p>
        </w:tc>
      </w:tr>
    </w:tbl>
    <w:p>
      <w:pPr>
        <w:spacing w:after="0" w:line="240" w:lineRule="auto"/>
        <w:jc w:val="right"/>
        <w:rPr>
          <w:rFonts w:ascii="Times New Roman" w:hAnsi="Times New Roman" w:cs="Times New Roman" w:eastAsia="Times New Roman" w:hint="default"/>
          <w:sz w:val="18"/>
          <w:szCs w:val="18"/>
        </w:rPr>
        <w:sectPr>
          <w:headerReference w:type="default" r:id="rId77"/>
          <w:footerReference w:type="default" r:id="rId78"/>
          <w:pgSz w:w="11910" w:h="16840"/>
          <w:pgMar w:header="877" w:footer="0" w:top="1060" w:bottom="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606"/>
        <w:gridCol w:w="2899"/>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河北银行</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4,789,059.80</w:t>
            </w:r>
          </w:p>
        </w:tc>
        <w:tc>
          <w:tcPr>
            <w:tcW w:w="160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4,225,641.00</w:t>
            </w:r>
          </w:p>
        </w:tc>
        <w:tc>
          <w:tcPr>
            <w:tcW w:w="28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本期现金分红增加所致。</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13" w:space="0" w:color="D2D2D2"/>
            </w:tcBorders>
          </w:tcPr>
          <w:p>
            <w:pPr/>
          </w:p>
        </w:tc>
        <w:tc>
          <w:tcPr>
            <w:tcW w:w="2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0"/>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49"/>
        <w:ind w:right="982"/>
        <w:jc w:val="left"/>
      </w:pPr>
      <w:r>
        <w:rPr/>
        <w:t>投资收益的说明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9,193,898.69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44,954,919.80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11,085,698.66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4,762,233.34</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98,339,284.23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89,483,650.81</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2,294,358.67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3,802,122.40</w:t>
            </w:r>
          </w:p>
        </w:tc>
      </w:tr>
      <w:tr>
        <w:trPr>
          <w:trHeight w:val="71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-100,198,732.36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-71,597,664.32</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148,158.40</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-157,325.00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157,325.00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116,087,720.56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83,935,711.58</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-5,108,854.30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5,489,581.02</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-647,401.20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1,415,806.08</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-119,293.75</w:t>
            </w:r>
          </w:p>
        </w:tc>
      </w:tr>
      <w:tr>
        <w:trPr>
          <w:trHeight w:val="40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-98,658,590.00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-235,181,610.82</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-272,926,449.39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-180,198,882.07</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111,446,987.22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74,841,694.35</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-129,249,404.22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-178,106,248.18</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709,916,370.43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525,509,426.37</w:t>
            </w:r>
          </w:p>
        </w:tc>
      </w:tr>
    </w:tbl>
    <w:p>
      <w:pPr>
        <w:spacing w:after="0" w:line="240" w:lineRule="auto"/>
        <w:jc w:val="right"/>
        <w:rPr>
          <w:rFonts w:ascii="Times New Roman" w:hAnsi="Times New Roman" w:cs="Times New Roman" w:eastAsia="Times New Roman" w:hint="default"/>
          <w:sz w:val="18"/>
          <w:szCs w:val="18"/>
        </w:rPr>
        <w:sectPr>
          <w:footerReference w:type="default" r:id="rId79"/>
          <w:pgSz w:w="11910" w:h="16840"/>
          <w:pgMar w:footer="1274" w:header="877" w:top="1060" w:bottom="1460" w:left="980" w:right="0"/>
          <w:pgNumType w:start="15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525,509,426.37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844,273,668.06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184,406,944.06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-318,764,241.69</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反向购买下以公允价值入账的资产、负债情况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pStyle w:val="BodyText"/>
        <w:spacing w:line="240" w:lineRule="auto" w:before="49"/>
        <w:ind w:right="982"/>
        <w:jc w:val="left"/>
      </w:pPr>
      <w:r>
        <w:rPr/>
        <w:t>反向购买形成长期股权投资的情况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1"/>
        <w:rPr>
          <w:rFonts w:ascii="宋体" w:hAnsi="宋体" w:cs="宋体" w:eastAsia="宋体" w:hint="default"/>
          <w:sz w:val="18"/>
          <w:szCs w:val="18"/>
        </w:rPr>
      </w:pPr>
    </w:p>
    <w:p>
      <w:pPr>
        <w:pStyle w:val="Heading2"/>
        <w:spacing w:line="240" w:lineRule="auto" w:before="26"/>
        <w:ind w:right="982"/>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29"/>
        <w:gridCol w:w="2177"/>
        <w:gridCol w:w="1915"/>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6"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0.02</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0.02</w:t>
            </w:r>
          </w:p>
        </w:tc>
      </w:tr>
      <w:tr>
        <w:trPr>
          <w:trHeight w:val="713"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-0.12</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-0.12</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货币资金较年初增加</w:t>
      </w:r>
      <w:r>
        <w:rPr>
          <w:rFonts w:ascii="Times New Roman" w:hAnsi="Times New Roman" w:cs="Times New Roman" w:eastAsia="Times New Roman" w:hint="default"/>
        </w:rPr>
        <w:t>30.45%</w:t>
      </w:r>
      <w:r>
        <w:rPr/>
        <w:t>，主要原因系本报告期发行公司债券所致。</w:t>
      </w:r>
    </w:p>
    <w:p>
      <w:pPr>
        <w:pStyle w:val="BodyText"/>
        <w:spacing w:line="240" w:lineRule="auto" w:before="101"/>
        <w:ind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交易性金融资产较年初减少</w:t>
      </w:r>
      <w:r>
        <w:rPr>
          <w:rFonts w:ascii="Times New Roman" w:hAnsi="Times New Roman" w:cs="Times New Roman" w:eastAsia="Times New Roman" w:hint="default"/>
        </w:rPr>
        <w:t>163.50</w:t>
      </w:r>
      <w:r>
        <w:rPr/>
        <w:t>万元，系公司持有的以公允价值计量的棉花期货合约平仓所致。</w:t>
      </w:r>
    </w:p>
    <w:p>
      <w:pPr>
        <w:pStyle w:val="BodyText"/>
        <w:spacing w:line="240" w:lineRule="auto" w:before="103"/>
        <w:ind w:right="98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应收票据较年初增加</w:t>
      </w:r>
      <w:r>
        <w:rPr>
          <w:rFonts w:ascii="Times New Roman" w:hAnsi="Times New Roman" w:cs="Times New Roman" w:eastAsia="Times New Roman" w:hint="default"/>
        </w:rPr>
        <w:t>49.03%</w:t>
      </w:r>
      <w:r>
        <w:rPr/>
        <w:t>，主要原因系公司以银行承兑汇票方式结算增加所致。</w:t>
      </w:r>
    </w:p>
    <w:p>
      <w:pPr>
        <w:pStyle w:val="BodyText"/>
        <w:spacing w:line="240" w:lineRule="auto" w:before="103"/>
        <w:ind w:right="98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t>应收利息较年初减少</w:t>
      </w:r>
      <w:r>
        <w:rPr>
          <w:rFonts w:ascii="Times New Roman" w:hAnsi="Times New Roman" w:cs="Times New Roman" w:eastAsia="Times New Roman" w:hint="default"/>
        </w:rPr>
        <w:t>57.74%</w:t>
      </w:r>
      <w:r>
        <w:rPr/>
        <w:t>，主要系公司委托贷款按约定利率计算确定的应收利息已到期收回所致。</w:t>
      </w:r>
    </w:p>
    <w:p>
      <w:pPr>
        <w:pStyle w:val="BodyText"/>
        <w:spacing w:line="240" w:lineRule="auto" w:before="101"/>
        <w:ind w:right="982"/>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固定资产清理较年初增加</w:t>
      </w:r>
      <w:r>
        <w:rPr>
          <w:rFonts w:ascii="Times New Roman" w:hAnsi="Times New Roman" w:cs="Times New Roman" w:eastAsia="Times New Roman" w:hint="default"/>
        </w:rPr>
        <w:t>114.53%</w:t>
      </w:r>
      <w:r>
        <w:rPr/>
        <w:t>，主要原因系本报告期处置的固定资产本期清理尚未完毕形成。</w:t>
      </w:r>
    </w:p>
    <w:p>
      <w:pPr>
        <w:pStyle w:val="BodyText"/>
        <w:spacing w:line="240" w:lineRule="auto" w:before="103"/>
        <w:ind w:right="982"/>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3"/>
        </w:rPr>
        <w:t> </w:t>
      </w:r>
      <w:r>
        <w:rPr/>
        <w:t>无形资产较年初增加</w:t>
      </w:r>
      <w:r>
        <w:rPr>
          <w:rFonts w:ascii="Times New Roman" w:hAnsi="Times New Roman" w:cs="Times New Roman" w:eastAsia="Times New Roman" w:hint="default"/>
        </w:rPr>
        <w:t>34.87%</w:t>
      </w:r>
      <w:r>
        <w:rPr/>
        <w:t>，主要原因系本报告期公司将预付的二毛土地款转入无形资产所致。</w:t>
      </w:r>
    </w:p>
    <w:p>
      <w:pPr>
        <w:pStyle w:val="BodyText"/>
        <w:spacing w:line="240" w:lineRule="auto" w:before="104"/>
        <w:ind w:right="982"/>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26"/>
        </w:rPr>
        <w:t> </w:t>
      </w:r>
      <w:r>
        <w:rPr/>
        <w:t>长期待摊费用较年初增加</w:t>
      </w:r>
      <w:r>
        <w:rPr>
          <w:rFonts w:ascii="Times New Roman" w:hAnsi="Times New Roman" w:cs="Times New Roman" w:eastAsia="Times New Roman" w:hint="default"/>
        </w:rPr>
        <w:t>512.38%</w:t>
      </w:r>
      <w:r>
        <w:rPr/>
        <w:t>，系公司本报告期绿化工程完工转入长期待摊费用所致。</w:t>
      </w:r>
    </w:p>
    <w:p>
      <w:pPr>
        <w:pStyle w:val="BodyText"/>
        <w:spacing w:line="240" w:lineRule="auto" w:before="101"/>
        <w:ind w:right="982"/>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23"/>
        </w:rPr>
        <w:t> </w:t>
      </w:r>
      <w:r>
        <w:rPr/>
        <w:t>应交税费较年初减少</w:t>
      </w:r>
      <w:r>
        <w:rPr>
          <w:rFonts w:ascii="Times New Roman" w:hAnsi="Times New Roman" w:cs="Times New Roman" w:eastAsia="Times New Roman" w:hint="default"/>
        </w:rPr>
        <w:t>4750.36%</w:t>
      </w:r>
      <w:r>
        <w:rPr/>
        <w:t>，主要原因系公司期末增值税留抵增加所致。</w:t>
      </w:r>
    </w:p>
    <w:p>
      <w:pPr>
        <w:pStyle w:val="BodyText"/>
        <w:spacing w:line="240" w:lineRule="auto" w:before="103"/>
        <w:ind w:right="982"/>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23"/>
        </w:rPr>
        <w:t> </w:t>
      </w:r>
      <w:r>
        <w:rPr/>
        <w:t>应付利息较年初增加</w:t>
      </w:r>
      <w:r>
        <w:rPr>
          <w:rFonts w:ascii="Times New Roman" w:hAnsi="Times New Roman" w:cs="Times New Roman" w:eastAsia="Times New Roman" w:hint="default"/>
        </w:rPr>
        <w:t>2168.79%</w:t>
      </w:r>
      <w:r>
        <w:rPr/>
        <w:t>，系本报告期公司计提企业债券利息所致。</w:t>
      </w:r>
    </w:p>
    <w:p>
      <w:pPr>
        <w:pStyle w:val="BodyText"/>
        <w:spacing w:line="240" w:lineRule="auto" w:before="103"/>
        <w:ind w:right="982"/>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26"/>
        </w:rPr>
        <w:t> </w:t>
      </w:r>
      <w:r>
        <w:rPr/>
        <w:t>其他应付款较年初减少</w:t>
      </w:r>
      <w:r>
        <w:rPr>
          <w:rFonts w:ascii="Times New Roman" w:hAnsi="Times New Roman" w:cs="Times New Roman" w:eastAsia="Times New Roman" w:hint="default"/>
        </w:rPr>
        <w:t>35.47%</w:t>
      </w:r>
      <w:r>
        <w:rPr/>
        <w:t>，系本报告期公司归还北京全国棉花交易市场有限责任公司往来款所致。</w:t>
      </w:r>
    </w:p>
    <w:p>
      <w:pPr>
        <w:pStyle w:val="BodyText"/>
        <w:spacing w:line="240" w:lineRule="auto" w:before="101"/>
        <w:ind w:right="982"/>
        <w:jc w:val="left"/>
      </w:pPr>
      <w:r>
        <w:rPr>
          <w:rFonts w:ascii="Times New Roman" w:hAnsi="Times New Roman" w:cs="Times New Roman" w:eastAsia="Times New Roman" w:hint="default"/>
        </w:rPr>
        <w:t>(11)</w:t>
      </w:r>
      <w:r>
        <w:rPr>
          <w:rFonts w:ascii="Times New Roman" w:hAnsi="Times New Roman" w:cs="Times New Roman" w:eastAsia="Times New Roman" w:hint="default"/>
          <w:spacing w:val="23"/>
        </w:rPr>
        <w:t> </w:t>
      </w:r>
      <w:r>
        <w:rPr/>
        <w:t>其他流动负债较年初减少</w:t>
      </w:r>
      <w:r>
        <w:rPr>
          <w:rFonts w:ascii="Times New Roman" w:hAnsi="Times New Roman" w:cs="Times New Roman" w:eastAsia="Times New Roman" w:hint="default"/>
        </w:rPr>
        <w:t>46.38%</w:t>
      </w:r>
      <w:r>
        <w:rPr/>
        <w:t>，系本报告期公司归还</w:t>
      </w:r>
      <w:r>
        <w:rPr>
          <w:rFonts w:ascii="Times New Roman" w:hAnsi="Times New Roman" w:cs="Times New Roman" w:eastAsia="Times New Roman" w:hint="default"/>
        </w:rPr>
        <w:t>5</w:t>
      </w:r>
      <w:r>
        <w:rPr/>
        <w:t>亿元短期融资券所致。</w:t>
      </w:r>
    </w:p>
    <w:p>
      <w:pPr>
        <w:pStyle w:val="BodyText"/>
        <w:spacing w:line="240" w:lineRule="auto" w:before="103"/>
        <w:ind w:right="982"/>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其他非流动负债较年初增加</w:t>
      </w:r>
      <w:r>
        <w:rPr>
          <w:rFonts w:ascii="Times New Roman" w:hAnsi="Times New Roman" w:cs="Times New Roman" w:eastAsia="Times New Roman" w:hint="default"/>
        </w:rPr>
        <w:t>182.30%</w:t>
      </w:r>
      <w:r>
        <w:rPr/>
        <w:t>，主要原因系收到企业搬迁补助及重点产业振兴和技术改造项目专项资金所致。</w:t>
      </w:r>
    </w:p>
    <w:p>
      <w:pPr>
        <w:pStyle w:val="BodyText"/>
        <w:spacing w:line="240" w:lineRule="auto" w:before="103"/>
        <w:ind w:right="982"/>
        <w:jc w:val="left"/>
      </w:pPr>
      <w:r>
        <w:rPr>
          <w:rFonts w:ascii="Times New Roman" w:hAnsi="Times New Roman" w:cs="Times New Roman" w:eastAsia="Times New Roman" w:hint="default"/>
        </w:rPr>
        <w:t>(13)</w:t>
      </w:r>
      <w:r>
        <w:rPr>
          <w:rFonts w:ascii="Times New Roman" w:hAnsi="Times New Roman" w:cs="Times New Roman" w:eastAsia="Times New Roman" w:hint="default"/>
          <w:spacing w:val="42"/>
        </w:rPr>
        <w:t> </w:t>
      </w:r>
      <w:r>
        <w:rPr/>
        <w:t>管理费用较上年同期增加</w:t>
      </w:r>
      <w:r>
        <w:rPr>
          <w:rFonts w:ascii="宋体" w:hAnsi="宋体" w:cs="宋体" w:eastAsia="宋体" w:hint="default"/>
        </w:rPr>
        <w:t>34.14%</w:t>
      </w:r>
      <w:r>
        <w:rPr/>
        <w:t>，主要原因系本报告期搬迁职工安置补偿金增加所致。</w:t>
      </w:r>
    </w:p>
    <w:p>
      <w:pPr>
        <w:pStyle w:val="BodyText"/>
        <w:spacing w:line="352" w:lineRule="exact" w:before="29"/>
        <w:ind w:left="224" w:right="1277" w:hanging="72"/>
        <w:jc w:val="left"/>
      </w:pPr>
      <w:r>
        <w:rPr>
          <w:rFonts w:ascii="Times New Roman" w:hAnsi="Times New Roman" w:cs="Times New Roman" w:eastAsia="Times New Roman" w:hint="default"/>
        </w:rPr>
        <w:t>(14)</w:t>
      </w:r>
      <w:r>
        <w:rPr/>
        <w:t>财务费用较上年同期增加</w:t>
      </w:r>
      <w:r>
        <w:rPr>
          <w:rFonts w:ascii="Times New Roman" w:hAnsi="Times New Roman" w:cs="Times New Roman" w:eastAsia="Times New Roman" w:hint="default"/>
        </w:rPr>
        <w:t>49.22%</w:t>
      </w:r>
      <w:r>
        <w:rPr/>
        <w:t>，主要原因系本报告期发行公司债券计提利息所致。</w:t>
      </w:r>
      <w:r>
        <w:rPr>
          <w:w w:val="99"/>
        </w:rPr>
        <w:t> </w:t>
      </w:r>
      <w:r>
        <w:rPr>
          <w:rFonts w:ascii="Times New Roman" w:hAnsi="Times New Roman" w:cs="Times New Roman" w:eastAsia="Times New Roman" w:hint="default"/>
        </w:rPr>
        <w:t>(15)</w:t>
      </w:r>
      <w:r>
        <w:rPr/>
        <w:t>资产减值损失较上年同期增加</w:t>
      </w:r>
      <w:r>
        <w:rPr>
          <w:rFonts w:ascii="Times New Roman" w:hAnsi="Times New Roman" w:cs="Times New Roman" w:eastAsia="Times New Roman" w:hint="default"/>
        </w:rPr>
        <w:t>530.66%</w:t>
      </w:r>
      <w:r>
        <w:rPr/>
        <w:t>，主要原因系本年度计提的坏账准备和长期股权投资减值准备等较上年增加所</w:t>
      </w:r>
    </w:p>
    <w:p>
      <w:pPr>
        <w:spacing w:after="0" w:line="352" w:lineRule="exact"/>
        <w:jc w:val="left"/>
        <w:sectPr>
          <w:pgSz w:w="11910" w:h="16840"/>
          <w:pgMar w:header="877" w:footer="1274" w:top="1060" w:bottom="14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t>致。</w:t>
      </w:r>
    </w:p>
    <w:p>
      <w:pPr>
        <w:pStyle w:val="BodyText"/>
        <w:spacing w:line="319" w:lineRule="auto" w:before="117"/>
        <w:ind w:right="982"/>
        <w:jc w:val="left"/>
      </w:pPr>
      <w:r>
        <w:rPr>
          <w:rFonts w:ascii="Times New Roman" w:hAnsi="Times New Roman" w:cs="Times New Roman" w:eastAsia="Times New Roman" w:hint="default"/>
        </w:rPr>
        <w:t>(16)</w:t>
      </w:r>
      <w:r>
        <w:rPr/>
        <w:t>公允价值变动损益较上年同期增加</w:t>
      </w:r>
      <w:r>
        <w:rPr>
          <w:rFonts w:ascii="Times New Roman" w:hAnsi="Times New Roman" w:cs="Times New Roman" w:eastAsia="Times New Roman" w:hint="default"/>
        </w:rPr>
        <w:t>200%</w:t>
      </w:r>
      <w:r>
        <w:rPr/>
        <w:t>，系公司持有的棉花期货合约平仓所致。</w:t>
      </w:r>
      <w:r>
        <w:rPr>
          <w:w w:val="99"/>
        </w:rPr>
        <w:t> </w:t>
      </w:r>
      <w:r>
        <w:rPr>
          <w:rFonts w:ascii="Times New Roman" w:hAnsi="Times New Roman" w:cs="Times New Roman" w:eastAsia="Times New Roman" w:hint="default"/>
        </w:rPr>
        <w:t>(17)</w:t>
      </w:r>
      <w:r>
        <w:rPr/>
        <w:t>营业利润较上年同期减少</w:t>
      </w:r>
      <w:r>
        <w:rPr>
          <w:rFonts w:ascii="Times New Roman" w:hAnsi="Times New Roman" w:cs="Times New Roman" w:eastAsia="Times New Roman" w:hint="default"/>
        </w:rPr>
        <w:t>352.40%</w:t>
      </w:r>
      <w:r>
        <w:rPr/>
        <w:t>，主要系本报告期市场低迷，国内棉价远高于国际棉价，劳动力成本、财务费用增加</w:t>
      </w:r>
      <w:r>
        <w:rPr>
          <w:w w:val="99"/>
        </w:rPr>
        <w:t> </w:t>
      </w:r>
      <w:r>
        <w:rPr/>
        <w:t>以及搬迁支付职工安置补偿金所致。</w:t>
      </w:r>
    </w:p>
    <w:p>
      <w:pPr>
        <w:pStyle w:val="BodyText"/>
        <w:spacing w:line="338" w:lineRule="auto" w:before="58"/>
        <w:ind w:right="1079"/>
        <w:jc w:val="left"/>
      </w:pPr>
      <w:r>
        <w:rPr>
          <w:rFonts w:ascii="Times New Roman" w:hAnsi="Times New Roman" w:cs="Times New Roman" w:eastAsia="Times New Roman" w:hint="default"/>
        </w:rPr>
        <w:t>(18)</w:t>
      </w:r>
      <w:r>
        <w:rPr/>
        <w:t>营业外收入较上年同期增加</w:t>
      </w:r>
      <w:r>
        <w:rPr>
          <w:rFonts w:ascii="Times New Roman" w:hAnsi="Times New Roman" w:cs="Times New Roman" w:eastAsia="Times New Roman" w:hint="default"/>
        </w:rPr>
        <w:t>57.11%</w:t>
      </w:r>
      <w:r>
        <w:rPr/>
        <w:t>，主要系公司本报告期收到政府补助款同比增加及确认土地房屋征收补偿影响所致。</w:t>
      </w:r>
      <w:r>
        <w:rPr>
          <w:w w:val="99"/>
        </w:rPr>
        <w:t> </w:t>
      </w:r>
      <w:r>
        <w:rPr>
          <w:rFonts w:ascii="Times New Roman" w:hAnsi="Times New Roman" w:cs="Times New Roman" w:eastAsia="Times New Roman" w:hint="default"/>
        </w:rPr>
        <w:t>(19)</w:t>
      </w:r>
      <w:r>
        <w:rPr/>
        <w:t>营业外支出较上年同期增加</w:t>
      </w:r>
      <w:r>
        <w:rPr>
          <w:rFonts w:ascii="Times New Roman" w:hAnsi="Times New Roman" w:cs="Times New Roman" w:eastAsia="Times New Roman" w:hint="default"/>
        </w:rPr>
        <w:t>327.42%</w:t>
      </w:r>
      <w:r>
        <w:rPr/>
        <w:t>，主要原因系公司处置设备损失增加所致。</w:t>
      </w:r>
      <w:r>
        <w:rPr>
          <w:w w:val="99"/>
        </w:rPr>
        <w:t> </w:t>
      </w:r>
      <w:r>
        <w:rPr>
          <w:rFonts w:ascii="Times New Roman" w:hAnsi="Times New Roman" w:cs="Times New Roman" w:eastAsia="Times New Roman" w:hint="default"/>
        </w:rPr>
        <w:t>(20)</w:t>
      </w:r>
      <w:r>
        <w:rPr/>
        <w:t>利润总额较上年同期减少</w:t>
      </w:r>
      <w:r>
        <w:rPr>
          <w:rFonts w:ascii="Times New Roman" w:hAnsi="Times New Roman" w:cs="Times New Roman" w:eastAsia="Times New Roman" w:hint="default"/>
        </w:rPr>
        <w:t>74.34%</w:t>
      </w:r>
      <w:r>
        <w:rPr/>
        <w:t>，主要系报告期营业利润减少所致。</w:t>
      </w:r>
      <w:r>
        <w:rPr>
          <w:w w:val="99"/>
        </w:rPr>
        <w:t> </w:t>
      </w:r>
      <w:r>
        <w:rPr>
          <w:rFonts w:ascii="Times New Roman" w:hAnsi="Times New Roman" w:cs="Times New Roman" w:eastAsia="Times New Roman" w:hint="default"/>
        </w:rPr>
        <w:t>(21)</w:t>
      </w:r>
      <w:r>
        <w:rPr/>
        <w:t>净利润较上年同期减少</w:t>
      </w:r>
      <w:r>
        <w:rPr>
          <w:rFonts w:ascii="Times New Roman" w:hAnsi="Times New Roman" w:cs="Times New Roman" w:eastAsia="Times New Roman" w:hint="default"/>
        </w:rPr>
        <w:t>79.54%</w:t>
      </w:r>
      <w:r>
        <w:rPr/>
        <w:t>，主要系本报告期公司利润总额减少所致。</w:t>
      </w:r>
    </w:p>
    <w:p>
      <w:pPr>
        <w:pStyle w:val="BodyText"/>
        <w:spacing w:line="300" w:lineRule="auto" w:before="22"/>
        <w:ind w:right="982"/>
        <w:jc w:val="left"/>
      </w:pPr>
      <w:r>
        <w:rPr>
          <w:rFonts w:ascii="Times New Roman" w:hAnsi="Times New Roman" w:cs="Times New Roman" w:eastAsia="Times New Roman" w:hint="default"/>
          <w:spacing w:val="-2"/>
        </w:rPr>
        <w:t>(22)</w:t>
      </w:r>
      <w:r>
        <w:rPr>
          <w:spacing w:val="-2"/>
        </w:rPr>
        <w:t>经营活动产生的现金流量净额比上年同期增加</w:t>
      </w:r>
      <w:r>
        <w:rPr>
          <w:rFonts w:ascii="Times New Roman" w:hAnsi="Times New Roman" w:cs="Times New Roman" w:eastAsia="Times New Roman" w:hint="default"/>
          <w:spacing w:val="-2"/>
        </w:rPr>
        <w:t>32.58</w:t>
      </w:r>
      <w:r>
        <w:rPr>
          <w:spacing w:val="-2"/>
        </w:rPr>
        <w:t>％，主要系本报告期公司购买商品、接受劳务支付的现金同比减少所</w:t>
      </w:r>
      <w:r>
        <w:rPr>
          <w:spacing w:val="-42"/>
        </w:rPr>
        <w:t> </w:t>
      </w:r>
      <w:r>
        <w:rPr>
          <w:spacing w:val="-42"/>
        </w:rPr>
      </w:r>
      <w:r>
        <w:rPr/>
        <w:t>致。</w:t>
      </w:r>
    </w:p>
    <w:p>
      <w:pPr>
        <w:pStyle w:val="BodyText"/>
        <w:spacing w:line="300" w:lineRule="auto" w:before="70"/>
        <w:ind w:right="1112"/>
        <w:jc w:val="left"/>
      </w:pPr>
      <w:r>
        <w:rPr>
          <w:rFonts w:ascii="Times New Roman" w:hAnsi="Times New Roman" w:cs="Times New Roman" w:eastAsia="Times New Roman" w:hint="default"/>
        </w:rPr>
        <w:t>(23)</w:t>
      </w:r>
      <w:r>
        <w:rPr>
          <w:rFonts w:ascii="Times New Roman" w:hAnsi="Times New Roman" w:cs="Times New Roman" w:eastAsia="Times New Roman" w:hint="default"/>
          <w:spacing w:val="-18"/>
        </w:rPr>
        <w:t> </w:t>
      </w:r>
      <w:r>
        <w:rPr/>
        <w:t>投资活动产生的现金流量净额比上年同期增加</w:t>
      </w:r>
      <w:r>
        <w:rPr>
          <w:rFonts w:ascii="Times New Roman" w:hAnsi="Times New Roman" w:cs="Times New Roman" w:eastAsia="Times New Roman" w:hint="default"/>
        </w:rPr>
        <w:t>102.59</w:t>
      </w:r>
      <w:r>
        <w:rPr/>
        <w:t>％，主要系本报告期公司购置固定资产、无形资产和其他长期资产</w:t>
      </w:r>
      <w:r>
        <w:rPr>
          <w:w w:val="99"/>
        </w:rPr>
        <w:t> </w:t>
      </w:r>
      <w:r>
        <w:rPr/>
        <w:t>支付的现金同比减少所致。</w:t>
      </w:r>
    </w:p>
    <w:p>
      <w:pPr>
        <w:pStyle w:val="BodyText"/>
        <w:spacing w:line="240" w:lineRule="auto" w:before="72"/>
        <w:ind w:right="982"/>
        <w:jc w:val="left"/>
      </w:pPr>
      <w:r>
        <w:rPr>
          <w:rFonts w:ascii="Times New Roman" w:hAnsi="Times New Roman" w:cs="Times New Roman" w:eastAsia="Times New Roman" w:hint="default"/>
        </w:rPr>
        <w:t>(24)</w:t>
      </w:r>
      <w:r>
        <w:rPr>
          <w:rFonts w:ascii="Times New Roman" w:hAnsi="Times New Roman" w:cs="Times New Roman" w:eastAsia="Times New Roman" w:hint="default"/>
          <w:spacing w:val="21"/>
        </w:rPr>
        <w:t> </w:t>
      </w:r>
      <w:r>
        <w:rPr/>
        <w:t>筹资活动产生的现金流量净额比上年同期增加</w:t>
      </w:r>
      <w:r>
        <w:rPr>
          <w:rFonts w:ascii="Times New Roman" w:hAnsi="Times New Roman" w:cs="Times New Roman" w:eastAsia="Times New Roman" w:hint="default"/>
        </w:rPr>
        <w:t>519.16</w:t>
      </w:r>
      <w:r>
        <w:rPr/>
        <w:t>％，主要系本报告期公司收到公司债券款影响所致。</w:t>
      </w:r>
    </w:p>
    <w:p>
      <w:pPr>
        <w:spacing w:after="0" w:line="240" w:lineRule="auto"/>
        <w:jc w:val="left"/>
        <w:sectPr>
          <w:pgSz w:w="11910" w:h="16840"/>
          <w:pgMar w:header="877" w:footer="1274" w:top="106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5" w:right="982"/>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4094"/>
        <w:jc w:val="left"/>
      </w:pPr>
      <w:r>
        <w:rPr/>
        <w:t>一、载有法定代表人、总会计师、会计机构负责人签名并盖章的会计报表。 二、载有会计师事务所盖章、注册会计师签名并盖章的审计报告原件。 三、报告期内在中国证监会指定报纸上公开披露过的所有文件的正本及公告的原稿。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pStyle w:val="BodyText"/>
        <w:spacing w:line="240" w:lineRule="auto"/>
        <w:ind w:left="4745" w:right="982"/>
        <w:jc w:val="left"/>
      </w:pPr>
      <w:r>
        <w:rPr/>
        <w:t>石家庄常山纺织股份有限公司董事会</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left="2601" w:right="1470"/>
        <w:jc w:val="center"/>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04 </w:t>
      </w:r>
      <w:r>
        <w:rPr/>
        <w:t>月</w:t>
      </w:r>
      <w:r>
        <w:rPr>
          <w:spacing w:val="-46"/>
        </w:rPr>
        <w:t> </w:t>
      </w:r>
      <w:r>
        <w:rPr>
          <w:rFonts w:ascii="Times New Roman" w:hAnsi="Times New Roman" w:cs="Times New Roman" w:eastAsia="Times New Roman" w:hint="default"/>
        </w:rPr>
        <w:t>24 </w:t>
      </w:r>
      <w:r>
        <w:rPr/>
        <w:t>日</w:t>
      </w:r>
    </w:p>
    <w:sectPr>
      <w:pgSz w:w="11910" w:h="16840"/>
      <w:pgMar w:header="877" w:footer="1274" w:top="1060" w:bottom="14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50200" type="#_x0000_t75" stroked="false">
          <v:imagedata r:id="rId1" o:title=""/>
        </v:shape>
      </w:pict>
    </w:r>
    <w:r>
      <w:rPr/>
      <w:pict>
        <v:shape style="position:absolute;margin-left:533.219971pt;margin-top:795.517944pt;width:6.5pt;height:11pt;mso-position-horizontal-relative:page;mso-position-vertical-relative:page;z-index:-9501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49768" type="#_x0000_t75" stroked="false">
          <v:imagedata r:id="rId1" o:title=""/>
        </v:shape>
      </w:pict>
    </w:r>
    <w:r>
      <w:rPr/>
      <w:pict>
        <v:shape style="position:absolute;margin-left:527.659973pt;margin-top:781.933899pt;width:13.15pt;height:11pt;mso-position-horizontal-relative:page;mso-position-vertical-relative:page;z-index:-949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49672" type="#_x0000_t75" stroked="false">
          <v:imagedata r:id="rId1" o:title=""/>
        </v:shape>
      </w:pict>
    </w:r>
    <w:r>
      <w:rPr/>
      <w:pict>
        <v:shape style="position:absolute;margin-left:527.659973pt;margin-top:781.933899pt;width:13.15pt;height:11pt;mso-position-horizontal-relative:page;mso-position-vertical-relative:page;z-index:-949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35</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49576" type="#_x0000_t75" stroked="false">
          <v:imagedata r:id="rId1" o:title=""/>
        </v:shape>
      </w:pict>
    </w:r>
    <w:r>
      <w:rPr/>
      <w:pict>
        <v:shape style="position:absolute;margin-left:527.659973pt;margin-top:781.933899pt;width:13.15pt;height:11pt;mso-position-horizontal-relative:page;mso-position-vertical-relative:page;z-index:-949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48</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49480" type="#_x0000_t75" stroked="false">
          <v:imagedata r:id="rId1" o:title=""/>
        </v:shape>
      </w:pict>
    </w:r>
    <w:r>
      <w:rPr/>
      <w:pict>
        <v:shape style="position:absolute;margin-left:527.659973pt;margin-top:781.933899pt;width:13.15pt;height:11pt;mso-position-horizontal-relative:page;mso-position-vertical-relative:page;z-index:-949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58</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50152" type="#_x0000_t75" stroked="false">
          <v:imagedata r:id="rId1" o:title=""/>
        </v:shape>
      </w:pict>
    </w:r>
    <w:r>
      <w:rPr/>
      <w:pict>
        <v:shape style="position:absolute;margin-left:527.659973pt;margin-top:781.933899pt;width:13.15pt;height:11pt;mso-position-horizontal-relative:page;mso-position-vertical-relative:page;z-index:-950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49288" type="#_x0000_t75" stroked="false">
          <v:imagedata r:id="rId1" o:title=""/>
        </v:shape>
      </w:pict>
    </w:r>
    <w:r>
      <w:rPr/>
      <w:pict>
        <v:shape style="position:absolute;margin-left:527.659973pt;margin-top:781.933899pt;width:13.15pt;height:11pt;mso-position-horizontal-relative:page;mso-position-vertical-relative:page;z-index:-949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62</w:t>
                </w:r>
                <w:r>
                  <w:rPr/>
                  <w:fldChar w:fldCharType="end"/>
                </w:r>
                <w:r>
                  <w:rPr>
                    <w:rFonts w:ascii="Times New Roman"/>
                    <w:spacing w:val="1"/>
                  </w:rPr>
                </w:r>
                <w:r>
                  <w:rPr>
                    <w:rFonts w:ascii="Times New Roman"/>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49240" type="#_x0000_t75" stroked="false">
          <v:imagedata r:id="rId1" o:title=""/>
        </v:shape>
      </w:pict>
    </w:r>
    <w:r>
      <w:rPr/>
      <w:pict>
        <v:shape style="position:absolute;margin-left:527.659973pt;margin-top:781.933899pt;width:13.15pt;height:11pt;mso-position-horizontal-relative:page;mso-position-vertical-relative:page;z-index:-949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76</w:t>
                </w:r>
                <w:r>
                  <w:rPr/>
                  <w:fldChar w:fldCharType="end"/>
                </w:r>
                <w:r>
                  <w:rPr>
                    <w:rFonts w:ascii="Times New Roman"/>
                    <w:spacing w:val="1"/>
                  </w:rPr>
                </w:r>
                <w:r>
                  <w:rPr>
                    <w:rFonts w:ascii="Times New Roman"/>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49192" type="#_x0000_t75" stroked="false">
          <v:imagedata r:id="rId1" o:title=""/>
        </v:shape>
      </w:pict>
    </w:r>
    <w:r>
      <w:rPr/>
      <w:pict>
        <v:shape style="position:absolute;margin-left:527.659973pt;margin-top:781.933899pt;width:13.15pt;height:11pt;mso-position-horizontal-relative:page;mso-position-vertical-relative:page;z-index:-949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r>
                  <w:rPr>
                    <w:rFonts w:ascii="Times New Roman"/>
                    <w:spacing w:val="1"/>
                  </w:rPr>
                </w:r>
                <w:r>
                  <w:rPr>
                    <w:rFonts w:ascii="Times New Roman"/>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49096" type="#_x0000_t75" stroked="false">
          <v:imagedata r:id="rId1" o:title=""/>
        </v:shape>
      </w:pict>
    </w:r>
    <w:r>
      <w:rPr/>
      <w:pict>
        <v:shape style="position:absolute;margin-left:527.659973pt;margin-top:781.933899pt;width:13.15pt;height:11pt;mso-position-horizontal-relative:page;mso-position-vertical-relative:page;z-index:-949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94</w:t>
                </w:r>
                <w:r>
                  <w:rPr/>
                  <w:fldChar w:fldCharType="end"/>
                </w:r>
                <w:r>
                  <w:rPr>
                    <w:rFonts w:ascii="Times New Roman"/>
                    <w:spacing w:val="1"/>
                  </w:rPr>
                </w:r>
                <w:r>
                  <w:rPr>
                    <w:rFonts w:ascii="Times New Roman"/>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49000" type="#_x0000_t75" stroked="false">
          <v:imagedata r:id="rId1" o:title=""/>
        </v:shape>
      </w:pict>
    </w:r>
    <w:r>
      <w:rPr/>
      <w:pict>
        <v:shape style="position:absolute;margin-left:527.659973pt;margin-top:781.933899pt;width:13.15pt;height:11pt;mso-position-horizontal-relative:page;mso-position-vertical-relative:page;z-index:-948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97</w:t>
                </w:r>
                <w:r>
                  <w:rPr/>
                  <w:fldChar w:fldCharType="end"/>
                </w:r>
                <w:r>
                  <w:rPr>
                    <w:rFonts w:ascii="Times New Roman"/>
                    <w:spacing w:val="1"/>
                  </w:rPr>
                </w:r>
                <w:r>
                  <w:rPr>
                    <w:rFonts w:ascii="Times New Roman"/>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48952" type="#_x0000_t75" stroked="false">
          <v:imagedata r:id="rId1" o:title=""/>
        </v:shape>
      </w:pict>
    </w:r>
    <w:r>
      <w:rPr/>
      <w:pict>
        <v:shape style="position:absolute;margin-left:524.219971pt;margin-top:781.933899pt;width:15.7pt;height:11pt;mso-position-horizontal-relative:page;mso-position-vertical-relative:page;z-index:-9489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48904" type="#_x0000_t75" stroked="false">
          <v:imagedata r:id="rId1" o:title=""/>
        </v:shape>
      </w:pict>
    </w:r>
    <w:r>
      <w:rPr/>
      <w:pict>
        <v:shape style="position:absolute;margin-left:524.219971pt;margin-top:781.933899pt;width:15.7pt;height:11pt;mso-position-horizontal-relative:page;mso-position-vertical-relative:page;z-index:-9488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101</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48856" type="#_x0000_t75" stroked="false">
          <v:imagedata r:id="rId1" o:title=""/>
        </v:shape>
      </w:pict>
    </w:r>
    <w:r>
      <w:rPr/>
      <w:pict>
        <v:shape style="position:absolute;margin-left:523.219971pt;margin-top:781.933899pt;width:17.7pt;height:11pt;mso-position-horizontal-relative:page;mso-position-vertical-relative:page;z-index:-9488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103</w:t>
                </w:r>
                <w:r>
                  <w:rPr/>
                  <w:fldChar w:fldCharType="end"/>
                </w:r>
                <w:r>
                  <w:rPr>
                    <w:rFonts w:ascii="Times New Roman"/>
                    <w:spacing w:val="1"/>
                  </w:rPr>
                </w:r>
                <w:r>
                  <w:rPr>
                    <w:rFonts w:ascii="Times New Roman"/>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48760" type="#_x0000_t75" stroked="false">
          <v:imagedata r:id="rId1" o:title=""/>
        </v:shape>
      </w:pict>
    </w:r>
    <w:r>
      <w:rPr/>
      <w:pict>
        <v:shape style="position:absolute;margin-left:523.219971pt;margin-top:781.933899pt;width:17.7pt;height:11pt;mso-position-horizontal-relative:page;mso-position-vertical-relative:page;z-index:-9487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108</w:t>
                </w:r>
                <w:r>
                  <w:rPr/>
                  <w:fldChar w:fldCharType="end"/>
                </w:r>
                <w:r>
                  <w:rPr>
                    <w:rFonts w:ascii="Times New Roman"/>
                    <w:spacing w:val="1"/>
                  </w:rPr>
                </w:r>
                <w:r>
                  <w:rPr>
                    <w:rFonts w:ascii="Times New Roman"/>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48712" type="#_x0000_t75" stroked="false">
          <v:imagedata r:id="rId1" o:title=""/>
        </v:shape>
      </w:pict>
    </w:r>
    <w:r>
      <w:rPr/>
      <w:pict>
        <v:shape style="position:absolute;margin-left:523.460022pt;margin-top:781.933899pt;width:17.3pt;height:11pt;mso-position-horizontal-relative:page;mso-position-vertical-relative:page;z-index:-9486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48616" type="#_x0000_t75" stroked="false">
          <v:imagedata r:id="rId1" o:title=""/>
        </v:shape>
      </w:pict>
    </w:r>
    <w:r>
      <w:rPr/>
      <w:pict>
        <v:shape style="position:absolute;margin-left:523.460022pt;margin-top:781.933899pt;width:17.3pt;height:11pt;mso-position-horizontal-relative:page;mso-position-vertical-relative:page;z-index:-9485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114</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48472" type="#_x0000_t75" stroked="false">
          <v:imagedata r:id="rId1" o:title=""/>
        </v:shape>
      </w:pict>
    </w:r>
    <w:r>
      <w:rPr/>
      <w:pict>
        <v:shape style="position:absolute;margin-left:523.219971pt;margin-top:781.933899pt;width:17.7pt;height:11pt;mso-position-horizontal-relative:page;mso-position-vertical-relative:page;z-index:-948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122</w:t>
                </w:r>
                <w:r>
                  <w:rPr/>
                  <w:fldChar w:fldCharType="end"/>
                </w:r>
                <w:r>
                  <w:rPr>
                    <w:rFonts w:ascii="Times New Roman"/>
                    <w:spacing w:val="1"/>
                  </w:rPr>
                </w:r>
                <w:r>
                  <w:rPr>
                    <w:rFonts w:ascii="Times New Roman"/>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50056" type="#_x0000_t75" stroked="false">
          <v:imagedata r:id="rId1" o:title=""/>
        </v:shape>
      </w:pict>
    </w:r>
    <w:r>
      <w:rPr/>
      <w:pict>
        <v:shape style="position:absolute;margin-left:527.659973pt;margin-top:781.933899pt;width:13.15pt;height:11pt;mso-position-horizontal-relative:page;mso-position-vertical-relative:page;z-index:-950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w:t>
                </w:r>
                <w:r>
                  <w:rPr/>
                  <w:fldChar w:fldCharType="end"/>
                </w:r>
                <w:r>
                  <w:rPr>
                    <w:rFonts w:ascii="Times New Roman"/>
                    <w:spacing w:val="1"/>
                  </w:rPr>
                </w:r>
                <w:r>
                  <w:rPr>
                    <w:rFonts w:ascii="Times New Roman"/>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48376" type="#_x0000_t75" stroked="false">
          <v:imagedata r:id="rId1" o:title=""/>
        </v:shape>
      </w:pict>
    </w:r>
    <w:r>
      <w:rPr/>
      <w:pict>
        <v:shape style="position:absolute;margin-left:523.219971pt;margin-top:781.933899pt;width:17.7pt;height:11pt;mso-position-horizontal-relative:page;mso-position-vertical-relative:page;z-index:-948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138</w:t>
                </w:r>
                <w:r>
                  <w:rPr/>
                  <w:fldChar w:fldCharType="end"/>
                </w:r>
                <w:r>
                  <w:rPr>
                    <w:rFonts w:ascii="Times New Roman"/>
                    <w:spacing w:val="1"/>
                  </w:rPr>
                </w:r>
                <w:r>
                  <w:rPr>
                    <w:rFonts w:ascii="Times New Roman"/>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48280" type="#_x0000_t75" stroked="false">
          <v:imagedata r:id="rId1" o:title=""/>
        </v:shape>
      </w:pict>
    </w:r>
    <w:r>
      <w:rPr/>
      <w:pict>
        <v:shape style="position:absolute;margin-left:523.219971pt;margin-top:781.933899pt;width:17.7pt;height:11pt;mso-position-horizontal-relative:page;mso-position-vertical-relative:page;z-index:-948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145</w:t>
                </w:r>
                <w:r>
                  <w:rPr/>
                  <w:fldChar w:fldCharType="end"/>
                </w:r>
                <w:r>
                  <w:rPr>
                    <w:rFonts w:ascii="Times New Roman"/>
                    <w:spacing w:val="1"/>
                  </w:rPr>
                </w:r>
                <w:r>
                  <w:rPr>
                    <w:rFonts w:ascii="Times New Roman"/>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48184" type="#_x0000_t75" stroked="false">
          <v:imagedata r:id="rId1" o:title=""/>
        </v:shape>
      </w:pict>
    </w:r>
    <w:r>
      <w:rPr/>
      <w:pict>
        <v:shape style="position:absolute;margin-left:523.219971pt;margin-top:781.933899pt;width:17.7pt;height:11pt;mso-position-horizontal-relative:page;mso-position-vertical-relative:page;z-index:-9481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49864" type="#_x0000_t75" stroked="false">
          <v:imagedata r:id="rId1" o:title=""/>
        </v:shape>
      </w:pict>
    </w:r>
    <w:r>
      <w:rPr/>
      <w:pict>
        <v:shape style="position:absolute;margin-left:527.659973pt;margin-top:781.933899pt;width:13.15pt;height:11pt;mso-position-horizontal-relative:page;mso-position-vertical-relative:page;z-index:-949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950224" type="#_x0000_t202" filled="false" stroked="false">
          <v:textbox inset="0,0,0,0">
            <w:txbxContent>
              <w:p>
                <w:pPr>
                  <w:pStyle w:val="BodyText"/>
                  <w:spacing w:line="214" w:lineRule="exact"/>
                  <w:ind w:left="20" w:right="0"/>
                  <w:jc w:val="left"/>
                </w:pPr>
                <w:r>
                  <w:rPr/>
                  <w:t>石家庄常山纺织股份有限公司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494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49408" type="#_x0000_t202" filled="false" stroked="false">
          <v:textbox inset="0,0,0,0">
            <w:txbxContent>
              <w:p>
                <w:pPr>
                  <w:pStyle w:val="BodyText"/>
                  <w:spacing w:line="214" w:lineRule="exact"/>
                  <w:ind w:left="20" w:right="0"/>
                  <w:jc w:val="left"/>
                </w:pPr>
                <w:r>
                  <w:rPr/>
                  <w:t>石家庄常山纺织股份有限公司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4938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49360" type="#_x0000_t202" filled="false" stroked="false">
          <v:textbox inset="0,0,0,0">
            <w:txbxContent>
              <w:p>
                <w:pPr>
                  <w:pStyle w:val="BodyText"/>
                  <w:spacing w:line="214" w:lineRule="exact"/>
                  <w:ind w:left="20" w:right="0"/>
                  <w:jc w:val="left"/>
                </w:pPr>
                <w:r>
                  <w:rPr/>
                  <w:t>石家庄常山纺织股份有限公司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493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49312" type="#_x0000_t202" filled="false" stroked="false">
          <v:textbox inset="0,0,0,0">
            <w:txbxContent>
              <w:p>
                <w:pPr>
                  <w:pStyle w:val="BodyText"/>
                  <w:spacing w:line="214" w:lineRule="exact"/>
                  <w:ind w:left="20" w:right="0"/>
                  <w:jc w:val="left"/>
                </w:pPr>
                <w:r>
                  <w:rPr/>
                  <w:t>石家庄常山纺织股份有限公司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491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49120" type="#_x0000_t202" filled="false" stroked="false">
          <v:textbox inset="0,0,0,0">
            <w:txbxContent>
              <w:p>
                <w:pPr>
                  <w:pStyle w:val="BodyText"/>
                  <w:spacing w:line="214" w:lineRule="exact"/>
                  <w:ind w:left="20" w:right="0"/>
                  <w:jc w:val="left"/>
                </w:pPr>
                <w:r>
                  <w:rPr/>
                  <w:t>石家庄常山纺织股份有限公司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490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49024" type="#_x0000_t202" filled="false" stroked="false">
          <v:textbox inset="0,0,0,0">
            <w:txbxContent>
              <w:p>
                <w:pPr>
                  <w:pStyle w:val="BodyText"/>
                  <w:spacing w:line="214" w:lineRule="exact"/>
                  <w:ind w:left="20" w:right="0"/>
                  <w:jc w:val="left"/>
                </w:pPr>
                <w:r>
                  <w:rPr/>
                  <w:t>石家庄常山纺织股份有限公司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488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48784" type="#_x0000_t202" filled="false" stroked="false">
          <v:textbox inset="0,0,0,0">
            <w:txbxContent>
              <w:p>
                <w:pPr>
                  <w:pStyle w:val="BodyText"/>
                  <w:spacing w:line="214" w:lineRule="exact"/>
                  <w:ind w:left="20" w:right="0"/>
                  <w:jc w:val="left"/>
                </w:pPr>
                <w:r>
                  <w:rPr/>
                  <w:t>石家庄常山纺织股份有限公司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486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48640" type="#_x0000_t202" filled="false" stroked="false">
          <v:textbox inset="0,0,0,0">
            <w:txbxContent>
              <w:p>
                <w:pPr>
                  <w:pStyle w:val="BodyText"/>
                  <w:spacing w:line="214" w:lineRule="exact"/>
                  <w:ind w:left="20" w:right="0"/>
                  <w:jc w:val="left"/>
                </w:pPr>
                <w:r>
                  <w:rPr/>
                  <w:t>石家庄常山纺织股份有限公司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485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48544" type="#_x0000_t202" filled="false" stroked="false">
          <v:textbox inset="0,0,0,0">
            <w:txbxContent>
              <w:p>
                <w:pPr>
                  <w:pStyle w:val="BodyText"/>
                  <w:spacing w:line="214" w:lineRule="exact"/>
                  <w:ind w:left="20" w:right="0"/>
                  <w:jc w:val="left"/>
                </w:pPr>
                <w:r>
                  <w:rPr/>
                  <w:t>石家庄常山纺织股份有限公司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485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48496" type="#_x0000_t202" filled="false" stroked="false">
          <v:textbox inset="0,0,0,0">
            <w:txbxContent>
              <w:p>
                <w:pPr>
                  <w:pStyle w:val="BodyText"/>
                  <w:spacing w:line="214" w:lineRule="exact"/>
                  <w:ind w:left="20" w:right="0"/>
                  <w:jc w:val="left"/>
                </w:pPr>
                <w:r>
                  <w:rPr/>
                  <w:t>石家庄常山纺织股份有限公司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484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48400" type="#_x0000_t202" filled="false" stroked="false">
          <v:textbox inset="0,0,0,0">
            <w:txbxContent>
              <w:p>
                <w:pPr>
                  <w:pStyle w:val="BodyText"/>
                  <w:spacing w:line="214" w:lineRule="exact"/>
                  <w:ind w:left="20" w:right="0"/>
                  <w:jc w:val="left"/>
                </w:pPr>
                <w:r>
                  <w:rPr/>
                  <w:t>石家庄常山纺织股份有限公司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5010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50080" type="#_x0000_t202" filled="false" stroked="false">
          <v:textbox inset="0,0,0,0">
            <w:txbxContent>
              <w:p>
                <w:pPr>
                  <w:pStyle w:val="BodyText"/>
                  <w:spacing w:line="214" w:lineRule="exact"/>
                  <w:ind w:left="20" w:right="0"/>
                  <w:jc w:val="left"/>
                </w:pPr>
                <w:r>
                  <w:rPr/>
                  <w:t>石家庄常山纺织股份有限公司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483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48304" type="#_x0000_t202" filled="false" stroked="false">
          <v:textbox inset="0,0,0,0">
            <w:txbxContent>
              <w:p>
                <w:pPr>
                  <w:pStyle w:val="BodyText"/>
                  <w:spacing w:line="214" w:lineRule="exact"/>
                  <w:ind w:left="20" w:right="0"/>
                  <w:jc w:val="left"/>
                </w:pPr>
                <w:r>
                  <w:rPr/>
                  <w:t>石家庄常山纺织股份有限公司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482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48208" type="#_x0000_t202" filled="false" stroked="false">
          <v:textbox inset="0,0,0,0">
            <w:txbxContent>
              <w:p>
                <w:pPr>
                  <w:pStyle w:val="BodyText"/>
                  <w:spacing w:line="214" w:lineRule="exact"/>
                  <w:ind w:left="20" w:right="0"/>
                  <w:jc w:val="left"/>
                </w:pPr>
                <w:r>
                  <w:rPr/>
                  <w:t>石家庄常山纺织股份有限公司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500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49984" type="#_x0000_t202" filled="false" stroked="false">
          <v:textbox inset="0,0,0,0">
            <w:txbxContent>
              <w:p>
                <w:pPr>
                  <w:pStyle w:val="BodyText"/>
                  <w:spacing w:line="214" w:lineRule="exact"/>
                  <w:ind w:left="20" w:right="0"/>
                  <w:jc w:val="left"/>
                </w:pPr>
                <w:r>
                  <w:rPr/>
                  <w:t>石家庄常山纺织股份有限公司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4996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49936" type="#_x0000_t202" filled="false" stroked="false">
          <v:textbox inset="0,0,0,0">
            <w:txbxContent>
              <w:p>
                <w:pPr>
                  <w:pStyle w:val="BodyText"/>
                  <w:spacing w:line="214" w:lineRule="exact"/>
                  <w:ind w:left="20" w:right="0"/>
                  <w:jc w:val="left"/>
                </w:pPr>
                <w:r>
                  <w:rPr/>
                  <w:t>石家庄常山纺织股份有限公司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499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49888" type="#_x0000_t202" filled="false" stroked="false">
          <v:textbox inset="0,0,0,0">
            <w:txbxContent>
              <w:p>
                <w:pPr>
                  <w:pStyle w:val="BodyText"/>
                  <w:spacing w:line="214" w:lineRule="exact"/>
                  <w:ind w:left="20" w:right="0"/>
                  <w:jc w:val="left"/>
                </w:pPr>
                <w:r>
                  <w:rPr/>
                  <w:t>石家庄常山纺织股份有限公司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498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49792" type="#_x0000_t202" filled="false" stroked="false">
          <v:textbox inset="0,0,0,0">
            <w:txbxContent>
              <w:p>
                <w:pPr>
                  <w:pStyle w:val="BodyText"/>
                  <w:spacing w:line="214" w:lineRule="exact"/>
                  <w:ind w:left="20" w:right="0"/>
                  <w:jc w:val="left"/>
                </w:pPr>
                <w:r>
                  <w:rPr/>
                  <w:t>石家庄常山纺织股份有限公司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497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49696" type="#_x0000_t202" filled="false" stroked="false">
          <v:textbox inset="0,0,0,0">
            <w:txbxContent>
              <w:p>
                <w:pPr>
                  <w:pStyle w:val="BodyText"/>
                  <w:spacing w:line="214" w:lineRule="exact"/>
                  <w:ind w:left="20" w:right="0"/>
                  <w:jc w:val="left"/>
                </w:pPr>
                <w:r>
                  <w:rPr/>
                  <w:t>石家庄常山纺织股份有限公司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496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49600" type="#_x0000_t202" filled="false" stroked="false">
          <v:textbox inset="0,0,0,0">
            <w:txbxContent>
              <w:p>
                <w:pPr>
                  <w:pStyle w:val="BodyText"/>
                  <w:spacing w:line="214" w:lineRule="exact"/>
                  <w:ind w:left="20" w:right="0"/>
                  <w:jc w:val="left"/>
                </w:pPr>
                <w:r>
                  <w:rPr/>
                  <w:t>石家庄常山纺织股份有限公司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495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49504" type="#_x0000_t202" filled="false" stroked="false">
          <v:textbox inset="0,0,0,0">
            <w:txbxContent>
              <w:p>
                <w:pPr>
                  <w:pStyle w:val="BodyText"/>
                  <w:spacing w:line="214" w:lineRule="exact"/>
                  <w:ind w:left="20" w:right="0"/>
                  <w:jc w:val="left"/>
                </w:pPr>
                <w:r>
                  <w:rPr/>
                  <w:t>石家庄常山纺织股份有限公司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50"/>
      <w:ind w:left="152"/>
    </w:pPr>
    <w:rPr>
      <w:rFonts w:ascii="宋体" w:hAnsi="宋体" w:eastAsia="宋体"/>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60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changshantex.com/" TargetMode="External"/><Relationship Id="rId10" Type="http://schemas.openxmlformats.org/officeDocument/2006/relationships/hyperlink" Target="mailto:chshgf@heinfo.net" TargetMode="External"/><Relationship Id="rId11" Type="http://schemas.openxmlformats.org/officeDocument/2006/relationships/hyperlink" Target="mailto:chijunp52@sohu.com" TargetMode="External"/><Relationship Id="rId12" Type="http://schemas.openxmlformats.org/officeDocument/2006/relationships/hyperlink" Target="mailto:ally0629@sohu.com" TargetMode="External"/><Relationship Id="rId13" Type="http://schemas.openxmlformats.org/officeDocument/2006/relationships/hyperlink" Target="http://www.cninfo.com.cn/"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image" Target="media/image1.png"/><Relationship Id="rId17" Type="http://schemas.openxmlformats.org/officeDocument/2006/relationships/footer" Target="footer4.xml"/><Relationship Id="rId18" Type="http://schemas.openxmlformats.org/officeDocument/2006/relationships/header" Target="header3.xml"/><Relationship Id="rId19" Type="http://schemas.openxmlformats.org/officeDocument/2006/relationships/footer" Target="footer5.xml"/><Relationship Id="rId20" Type="http://schemas.openxmlformats.org/officeDocument/2006/relationships/header" Target="header4.xml"/><Relationship Id="rId21" Type="http://schemas.openxmlformats.org/officeDocument/2006/relationships/footer" Target="footer6.xml"/><Relationship Id="rId22" Type="http://schemas.openxmlformats.org/officeDocument/2006/relationships/header" Target="header5.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header" Target="header6.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eader" Target="header7.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image" Target="media/image3.jpeg"/><Relationship Id="rId32" Type="http://schemas.openxmlformats.org/officeDocument/2006/relationships/image" Target="media/image4.png"/><Relationship Id="rId33" Type="http://schemas.openxmlformats.org/officeDocument/2006/relationships/image" Target="media/image5.png"/><Relationship Id="rId34" Type="http://schemas.openxmlformats.org/officeDocument/2006/relationships/header" Target="header8.xml"/><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header" Target="header9.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header" Target="header10.xml"/><Relationship Id="rId41" Type="http://schemas.openxmlformats.org/officeDocument/2006/relationships/footer" Target="footer17.xml"/><Relationship Id="rId42" Type="http://schemas.openxmlformats.org/officeDocument/2006/relationships/header" Target="header11.xml"/><Relationship Id="rId43" Type="http://schemas.openxmlformats.org/officeDocument/2006/relationships/footer" Target="footer18.xml"/><Relationship Id="rId44" Type="http://schemas.openxmlformats.org/officeDocument/2006/relationships/header" Target="header12.xml"/><Relationship Id="rId45" Type="http://schemas.openxmlformats.org/officeDocument/2006/relationships/footer" Target="footer19.xml"/><Relationship Id="rId46" Type="http://schemas.openxmlformats.org/officeDocument/2006/relationships/footer" Target="footer20.xml"/><Relationship Id="rId47" Type="http://schemas.openxmlformats.org/officeDocument/2006/relationships/footer" Target="footer21.xml"/><Relationship Id="rId48" Type="http://schemas.openxmlformats.org/officeDocument/2006/relationships/footer" Target="footer22.xml"/><Relationship Id="rId49" Type="http://schemas.openxmlformats.org/officeDocument/2006/relationships/header" Target="header13.xml"/><Relationship Id="rId50" Type="http://schemas.openxmlformats.org/officeDocument/2006/relationships/footer" Target="footer23.xml"/><Relationship Id="rId51" Type="http://schemas.openxmlformats.org/officeDocument/2006/relationships/footer" Target="footer24.xml"/><Relationship Id="rId52" Type="http://schemas.openxmlformats.org/officeDocument/2006/relationships/header" Target="header14.xml"/><Relationship Id="rId53" Type="http://schemas.openxmlformats.org/officeDocument/2006/relationships/footer" Target="footer25.xml"/><Relationship Id="rId54" Type="http://schemas.openxmlformats.org/officeDocument/2006/relationships/footer" Target="footer26.xml"/><Relationship Id="rId55" Type="http://schemas.openxmlformats.org/officeDocument/2006/relationships/footer" Target="footer27.xml"/><Relationship Id="rId56" Type="http://schemas.openxmlformats.org/officeDocument/2006/relationships/footer" Target="footer28.xml"/><Relationship Id="rId57" Type="http://schemas.openxmlformats.org/officeDocument/2006/relationships/footer" Target="footer29.xml"/><Relationship Id="rId58" Type="http://schemas.openxmlformats.org/officeDocument/2006/relationships/footer" Target="footer30.xml"/><Relationship Id="rId59" Type="http://schemas.openxmlformats.org/officeDocument/2006/relationships/header" Target="header15.xml"/><Relationship Id="rId60" Type="http://schemas.openxmlformats.org/officeDocument/2006/relationships/footer" Target="footer31.xml"/><Relationship Id="rId61" Type="http://schemas.openxmlformats.org/officeDocument/2006/relationships/footer" Target="footer32.xml"/><Relationship Id="rId62" Type="http://schemas.openxmlformats.org/officeDocument/2006/relationships/footer" Target="footer33.xml"/><Relationship Id="rId63" Type="http://schemas.openxmlformats.org/officeDocument/2006/relationships/header" Target="header16.xml"/><Relationship Id="rId64" Type="http://schemas.openxmlformats.org/officeDocument/2006/relationships/footer" Target="footer34.xml"/><Relationship Id="rId65" Type="http://schemas.openxmlformats.org/officeDocument/2006/relationships/footer" Target="footer35.xml"/><Relationship Id="rId66" Type="http://schemas.openxmlformats.org/officeDocument/2006/relationships/header" Target="header17.xml"/><Relationship Id="rId67" Type="http://schemas.openxmlformats.org/officeDocument/2006/relationships/footer" Target="footer36.xml"/><Relationship Id="rId68" Type="http://schemas.openxmlformats.org/officeDocument/2006/relationships/header" Target="header18.xml"/><Relationship Id="rId69" Type="http://schemas.openxmlformats.org/officeDocument/2006/relationships/footer" Target="footer37.xml"/><Relationship Id="rId70" Type="http://schemas.openxmlformats.org/officeDocument/2006/relationships/footer" Target="footer38.xml"/><Relationship Id="rId71" Type="http://schemas.openxmlformats.org/officeDocument/2006/relationships/header" Target="header19.xml"/><Relationship Id="rId72" Type="http://schemas.openxmlformats.org/officeDocument/2006/relationships/footer" Target="footer39.xml"/><Relationship Id="rId73" Type="http://schemas.openxmlformats.org/officeDocument/2006/relationships/footer" Target="footer40.xml"/><Relationship Id="rId74" Type="http://schemas.openxmlformats.org/officeDocument/2006/relationships/header" Target="header20.xml"/><Relationship Id="rId75" Type="http://schemas.openxmlformats.org/officeDocument/2006/relationships/footer" Target="footer41.xml"/><Relationship Id="rId76" Type="http://schemas.openxmlformats.org/officeDocument/2006/relationships/footer" Target="footer42.xml"/><Relationship Id="rId77" Type="http://schemas.openxmlformats.org/officeDocument/2006/relationships/header" Target="header21.xml"/><Relationship Id="rId78" Type="http://schemas.openxmlformats.org/officeDocument/2006/relationships/footer" Target="footer43.xml"/><Relationship Id="rId79" Type="http://schemas.openxmlformats.org/officeDocument/2006/relationships/footer" Target="footer4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8.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40.xml.rels><?xml version="1.0" encoding="UTF-8" standalone="yes"?>
<Relationships xmlns="http://schemas.openxmlformats.org/package/2006/relationships"><Relationship Id="rId1" Type="http://schemas.openxmlformats.org/officeDocument/2006/relationships/image" Target="media/image1.png"/></Relationships>

</file>

<file path=word/_rels/footer42.xml.rels><?xml version="1.0" encoding="UTF-8" standalone="yes"?>
<Relationships xmlns="http://schemas.openxmlformats.org/package/2006/relationships"><Relationship Id="rId1" Type="http://schemas.openxmlformats.org/officeDocument/2006/relationships/image" Target="media/image1.png"/></Relationships>

</file>

<file path=word/_rels/footer44.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2020-05-03T22:57:48Z</dcterms:created>
  <dcterms:modified xsi:type="dcterms:W3CDTF">2020-05-03T22:57:48Z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2013-04-24T00:00:00Z</vt:filetime>
  </property>
  <property fmtid="{D5CDD505-2E9C-101B-9397-08002B2CF9AE}" pid="3" name="Creator">
    <vt:lpwstr>Microsoft® Office Word 2007</vt:lpwstr>
  </property>
  <property fmtid="{D5CDD505-2E9C-101B-9397-08002B2CF9AE}" pid="4" name="LastSaved">
    <vt:filetime>2020-05-03T00:00:00Z</vt:filetime>
  </property>
</Properties>
</file>