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9" w:right="279" w:firstLine="0"/>
        <w:jc w:val="center"/>
        <w:rPr>
          <w:rFonts w:ascii="宋体" w:hAnsi="宋体" w:cs="宋体" w:eastAsia="宋体" w:hint="default"/>
          <w:sz w:val="36"/>
          <w:szCs w:val="36"/>
        </w:rPr>
      </w:pPr>
      <w:r>
        <w:rPr/>
        <w:pict>
          <v:group style="position:absolute;margin-left:55.200001pt;margin-top:-84.7762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1997pt" strokecolor="#000000">
              <v:path arrowok="t"/>
            </v:shape>
            <w10:wrap type="none"/>
          </v:group>
        </w:pict>
      </w:r>
      <w:r>
        <w:rPr>
          <w:rFonts w:ascii="宋体" w:hAnsi="宋体" w:cs="宋体" w:eastAsia="宋体" w:hint="default"/>
          <w:b/>
          <w:bCs/>
          <w:sz w:val="36"/>
          <w:szCs w:val="36"/>
        </w:rPr>
        <w:t>石家庄常山纺织股份有限公司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9" w:right="2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spacing w:line="2572" w:lineRule="exact"/>
        <w:ind w:left="3847"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1505130" cy="16337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505130" cy="1633727"/>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1"/>
        <w:rPr>
          <w:rFonts w:ascii="宋体" w:hAnsi="宋体" w:cs="宋体" w:eastAsia="宋体" w:hint="default"/>
          <w:b/>
          <w:bCs/>
          <w:sz w:val="46"/>
          <w:szCs w:val="46"/>
        </w:rPr>
      </w:pPr>
    </w:p>
    <w:p>
      <w:pPr>
        <w:spacing w:before="0"/>
        <w:ind w:left="279" w:right="2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23"/>
        <w:gridCol w:w="2222"/>
        <w:gridCol w:w="2212"/>
        <w:gridCol w:w="2210"/>
      </w:tblGrid>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22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参加河北省证监局会议</w:t>
            </w:r>
          </w:p>
        </w:tc>
        <w:tc>
          <w:tcPr>
            <w:tcW w:w="22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222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2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r>
    </w:tbl>
    <w:p>
      <w:pPr>
        <w:spacing w:line="240" w:lineRule="auto" w:before="2"/>
        <w:rPr>
          <w:rFonts w:ascii="宋体" w:hAnsi="宋体" w:cs="宋体" w:eastAsia="宋体" w:hint="default"/>
          <w:b/>
          <w:bCs/>
          <w:sz w:val="13"/>
          <w:szCs w:val="13"/>
        </w:rPr>
      </w:pPr>
    </w:p>
    <w:p>
      <w:pPr>
        <w:spacing w:line="472" w:lineRule="auto" w:before="13"/>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公司负责人汤彰明、主管会计工作负责人赵英涛及会计机构负责人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曹金霞声明：保证年度报告中财务报告的真实、准确、完整。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9" w:right="2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661" w:val="lef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661" w:val="lef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2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661" w:val="lef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23"/>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spacing w:val="-39"/>
              </w:rPr>
              <w:t> </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24"/>
              </w:rPr>
              <w:t> </w:t>
            </w:r>
            <w:r>
              <w:rPr/>
              <w:t>董事会报告</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23"/>
              </w:rPr>
              <w:t> </w:t>
            </w:r>
            <w:r>
              <w:rPr/>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28"/>
              </w:rPr>
              <w:t> </w:t>
            </w:r>
            <w:r>
              <w:rPr/>
              <w:t>股份变动及股东情况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26"/>
              </w:rPr>
              <w:t> </w:t>
            </w:r>
            <w:r>
              <w:rPr/>
              <w:t>优先股相关情况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35"/>
              </w:rPr>
              <w:t> </w:t>
            </w:r>
            <w:r>
              <w:rPr/>
              <w:t>董事、监事、高级管理人员和员工情况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23"/>
              </w:rPr>
              <w:t> </w:t>
            </w:r>
            <w:r>
              <w:rPr/>
              <w:t>公司治理</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23"/>
              </w:rPr>
              <w:t> </w:t>
            </w:r>
            <w:r>
              <w:rPr/>
              <w:t>内部控制</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541" w:val="lef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20"/>
              </w:rPr>
              <w:t> </w:t>
            </w:r>
            <w:r>
              <w:rPr/>
              <w:t>财务报告</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421" w:val="lef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6"/>
              </w:rPr>
              <w:t> </w:t>
            </w:r>
            <w:r>
              <w:rPr/>
              <w:t>备查文件目录</w:t>
            </w:r>
            <w:r>
              <w:rPr>
                <w:rFonts w:ascii="Times New Roman" w:hAnsi="Times New Roman" w:cs="Times New Roman" w:eastAsia="Times New Roman" w:hint="default"/>
              </w:rPr>
              <w:tab/>
              <w:t>136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before="946"/>
        <w:ind w:left="279" w:right="2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8"/>
        <w:gridCol w:w="614"/>
        <w:gridCol w:w="5435"/>
      </w:tblGrid>
      <w:tr>
        <w:trPr>
          <w:trHeight w:val="402" w:hRule="exact"/>
        </w:trPr>
        <w:tc>
          <w:tcPr>
            <w:tcW w:w="3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公司、本公司或常山股份</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河北证监局</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中国证券监督管理委员会河北证监局</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《石家庄常山纺织股份有限公司公司章程》</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报告期、本报告期、本期</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79" w:right="279"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0" w:firstLine="561"/>
        <w:jc w:val="left"/>
        <w:rPr>
          <w:rFonts w:ascii="宋体" w:hAnsi="宋体" w:cs="宋体" w:eastAsia="宋体" w:hint="default"/>
          <w:sz w:val="28"/>
          <w:szCs w:val="28"/>
        </w:rPr>
      </w:pPr>
      <w:r>
        <w:rPr>
          <w:rFonts w:ascii="宋体" w:hAnsi="宋体" w:cs="宋体" w:eastAsia="宋体" w:hint="default"/>
          <w:b/>
          <w:bCs/>
          <w:spacing w:val="4"/>
          <w:w w:val="95"/>
          <w:sz w:val="28"/>
          <w:szCs w:val="28"/>
        </w:rPr>
        <w:t>公司不存在对生产经营状况、财务状况和持续盈利能力有严重不利影响的</w:t>
      </w:r>
      <w:r>
        <w:rPr>
          <w:rFonts w:ascii="宋体" w:hAnsi="宋体" w:cs="宋体" w:eastAsia="宋体" w:hint="default"/>
          <w:b/>
          <w:bCs/>
          <w:spacing w:val="4"/>
          <w:w w:val="99"/>
          <w:sz w:val="28"/>
          <w:szCs w:val="28"/>
        </w:rPr>
        <w:t> </w:t>
      </w:r>
      <w:r>
        <w:rPr>
          <w:rFonts w:ascii="宋体" w:hAnsi="宋体" w:cs="宋体" w:eastAsia="宋体" w:hint="default"/>
          <w:b/>
          <w:bCs/>
          <w:sz w:val="28"/>
          <w:szCs w:val="28"/>
        </w:rPr>
        <w:t>有关风险因素。</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78"/>
        <w:jc w:val="center"/>
        <w:rPr>
          <w:b w:val="0"/>
          <w:bCs w:val="0"/>
        </w:rPr>
      </w:pPr>
      <w:bookmarkStart w:name="_TOC_250010"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65"/>
        <w:gridCol w:w="2144"/>
        <w:gridCol w:w="2187"/>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3" w:space="0" w:color="D3D3D3"/>
              <w:bottom w:val="single" w:sz="4" w:space="0" w:color="000000"/>
              <w:right w:val="single" w:sz="13" w:space="0" w:color="D3D3D3"/>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常山股份</w:t>
            </w:r>
          </w:p>
        </w:tc>
        <w:tc>
          <w:tcPr>
            <w:tcW w:w="2144" w:type="dxa"/>
            <w:tcBorders>
              <w:top w:val="single" w:sz="4" w:space="0" w:color="000000"/>
              <w:left w:val="single" w:sz="9" w:space="0" w:color="C7EDCC"/>
              <w:bottom w:val="single" w:sz="4" w:space="0" w:color="000000"/>
              <w:right w:val="single" w:sz="4" w:space="0" w:color="000000"/>
            </w:tcBorders>
            <w:shd w:val="clear" w:color="auto" w:fill="D3D3D3"/>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000158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常山股份</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SHIJIAZHUANG</w:t>
            </w:r>
            <w:r>
              <w:rPr>
                <w:rFonts w:ascii="Times New Roman"/>
                <w:spacing w:val="-7"/>
                <w:sz w:val="18"/>
              </w:rPr>
              <w:t> </w:t>
            </w:r>
            <w:r>
              <w:rPr>
                <w:rFonts w:ascii="Times New Roman"/>
                <w:sz w:val="18"/>
              </w:rPr>
              <w:t>CHANGSHAN</w:t>
            </w:r>
            <w:r>
              <w:rPr>
                <w:rFonts w:ascii="Times New Roman"/>
                <w:spacing w:val="-10"/>
                <w:sz w:val="18"/>
              </w:rPr>
              <w:t> </w:t>
            </w:r>
            <w:r>
              <w:rPr>
                <w:rFonts w:ascii="Times New Roman"/>
                <w:sz w:val="18"/>
              </w:rPr>
              <w:t>TEXTILE</w:t>
            </w:r>
            <w:r>
              <w:rPr>
                <w:rFonts w:ascii="Times New Roman"/>
                <w:spacing w:val="-7"/>
                <w:sz w:val="18"/>
              </w:rPr>
              <w:t> </w:t>
            </w:r>
            <w:r>
              <w:rPr>
                <w:rFonts w:ascii="Times New Roman"/>
                <w:spacing w:val="-4"/>
                <w:sz w:val="18"/>
              </w:rPr>
              <w:t>COMPANY</w:t>
            </w:r>
            <w:r>
              <w:rPr>
                <w:rFonts w:ascii="Times New Roman"/>
                <w:spacing w:val="-14"/>
                <w:sz w:val="18"/>
              </w:rPr>
              <w:t> </w:t>
            </w:r>
            <w:r>
              <w:rPr>
                <w:rFonts w:ascii="Times New Roman"/>
                <w:sz w:val="18"/>
              </w:rPr>
              <w:t>LIMITED</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89"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CSTEX</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汤彰明</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http://www.changshantex.com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chshgf@heinfo.net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莉</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0311-86673856</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0311-86673856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0311-86673929</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0311-86673929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chijunp52@sohu.com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ally</w:t>
              </w:r>
            </w:hyperlink>
            <w:hyperlink r:id="rId13">
              <w:r>
                <w:rPr>
                  <w:rFonts w:ascii="Times New Roman"/>
                  <w:sz w:val="18"/>
                </w:rPr>
                <w:t>0629@sohu.com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河北省石家庄市和 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1300001001133</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130102700715920</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130102700715920</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5" w:type="dxa"/>
            <w:vMerge/>
            <w:tcBorders>
              <w:left w:val="single" w:sz="4" w:space="0" w:color="000000"/>
              <w:right w:val="single" w:sz="4" w:space="0" w:color="000000"/>
            </w:tcBorders>
            <w:shd w:val="clear" w:color="auto" w:fill="C7EDCC"/>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5" w:type="dxa"/>
            <w:vMerge/>
            <w:tcBorders>
              <w:left w:val="single" w:sz="4" w:space="0" w:color="000000"/>
              <w:bottom w:val="single" w:sz="4" w:space="0" w:color="000000"/>
              <w:right w:val="single" w:sz="4" w:space="0" w:color="000000"/>
            </w:tcBorders>
            <w:shd w:val="clear" w:color="auto" w:fill="C7EDCC"/>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河北省石家庄市和 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130100000545465</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130102700715920</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70071592-0</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5" w:type="dxa"/>
            <w:vMerge/>
            <w:tcBorders>
              <w:left w:val="single" w:sz="4" w:space="0" w:color="000000"/>
              <w:right w:val="single" w:sz="4" w:space="0" w:color="000000"/>
            </w:tcBorders>
            <w:shd w:val="clear" w:color="auto" w:fill="C7EDCC"/>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5" w:type="dxa"/>
            <w:vMerge/>
            <w:tcBorders>
              <w:left w:val="single" w:sz="4" w:space="0" w:color="000000"/>
              <w:bottom w:val="single" w:sz="4" w:space="0" w:color="000000"/>
              <w:right w:val="single" w:sz="4" w:space="0" w:color="000000"/>
            </w:tcBorders>
            <w:shd w:val="clear" w:color="auto" w:fill="C7EDCC"/>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北京市西城区复兴门内大街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层东座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王凤岐、杨海龙</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418"/>
        <w:jc w:val="left"/>
        <w:rPr>
          <w:b w:val="0"/>
          <w:bCs w:val="0"/>
        </w:rPr>
      </w:pPr>
      <w:bookmarkStart w:name="_TOC_250009"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418"/>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18"/>
        <w:jc w:val="left"/>
      </w:pPr>
      <w:r>
        <w:rPr/>
        <w:t>公司是否因会计政策变更及会计差错更正等追溯调整或重述以前年度会计数据</w:t>
      </w:r>
    </w:p>
    <w:p>
      <w:pPr>
        <w:pStyle w:val="BodyText"/>
        <w:spacing w:line="240" w:lineRule="auto" w:before="117"/>
        <w:ind w:left="153" w:right="4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17"/>
        <w:gridCol w:w="1531"/>
        <w:gridCol w:w="1440"/>
        <w:gridCol w:w="1736"/>
        <w:gridCol w:w="1424"/>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6,568,519,360.29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5,857,395,314.00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5,022,514,228.58</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24,284,736.36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17,565,895.35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11,763,142.83</w:t>
            </w:r>
          </w:p>
        </w:tc>
      </w:tr>
      <w:tr>
        <w:trPr>
          <w:trHeight w:val="714"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3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-250,333,181.85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-113,183,470.32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-121.17%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-88,741,031.69</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119,395,771.92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-55,087,771.56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316.74%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-121,172,154.96</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0.0164</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0.0164</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5,553,163,381.02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5,773,239,230.75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5,716,866,936.80</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2,473,352,624.27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2,441,968,450.01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2,427,040,859.29</w:t>
            </w:r>
          </w:p>
        </w:tc>
      </w:tr>
    </w:tbl>
    <w:p>
      <w:pPr>
        <w:spacing w:line="240" w:lineRule="auto" w:before="2"/>
        <w:rPr>
          <w:rFonts w:ascii="宋体" w:hAnsi="宋体" w:cs="宋体" w:eastAsia="宋体" w:hint="default"/>
          <w:sz w:val="18"/>
          <w:szCs w:val="18"/>
        </w:rPr>
      </w:pPr>
    </w:p>
    <w:p>
      <w:pPr>
        <w:pStyle w:val="Heading2"/>
        <w:spacing w:line="240" w:lineRule="auto" w:before="26"/>
        <w:ind w:right="418"/>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18"/>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418"/>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418"/>
        <w:jc w:val="left"/>
        <w:rPr>
          <w:b w:val="0"/>
          <w:bCs w:val="0"/>
        </w:rPr>
      </w:pP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9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117"/>
        <w:gridCol w:w="1396"/>
        <w:gridCol w:w="1260"/>
        <w:gridCol w:w="1260"/>
        <w:gridCol w:w="1676"/>
      </w:tblGrid>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销部分）</w:t>
            </w:r>
          </w:p>
        </w:tc>
        <w:tc>
          <w:tcPr>
            <w:tcW w:w="13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-8,358,876.28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20,680,805.11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51,764,239.60</w:t>
            </w:r>
          </w:p>
        </w:tc>
        <w:tc>
          <w:tcPr>
            <w:tcW w:w="16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40"/>
        <w:gridCol w:w="1384"/>
        <w:gridCol w:w="1260"/>
        <w:gridCol w:w="1260"/>
        <w:gridCol w:w="1676"/>
      </w:tblGrid>
      <w:tr>
        <w:trPr>
          <w:trHeight w:val="714"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照国家统一标准定额或定量享受的政府补助除外）</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348,030,313.52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245,292,778.04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84,537,230.95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其中：政府搬迁补助</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337,137,311.83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-72,004,100.19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-135,233,834.25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-38,937,932.45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1338"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w:t>
            </w:r>
            <w:r>
              <w:rPr>
                <w:rFonts w:ascii="宋体" w:hAnsi="宋体" w:cs="宋体" w:eastAsia="宋体" w:hint="default"/>
                <w:spacing w:val="-3"/>
                <w:sz w:val="18"/>
                <w:szCs w:val="18"/>
              </w:rPr>
              <w:t>持有交易性金融资产、交易性金融负债产生的公允价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值变动损益，以及处置交易性金融资产、交易性金融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负债和可供出售金融资产取得的投资收益</w:t>
            </w:r>
          </w:p>
        </w:tc>
        <w:tc>
          <w:tcPr>
            <w:tcW w:w="13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157,325.00</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3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84,767.21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38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3,033,333.33</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7,074,928.74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455,077.58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1,531,445.09</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124,347.58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530,228.02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1,581,467.00</w:t>
            </w: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274,617,918.21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130,749,365.67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100,504,174.52</w:t>
            </w:r>
          </w:p>
        </w:tc>
        <w:tc>
          <w:tcPr>
            <w:tcW w:w="1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1"/>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7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7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48" w:firstLine="360"/>
        <w:jc w:val="both"/>
      </w:pPr>
      <w:r>
        <w:rPr>
          <w:spacing w:val="-2"/>
        </w:rPr>
        <w:t>报告期内，宏观经济下行压力不断加大，环境约束日益凸显，能源、人工成本上涨，棉花内外价格倒挂、东南亚国家纺</w:t>
      </w:r>
      <w:r>
        <w:rPr/>
        <w:t> 织竞争力逐年增强等不利因素给纺织企业带来前所未有的压力。 公司根据年初确定的经营计划，多措并举保证了经营指标</w:t>
      </w:r>
      <w:r>
        <w:rPr>
          <w:spacing w:val="-89"/>
        </w:rPr>
        <w:t> </w:t>
      </w:r>
      <w:r>
        <w:rPr>
          <w:spacing w:val="-89"/>
        </w:rPr>
      </w:r>
      <w:r>
        <w:rPr>
          <w:spacing w:val="-2"/>
        </w:rPr>
        <w:t>的基本完成，但是纺织主业经营仍然出现较大亏损。由于报告期内收到的政府补助款，使公司本年度归属上市公司股东的净</w:t>
      </w:r>
      <w:r>
        <w:rPr>
          <w:spacing w:val="-66"/>
        </w:rPr>
        <w:t> </w:t>
      </w:r>
      <w:r>
        <w:rPr>
          <w:spacing w:val="-66"/>
        </w:rPr>
      </w:r>
      <w:r>
        <w:rPr/>
        <w:t>利润同比增加。</w:t>
      </w:r>
    </w:p>
    <w:p>
      <w:pPr>
        <w:pStyle w:val="BodyText"/>
        <w:spacing w:line="240" w:lineRule="auto" w:before="56"/>
        <w:ind w:left="514" w:right="0"/>
        <w:jc w:val="left"/>
      </w:pPr>
      <w:r>
        <w:rPr>
          <w:spacing w:val="2"/>
        </w:rPr>
        <w:t>报告期内，公司营业收入</w:t>
      </w:r>
      <w:r>
        <w:rPr>
          <w:rFonts w:ascii="Times New Roman" w:hAnsi="Times New Roman" w:cs="Times New Roman" w:eastAsia="Times New Roman" w:hint="default"/>
          <w:spacing w:val="2"/>
        </w:rPr>
        <w:t>656,851.94</w:t>
      </w:r>
      <w:r>
        <w:rPr>
          <w:spacing w:val="2"/>
        </w:rPr>
        <w:t>万元，同比增加</w:t>
      </w:r>
      <w:r>
        <w:rPr>
          <w:spacing w:val="62"/>
        </w:rPr>
        <w:t> </w:t>
      </w:r>
      <w:r>
        <w:rPr>
          <w:rFonts w:ascii="Times New Roman" w:hAnsi="Times New Roman" w:cs="Times New Roman" w:eastAsia="Times New Roman" w:hint="default"/>
        </w:rPr>
        <w:t>12.14%</w:t>
      </w:r>
      <w:r>
        <w:rPr/>
        <w:t>，营业成本</w:t>
      </w:r>
      <w:r>
        <w:rPr>
          <w:rFonts w:ascii="Times New Roman" w:hAnsi="Times New Roman" w:cs="Times New Roman" w:eastAsia="Times New Roman" w:hint="default"/>
        </w:rPr>
        <w:t>649,000.70</w:t>
      </w:r>
      <w:r>
        <w:rPr/>
        <w:t>万元，同比增加</w:t>
      </w:r>
      <w:r>
        <w:rPr>
          <w:rFonts w:ascii="Times New Roman" w:hAnsi="Times New Roman" w:cs="Times New Roman" w:eastAsia="Times New Roman" w:hint="default"/>
        </w:rPr>
        <w:t>14.78%</w:t>
      </w:r>
      <w:r>
        <w:rPr/>
        <w:t>。营业利润</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-32,472.63</w:t>
      </w:r>
      <w:r>
        <w:rPr>
          <w:spacing w:val="-4"/>
        </w:rPr>
        <w:t>万元，同比亏损增加</w:t>
      </w:r>
      <w:r>
        <w:rPr>
          <w:rFonts w:ascii="Times New Roman" w:hAnsi="Times New Roman" w:cs="Times New Roman" w:eastAsia="Times New Roman" w:hint="default"/>
          <w:spacing w:val="-4"/>
        </w:rPr>
        <w:t>32.70%</w:t>
      </w:r>
      <w:r>
        <w:rPr>
          <w:spacing w:val="-4"/>
        </w:rPr>
        <w:t>，归属于母公司所有者的净利润</w:t>
      </w:r>
      <w:r>
        <w:rPr>
          <w:spacing w:val="10"/>
        </w:rPr>
        <w:t> </w:t>
      </w:r>
      <w:r>
        <w:rPr>
          <w:rFonts w:ascii="Times New Roman" w:hAnsi="Times New Roman" w:cs="Times New Roman" w:eastAsia="Times New Roman" w:hint="default"/>
          <w:spacing w:val="-5"/>
        </w:rPr>
        <w:t>2,428.47</w:t>
      </w:r>
      <w:r>
        <w:rPr>
          <w:spacing w:val="-5"/>
        </w:rPr>
        <w:t>万元，同比增加</w:t>
      </w:r>
      <w:r>
        <w:rPr>
          <w:rFonts w:ascii="Times New Roman" w:hAnsi="Times New Roman" w:cs="Times New Roman" w:eastAsia="Times New Roman" w:hint="default"/>
          <w:spacing w:val="-5"/>
        </w:rPr>
        <w:t>38.25%</w:t>
      </w:r>
      <w:r>
        <w:rPr>
          <w:spacing w:val="-5"/>
        </w:rPr>
        <w:t>；基本每股收益为</w:t>
      </w:r>
      <w:r>
        <w:rPr>
          <w:rFonts w:ascii="Times New Roman" w:hAnsi="Times New Roman" w:cs="Times New Roman" w:eastAsia="Times New Roman" w:hint="default"/>
          <w:spacing w:val="-5"/>
        </w:rPr>
        <w:t>0.0338</w:t>
      </w:r>
      <w:r>
        <w:rPr>
          <w:rFonts w:ascii="Times New Roman" w:hAnsi="Times New Roman" w:cs="Times New Roman" w:eastAsia="Times New Roman" w:hint="default"/>
        </w:rPr>
      </w:r>
    </w:p>
    <w:p>
      <w:pPr>
        <w:pStyle w:val="BodyText"/>
        <w:spacing w:line="240" w:lineRule="auto" w:before="64"/>
        <w:ind w:right="0"/>
        <w:jc w:val="left"/>
      </w:pPr>
      <w:r>
        <w:rPr/>
        <w:t>元，同比增加</w:t>
      </w:r>
      <w:r>
        <w:rPr>
          <w:rFonts w:ascii="Times New Roman" w:hAnsi="Times New Roman" w:cs="Times New Roman" w:eastAsia="Times New Roman" w:hint="default"/>
        </w:rPr>
        <w:t>38.52%</w:t>
      </w:r>
      <w:r>
        <w:rPr/>
        <w:t>。</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352" w:lineRule="auto"/>
        <w:ind w:left="153" w:right="1491"/>
        <w:jc w:val="left"/>
      </w:pPr>
      <w:r>
        <w:rPr/>
        <w:t>公司回顾总结前期披露的发展战略和经营计划在报告期内的进展情况 公司主营业务范围：纯棉纱布和涤棉纱布的生产销售；自产产品和技术的进出口业务；棉花批发、零售。 报告期内，公司按照</w:t>
      </w:r>
      <w:r>
        <w:rPr>
          <w:rFonts w:ascii="Times New Roman" w:hAnsi="Times New Roman" w:cs="Times New Roman" w:eastAsia="Times New Roman" w:hint="default"/>
        </w:rPr>
        <w:t>2013</w:t>
      </w:r>
      <w:r>
        <w:rPr/>
        <w:t>年度报告披露的</w:t>
      </w:r>
      <w:r>
        <w:rPr>
          <w:rFonts w:ascii="Times New Roman" w:hAnsi="Times New Roman" w:cs="Times New Roman" w:eastAsia="Times New Roman" w:hint="default"/>
        </w:rPr>
        <w:t>2014</w:t>
      </w:r>
      <w:r>
        <w:rPr/>
        <w:t>年度经营计划有序推进各项工作。 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338" w:lineRule="auto" w:before="8"/>
        <w:ind w:right="7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主要经营模式的变化情况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left="153" w:right="2601"/>
        <w:jc w:val="left"/>
      </w:pPr>
      <w:r>
        <w:rPr/>
        <w:t>说明 报告期内，公司营业收入</w:t>
      </w:r>
      <w:r>
        <w:rPr>
          <w:rFonts w:ascii="Times New Roman" w:hAnsi="Times New Roman" w:cs="Times New Roman" w:eastAsia="Times New Roman" w:hint="default"/>
        </w:rPr>
        <w:t>656,851.94</w:t>
      </w:r>
      <w:r>
        <w:rPr/>
        <w:t>万元</w:t>
      </w:r>
      <w:r>
        <w:rPr>
          <w:rFonts w:ascii="Times New Roman" w:hAnsi="Times New Roman" w:cs="Times New Roman" w:eastAsia="Times New Roman" w:hint="default"/>
        </w:rPr>
        <w:t>,</w:t>
      </w:r>
      <w:r>
        <w:rPr/>
        <w:t>同比增加</w:t>
      </w:r>
      <w:r>
        <w:rPr>
          <w:rFonts w:ascii="Times New Roman" w:hAnsi="Times New Roman" w:cs="Times New Roman" w:eastAsia="Times New Roman" w:hint="default"/>
        </w:rPr>
        <w:t>12.14%</w:t>
      </w:r>
      <w:r>
        <w:rPr/>
        <w:t>，主要系公司贸易收入增加所致。 公司实物销售收入是否大于劳务收入</w:t>
      </w:r>
    </w:p>
    <w:p>
      <w:pPr>
        <w:pStyle w:val="BodyText"/>
        <w:spacing w:line="240" w:lineRule="auto" w:before="36"/>
        <w:ind w:left="153" w:right="0"/>
        <w:jc w:val="left"/>
      </w:pPr>
      <w:r>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1"/>
        <w:gridCol w:w="1587"/>
        <w:gridCol w:w="1606"/>
        <w:gridCol w:w="1594"/>
        <w:gridCol w:w="1594"/>
        <w:gridCol w:w="1595"/>
      </w:tblGrid>
      <w:tr>
        <w:trPr>
          <w:trHeight w:val="402"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1"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w:t>
            </w:r>
          </w:p>
        </w:tc>
      </w:tr>
      <w:tr>
        <w:trPr>
          <w:trHeight w:val="402" w:hRule="exact"/>
        </w:trPr>
        <w:tc>
          <w:tcPr>
            <w:tcW w:w="1591" w:type="dxa"/>
            <w:vMerge/>
            <w:tcBorders>
              <w:left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-27.13%</w:t>
            </w:r>
          </w:p>
        </w:tc>
      </w:tr>
      <w:tr>
        <w:trPr>
          <w:trHeight w:val="402" w:hRule="exact"/>
        </w:trPr>
        <w:tc>
          <w:tcPr>
            <w:tcW w:w="1591" w:type="dxa"/>
            <w:vMerge/>
            <w:tcBorders>
              <w:left w:val="single" w:sz="4" w:space="0" w:color="000000"/>
              <w:bottom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w:t>
            </w:r>
          </w:p>
        </w:tc>
      </w:tr>
      <w:tr>
        <w:trPr>
          <w:trHeight w:val="402" w:hRule="exact"/>
        </w:trPr>
        <w:tc>
          <w:tcPr>
            <w:tcW w:w="1591"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售纱</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-32.94%</w:t>
            </w:r>
          </w:p>
        </w:tc>
      </w:tr>
      <w:tr>
        <w:trPr>
          <w:trHeight w:val="402" w:hRule="exact"/>
        </w:trPr>
        <w:tc>
          <w:tcPr>
            <w:tcW w:w="1591" w:type="dxa"/>
            <w:vMerge/>
            <w:tcBorders>
              <w:left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-23.95%</w:t>
            </w:r>
          </w:p>
        </w:tc>
      </w:tr>
      <w:tr>
        <w:trPr>
          <w:trHeight w:val="402" w:hRule="exact"/>
        </w:trPr>
        <w:tc>
          <w:tcPr>
            <w:tcW w:w="1591" w:type="dxa"/>
            <w:vMerge/>
            <w:tcBorders>
              <w:left w:val="single" w:sz="4" w:space="0" w:color="000000"/>
              <w:bottom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48" w:lineRule="auto" w:before="102"/>
        <w:ind w:left="153" w:right="1641"/>
        <w:jc w:val="left"/>
      </w:pPr>
      <w:r>
        <w:rPr/>
        <w:t>√ 适用 □ 不适用 售纱销售量减少</w:t>
      </w:r>
      <w:r>
        <w:rPr>
          <w:rFonts w:ascii="Times New Roman" w:hAnsi="Times New Roman" w:cs="Times New Roman" w:eastAsia="Times New Roman" w:hint="default"/>
        </w:rPr>
        <w:t>32.94%</w:t>
      </w:r>
      <w:r>
        <w:rPr/>
        <w:t>，系市场需求不振，销售下滑影响所致；库存量增加</w:t>
      </w:r>
      <w:r>
        <w:rPr>
          <w:rFonts w:ascii="Times New Roman" w:hAnsi="Times New Roman" w:cs="Times New Roman" w:eastAsia="Times New Roman" w:hint="default"/>
        </w:rPr>
        <w:t>32.31%</w:t>
      </w:r>
      <w:r>
        <w:rPr/>
        <w:t>，系销量下降所致。 公司重大的在手订单情况</w:t>
      </w:r>
    </w:p>
    <w:p>
      <w:pPr>
        <w:pStyle w:val="BodyText"/>
        <w:spacing w:line="360" w:lineRule="auto" w:before="35"/>
        <w:ind w:left="153" w:right="5451"/>
        <w:jc w:val="left"/>
      </w:pPr>
      <w:r>
        <w:rPr/>
        <w:t>□ 适用 √ 不适用 公司报告期内产品或服务发生重大变化或调整有关情况</w:t>
      </w:r>
    </w:p>
    <w:p>
      <w:pPr>
        <w:pStyle w:val="BodyText"/>
        <w:spacing w:line="357" w:lineRule="auto" w:before="26"/>
        <w:ind w:left="153" w:right="7971"/>
        <w:jc w:val="left"/>
      </w:pPr>
      <w:r>
        <w:rPr/>
        <w:t>□ 适用 √ 不适用 公司主要销售客户情况</w:t>
      </w:r>
    </w:p>
    <w:tbl>
      <w:tblPr>
        <w:tblW w:w="0" w:type="auto"/>
        <w:jc w:val="left"/>
        <w:tblInd w:w="160" w:type="dxa"/>
        <w:tblLayout w:type="fixed"/>
        <w:tblCellMar>
          <w:top w:w="0" w:type="dxa"/>
          <w:left w:w="0" w:type="dxa"/>
          <w:bottom w:w="0" w:type="dxa"/>
          <w:right w:w="0" w:type="dxa"/>
        </w:tblCellMar>
        <w:tblLook w:val="01E0"/>
      </w:tblPr>
      <w:tblGrid>
        <w:gridCol w:w="4246"/>
        <w:gridCol w:w="5310"/>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2,709,316,460.65</w:t>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41.25%</w:t>
            </w:r>
          </w:p>
        </w:tc>
      </w:tr>
    </w:tbl>
    <w:p>
      <w:pPr>
        <w:pStyle w:val="BodyText"/>
        <w:spacing w:line="240" w:lineRule="auto" w:before="68"/>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天津市纺织工业供销有限公司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927,929,895.87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远大海外经济投资发展有限公司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525,796,759.37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LPP </w:t>
            </w:r>
            <w:r>
              <w:rPr>
                <w:rFonts w:ascii="Times New Roman"/>
                <w:spacing w:val="-3"/>
                <w:sz w:val="18"/>
              </w:rPr>
              <w:t>INTERNATIONAL</w:t>
            </w:r>
            <w:r>
              <w:rPr>
                <w:rFonts w:ascii="Times New Roman"/>
                <w:spacing w:val="-12"/>
                <w:sz w:val="18"/>
              </w:rPr>
              <w:t> </w:t>
            </w:r>
            <w:r>
              <w:rPr>
                <w:rFonts w:ascii="Times New Roman"/>
                <w:sz w:val="18"/>
              </w:rPr>
              <w:t>S.A.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449,195,551.84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MEXX EUROPE</w:t>
            </w:r>
            <w:r>
              <w:rPr>
                <w:rFonts w:ascii="Times New Roman"/>
                <w:spacing w:val="-13"/>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440,738,316.90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LA HALLE</w:t>
            </w:r>
            <w:r>
              <w:rPr>
                <w:rFonts w:ascii="Times New Roman"/>
                <w:spacing w:val="-12"/>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365,655,936.67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2,709,316,460.65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41.25%</w:t>
            </w:r>
          </w:p>
        </w:tc>
      </w:tr>
    </w:tbl>
    <w:p>
      <w:pPr>
        <w:pStyle w:val="BodyText"/>
        <w:spacing w:line="357" w:lineRule="auto" w:before="51"/>
        <w:ind w:left="444" w:right="0" w:hanging="291"/>
        <w:jc w:val="left"/>
      </w:pPr>
      <w:r>
        <w:rPr/>
        <w:t>√ 适用 □ 不适用 </w:t>
      </w:r>
      <w:r>
        <w:rPr>
          <w:spacing w:val="-2"/>
        </w:rPr>
        <w:t>公司前五名客户与公司不存在关联关系，公司董事、监事、高级管理人员、核心技术人员、持股</w:t>
      </w:r>
      <w:r>
        <w:rPr>
          <w:rFonts w:ascii="Times New Roman" w:hAnsi="Times New Roman" w:cs="Times New Roman" w:eastAsia="Times New Roman" w:hint="default"/>
          <w:spacing w:val="-2"/>
        </w:rPr>
        <w:t>5%</w:t>
      </w:r>
      <w:r>
        <w:rPr>
          <w:spacing w:val="-2"/>
        </w:rPr>
        <w:t>以上股东、实际控制</w:t>
      </w:r>
    </w:p>
    <w:p>
      <w:pPr>
        <w:pStyle w:val="BodyText"/>
        <w:spacing w:line="202" w:lineRule="exact"/>
        <w:ind w:left="153" w:right="0"/>
        <w:jc w:val="left"/>
      </w:pPr>
      <w:r>
        <w:rPr/>
        <w:t>人和其他关联方在主要客户中未直接或者间接拥有权益等。</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1,217,749,504.21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1,306,962,365.06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312,150,928.99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343,816,683.97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200,177,626.45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209,802,937.62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171,662,732.94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150,575,850.84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747,061.97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107,982.51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1,902,487,854.56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2,011,265,820.01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产品分类</w:t>
      </w:r>
    </w:p>
    <w:p>
      <w:pPr>
        <w:pStyle w:val="BodyText"/>
        <w:spacing w:line="240" w:lineRule="auto" w:before="117"/>
        <w:ind w:left="0" w:right="151"/>
        <w:jc w:val="right"/>
      </w:pPr>
      <w:r>
        <w:rPr/>
        <w:t>单位：元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978,461,364.39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1,097,816,001.15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924,026,490.17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913,449,818.86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1,541,059,755.61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1,507,912,443.95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2,921,197,487.99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2,065,011,326.30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100,114,924.41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32,262,856.52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6,464,860,022.57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5,616,452,446.78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410"/>
        <w:jc w:val="left"/>
      </w:pPr>
      <w:r>
        <w:rPr/>
        <w:t>说明 无</w:t>
      </w:r>
    </w:p>
    <w:p>
      <w:pPr>
        <w:pStyle w:val="BodyText"/>
        <w:spacing w:line="240" w:lineRule="auto" w:before="29"/>
        <w:ind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4230"/>
        <w:gridCol w:w="5310"/>
      </w:tblGrid>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2,491,316,935.36</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50.82%</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新兴际华国际贸易有限公司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866,589,358.93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17.68%</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天津市金泰来贸易有限公司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501,903,821.03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10.24%</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WIMEX VENTURES</w:t>
            </w:r>
            <w:r>
              <w:rPr>
                <w:rFonts w:ascii="Times New Roman"/>
                <w:spacing w:val="-20"/>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477,636,641.98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天津天纺高新物流有限公司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336,473,787.98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中棉集团河北棉花有限公司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308,713,325.43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2,491,316,935.36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50.82%</w:t>
            </w:r>
          </w:p>
        </w:tc>
      </w:tr>
    </w:tbl>
    <w:p>
      <w:pPr>
        <w:pStyle w:val="BodyText"/>
        <w:spacing w:line="240" w:lineRule="auto" w:before="51"/>
        <w:ind w:right="0"/>
        <w:jc w:val="left"/>
      </w:pPr>
      <w:r>
        <w:rPr/>
        <w:t>主要供应商其他情况说明</w:t>
      </w:r>
    </w:p>
    <w:p>
      <w:pPr>
        <w:pStyle w:val="BodyText"/>
        <w:spacing w:line="357" w:lineRule="auto" w:before="117"/>
        <w:ind w:left="444" w:right="0" w:hanging="291"/>
        <w:jc w:val="left"/>
      </w:pPr>
      <w:r>
        <w:rPr/>
        <w:t>√ 适用 □ 不适用 </w:t>
      </w:r>
      <w:r>
        <w:rPr>
          <w:spacing w:val="-2"/>
        </w:rPr>
        <w:t>公司前五名供应商与公司不存在关联关系，公司董事、监事、高级管理人员、核心技术人员、持股</w:t>
      </w:r>
      <w:r>
        <w:rPr>
          <w:rFonts w:ascii="Times New Roman" w:hAnsi="Times New Roman" w:cs="Times New Roman" w:eastAsia="Times New Roman" w:hint="default"/>
          <w:spacing w:val="-2"/>
        </w:rPr>
        <w:t>5%</w:t>
      </w:r>
      <w:r>
        <w:rPr>
          <w:spacing w:val="-2"/>
        </w:rPr>
        <w:t>以上股东、实际控</w:t>
      </w:r>
    </w:p>
    <w:p>
      <w:pPr>
        <w:pStyle w:val="BodyText"/>
        <w:spacing w:line="202" w:lineRule="exact"/>
        <w:ind w:left="153" w:right="0"/>
        <w:jc w:val="left"/>
      </w:pPr>
      <w:r>
        <w:rPr/>
        <w:t>制人和其他关联方在主要供应商中未直接或者间接拥有权益等。</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51" w:firstLine="290"/>
        <w:jc w:val="left"/>
      </w:pPr>
      <w:r>
        <w:rPr/>
        <w:t>本报告期，公司销售费用</w:t>
      </w:r>
      <w:r>
        <w:rPr>
          <w:rFonts w:ascii="Times New Roman" w:hAnsi="Times New Roman" w:cs="Times New Roman" w:eastAsia="Times New Roman" w:hint="default"/>
        </w:rPr>
        <w:t>2,527.60</w:t>
      </w:r>
      <w:r>
        <w:rPr/>
        <w:t>万元，同比减少</w:t>
      </w:r>
      <w:r>
        <w:rPr>
          <w:rFonts w:ascii="Times New Roman" w:hAnsi="Times New Roman" w:cs="Times New Roman" w:eastAsia="Times New Roman" w:hint="default"/>
        </w:rPr>
        <w:t>34.13%</w:t>
      </w:r>
      <w:r>
        <w:rPr/>
        <w:t>，主要系本报告期结算方式变化导致外销费用同比减少所致； </w:t>
      </w:r>
      <w:r>
        <w:rPr>
          <w:spacing w:val="-1"/>
        </w:rPr>
        <w:t>管理费用</w:t>
      </w:r>
      <w:r>
        <w:rPr>
          <w:rFonts w:ascii="Times New Roman" w:hAnsi="Times New Roman" w:cs="Times New Roman" w:eastAsia="Times New Roman" w:hint="default"/>
          <w:spacing w:val="-1"/>
        </w:rPr>
        <w:t>21,407.39</w:t>
      </w:r>
      <w:r>
        <w:rPr>
          <w:spacing w:val="-1"/>
        </w:rPr>
        <w:t>万元</w:t>
      </w:r>
      <w:r>
        <w:rPr>
          <w:rFonts w:ascii="Times New Roman" w:hAnsi="Times New Roman" w:cs="Times New Roman" w:eastAsia="Times New Roman" w:hint="default"/>
          <w:spacing w:val="-1"/>
        </w:rPr>
        <w:t>,</w:t>
      </w:r>
      <w:r>
        <w:rPr>
          <w:spacing w:val="-1"/>
        </w:rPr>
        <w:t>同比减少</w:t>
      </w:r>
      <w:r>
        <w:rPr>
          <w:rFonts w:ascii="Times New Roman" w:hAnsi="Times New Roman" w:cs="Times New Roman" w:eastAsia="Times New Roman" w:hint="default"/>
          <w:spacing w:val="-1"/>
        </w:rPr>
        <w:t>24.16%</w:t>
      </w:r>
      <w:r>
        <w:rPr>
          <w:spacing w:val="-1"/>
        </w:rPr>
        <w:t>，主要系上期发生的职工安置补偿金金额较大所致；资产减值损失</w:t>
      </w:r>
      <w:r>
        <w:rPr>
          <w:rFonts w:ascii="Times New Roman" w:hAnsi="Times New Roman" w:cs="Times New Roman" w:eastAsia="Times New Roman" w:hint="default"/>
          <w:spacing w:val="-1"/>
        </w:rPr>
        <w:t>3,210.08</w:t>
      </w:r>
      <w:r>
        <w:rPr>
          <w:spacing w:val="-1"/>
        </w:rPr>
        <w:t>万元，同</w:t>
      </w:r>
      <w:r>
        <w:rPr>
          <w:spacing w:val="-81"/>
        </w:rPr>
        <w:t> </w:t>
      </w:r>
      <w:r>
        <w:rPr>
          <w:spacing w:val="-81"/>
        </w:rPr>
      </w:r>
      <w:r>
        <w:rPr/>
        <w:t>比增长</w:t>
      </w:r>
      <w:r>
        <w:rPr>
          <w:rFonts w:ascii="Times New Roman" w:hAnsi="Times New Roman" w:cs="Times New Roman" w:eastAsia="Times New Roman" w:hint="default"/>
        </w:rPr>
        <w:t>125.80%</w:t>
      </w:r>
      <w:r>
        <w:rPr/>
        <w:t>，主要系本期计提存货跌价损失所致；所得税费用</w:t>
      </w:r>
      <w:r>
        <w:rPr>
          <w:rFonts w:ascii="Times New Roman" w:hAnsi="Times New Roman" w:cs="Times New Roman" w:eastAsia="Times New Roman" w:hint="default"/>
        </w:rPr>
        <w:t>-224.37</w:t>
      </w:r>
      <w:r>
        <w:rPr/>
        <w:t>万元，同比减少</w:t>
      </w:r>
      <w:r>
        <w:rPr>
          <w:rFonts w:ascii="Times New Roman" w:hAnsi="Times New Roman" w:cs="Times New Roman" w:eastAsia="Times New Roman" w:hint="default"/>
        </w:rPr>
        <w:t>155.64%</w:t>
      </w:r>
      <w:r>
        <w:rPr/>
        <w:t>，主要系递延所得税较同 期减少所致。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报告期内，公司研发支出</w:t>
      </w:r>
      <w:r>
        <w:rPr>
          <w:rFonts w:ascii="Times New Roman" w:hAnsi="Times New Roman" w:cs="Times New Roman" w:eastAsia="Times New Roman" w:hint="default"/>
        </w:rPr>
        <w:t>6,248</w:t>
      </w:r>
      <w:r>
        <w:rPr/>
        <w:t>万元，占最近一期经审计净资产的比例为 </w:t>
      </w:r>
      <w:r>
        <w:rPr>
          <w:rFonts w:ascii="Times New Roman" w:hAnsi="Times New Roman" w:cs="Times New Roman" w:eastAsia="Times New Roman" w:hint="default"/>
        </w:rPr>
        <w:t>2.53%</w:t>
      </w:r>
      <w:r>
        <w:rPr/>
        <w:t>，占营业收入的比例为</w:t>
      </w:r>
      <w:r>
        <w:rPr>
          <w:spacing w:val="-40"/>
        </w:rPr>
        <w:t> </w:t>
      </w:r>
      <w:r>
        <w:rPr>
          <w:rFonts w:ascii="Times New Roman" w:hAnsi="Times New Roman" w:cs="Times New Roman" w:eastAsia="Times New Roman" w:hint="default"/>
        </w:rPr>
        <w:t>0.95%</w:t>
      </w:r>
      <w:r>
        <w:rPr/>
        <w:t>。</w:t>
      </w:r>
    </w:p>
    <w:p>
      <w:pPr>
        <w:spacing w:before="103"/>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）棉纤维阳离子接枝改性研究</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b/>
          <w:bCs/>
          <w:sz w:val="25"/>
          <w:szCs w:val="25"/>
        </w:rPr>
      </w:pPr>
    </w:p>
    <w:p>
      <w:pPr>
        <w:pStyle w:val="BodyText"/>
        <w:spacing w:line="319" w:lineRule="auto" w:before="44"/>
        <w:ind w:left="153" w:right="91" w:firstLine="354"/>
        <w:jc w:val="left"/>
      </w:pPr>
      <w:r>
        <w:rPr>
          <w:rFonts w:ascii="宋体" w:hAnsi="宋体" w:cs="宋体" w:eastAsia="宋体" w:hint="default"/>
          <w:b/>
          <w:bCs/>
          <w:spacing w:val="-2"/>
        </w:rPr>
        <w:t>项目目的：</w:t>
      </w:r>
      <w:r>
        <w:rPr>
          <w:spacing w:val="-2"/>
        </w:rPr>
        <w:t>棉纤维采用直接、活性、还原和硫化染料等染色时，由于棉纤维在水溶液中呈负电荷，而直接、活性染料和</w:t>
      </w:r>
      <w:r>
        <w:rPr/>
        <w:t> 还原、硫化染料母体在水溶液中电离后带负电荷，棉纤维与染料间相互排斥，不利于染料的上染。为了提高染料的上染率， </w:t>
      </w:r>
      <w:r>
        <w:rPr>
          <w:spacing w:val="-2"/>
        </w:rPr>
        <w:t>消除棉纤维与染料间的排斥作用，对棉织物进行阳离子改性，为棉纤维接枝上阳离子基团，使棉纤维与染料间相互吸引，从</w:t>
      </w:r>
      <w:r>
        <w:rPr>
          <w:spacing w:val="-66"/>
        </w:rPr>
        <w:t> </w:t>
      </w:r>
      <w:r>
        <w:rPr>
          <w:spacing w:val="-66"/>
        </w:rPr>
      </w:r>
      <w:r>
        <w:rPr/>
        <w:t>而提高棉纤维的染色性能。目前已进行了棉纤维阳离子改性的理论研究和尝试性实验。</w:t>
      </w:r>
    </w:p>
    <w:p>
      <w:pPr>
        <w:pStyle w:val="BodyText"/>
        <w:spacing w:line="319" w:lineRule="auto" w:before="55"/>
        <w:ind w:left="153" w:right="93" w:firstLine="354"/>
        <w:jc w:val="left"/>
      </w:pPr>
      <w:r>
        <w:rPr>
          <w:rFonts w:ascii="宋体" w:hAnsi="宋体" w:cs="宋体" w:eastAsia="宋体" w:hint="default"/>
          <w:b/>
          <w:bCs/>
        </w:rPr>
        <w:t>拟达到目标：</w:t>
      </w:r>
      <w:r>
        <w:rPr/>
        <w:t>棉纤维染色性能的提高主要包括棉纤维对染料的吸尽率得到提高以及染后棉纤维的皂洗色牢度得到提高， 无盐无碱染色的实现成为可能。</w:t>
      </w:r>
    </w:p>
    <w:p>
      <w:pPr>
        <w:pStyle w:val="BodyText"/>
        <w:spacing w:line="319" w:lineRule="auto" w:before="56"/>
        <w:ind w:right="189" w:firstLine="354"/>
        <w:jc w:val="both"/>
      </w:pPr>
      <w:r>
        <w:rPr>
          <w:rFonts w:ascii="宋体" w:hAnsi="宋体" w:cs="宋体" w:eastAsia="宋体" w:hint="default"/>
          <w:b/>
          <w:bCs/>
          <w:spacing w:val="-2"/>
        </w:rPr>
        <w:t>预计对未来发展影响：</w:t>
      </w:r>
      <w:r>
        <w:rPr>
          <w:spacing w:val="-2"/>
        </w:rPr>
        <w:t>阳离子处理后的棉纤维可以实现无盐无碱染色，一方面减少投入成本，另一方面使得染色残液成</w:t>
      </w:r>
      <w:r>
        <w:rPr/>
        <w:t> </w:t>
      </w:r>
      <w:r>
        <w:rPr>
          <w:spacing w:val="-2"/>
        </w:rPr>
        <w:t>分单一化，利于染液的回收利用，符合清洁生产的要求。改性棉纤维面料的开发有利于促进纺织产业结构调整、品种更新换</w:t>
      </w:r>
      <w:r>
        <w:rPr>
          <w:spacing w:val="-66"/>
        </w:rPr>
        <w:t> </w:t>
      </w:r>
      <w:r>
        <w:rPr>
          <w:spacing w:val="-66"/>
        </w:rPr>
      </w:r>
      <w:r>
        <w:rPr/>
        <w:t>代、增加企业效益，拓展市场空间，对企业的可持续性发展提供强有力的保证。</w:t>
      </w:r>
    </w:p>
    <w:p>
      <w:pPr>
        <w:spacing w:line="338" w:lineRule="auto" w:before="56"/>
        <w:ind w:left="508" w:right="91" w:firstLine="7"/>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）镀银丝防辐射布的开发</w:t>
      </w:r>
      <w:r>
        <w:rPr>
          <w:rFonts w:ascii="宋体" w:hAnsi="宋体" w:cs="宋体" w:eastAsia="宋体" w:hint="default"/>
          <w:b/>
          <w:bCs/>
          <w:w w:val="99"/>
          <w:sz w:val="18"/>
          <w:szCs w:val="18"/>
        </w:rPr>
        <w:t> </w:t>
      </w:r>
      <w:r>
        <w:rPr>
          <w:rFonts w:ascii="宋体" w:hAnsi="宋体" w:cs="宋体" w:eastAsia="宋体" w:hint="default"/>
          <w:b/>
          <w:bCs/>
          <w:spacing w:val="-2"/>
          <w:sz w:val="18"/>
          <w:szCs w:val="18"/>
        </w:rPr>
        <w:t>项目目的：</w:t>
      </w:r>
      <w:r>
        <w:rPr>
          <w:rFonts w:ascii="宋体" w:hAnsi="宋体" w:cs="宋体" w:eastAsia="宋体" w:hint="default"/>
          <w:spacing w:val="-2"/>
          <w:sz w:val="18"/>
          <w:szCs w:val="18"/>
        </w:rPr>
        <w:t>随着人们对健康生活和工作要求的提高，防辐射产品不再局限于特种行业，而在家居服装上的应用也越来越</w:t>
      </w:r>
    </w:p>
    <w:p>
      <w:pPr>
        <w:pStyle w:val="BodyText"/>
        <w:spacing w:line="302" w:lineRule="auto" w:before="2"/>
        <w:ind w:right="91"/>
        <w:jc w:val="left"/>
      </w:pPr>
      <w:r>
        <w:rPr>
          <w:spacing w:val="-2"/>
        </w:rPr>
        <w:t>广泛。防辐射布的开发就是利用镀银丝金属屏蔽作用来达到防辐射效果，银纤维防辐射布也是现今市场上的主流产品。</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7"/>
        </w:rPr>
        <w:t> </w:t>
      </w:r>
      <w:r>
        <w:rPr/>
        <w:t>年进行了三次大型试验，基本摸清了工艺路线和工艺要求，样品风格及防辐射效果达到了预期效果。</w:t>
      </w:r>
    </w:p>
    <w:p>
      <w:pPr>
        <w:pStyle w:val="BodyText"/>
        <w:spacing w:line="319" w:lineRule="auto" w:before="69"/>
        <w:ind w:right="91" w:firstLine="354"/>
        <w:jc w:val="left"/>
      </w:pPr>
      <w:r>
        <w:rPr>
          <w:rFonts w:ascii="宋体" w:hAnsi="宋体" w:cs="宋体" w:eastAsia="宋体" w:hint="default"/>
          <w:b/>
          <w:bCs/>
          <w:spacing w:val="-2"/>
        </w:rPr>
        <w:t>拟达到目标：</w:t>
      </w:r>
      <w:r>
        <w:rPr>
          <w:spacing w:val="-2"/>
        </w:rPr>
        <w:t>该产品的开发突破了我司经向不能做长丝产品的局限性，可减少生产工序，大幅度提高织轴质量和织造效</w:t>
      </w:r>
      <w:r>
        <w:rPr/>
        <w:t> 率。</w:t>
      </w:r>
    </w:p>
    <w:p>
      <w:pPr>
        <w:pStyle w:val="BodyText"/>
        <w:spacing w:line="319" w:lineRule="auto" w:before="55"/>
        <w:ind w:right="91" w:firstLine="354"/>
        <w:jc w:val="left"/>
      </w:pPr>
      <w:r>
        <w:rPr>
          <w:rFonts w:ascii="宋体" w:hAnsi="宋体" w:cs="宋体" w:eastAsia="宋体" w:hint="default"/>
          <w:b/>
          <w:bCs/>
          <w:spacing w:val="-2"/>
        </w:rPr>
        <w:t>预计对未来发展影响：</w:t>
      </w:r>
      <w:r>
        <w:rPr>
          <w:spacing w:val="-2"/>
        </w:rPr>
        <w:t>本项目研发过程中加大镀银丝纤维不同组织结构的新型纤维面料的开发，实现公司产品的升级换</w:t>
      </w:r>
      <w:r>
        <w:rPr/>
        <w:t> 代，开拓新型纤维市场，走大众品牌化的市场道路。该产品技术含量高、附加值高，将为公司带来巨大的利润空间。</w:t>
      </w:r>
    </w:p>
    <w:p>
      <w:pPr>
        <w:spacing w:line="240" w:lineRule="auto" w:before="3"/>
        <w:rPr>
          <w:rFonts w:ascii="宋体" w:hAnsi="宋体" w:cs="宋体" w:eastAsia="宋体" w:hint="default"/>
          <w:sz w:val="22"/>
          <w:szCs w:val="22"/>
        </w:rPr>
      </w:pPr>
    </w:p>
    <w:p>
      <w:pPr>
        <w:pStyle w:val="Heading3"/>
        <w:spacing w:line="240" w:lineRule="auto"/>
        <w:ind w:right="418"/>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97"/>
        <w:gridCol w:w="2404"/>
        <w:gridCol w:w="2393"/>
        <w:gridCol w:w="2392"/>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7,724,444,818.61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7,290,884,312.79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7,605,049,046.69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7,345,972,084.35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119,395,771.92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-55,087,771.56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316.74%</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52,161,777.02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50,266,305.02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164,510,678.66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253,686,315.12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-35.15%</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-112,348,901.64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-203,420,010.10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44.77%</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1,755,020,149.26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1,850,706,287.27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1,895,145,840.51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2,009,903,685.18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-140,125,691.25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-159,197,397.91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-133,078,820.97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-417,705,179.57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68.14%</w:t>
            </w:r>
          </w:p>
        </w:tc>
      </w:tr>
    </w:tbl>
    <w:p>
      <w:pPr>
        <w:pStyle w:val="BodyText"/>
        <w:spacing w:line="240" w:lineRule="auto" w:before="51"/>
        <w:ind w:right="418"/>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102"/>
        <w:ind w:left="514" w:right="91" w:hanging="360"/>
        <w:jc w:val="left"/>
      </w:pPr>
      <w:r>
        <w:rPr/>
        <w:t>√ 适用 □ 不适用 </w:t>
      </w:r>
      <w:r>
        <w:rPr>
          <w:spacing w:val="-1"/>
        </w:rPr>
        <w:t>经营活动产生的现金流量净额较同期增加</w:t>
      </w:r>
      <w:r>
        <w:rPr>
          <w:rFonts w:ascii="Times New Roman" w:hAnsi="Times New Roman" w:cs="Times New Roman" w:eastAsia="Times New Roman" w:hint="default"/>
          <w:spacing w:val="-1"/>
        </w:rPr>
        <w:t>316.74%</w:t>
      </w:r>
      <w:r>
        <w:rPr>
          <w:spacing w:val="-1"/>
        </w:rPr>
        <w:t>，主要系本期收到的政府补助增加及支付的职工安置补偿金同比减少</w:t>
      </w:r>
    </w:p>
    <w:p>
      <w:pPr>
        <w:pStyle w:val="BodyText"/>
        <w:spacing w:line="201" w:lineRule="exact"/>
        <w:ind w:left="153" w:right="418"/>
        <w:jc w:val="left"/>
      </w:pPr>
      <w:r>
        <w:rPr/>
        <w:t>所致。</w:t>
      </w:r>
    </w:p>
    <w:p>
      <w:pPr>
        <w:pStyle w:val="BodyText"/>
        <w:spacing w:line="300" w:lineRule="auto" w:before="76"/>
        <w:ind w:left="513" w:right="256"/>
        <w:jc w:val="left"/>
      </w:pPr>
      <w:r>
        <w:rPr/>
        <w:t>投资活动现金流出小计较同期减少</w:t>
      </w:r>
      <w:r>
        <w:rPr>
          <w:rFonts w:ascii="Times New Roman" w:hAnsi="Times New Roman" w:cs="Times New Roman" w:eastAsia="Times New Roman" w:hint="default"/>
        </w:rPr>
        <w:t>35.15%</w:t>
      </w:r>
      <w:r>
        <w:rPr/>
        <w:t>，主要系新建及技改项目支付的现金同比减少所致。 投资活动产生的现金流量净额较同期增加</w:t>
      </w:r>
      <w:r>
        <w:rPr>
          <w:rFonts w:ascii="Times New Roman" w:hAnsi="Times New Roman" w:cs="Times New Roman" w:eastAsia="Times New Roman" w:hint="default"/>
        </w:rPr>
        <w:t>44.77%</w:t>
      </w:r>
      <w:r>
        <w:rPr/>
        <w:t>，主要系购建固定资产、无形资产和其他长期资产支付的现金同比减</w:t>
      </w:r>
    </w:p>
    <w:p>
      <w:pPr>
        <w:pStyle w:val="BodyText"/>
        <w:spacing w:line="240" w:lineRule="auto" w:before="13"/>
        <w:ind w:left="153" w:right="418"/>
        <w:jc w:val="left"/>
      </w:pPr>
      <w:r>
        <w:rPr/>
        <w:t>少所致。</w:t>
      </w:r>
    </w:p>
    <w:p>
      <w:pPr>
        <w:pStyle w:val="BodyText"/>
        <w:spacing w:line="240" w:lineRule="auto" w:before="76"/>
        <w:ind w:left="513" w:right="91"/>
        <w:jc w:val="left"/>
      </w:pPr>
      <w:r>
        <w:rPr/>
        <w:t>现金及现金等价物净增加额较同期增加</w:t>
      </w:r>
      <w:r>
        <w:rPr>
          <w:rFonts w:ascii="Times New Roman" w:hAnsi="Times New Roman" w:cs="Times New Roman" w:eastAsia="Times New Roman" w:hint="default"/>
        </w:rPr>
        <w:t>68.14%</w:t>
      </w:r>
      <w:r>
        <w:rPr/>
        <w:t>，主要系本期收到的政府补助增加，支付的职工安置补偿金、新建及技</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60" w:lineRule="auto" w:before="44"/>
        <w:ind w:left="153" w:right="3831"/>
        <w:jc w:val="left"/>
      </w:pPr>
      <w:r>
        <w:rPr/>
        <w:t>改项目支付的现金同比减少，以及同期偿还短期融资券本息所致。 报告期内公司经营活动的现金流量与本年度净利润存在重大差异的原因说明</w:t>
      </w:r>
    </w:p>
    <w:p>
      <w:pPr>
        <w:pStyle w:val="BodyText"/>
        <w:spacing w:line="240" w:lineRule="auto" w:before="27"/>
        <w:ind w:left="153" w:right="0"/>
        <w:jc w:val="left"/>
      </w:pPr>
      <w:r>
        <w:rPr/>
        <w:t>√ 适用 □ 不适用</w:t>
      </w:r>
    </w:p>
    <w:p>
      <w:pPr>
        <w:pStyle w:val="BodyText"/>
        <w:spacing w:line="302" w:lineRule="auto" w:before="115"/>
        <w:ind w:left="153" w:right="0"/>
        <w:jc w:val="left"/>
      </w:pPr>
      <w:r>
        <w:rPr>
          <w:spacing w:val="-2"/>
        </w:rPr>
        <w:t>报告期内公司经营活动产生的现金流量净额为</w:t>
      </w:r>
      <w:r>
        <w:rPr>
          <w:rFonts w:ascii="Times New Roman" w:hAnsi="Times New Roman" w:cs="Times New Roman" w:eastAsia="Times New Roman" w:hint="default"/>
          <w:spacing w:val="-2"/>
        </w:rPr>
        <w:t>11,939.58</w:t>
      </w:r>
      <w:r>
        <w:rPr>
          <w:spacing w:val="-2"/>
        </w:rPr>
        <w:t>万元，与本年度净利润</w:t>
      </w:r>
      <w:r>
        <w:rPr>
          <w:rFonts w:ascii="Times New Roman" w:hAnsi="Times New Roman" w:cs="Times New Roman" w:eastAsia="Times New Roman" w:hint="default"/>
          <w:spacing w:val="-2"/>
        </w:rPr>
        <w:t>2,426.38</w:t>
      </w:r>
      <w:r>
        <w:rPr>
          <w:spacing w:val="-2"/>
        </w:rPr>
        <w:t>万元相差</w:t>
      </w:r>
      <w:r>
        <w:rPr>
          <w:rFonts w:ascii="Times New Roman" w:hAnsi="Times New Roman" w:cs="Times New Roman" w:eastAsia="Times New Roman" w:hint="default"/>
          <w:spacing w:val="-2"/>
        </w:rPr>
        <w:t>9,513.20</w:t>
      </w:r>
      <w:r>
        <w:rPr>
          <w:spacing w:val="-2"/>
        </w:rPr>
        <w:t>万元，差异原因主要</w:t>
      </w:r>
      <w:r>
        <w:rPr>
          <w:spacing w:val="-38"/>
        </w:rPr>
        <w:t> </w:t>
      </w:r>
      <w:r>
        <w:rPr>
          <w:spacing w:val="-38"/>
        </w:rPr>
      </w:r>
      <w:r>
        <w:rPr/>
        <w:t>为本年度确认搬迁补偿所致。</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6"/>
        <w:gridCol w:w="1366"/>
        <w:gridCol w:w="1370"/>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6,525,255,977.52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6,464,860,022.57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963,192,890.86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978,461,364.39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958,105,677.67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924,026,490.17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2,923,990,850.78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2,921,197,487.99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1,574,190,838.49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1,541,059,755.61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105,775,719.72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100,114,924.41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4,874,855,310.27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4,841,113,345.48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1,650,400,667.25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1,623,746,677.09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8"/>
        <w:gridCol w:w="1344"/>
        <w:gridCol w:w="648"/>
        <w:gridCol w:w="1368"/>
        <w:gridCol w:w="612"/>
        <w:gridCol w:w="917"/>
        <w:gridCol w:w="3392"/>
      </w:tblGrid>
      <w:tr>
        <w:trPr>
          <w:trHeight w:val="382" w:hRule="exact"/>
        </w:trPr>
        <w:tc>
          <w:tcPr>
            <w:tcW w:w="12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17" w:type="dxa"/>
            <w:tcBorders>
              <w:top w:val="single" w:sz="4" w:space="0" w:color="000000"/>
              <w:left w:val="single" w:sz="4" w:space="0" w:color="000000"/>
              <w:bottom w:val="nil" w:sz="6" w:space="0" w:color="auto"/>
              <w:right w:val="single" w:sz="4" w:space="0" w:color="000000"/>
            </w:tcBorders>
            <w:shd w:val="clear" w:color="auto" w:fill="D3D3D3"/>
          </w:tcPr>
          <w:p>
            <w:pPr/>
          </w:p>
        </w:tc>
        <w:tc>
          <w:tcPr>
            <w:tcW w:w="339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1" w:hRule="exact"/>
        </w:trPr>
        <w:tc>
          <w:tcPr>
            <w:tcW w:w="1248" w:type="dxa"/>
            <w:vMerge w:val="restart"/>
            <w:tcBorders>
              <w:top w:val="nil" w:sz="6" w:space="0" w:color="auto"/>
              <w:left w:val="single" w:sz="4" w:space="0" w:color="000000"/>
              <w:right w:val="single" w:sz="4" w:space="0" w:color="000000"/>
            </w:tcBorders>
            <w:shd w:val="clear" w:color="auto" w:fill="D3D3D3"/>
          </w:tcPr>
          <w:p>
            <w:pPr/>
          </w:p>
        </w:tc>
        <w:tc>
          <w:tcPr>
            <w:tcW w:w="1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4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8" w:right="4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1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30" w:right="30"/>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9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248" w:type="dxa"/>
            <w:vMerge/>
            <w:tcBorders>
              <w:left w:val="single" w:sz="4" w:space="0" w:color="000000"/>
              <w:bottom w:val="nil" w:sz="6" w:space="0" w:color="auto"/>
              <w:right w:val="single" w:sz="4" w:space="0" w:color="000000"/>
            </w:tcBorders>
            <w:shd w:val="clear" w:color="auto" w:fill="D3D3D3"/>
          </w:tcPr>
          <w:p>
            <w:pPr/>
          </w:p>
        </w:tc>
        <w:tc>
          <w:tcPr>
            <w:tcW w:w="13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8" w:type="dxa"/>
            <w:vMerge/>
            <w:tcBorders>
              <w:left w:val="single" w:sz="4" w:space="0" w:color="000000"/>
              <w:right w:val="single" w:sz="4" w:space="0" w:color="000000"/>
            </w:tcBorders>
            <w:shd w:val="clear" w:color="auto" w:fill="D3D3D3"/>
          </w:tcPr>
          <w:p>
            <w:pPr/>
          </w:p>
        </w:tc>
        <w:tc>
          <w:tcPr>
            <w:tcW w:w="1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2" w:type="dxa"/>
            <w:vMerge/>
            <w:tcBorders>
              <w:left w:val="single" w:sz="4" w:space="0" w:color="000000"/>
              <w:right w:val="single" w:sz="4" w:space="0" w:color="000000"/>
            </w:tcBorders>
            <w:shd w:val="clear" w:color="auto" w:fill="D3D3D3"/>
          </w:tcPr>
          <w:p>
            <w:pPr/>
          </w:p>
        </w:tc>
        <w:tc>
          <w:tcPr>
            <w:tcW w:w="917" w:type="dxa"/>
            <w:vMerge/>
            <w:tcBorders>
              <w:left w:val="single" w:sz="4" w:space="0" w:color="000000"/>
              <w:bottom w:val="nil" w:sz="6" w:space="0" w:color="auto"/>
              <w:right w:val="single" w:sz="4" w:space="0" w:color="000000"/>
            </w:tcBorders>
            <w:shd w:val="clear" w:color="auto" w:fill="D3D3D3"/>
          </w:tcPr>
          <w:p>
            <w:pPr/>
          </w:p>
        </w:tc>
        <w:tc>
          <w:tcPr>
            <w:tcW w:w="339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248" w:type="dxa"/>
            <w:vMerge w:val="restart"/>
            <w:tcBorders>
              <w:top w:val="nil" w:sz="6" w:space="0" w:color="auto"/>
              <w:left w:val="single" w:sz="4" w:space="0" w:color="000000"/>
              <w:right w:val="single" w:sz="4" w:space="0" w:color="000000"/>
            </w:tcBorders>
            <w:shd w:val="clear" w:color="auto" w:fill="D3D3D3"/>
          </w:tcPr>
          <w:p>
            <w:pPr/>
          </w:p>
        </w:tc>
        <w:tc>
          <w:tcPr>
            <w:tcW w:w="1344" w:type="dxa"/>
            <w:vMerge/>
            <w:tcBorders>
              <w:left w:val="single" w:sz="4" w:space="0" w:color="000000"/>
              <w:bottom w:val="nil" w:sz="6" w:space="0" w:color="auto"/>
              <w:right w:val="single" w:sz="4" w:space="0" w:color="000000"/>
            </w:tcBorders>
            <w:shd w:val="clear" w:color="auto" w:fill="D3D3D3"/>
          </w:tcPr>
          <w:p>
            <w:pPr/>
          </w:p>
        </w:tc>
        <w:tc>
          <w:tcPr>
            <w:tcW w:w="648" w:type="dxa"/>
            <w:vMerge/>
            <w:tcBorders>
              <w:left w:val="single" w:sz="4" w:space="0" w:color="000000"/>
              <w:right w:val="single" w:sz="4" w:space="0" w:color="000000"/>
            </w:tcBorders>
            <w:shd w:val="clear" w:color="auto" w:fill="D3D3D3"/>
          </w:tcPr>
          <w:p>
            <w:pPr/>
          </w:p>
        </w:tc>
        <w:tc>
          <w:tcPr>
            <w:tcW w:w="1368" w:type="dxa"/>
            <w:vMerge/>
            <w:tcBorders>
              <w:left w:val="single" w:sz="4" w:space="0" w:color="000000"/>
              <w:bottom w:val="nil" w:sz="6" w:space="0" w:color="auto"/>
              <w:right w:val="single" w:sz="4" w:space="0" w:color="000000"/>
            </w:tcBorders>
            <w:shd w:val="clear" w:color="auto" w:fill="D3D3D3"/>
          </w:tcPr>
          <w:p>
            <w:pPr/>
          </w:p>
        </w:tc>
        <w:tc>
          <w:tcPr>
            <w:tcW w:w="612" w:type="dxa"/>
            <w:vMerge/>
            <w:tcBorders>
              <w:left w:val="single" w:sz="4" w:space="0" w:color="000000"/>
              <w:right w:val="single" w:sz="4" w:space="0" w:color="000000"/>
            </w:tcBorders>
            <w:shd w:val="clear" w:color="auto" w:fill="D3D3D3"/>
          </w:tcPr>
          <w:p>
            <w:pPr/>
          </w:p>
        </w:tc>
        <w:tc>
          <w:tcPr>
            <w:tcW w:w="917" w:type="dxa"/>
            <w:vMerge w:val="restart"/>
            <w:tcBorders>
              <w:top w:val="nil" w:sz="6" w:space="0" w:color="auto"/>
              <w:left w:val="single" w:sz="4" w:space="0" w:color="000000"/>
              <w:right w:val="single" w:sz="4" w:space="0" w:color="000000"/>
            </w:tcBorders>
            <w:shd w:val="clear" w:color="auto" w:fill="D3D3D3"/>
          </w:tcPr>
          <w:p>
            <w:pPr/>
          </w:p>
        </w:tc>
        <w:tc>
          <w:tcPr>
            <w:tcW w:w="339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48" w:type="dxa"/>
            <w:vMerge/>
            <w:tcBorders>
              <w:left w:val="single" w:sz="4" w:space="0" w:color="000000"/>
              <w:bottom w:val="single" w:sz="4" w:space="0" w:color="000000"/>
              <w:right w:val="single" w:sz="4" w:space="0" w:color="000000"/>
            </w:tcBorders>
            <w:shd w:val="clear" w:color="auto" w:fill="D3D3D3"/>
          </w:tcPr>
          <w:p>
            <w:pPr/>
          </w:p>
        </w:tc>
        <w:tc>
          <w:tcPr>
            <w:tcW w:w="1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4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12" w:type="dxa"/>
            <w:vMerge/>
            <w:tcBorders>
              <w:left w:val="single" w:sz="4" w:space="0" w:color="000000"/>
              <w:bottom w:val="single" w:sz="4" w:space="0" w:color="000000"/>
              <w:right w:val="single" w:sz="4" w:space="0" w:color="000000"/>
            </w:tcBorders>
            <w:shd w:val="clear" w:color="auto" w:fill="D3D3D3"/>
          </w:tcPr>
          <w:p>
            <w:pPr/>
          </w:p>
        </w:tc>
        <w:tc>
          <w:tcPr>
            <w:tcW w:w="917" w:type="dxa"/>
            <w:vMerge/>
            <w:tcBorders>
              <w:left w:val="single" w:sz="4" w:space="0" w:color="000000"/>
              <w:bottom w:val="single" w:sz="4" w:space="0" w:color="000000"/>
              <w:right w:val="single" w:sz="4" w:space="0" w:color="000000"/>
            </w:tcBorders>
            <w:shd w:val="clear" w:color="auto" w:fill="D3D3D3"/>
          </w:tcPr>
          <w:p>
            <w:pPr/>
          </w:p>
        </w:tc>
        <w:tc>
          <w:tcPr>
            <w:tcW w:w="339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2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44"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275,198,603.36</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4.96%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407,651,547.61</w:t>
            </w:r>
          </w:p>
        </w:tc>
        <w:tc>
          <w:tcPr>
            <w:tcW w:w="6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7.06%</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-2.10%</w:t>
            </w:r>
          </w:p>
        </w:tc>
        <w:tc>
          <w:tcPr>
            <w:tcW w:w="3392"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4" w:right="9"/>
              <w:jc w:val="left"/>
              <w:rPr>
                <w:rFonts w:ascii="宋体" w:hAnsi="宋体" w:cs="宋体" w:eastAsia="宋体" w:hint="default"/>
                <w:sz w:val="18"/>
                <w:szCs w:val="18"/>
              </w:rPr>
            </w:pPr>
            <w:r>
              <w:rPr>
                <w:rFonts w:ascii="宋体" w:hAnsi="宋体" w:cs="宋体" w:eastAsia="宋体" w:hint="default"/>
                <w:spacing w:val="-4"/>
                <w:sz w:val="18"/>
                <w:szCs w:val="18"/>
              </w:rPr>
              <w:t>主要系支付职工安置费用、公司债利息及工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程投入所致。</w:t>
            </w:r>
          </w:p>
        </w:tc>
      </w:tr>
      <w:tr>
        <w:trPr>
          <w:trHeight w:val="392" w:hRule="exact"/>
        </w:trPr>
        <w:tc>
          <w:tcPr>
            <w:tcW w:w="12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4" w:type="dxa"/>
            <w:vMerge/>
            <w:tcBorders>
              <w:left w:val="single" w:sz="10" w:space="0" w:color="D3D3D3"/>
              <w:right w:val="single" w:sz="4" w:space="0" w:color="000000"/>
            </w:tcBorders>
          </w:tcPr>
          <w:p>
            <w:pPr/>
          </w:p>
        </w:tc>
        <w:tc>
          <w:tcPr>
            <w:tcW w:w="64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612"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c>
          <w:tcPr>
            <w:tcW w:w="3392" w:type="dxa"/>
            <w:vMerge/>
            <w:tcBorders>
              <w:left w:val="single" w:sz="4" w:space="0" w:color="000000"/>
              <w:right w:val="single" w:sz="4" w:space="0" w:color="000000"/>
            </w:tcBorders>
            <w:shd w:val="clear" w:color="auto" w:fill="C7EDCC"/>
          </w:tcPr>
          <w:p>
            <w:pPr/>
          </w:p>
        </w:tc>
      </w:tr>
      <w:tr>
        <w:trPr>
          <w:trHeight w:val="161" w:hRule="exact"/>
        </w:trPr>
        <w:tc>
          <w:tcPr>
            <w:tcW w:w="12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4" w:type="dxa"/>
            <w:vMerge/>
            <w:tcBorders>
              <w:left w:val="single" w:sz="10" w:space="0" w:color="D3D3D3"/>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612"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c>
          <w:tcPr>
            <w:tcW w:w="3392"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41,258,208.01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110,571,518.66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1.92%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c>
          <w:tcPr>
            <w:tcW w:w="3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主要系加大应收款的清欠催收力度所致。</w:t>
            </w: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1,423,268,411.75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1,505,407,219.20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26.08%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3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176,499,270.93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179,139,019.05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3.10%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3392"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1332"/>
        <w:gridCol w:w="648"/>
        <w:gridCol w:w="1368"/>
        <w:gridCol w:w="612"/>
        <w:gridCol w:w="917"/>
        <w:gridCol w:w="3392"/>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1,162,594,197.37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1,501,057,931.47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w:t>
            </w:r>
          </w:p>
        </w:tc>
        <w:tc>
          <w:tcPr>
            <w:tcW w:w="3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16"/>
              <w:jc w:val="left"/>
              <w:rPr>
                <w:rFonts w:ascii="宋体" w:hAnsi="宋体" w:cs="宋体" w:eastAsia="宋体" w:hint="default"/>
                <w:sz w:val="18"/>
                <w:szCs w:val="18"/>
              </w:rPr>
            </w:pPr>
            <w:r>
              <w:rPr>
                <w:rFonts w:ascii="宋体" w:hAnsi="宋体" w:cs="宋体" w:eastAsia="宋体" w:hint="default"/>
                <w:sz w:val="18"/>
                <w:szCs w:val="18"/>
              </w:rPr>
              <w:t>主要系搬迁处置及报废设备转入固定资产 清理所致。</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2" w:type="dxa"/>
            <w:tcBorders>
              <w:top w:val="single" w:sz="4" w:space="0" w:color="000000"/>
              <w:left w:val="single" w:sz="4" w:space="0" w:color="000000"/>
              <w:bottom w:val="nil" w:sz="6" w:space="0" w:color="auto"/>
              <w:right w:val="single" w:sz="4" w:space="0" w:color="000000"/>
            </w:tcBorders>
          </w:tcPr>
          <w:p>
            <w:pPr/>
          </w:p>
        </w:tc>
        <w:tc>
          <w:tcPr>
            <w:tcW w:w="64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612"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33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主要系整体改造优化升级项目</w:t>
            </w:r>
            <w:r>
              <w:rPr>
                <w:rFonts w:ascii="宋体" w:hAnsi="宋体" w:cs="宋体" w:eastAsia="宋体" w:hint="default"/>
                <w:spacing w:val="-74"/>
                <w:sz w:val="18"/>
                <w:szCs w:val="18"/>
              </w:rPr>
              <w:t>、</w:t>
            </w:r>
            <w:r>
              <w:rPr>
                <w:rFonts w:ascii="宋体" w:hAnsi="宋体" w:cs="宋体" w:eastAsia="宋体" w:hint="default"/>
                <w:sz w:val="18"/>
                <w:szCs w:val="18"/>
              </w:rPr>
              <w:t>提高纱质量</w:t>
            </w:r>
          </w:p>
        </w:tc>
      </w:tr>
      <w:tr>
        <w:trPr>
          <w:trHeight w:val="316" w:hRule="exact"/>
        </w:trPr>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1,029,089,641.27</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8" w:right="0"/>
              <w:jc w:val="left"/>
              <w:rPr>
                <w:rFonts w:ascii="Times New Roman" w:hAnsi="Times New Roman" w:cs="Times New Roman" w:eastAsia="Times New Roman" w:hint="default"/>
                <w:sz w:val="18"/>
                <w:szCs w:val="18"/>
              </w:rPr>
            </w:pPr>
            <w:r>
              <w:rPr>
                <w:rFonts w:ascii="Times New Roman"/>
                <w:sz w:val="18"/>
              </w:rPr>
              <w:t>18.53%</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87" w:right="0"/>
              <w:jc w:val="center"/>
              <w:rPr>
                <w:rFonts w:ascii="Times New Roman" w:hAnsi="Times New Roman" w:cs="Times New Roman" w:eastAsia="Times New Roman" w:hint="default"/>
                <w:sz w:val="18"/>
                <w:szCs w:val="18"/>
              </w:rPr>
            </w:pPr>
            <w:r>
              <w:rPr>
                <w:rFonts w:ascii="Times New Roman"/>
                <w:sz w:val="18"/>
              </w:rPr>
              <w:t>712,858,753.15</w:t>
            </w:r>
          </w:p>
        </w:tc>
        <w:tc>
          <w:tcPr>
            <w:tcW w:w="61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12.35%</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6.18%</w:t>
            </w:r>
          </w:p>
        </w:tc>
        <w:tc>
          <w:tcPr>
            <w:tcW w:w="33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开发新型产品设备改良及高档柔性纱线项</w:t>
            </w:r>
          </w:p>
        </w:tc>
      </w:tr>
      <w:tr>
        <w:trPr>
          <w:trHeight w:val="353" w:hRule="exact"/>
        </w:trPr>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2" w:type="dxa"/>
            <w:tcBorders>
              <w:top w:val="nil" w:sz="6" w:space="0" w:color="auto"/>
              <w:left w:val="single" w:sz="4" w:space="0" w:color="000000"/>
              <w:bottom w:val="single" w:sz="4" w:space="0" w:color="000000"/>
              <w:right w:val="single" w:sz="4" w:space="0" w:color="000000"/>
            </w:tcBorders>
          </w:tcPr>
          <w:p>
            <w:pPr/>
          </w:p>
        </w:tc>
        <w:tc>
          <w:tcPr>
            <w:tcW w:w="64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612"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33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目投入增加所致。</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865,551,594.80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983,475,694.64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17.04%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c>
          <w:tcPr>
            <w:tcW w:w="3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主要系预付客户货款在本期结算所致。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32"/>
        <w:gridCol w:w="720"/>
        <w:gridCol w:w="1457"/>
        <w:gridCol w:w="703"/>
        <w:gridCol w:w="798"/>
        <w:gridCol w:w="3162"/>
      </w:tblGrid>
      <w:tr>
        <w:trPr>
          <w:trHeight w:val="381"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6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2"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33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83"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57"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76" w:right="7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03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4"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14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316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332"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1457" w:type="dxa"/>
            <w:vMerge/>
            <w:tcBorders>
              <w:left w:val="single" w:sz="4" w:space="0" w:color="000000"/>
              <w:bottom w:val="nil" w:sz="6" w:space="0" w:color="auto"/>
              <w:right w:val="single" w:sz="4" w:space="0" w:color="000000"/>
            </w:tcBorders>
            <w:shd w:val="clear" w:color="auto" w:fill="D3D3D3"/>
          </w:tcPr>
          <w:p>
            <w:pPr/>
          </w:p>
        </w:tc>
        <w:tc>
          <w:tcPr>
            <w:tcW w:w="703"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
        </w:tc>
        <w:tc>
          <w:tcPr>
            <w:tcW w:w="3162"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357" w:type="dxa"/>
            <w:vMerge/>
            <w:tcBorders>
              <w:left w:val="single" w:sz="4" w:space="0" w:color="000000"/>
              <w:bottom w:val="single" w:sz="4" w:space="0" w:color="000000"/>
              <w:right w:val="single" w:sz="4" w:space="0" w:color="000000"/>
            </w:tcBorders>
            <w:shd w:val="clear" w:color="auto" w:fill="D3D3D3"/>
          </w:tcPr>
          <w:p>
            <w:pPr/>
          </w:p>
        </w:tc>
        <w:tc>
          <w:tcPr>
            <w:tcW w:w="133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457"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31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1,504,567,200.00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1,589,452,373.42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-0.44%</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82,726,000.00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9,465,000.00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1.33%</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主要系公司长期借款增加所致。</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180,532,870.57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259,219,400.63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主要系报告期支付购货款所致。</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498,699,649.58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667,077,582.63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主要系预收客户货款在本期结算所致。</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11" w:right="73"/>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629,380,966.27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11.33%</w:t>
            </w:r>
          </w:p>
        </w:tc>
        <w:tc>
          <w:tcPr>
            <w:tcW w:w="145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11.33%</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系公司应付债券调整入一年内到期的非 流动负债所致。</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1,409,492.08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3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625,666,766.47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-10.84%</w:t>
            </w:r>
          </w:p>
        </w:tc>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系公司应付债券调整入一年内到期的非 流动负债所致。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7"/>
        <w:gridCol w:w="1213"/>
        <w:gridCol w:w="959"/>
        <w:gridCol w:w="1196"/>
        <w:gridCol w:w="968"/>
        <w:gridCol w:w="1202"/>
        <w:gridCol w:w="1196"/>
        <w:gridCol w:w="1182"/>
      </w:tblGrid>
      <w:tr>
        <w:trPr>
          <w:trHeight w:val="161" w:hRule="exact"/>
        </w:trPr>
        <w:tc>
          <w:tcPr>
            <w:tcW w:w="1597" w:type="dxa"/>
            <w:vMerge w:val="restart"/>
            <w:tcBorders>
              <w:top w:val="single" w:sz="4" w:space="0" w:color="000000"/>
              <w:left w:val="single" w:sz="4" w:space="0" w:color="000000"/>
              <w:right w:val="single" w:sz="4" w:space="0" w:color="000000"/>
            </w:tcBorders>
            <w:shd w:val="clear" w:color="auto" w:fill="D3D3D3"/>
          </w:tcPr>
          <w:p>
            <w:pPr/>
          </w:p>
        </w:tc>
        <w:tc>
          <w:tcPr>
            <w:tcW w:w="1213" w:type="dxa"/>
            <w:vMerge w:val="restart"/>
            <w:tcBorders>
              <w:top w:val="single" w:sz="4" w:space="0" w:color="000000"/>
              <w:left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3"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2"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82"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597" w:type="dxa"/>
            <w:vMerge/>
            <w:tcBorders>
              <w:left w:val="single" w:sz="4" w:space="0" w:color="000000"/>
              <w:bottom w:val="nil" w:sz="6" w:space="0" w:color="auto"/>
              <w:right w:val="single" w:sz="4" w:space="0" w:color="000000"/>
            </w:tcBorders>
            <w:shd w:val="clear" w:color="auto" w:fill="D3D3D3"/>
          </w:tcPr>
          <w:p>
            <w:pPr/>
          </w:p>
        </w:tc>
        <w:tc>
          <w:tcPr>
            <w:tcW w:w="1213" w:type="dxa"/>
            <w:vMerge/>
            <w:tcBorders>
              <w:left w:val="single" w:sz="4" w:space="0" w:color="000000"/>
              <w:bottom w:val="nil" w:sz="6" w:space="0" w:color="auto"/>
              <w:right w:val="single" w:sz="4" w:space="0" w:color="000000"/>
            </w:tcBorders>
            <w:shd w:val="clear" w:color="auto" w:fill="D3D3D3"/>
          </w:tcPr>
          <w:p>
            <w:pPr/>
          </w:p>
        </w:tc>
        <w:tc>
          <w:tcPr>
            <w:tcW w:w="95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0" w:right="26"/>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6" w:type="dxa"/>
            <w:vMerge/>
            <w:tcBorders>
              <w:left w:val="single" w:sz="4" w:space="0" w:color="000000"/>
              <w:right w:val="single" w:sz="4" w:space="0" w:color="000000"/>
            </w:tcBorders>
            <w:shd w:val="clear" w:color="auto" w:fill="D3D3D3"/>
          </w:tcPr>
          <w:p>
            <w:pPr/>
          </w:p>
        </w:tc>
        <w:tc>
          <w:tcPr>
            <w:tcW w:w="96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01" w:right="24"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02"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82" w:type="dxa"/>
            <w:vMerge/>
            <w:tcBorders>
              <w:left w:val="single" w:sz="4" w:space="0" w:color="000000"/>
              <w:bottom w:val="nil" w:sz="6" w:space="0" w:color="auto"/>
              <w:right w:val="single" w:sz="4" w:space="0" w:color="000000"/>
            </w:tcBorders>
            <w:shd w:val="clear" w:color="auto" w:fill="D3D3D3"/>
          </w:tcPr>
          <w:p>
            <w:pPr/>
          </w:p>
        </w:tc>
      </w:tr>
      <w:tr>
        <w:trPr>
          <w:trHeight w:val="392"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9" w:type="dxa"/>
            <w:vMerge/>
            <w:tcBorders>
              <w:left w:val="single" w:sz="4" w:space="0" w:color="000000"/>
              <w:right w:val="single" w:sz="4" w:space="0" w:color="000000"/>
            </w:tcBorders>
            <w:shd w:val="clear" w:color="auto" w:fill="D3D3D3"/>
          </w:tcPr>
          <w:p>
            <w:pPr/>
          </w:p>
        </w:tc>
        <w:tc>
          <w:tcPr>
            <w:tcW w:w="1196" w:type="dxa"/>
            <w:vMerge/>
            <w:tcBorders>
              <w:left w:val="single" w:sz="4" w:space="0" w:color="000000"/>
              <w:right w:val="single" w:sz="4" w:space="0" w:color="000000"/>
            </w:tcBorders>
            <w:shd w:val="clear" w:color="auto" w:fill="D3D3D3"/>
          </w:tcPr>
          <w:p>
            <w:pPr/>
          </w:p>
        </w:tc>
        <w:tc>
          <w:tcPr>
            <w:tcW w:w="968" w:type="dxa"/>
            <w:vMerge/>
            <w:tcBorders>
              <w:left w:val="single" w:sz="4" w:space="0" w:color="000000"/>
              <w:right w:val="single" w:sz="4" w:space="0" w:color="000000"/>
            </w:tcBorders>
            <w:shd w:val="clear" w:color="auto" w:fill="D3D3D3"/>
          </w:tcPr>
          <w:p>
            <w:pPr/>
          </w:p>
        </w:tc>
        <w:tc>
          <w:tcPr>
            <w:tcW w:w="12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597" w:type="dxa"/>
            <w:vMerge w:val="restart"/>
            <w:tcBorders>
              <w:top w:val="nil" w:sz="6" w:space="0" w:color="auto"/>
              <w:left w:val="single" w:sz="4" w:space="0" w:color="000000"/>
              <w:right w:val="single" w:sz="4" w:space="0" w:color="000000"/>
            </w:tcBorders>
            <w:shd w:val="clear" w:color="auto" w:fill="D3D3D3"/>
          </w:tcPr>
          <w:p>
            <w:pPr/>
          </w:p>
        </w:tc>
        <w:tc>
          <w:tcPr>
            <w:tcW w:w="1213" w:type="dxa"/>
            <w:vMerge w:val="restart"/>
            <w:tcBorders>
              <w:top w:val="nil" w:sz="6" w:space="0" w:color="auto"/>
              <w:left w:val="single" w:sz="4" w:space="0" w:color="000000"/>
              <w:right w:val="single" w:sz="4" w:space="0" w:color="000000"/>
            </w:tcBorders>
            <w:shd w:val="clear" w:color="auto" w:fill="D3D3D3"/>
          </w:tcPr>
          <w:p>
            <w:pPr/>
          </w:p>
        </w:tc>
        <w:tc>
          <w:tcPr>
            <w:tcW w:w="959"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right w:val="single" w:sz="4" w:space="0" w:color="000000"/>
            </w:tcBorders>
            <w:shd w:val="clear" w:color="auto" w:fill="D3D3D3"/>
          </w:tcPr>
          <w:p>
            <w:pPr/>
          </w:p>
        </w:tc>
        <w:tc>
          <w:tcPr>
            <w:tcW w:w="968" w:type="dxa"/>
            <w:vMerge/>
            <w:tcBorders>
              <w:left w:val="single" w:sz="4" w:space="0" w:color="000000"/>
              <w:bottom w:val="nil" w:sz="6" w:space="0" w:color="auto"/>
              <w:right w:val="single" w:sz="4" w:space="0" w:color="000000"/>
            </w:tcBorders>
            <w:shd w:val="clear" w:color="auto" w:fill="D3D3D3"/>
          </w:tcPr>
          <w:p>
            <w:pPr/>
          </w:p>
        </w:tc>
        <w:tc>
          <w:tcPr>
            <w:tcW w:w="1202"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
        </w:tc>
        <w:tc>
          <w:tcPr>
            <w:tcW w:w="118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213" w:type="dxa"/>
            <w:vMerge/>
            <w:tcBorders>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2"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916"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7"/>
              <w:jc w:val="right"/>
              <w:rPr>
                <w:rFonts w:ascii="Arial" w:hAnsi="Arial" w:cs="Arial" w:eastAsia="Arial" w:hint="default"/>
                <w:sz w:val="18"/>
                <w:szCs w:val="18"/>
              </w:rPr>
            </w:pPr>
            <w:r>
              <w:rPr>
                <w:rFonts w:ascii="Arial"/>
                <w:spacing w:val="-1"/>
                <w:w w:val="80"/>
                <w:sz w:val="18"/>
              </w:rPr>
              <w:t>12,280,108.80</w:t>
            </w:r>
            <w:r>
              <w:rPr>
                <w:rFonts w:ascii="Arial"/>
                <w:spacing w:val="-1"/>
                <w:sz w:val="18"/>
              </w:rPr>
            </w:r>
          </w:p>
        </w:tc>
        <w:tc>
          <w:tcPr>
            <w:tcW w:w="9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9,465,917.20</w:t>
            </w:r>
          </w:p>
        </w:tc>
        <w:tc>
          <w:tcPr>
            <w:tcW w:w="96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Arial" w:hAnsi="Arial" w:cs="Arial" w:eastAsia="Arial" w:hint="default"/>
                <w:sz w:val="18"/>
                <w:szCs w:val="18"/>
              </w:rPr>
            </w:pPr>
            <w:r>
              <w:rPr>
                <w:rFonts w:ascii="Arial"/>
                <w:spacing w:val="-1"/>
                <w:w w:val="80"/>
                <w:sz w:val="18"/>
              </w:rPr>
              <w:t>21,746,026.00</w:t>
            </w:r>
            <w:r>
              <w:rPr>
                <w:rFonts w:ascii="Arial"/>
                <w:spacing w:val="-1"/>
                <w:sz w:val="18"/>
              </w:rPr>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Arial" w:hAnsi="Arial" w:cs="Arial" w:eastAsia="Arial" w:hint="default"/>
                <w:sz w:val="18"/>
                <w:szCs w:val="18"/>
              </w:rPr>
            </w:pPr>
            <w:r>
              <w:rPr>
                <w:rFonts w:ascii="Arial"/>
                <w:spacing w:val="-1"/>
                <w:w w:val="80"/>
                <w:sz w:val="18"/>
              </w:rPr>
              <w:t>12,280,108.80</w:t>
            </w:r>
            <w:r>
              <w:rPr>
                <w:rFonts w:ascii="Arial"/>
                <w:spacing w:val="-1"/>
                <w:sz w:val="18"/>
              </w:rPr>
            </w:r>
          </w:p>
        </w:tc>
        <w:tc>
          <w:tcPr>
            <w:tcW w:w="9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9,465,917.20</w:t>
            </w:r>
          </w:p>
        </w:tc>
        <w:tc>
          <w:tcPr>
            <w:tcW w:w="96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Arial" w:hAnsi="Arial" w:cs="Arial" w:eastAsia="Arial" w:hint="default"/>
                <w:sz w:val="18"/>
                <w:szCs w:val="18"/>
              </w:rPr>
            </w:pPr>
            <w:r>
              <w:rPr>
                <w:rFonts w:ascii="Arial"/>
                <w:spacing w:val="-1"/>
                <w:w w:val="80"/>
                <w:sz w:val="18"/>
              </w:rPr>
              <w:t>21,746,026.00</w:t>
            </w:r>
            <w:r>
              <w:rPr>
                <w:rFonts w:ascii="Arial"/>
                <w:spacing w:val="-1"/>
                <w:sz w:val="18"/>
              </w:rPr>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1,785,184.83</w:t>
            </w:r>
          </w:p>
        </w:tc>
        <w:tc>
          <w:tcPr>
            <w:tcW w:w="9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-2,366,479.30</w:t>
            </w:r>
          </w:p>
        </w:tc>
        <w:tc>
          <w:tcPr>
            <w:tcW w:w="96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4,151,664.13</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568" w:firstLine="360"/>
        <w:jc w:val="both"/>
      </w:pPr>
      <w:r>
        <w:rPr>
          <w:rFonts w:ascii="Times New Roman" w:hAnsi="Times New Roman" w:cs="Times New Roman" w:eastAsia="Times New Roman" w:hint="default"/>
        </w:rPr>
        <w:t>1</w:t>
      </w:r>
      <w:r>
        <w:rPr/>
        <w:t>、人才优势。聘请</w:t>
      </w:r>
      <w:r>
        <w:rPr>
          <w:rFonts w:ascii="Times New Roman" w:hAnsi="Times New Roman" w:cs="Times New Roman" w:eastAsia="Times New Roman" w:hint="default"/>
        </w:rPr>
        <w:t>2</w:t>
      </w:r>
      <w:r>
        <w:rPr/>
        <w:t>名中国工程院院士为公司技术顾问。有各类技术人员</w:t>
      </w:r>
      <w:r>
        <w:rPr>
          <w:rFonts w:ascii="Times New Roman" w:hAnsi="Times New Roman" w:cs="Times New Roman" w:eastAsia="Times New Roman" w:hint="default"/>
        </w:rPr>
        <w:t>1,403</w:t>
      </w:r>
      <w:r>
        <w:rPr/>
        <w:t>人，其中享受国家级政府津贴、省部级 政府津贴、国家级突出贡献中青年专家等科技人才</w:t>
      </w:r>
      <w:r>
        <w:rPr>
          <w:rFonts w:ascii="Times New Roman" w:hAnsi="Times New Roman" w:cs="Times New Roman" w:eastAsia="Times New Roman" w:hint="default"/>
        </w:rPr>
        <w:t>33</w:t>
      </w:r>
      <w:r>
        <w:rPr/>
        <w:t>人。有各级技术能手</w:t>
      </w:r>
      <w:r>
        <w:rPr>
          <w:rFonts w:ascii="Times New Roman" w:hAnsi="Times New Roman" w:cs="Times New Roman" w:eastAsia="Times New Roman" w:hint="default"/>
        </w:rPr>
        <w:t>70</w:t>
      </w:r>
      <w:r>
        <w:rPr/>
        <w:t>余人，其中中华全国技能大奖</w:t>
      </w:r>
      <w:r>
        <w:rPr>
          <w:rFonts w:ascii="Times New Roman" w:hAnsi="Times New Roman" w:cs="Times New Roman" w:eastAsia="Times New Roman" w:hint="default"/>
        </w:rPr>
        <w:t>1</w:t>
      </w:r>
      <w:r>
        <w:rPr/>
        <w:t>名（全国纺织行</w:t>
      </w:r>
      <w:r>
        <w:rPr>
          <w:spacing w:val="-83"/>
        </w:rPr>
        <w:t> </w:t>
      </w:r>
      <w:r>
        <w:rPr>
          <w:spacing w:val="-83"/>
        </w:rPr>
      </w:r>
      <w:r>
        <w:rPr/>
        <w:t>业第一人）、河北省十大金牌工人</w:t>
      </w:r>
      <w:r>
        <w:rPr>
          <w:rFonts w:ascii="Times New Roman" w:hAnsi="Times New Roman" w:cs="Times New Roman" w:eastAsia="Times New Roman" w:hint="default"/>
        </w:rPr>
        <w:t>1</w:t>
      </w:r>
      <w:r>
        <w:rPr/>
        <w:t>名、全国技术能手</w:t>
      </w:r>
      <w:r>
        <w:rPr>
          <w:rFonts w:ascii="Times New Roman" w:hAnsi="Times New Roman" w:cs="Times New Roman" w:eastAsia="Times New Roman" w:hint="default"/>
        </w:rPr>
        <w:t>8</w:t>
      </w:r>
      <w:r>
        <w:rPr/>
        <w:t>名、省级技术能手</w:t>
      </w:r>
      <w:r>
        <w:rPr>
          <w:rFonts w:ascii="Times New Roman" w:hAnsi="Times New Roman" w:cs="Times New Roman" w:eastAsia="Times New Roman" w:hint="default"/>
        </w:rPr>
        <w:t>9</w:t>
      </w:r>
      <w:r>
        <w:rPr/>
        <w:t>名、市级技术能手</w:t>
      </w:r>
      <w:r>
        <w:rPr>
          <w:rFonts w:ascii="Times New Roman" w:hAnsi="Times New Roman" w:cs="Times New Roman" w:eastAsia="Times New Roman" w:hint="default"/>
        </w:rPr>
        <w:t>58</w:t>
      </w:r>
      <w:r>
        <w:rPr/>
        <w:t>名。通过与河北科技大学联</w:t>
      </w:r>
      <w:r>
        <w:rPr>
          <w:spacing w:val="-83"/>
        </w:rPr>
        <w:t> </w:t>
      </w:r>
      <w:r>
        <w:rPr>
          <w:spacing w:val="-83"/>
        </w:rPr>
      </w:r>
      <w:r>
        <w:rPr/>
        <w:t>合举办纺织工程专业学历教育，培养技术和管理人才。</w:t>
      </w:r>
    </w:p>
    <w:p>
      <w:pPr>
        <w:pStyle w:val="BodyText"/>
        <w:spacing w:line="309" w:lineRule="auto" w:before="70"/>
        <w:ind w:left="153" w:right="0" w:firstLine="360"/>
        <w:jc w:val="left"/>
      </w:pPr>
      <w:r>
        <w:rPr>
          <w:rFonts w:ascii="Times New Roman" w:hAnsi="Times New Roman" w:cs="Times New Roman" w:eastAsia="Times New Roman" w:hint="default"/>
          <w:spacing w:val="-2"/>
        </w:rPr>
        <w:t>2</w:t>
      </w:r>
      <w:r>
        <w:rPr>
          <w:spacing w:val="-2"/>
        </w:rPr>
        <w:t>、管理优势。不断加强质量、物耗、成本、安全、岗位职责等各项管理，基础管理在行业内始终保持先进水平。同时，</w:t>
      </w:r>
      <w:r>
        <w:rPr/>
        <w:t> </w:t>
      </w:r>
      <w:r>
        <w:rPr>
          <w:spacing w:val="-2"/>
        </w:rPr>
        <w:t>深入开展质量管理小组活动，全面实施卓越绩效模式，积极开展对标行动，荣获全国质量管理小组活动优秀企业、全国纺织</w:t>
      </w:r>
      <w:r>
        <w:rPr>
          <w:spacing w:val="-66"/>
        </w:rPr>
        <w:t> </w:t>
      </w:r>
      <w:r>
        <w:rPr>
          <w:spacing w:val="-66"/>
        </w:rPr>
      </w:r>
      <w:r>
        <w:rPr/>
        <w:t>行业实施卓越绩效模式先进企业、河北省对标示范企业等。</w:t>
      </w:r>
    </w:p>
    <w:p>
      <w:pPr>
        <w:pStyle w:val="BodyText"/>
        <w:spacing w:line="300" w:lineRule="auto" w:before="64"/>
        <w:ind w:left="153" w:right="568" w:firstLine="360"/>
        <w:jc w:val="both"/>
      </w:pPr>
      <w:r>
        <w:rPr>
          <w:rFonts w:ascii="Times New Roman" w:hAnsi="Times New Roman" w:cs="Times New Roman" w:eastAsia="Times New Roman" w:hint="default"/>
        </w:rPr>
        <w:t>3</w:t>
      </w:r>
      <w:r>
        <w:rPr/>
        <w:t>、研发优势。公司与院士合作，成立院士工作站，公司拥有国家认定的企业技术中心、国家认可实验室和国家级技能 大师工作室等。 每年投入大量研发经费，为新产品和新技术的研发提供强有力的保障。公司共有专利</w:t>
      </w:r>
      <w:r>
        <w:rPr>
          <w:rFonts w:ascii="Times New Roman" w:hAnsi="Times New Roman" w:cs="Times New Roman" w:eastAsia="Times New Roman" w:hint="default"/>
        </w:rPr>
        <w:t>121</w:t>
      </w:r>
      <w:r>
        <w:rPr/>
        <w:t>项，其中</w:t>
      </w:r>
      <w:r>
        <w:rPr>
          <w:rFonts w:ascii="Times New Roman" w:hAnsi="Times New Roman" w:cs="Times New Roman" w:eastAsia="Times New Roman" w:hint="default"/>
        </w:rPr>
        <w:t>107</w:t>
      </w:r>
      <w:r>
        <w:rPr/>
        <w:t>项取</w:t>
      </w:r>
      <w:r>
        <w:rPr>
          <w:spacing w:val="-89"/>
        </w:rPr>
        <w:t> </w:t>
      </w:r>
      <w:r>
        <w:rPr/>
        <w:t>得国家授权证书，有</w:t>
      </w:r>
      <w:r>
        <w:rPr>
          <w:rFonts w:ascii="Times New Roman" w:hAnsi="Times New Roman" w:cs="Times New Roman" w:eastAsia="Times New Roman" w:hint="default"/>
        </w:rPr>
        <w:t>8</w:t>
      </w:r>
      <w:r>
        <w:rPr/>
        <w:t>项发明专利。有</w:t>
      </w:r>
      <w:r>
        <w:rPr>
          <w:rFonts w:ascii="Times New Roman" w:hAnsi="Times New Roman" w:cs="Times New Roman" w:eastAsia="Times New Roman" w:hint="default"/>
        </w:rPr>
        <w:t>19</w:t>
      </w:r>
      <w:r>
        <w:rPr/>
        <w:t>个产品入围</w:t>
      </w:r>
      <w:r>
        <w:rPr>
          <w:rFonts w:ascii="Times New Roman" w:hAnsi="Times New Roman" w:cs="Times New Roman" w:eastAsia="Times New Roman" w:hint="default"/>
        </w:rPr>
        <w:t>“</w:t>
      </w:r>
      <w:r>
        <w:rPr/>
        <w:t>中国流行面料</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年开发新品种</w:t>
      </w:r>
      <w:r>
        <w:rPr>
          <w:rFonts w:ascii="Times New Roman" w:hAnsi="Times New Roman" w:cs="Times New Roman" w:eastAsia="Times New Roman" w:hint="default"/>
        </w:rPr>
        <w:t>517</w:t>
      </w:r>
      <w:r>
        <w:rPr/>
        <w:t>个，投产</w:t>
      </w:r>
      <w:r>
        <w:rPr>
          <w:rFonts w:ascii="Times New Roman" w:hAnsi="Times New Roman" w:cs="Times New Roman" w:eastAsia="Times New Roman" w:hint="default"/>
        </w:rPr>
        <w:t>343</w:t>
      </w:r>
      <w:r>
        <w:rPr/>
        <w:t>个。</w:t>
      </w:r>
    </w:p>
    <w:p>
      <w:pPr>
        <w:pStyle w:val="BodyText"/>
        <w:spacing w:line="300" w:lineRule="auto" w:before="51"/>
        <w:ind w:right="525" w:firstLine="360"/>
        <w:jc w:val="both"/>
      </w:pPr>
      <w:r>
        <w:rPr>
          <w:rFonts w:ascii="Times New Roman" w:hAnsi="Times New Roman" w:cs="Times New Roman" w:eastAsia="Times New Roman" w:hint="default"/>
        </w:rPr>
        <w:t>4</w:t>
      </w:r>
      <w:r>
        <w:rPr/>
        <w:t>、质量优势。公司产品获得</w:t>
      </w:r>
      <w:r>
        <w:rPr>
          <w:rFonts w:ascii="Times New Roman" w:hAnsi="Times New Roman" w:cs="Times New Roman" w:eastAsia="Times New Roman" w:hint="default"/>
        </w:rPr>
        <w:t>“</w:t>
      </w:r>
      <w:r>
        <w:rPr/>
        <w:t>中国质量认证中心</w:t>
      </w:r>
      <w:r>
        <w:rPr>
          <w:rFonts w:ascii="Times New Roman" w:hAnsi="Times New Roman" w:cs="Times New Roman" w:eastAsia="Times New Roman" w:hint="default"/>
        </w:rPr>
        <w:t>”</w:t>
      </w:r>
      <w:r>
        <w:rPr/>
        <w:t>颁发的</w:t>
      </w:r>
      <w:r>
        <w:rPr>
          <w:rFonts w:ascii="Times New Roman" w:hAnsi="Times New Roman" w:cs="Times New Roman" w:eastAsia="Times New Roman" w:hint="default"/>
        </w:rPr>
        <w:t>ISO9001</w:t>
      </w:r>
      <w:r>
        <w:rPr/>
        <w:t>质量管理体系证书，</w:t>
      </w:r>
      <w:r>
        <w:rPr>
          <w:rFonts w:ascii="Times New Roman" w:hAnsi="Times New Roman" w:cs="Times New Roman" w:eastAsia="Times New Roman" w:hint="default"/>
        </w:rPr>
        <w:t>33</w:t>
      </w:r>
      <w:r>
        <w:rPr/>
        <w:t>个国家和地区通认的</w:t>
      </w:r>
      <w:r>
        <w:rPr>
          <w:rFonts w:ascii="Times New Roman" w:hAnsi="Times New Roman" w:cs="Times New Roman" w:eastAsia="Times New Roman" w:hint="default"/>
        </w:rPr>
        <w:t>IQNet</w:t>
      </w:r>
      <w:r>
        <w:rPr/>
        <w:t>，国</w:t>
      </w:r>
      <w:r>
        <w:rPr>
          <w:spacing w:val="1"/>
        </w:rPr>
        <w:t> </w:t>
      </w:r>
      <w:r>
        <w:rPr/>
        <w:t>际环保纺织协会</w:t>
      </w:r>
      <w:r>
        <w:rPr>
          <w:rFonts w:ascii="Times New Roman" w:hAnsi="Times New Roman" w:cs="Times New Roman" w:eastAsia="Times New Roman" w:hint="default"/>
        </w:rPr>
        <w:t>Oeko—Tex Standard 100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7"/>
        </w:rPr>
        <w:t>I</w:t>
      </w:r>
      <w:r>
        <w:rPr>
          <w:spacing w:val="-7"/>
        </w:rPr>
        <w:t>级证书，通过了全球认可的全球有机纺织品标准（</w:t>
      </w:r>
      <w:r>
        <w:rPr>
          <w:rFonts w:ascii="Times New Roman" w:hAnsi="Times New Roman" w:cs="Times New Roman" w:eastAsia="Times New Roman" w:hint="default"/>
          <w:spacing w:val="-7"/>
        </w:rPr>
        <w:t>GOTS</w:t>
      </w:r>
      <w:r>
        <w:rPr>
          <w:spacing w:val="-7"/>
        </w:rPr>
        <w:t>）和有机含量标准（</w:t>
      </w:r>
      <w:r>
        <w:rPr>
          <w:rFonts w:ascii="Times New Roman" w:hAnsi="Times New Roman" w:cs="Times New Roman" w:eastAsia="Times New Roman" w:hint="default"/>
          <w:spacing w:val="-7"/>
        </w:rPr>
        <w:t>OCS</w:t>
      </w:r>
      <w:r>
        <w:rPr>
          <w:spacing w:val="-7"/>
        </w:rPr>
        <w:t>）。</w:t>
      </w:r>
      <w:r>
        <w:rPr>
          <w:spacing w:val="-44"/>
        </w:rPr>
        <w:t> </w:t>
      </w:r>
      <w:r>
        <w:rPr>
          <w:spacing w:val="-1"/>
        </w:rPr>
        <w:t>公司有</w:t>
      </w:r>
      <w:r>
        <w:rPr>
          <w:rFonts w:ascii="Times New Roman" w:hAnsi="Times New Roman" w:cs="Times New Roman" w:eastAsia="Times New Roman" w:hint="default"/>
          <w:spacing w:val="-1"/>
        </w:rPr>
        <w:t>14</w:t>
      </w:r>
      <w:r>
        <w:rPr>
          <w:spacing w:val="-1"/>
        </w:rPr>
        <w:t>个产品荣获中国棉纺织行业</w:t>
      </w:r>
      <w:r>
        <w:rPr>
          <w:rFonts w:ascii="Times New Roman" w:hAnsi="Times New Roman" w:cs="Times New Roman" w:eastAsia="Times New Roman" w:hint="default"/>
          <w:spacing w:val="-1"/>
        </w:rPr>
        <w:t>“</w:t>
      </w:r>
      <w:r>
        <w:rPr>
          <w:spacing w:val="-1"/>
        </w:rPr>
        <w:t>用户满意色织用纱精品奖</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用户信得过优等产品</w:t>
      </w:r>
      <w:r>
        <w:rPr>
          <w:rFonts w:ascii="Times New Roman" w:hAnsi="Times New Roman" w:cs="Times New Roman" w:eastAsia="Times New Roman" w:hint="default"/>
          <w:spacing w:val="-1"/>
        </w:rPr>
        <w:t>”</w:t>
      </w:r>
      <w:r>
        <w:rPr>
          <w:spacing w:val="-1"/>
        </w:rPr>
        <w:t>，拥有中国棉纺织行业最具影响力</w:t>
      </w:r>
      <w:r>
        <w:rPr>
          <w:spacing w:val="-76"/>
        </w:rPr>
        <w:t> </w:t>
      </w:r>
      <w:r>
        <w:rPr>
          <w:spacing w:val="-76"/>
        </w:rPr>
      </w:r>
      <w:r>
        <w:rPr/>
        <w:t>产品品牌</w:t>
      </w:r>
      <w:r>
        <w:rPr>
          <w:rFonts w:ascii="Times New Roman" w:hAnsi="Times New Roman" w:cs="Times New Roman" w:eastAsia="Times New Roman" w:hint="default"/>
        </w:rPr>
        <w:t>4</w:t>
      </w:r>
      <w:r>
        <w:rPr/>
        <w:t>个，河北省名牌产品</w:t>
      </w:r>
      <w:r>
        <w:rPr>
          <w:rFonts w:ascii="Times New Roman" w:hAnsi="Times New Roman" w:cs="Times New Roman" w:eastAsia="Times New Roman" w:hint="default"/>
        </w:rPr>
        <w:t>3</w:t>
      </w:r>
      <w:r>
        <w:rPr/>
        <w:t>个，河北省著名商标</w:t>
      </w:r>
      <w:r>
        <w:rPr>
          <w:rFonts w:ascii="Times New Roman" w:hAnsi="Times New Roman" w:cs="Times New Roman" w:eastAsia="Times New Roman" w:hint="default"/>
        </w:rPr>
        <w:t>3</w:t>
      </w:r>
      <w:r>
        <w:rPr/>
        <w:t>个，荣获</w:t>
      </w:r>
      <w:r>
        <w:rPr>
          <w:rFonts w:ascii="Times New Roman" w:hAnsi="Times New Roman" w:cs="Times New Roman" w:eastAsia="Times New Roman" w:hint="default"/>
        </w:rPr>
        <w:t>“</w:t>
      </w:r>
      <w:r>
        <w:rPr/>
        <w:t>全国纺织行业质量奖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河北省政府质量奖</w:t>
      </w:r>
      <w:r>
        <w:rPr>
          <w:rFonts w:ascii="Times New Roman" w:hAnsi="Times New Roman" w:cs="Times New Roman" w:eastAsia="Times New Roman" w:hint="default"/>
        </w:rPr>
        <w:t>”</w:t>
      </w:r>
      <w:r>
        <w:rPr/>
        <w:t>。</w:t>
      </w:r>
    </w:p>
    <w:p>
      <w:pPr>
        <w:pStyle w:val="BodyText"/>
        <w:spacing w:line="300" w:lineRule="auto" w:before="51"/>
        <w:ind w:left="153" w:right="571" w:firstLine="360"/>
        <w:jc w:val="both"/>
      </w:pPr>
      <w:r>
        <w:rPr>
          <w:rFonts w:ascii="Times New Roman" w:hAnsi="Times New Roman" w:cs="Times New Roman" w:eastAsia="Times New Roman" w:hint="default"/>
          <w:spacing w:val="-2"/>
        </w:rPr>
        <w:t>5</w:t>
      </w:r>
      <w:r>
        <w:rPr>
          <w:spacing w:val="-2"/>
        </w:rPr>
        <w:t>、土地资源优势。公司拥有棉一、棉二、棉三、棉四和第五分公司等</w:t>
      </w:r>
      <w:r>
        <w:rPr>
          <w:rFonts w:ascii="Times New Roman" w:hAnsi="Times New Roman" w:cs="Times New Roman" w:eastAsia="Times New Roman" w:hint="default"/>
          <w:spacing w:val="-2"/>
        </w:rPr>
        <w:t>5</w:t>
      </w:r>
      <w:r>
        <w:rPr>
          <w:spacing w:val="-2"/>
        </w:rPr>
        <w:t>块地处市中心黄金地块，占地</w:t>
      </w:r>
      <w:r>
        <w:rPr>
          <w:rFonts w:ascii="Times New Roman" w:hAnsi="Times New Roman" w:cs="Times New Roman" w:eastAsia="Times New Roman" w:hint="default"/>
          <w:spacing w:val="-2"/>
        </w:rPr>
        <w:t>1230</w:t>
      </w:r>
      <w:r>
        <w:rPr>
          <w:spacing w:val="-2"/>
        </w:rPr>
        <w:t>亩，石家庄市</w:t>
      </w:r>
      <w:r>
        <w:rPr/>
        <w:t> </w:t>
      </w:r>
      <w:r>
        <w:rPr>
          <w:spacing w:val="-1"/>
        </w:rPr>
        <w:t>政府</w:t>
      </w:r>
      <w:r>
        <w:rPr>
          <w:rFonts w:ascii="Times New Roman" w:hAnsi="Times New Roman" w:cs="Times New Roman" w:eastAsia="Times New Roman" w:hint="default"/>
          <w:spacing w:val="-1"/>
        </w:rPr>
        <w:t>2007</w:t>
      </w:r>
      <w:r>
        <w:rPr>
          <w:spacing w:val="-1"/>
        </w:rPr>
        <w:t>年第</w:t>
      </w:r>
      <w:r>
        <w:rPr>
          <w:rFonts w:ascii="Times New Roman" w:hAnsi="Times New Roman" w:cs="Times New Roman" w:eastAsia="Times New Roman" w:hint="default"/>
          <w:spacing w:val="-1"/>
        </w:rPr>
        <w:t>65</w:t>
      </w:r>
      <w:r>
        <w:rPr>
          <w:spacing w:val="-1"/>
        </w:rPr>
        <w:t>号常务会议纪要确定，常山股份市内厂区土地拍卖净收益的</w:t>
      </w:r>
      <w:r>
        <w:rPr>
          <w:rFonts w:ascii="Times New Roman" w:hAnsi="Times New Roman" w:cs="Times New Roman" w:eastAsia="Times New Roman" w:hint="default"/>
          <w:spacing w:val="-1"/>
        </w:rPr>
        <w:t>90%</w:t>
      </w:r>
      <w:r>
        <w:rPr>
          <w:spacing w:val="-1"/>
        </w:rPr>
        <w:t>将返还企业。棉三、棉四土地已交至石家庄</w:t>
      </w:r>
      <w:r>
        <w:rPr>
          <w:spacing w:val="-84"/>
        </w:rPr>
        <w:t> </w:t>
      </w:r>
      <w:r>
        <w:rPr>
          <w:spacing w:val="-84"/>
        </w:rPr>
      </w:r>
      <w:r>
        <w:rPr/>
        <w:t>市土地收储中心。</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2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公司报告期无对外投资。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1124"/>
        <w:gridCol w:w="870"/>
        <w:gridCol w:w="869"/>
        <w:gridCol w:w="869"/>
        <w:gridCol w:w="870"/>
        <w:gridCol w:w="1202"/>
        <w:gridCol w:w="1080"/>
        <w:gridCol w:w="869"/>
        <w:gridCol w:w="576"/>
      </w:tblGrid>
      <w:tr>
        <w:trPr>
          <w:trHeight w:val="714" w:hRule="exact"/>
        </w:trPr>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1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7" w:right="104"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8" w:firstLine="46"/>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7"/>
              <w:ind w:left="-1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67"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7"/>
              <w:ind w:left="-1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4" w:hRule="exact"/>
        </w:trPr>
        <w:tc>
          <w:tcPr>
            <w:tcW w:w="8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z w:val="18"/>
                <w:szCs w:val="18"/>
              </w:rPr>
              <w:t>交通银行</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5,139,369.50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3,197,945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3,197,945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21,746,026.00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831,465.70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1027" w:hRule="exact"/>
        </w:trPr>
        <w:tc>
          <w:tcPr>
            <w:tcW w:w="8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25,933,500.00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28,170,940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36,340,514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25,933,500.00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1,408,547.00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4"/>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购入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5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1124"/>
        <w:gridCol w:w="870"/>
        <w:gridCol w:w="869"/>
        <w:gridCol w:w="869"/>
        <w:gridCol w:w="870"/>
        <w:gridCol w:w="1202"/>
        <w:gridCol w:w="1080"/>
        <w:gridCol w:w="869"/>
        <w:gridCol w:w="576"/>
      </w:tblGrid>
      <w:tr>
        <w:trPr>
          <w:trHeight w:val="357" w:hRule="exact"/>
        </w:trPr>
        <w:tc>
          <w:tcPr>
            <w:tcW w:w="87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河北国信</w:t>
            </w:r>
          </w:p>
        </w:tc>
        <w:tc>
          <w:tcPr>
            <w:tcW w:w="880"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625" w:hRule="exact"/>
        </w:trPr>
        <w:tc>
          <w:tcPr>
            <w:tcW w:w="8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21"/>
              <w:jc w:val="left"/>
              <w:rPr>
                <w:rFonts w:ascii="宋体" w:hAnsi="宋体" w:cs="宋体" w:eastAsia="宋体" w:hint="default"/>
                <w:sz w:val="18"/>
                <w:szCs w:val="18"/>
              </w:rPr>
            </w:pPr>
            <w:r>
              <w:rPr>
                <w:rFonts w:ascii="宋体" w:hAnsi="宋体" w:cs="宋体" w:eastAsia="宋体" w:hint="default"/>
                <w:sz w:val="18"/>
                <w:szCs w:val="18"/>
              </w:rPr>
              <w:t>投资控股 集团股份</w:t>
            </w:r>
          </w:p>
        </w:tc>
        <w:tc>
          <w:tcPr>
            <w:tcW w:w="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信托公司</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283,445.00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0.15%</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283,445.00</w:t>
            </w:r>
          </w:p>
        </w:tc>
        <w:tc>
          <w:tcPr>
            <w:tcW w:w="1080"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4"/>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z w:val="18"/>
                <w:szCs w:val="18"/>
              </w:rPr>
              <w:t>购入</w:t>
            </w:r>
          </w:p>
        </w:tc>
      </w:tr>
      <w:tr>
        <w:trPr>
          <w:trHeight w:val="356" w:hRule="exact"/>
        </w:trPr>
        <w:tc>
          <w:tcPr>
            <w:tcW w:w="87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right="98"/>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880"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02"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31,356,314.50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31,568,885</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39,738,459</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47,962,971.00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2,240,012.70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2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56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560"/>
          <w:cols w:num="2" w:equalWidth="0">
            <w:col w:w="2315" w:space="6604"/>
            <w:col w:w="145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2"/>
        <w:gridCol w:w="1076"/>
        <w:gridCol w:w="942"/>
        <w:gridCol w:w="942"/>
        <w:gridCol w:w="942"/>
        <w:gridCol w:w="943"/>
        <w:gridCol w:w="942"/>
        <w:gridCol w:w="942"/>
        <w:gridCol w:w="942"/>
        <w:gridCol w:w="943"/>
      </w:tblGrid>
      <w:tr>
        <w:trPr>
          <w:trHeight w:val="714" w:hRule="exact"/>
        </w:trPr>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5" w:right="104"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95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7EDCC"/>
          </w:tcPr>
          <w:p>
            <w:pPr/>
          </w:p>
        </w:tc>
        <w:tc>
          <w:tcPr>
            <w:tcW w:w="94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主要从事</w:t>
            </w:r>
          </w:p>
        </w:tc>
        <w:tc>
          <w:tcPr>
            <w:tcW w:w="942" w:type="dxa"/>
            <w:tcBorders>
              <w:top w:val="single" w:sz="4" w:space="0" w:color="000000"/>
              <w:left w:val="single" w:sz="4" w:space="0" w:color="000000"/>
              <w:bottom w:val="nil" w:sz="6" w:space="0" w:color="auto"/>
              <w:right w:val="single" w:sz="4" w:space="0" w:color="000000"/>
            </w:tcBorders>
            <w:shd w:val="clear" w:color="auto" w:fill="C7EDCC"/>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天然纤维、</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功能型纤</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维、纺织</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品、服装的</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研究开发</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2" w:right="197"/>
              <w:jc w:val="both"/>
              <w:rPr>
                <w:rFonts w:ascii="宋体" w:hAnsi="宋体" w:cs="宋体" w:eastAsia="宋体" w:hint="default"/>
                <w:sz w:val="18"/>
                <w:szCs w:val="18"/>
              </w:rPr>
            </w:pPr>
            <w:r>
              <w:rPr>
                <w:rFonts w:ascii="宋体" w:hAnsi="宋体" w:cs="宋体" w:eastAsia="宋体" w:hint="default"/>
                <w:sz w:val="18"/>
                <w:szCs w:val="18"/>
              </w:rPr>
              <w:t>山恒新纺 织有限公 司</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7"/>
              <w:jc w:val="left"/>
              <w:rPr>
                <w:rFonts w:ascii="宋体" w:hAnsi="宋体" w:cs="宋体" w:eastAsia="宋体" w:hint="default"/>
                <w:sz w:val="18"/>
                <w:szCs w:val="18"/>
              </w:rPr>
            </w:pPr>
            <w:r>
              <w:rPr>
                <w:rFonts w:ascii="宋体" w:hAnsi="宋体" w:cs="宋体" w:eastAsia="宋体" w:hint="default"/>
                <w:sz w:val="18"/>
                <w:szCs w:val="18"/>
              </w:rPr>
              <w:t>制造销售； 本企业科 </w:t>
            </w:r>
            <w:r>
              <w:rPr>
                <w:rFonts w:ascii="宋体" w:hAnsi="宋体" w:cs="宋体" w:eastAsia="宋体" w:hint="default"/>
                <w:spacing w:val="-3"/>
                <w:sz w:val="18"/>
                <w:szCs w:val="18"/>
              </w:rPr>
              <w:t>研产品、技</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5" w:right="0"/>
              <w:jc w:val="left"/>
              <w:rPr>
                <w:rFonts w:ascii="Times New Roman" w:hAnsi="Times New Roman" w:cs="Times New Roman" w:eastAsia="Times New Roman" w:hint="default"/>
                <w:sz w:val="18"/>
                <w:szCs w:val="18"/>
              </w:rPr>
            </w:pPr>
            <w:r>
              <w:rPr>
                <w:rFonts w:ascii="Times New Roman"/>
                <w:sz w:val="18"/>
              </w:rPr>
              <w:t>1,003,975,4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97.71</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419,840,18</w:t>
            </w:r>
          </w:p>
          <w:p>
            <w:pPr>
              <w:pStyle w:val="TableParagraph"/>
              <w:spacing w:line="240" w:lineRule="auto" w:before="105"/>
              <w:ind w:left="592" w:right="0"/>
              <w:jc w:val="left"/>
              <w:rPr>
                <w:rFonts w:ascii="Times New Roman" w:hAnsi="Times New Roman" w:cs="Times New Roman" w:eastAsia="Times New Roman" w:hint="default"/>
                <w:sz w:val="18"/>
                <w:szCs w:val="18"/>
              </w:rPr>
            </w:pPr>
            <w:r>
              <w:rPr>
                <w:rFonts w:ascii="Times New Roman"/>
                <w:sz w:val="18"/>
              </w:rPr>
              <w:t>3.46</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645,737,06</w:t>
            </w:r>
          </w:p>
          <w:p>
            <w:pPr>
              <w:pStyle w:val="TableParagraph"/>
              <w:spacing w:line="240" w:lineRule="auto" w:before="105"/>
              <w:ind w:left="592" w:right="0"/>
              <w:jc w:val="left"/>
              <w:rPr>
                <w:rFonts w:ascii="Times New Roman" w:hAnsi="Times New Roman" w:cs="Times New Roman" w:eastAsia="Times New Roman" w:hint="default"/>
                <w:sz w:val="18"/>
                <w:szCs w:val="18"/>
              </w:rPr>
            </w:pPr>
            <w:r>
              <w:rPr>
                <w:rFonts w:ascii="Times New Roman"/>
                <w:sz w:val="18"/>
              </w:rPr>
              <w:t>5.13</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5,810,006.8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4,539,348.5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11"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术成果推</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广及转让；</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天然纤维、</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化学纤维</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7EDCC"/>
          </w:tcPr>
          <w:p>
            <w:pPr/>
          </w:p>
        </w:tc>
        <w:tc>
          <w:tcPr>
            <w:tcW w:w="94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经销。</w:t>
            </w:r>
          </w:p>
        </w:tc>
        <w:tc>
          <w:tcPr>
            <w:tcW w:w="942" w:type="dxa"/>
            <w:tcBorders>
              <w:top w:val="nil" w:sz="6" w:space="0" w:color="auto"/>
              <w:left w:val="single" w:sz="4" w:space="0" w:color="000000"/>
              <w:bottom w:val="single" w:sz="4" w:space="0" w:color="000000"/>
              <w:right w:val="single" w:sz="4" w:space="0" w:color="000000"/>
            </w:tcBorders>
            <w:shd w:val="clear" w:color="auto" w:fill="C7EDCC"/>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shd w:val="clear" w:color="auto" w:fill="C7EDCC"/>
          </w:tcPr>
          <w:p>
            <w:pPr/>
          </w:p>
        </w:tc>
        <w:tc>
          <w:tcPr>
            <w:tcW w:w="94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主要从事</w:t>
            </w:r>
          </w:p>
        </w:tc>
        <w:tc>
          <w:tcPr>
            <w:tcW w:w="942" w:type="dxa"/>
            <w:tcBorders>
              <w:top w:val="single" w:sz="4" w:space="0" w:color="000000"/>
              <w:left w:val="single" w:sz="4" w:space="0" w:color="000000"/>
              <w:bottom w:val="nil" w:sz="6" w:space="0" w:color="auto"/>
              <w:right w:val="single" w:sz="4" w:space="0" w:color="000000"/>
            </w:tcBorders>
            <w:shd w:val="clear" w:color="auto" w:fill="C7EDCC"/>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自营和代</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理各类商</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品和技术</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进出口，机</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电设备及</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零配件，车</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辆配件，金</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山恒荣进 出口贸易</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贸易公司</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属材料，化</w:t>
            </w:r>
            <w:r>
              <w:rPr>
                <w:rFonts w:ascii="宋体" w:hAnsi="宋体" w:cs="宋体" w:eastAsia="宋体" w:hint="default"/>
                <w:sz w:val="18"/>
                <w:szCs w:val="18"/>
              </w:rPr>
              <w:t> 工产品</w:t>
            </w:r>
            <w:r>
              <w:rPr>
                <w:rFonts w:ascii="Times New Roman" w:hAnsi="Times New Roman" w:cs="Times New Roman" w:eastAsia="Times New Roman" w:hint="default"/>
                <w:sz w:val="18"/>
                <w:szCs w:val="18"/>
              </w:rPr>
              <w:t>(</w:t>
            </w:r>
            <w:r>
              <w:rPr>
                <w:rFonts w:ascii="宋体" w:hAnsi="宋体" w:cs="宋体" w:eastAsia="宋体" w:hint="default"/>
                <w:sz w:val="18"/>
                <w:szCs w:val="18"/>
              </w:rPr>
              <w:t>危</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50,000,000</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Times New Roman"/>
                <w:sz w:val="18"/>
              </w:rPr>
              <w:t>279,283,35</w:t>
            </w:r>
          </w:p>
          <w:p>
            <w:pPr>
              <w:pStyle w:val="TableParagraph"/>
              <w:spacing w:line="240" w:lineRule="auto" w:before="105"/>
              <w:ind w:left="593" w:right="0"/>
              <w:jc w:val="left"/>
              <w:rPr>
                <w:rFonts w:ascii="Times New Roman" w:hAnsi="Times New Roman" w:cs="Times New Roman" w:eastAsia="Times New Roman" w:hint="default"/>
                <w:sz w:val="18"/>
                <w:szCs w:val="18"/>
              </w:rPr>
            </w:pPr>
            <w:r>
              <w:rPr>
                <w:rFonts w:ascii="Times New Roman"/>
                <w:sz w:val="18"/>
              </w:rPr>
              <w:t>1.87</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85,130,776.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4" w:right="0"/>
              <w:jc w:val="left"/>
              <w:rPr>
                <w:rFonts w:ascii="Times New Roman" w:hAnsi="Times New Roman" w:cs="Times New Roman" w:eastAsia="Times New Roman" w:hint="default"/>
                <w:sz w:val="18"/>
                <w:szCs w:val="18"/>
              </w:rPr>
            </w:pPr>
            <w:r>
              <w:rPr>
                <w:rFonts w:ascii="Times New Roman"/>
                <w:sz w:val="18"/>
              </w:rPr>
              <w:t>1,281,255,3</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58.70</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11,800,557.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8,996,759.6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险品除外</w:t>
            </w:r>
            <w:r>
              <w:rPr>
                <w:rFonts w:ascii="Times New Roman" w:hAnsi="Times New Roman" w:cs="Times New Roman" w:eastAsia="Times New Roman" w:hint="default"/>
                <w:sz w:val="18"/>
                <w:szCs w:val="18"/>
              </w:rPr>
              <w:t>)</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建筑装饰</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材料，纺织</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原料</w:t>
            </w:r>
            <w:r>
              <w:rPr>
                <w:rFonts w:ascii="Times New Roman" w:hAnsi="Times New Roman" w:cs="Times New Roman" w:eastAsia="Times New Roman" w:hint="default"/>
                <w:sz w:val="18"/>
                <w:szCs w:val="18"/>
              </w:rPr>
              <w:t>(</w:t>
            </w:r>
            <w:r>
              <w:rPr>
                <w:rFonts w:ascii="宋体" w:hAnsi="宋体" w:cs="宋体" w:eastAsia="宋体" w:hint="default"/>
                <w:sz w:val="18"/>
                <w:szCs w:val="18"/>
              </w:rPr>
              <w:t>棉花</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收购除外</w:t>
            </w:r>
            <w:r>
              <w:rPr>
                <w:rFonts w:ascii="Times New Roman" w:hAnsi="Times New Roman" w:cs="Times New Roman" w:eastAsia="Times New Roman" w:hint="default"/>
                <w:sz w:val="18"/>
                <w:szCs w:val="18"/>
              </w:rPr>
              <w:t>)</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百货，五金</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2" w:type="dxa"/>
            <w:tcBorders>
              <w:top w:val="nil" w:sz="6" w:space="0" w:color="auto"/>
              <w:left w:val="single" w:sz="4" w:space="0" w:color="000000"/>
              <w:bottom w:val="nil" w:sz="6" w:space="0" w:color="auto"/>
              <w:right w:val="single" w:sz="4" w:space="0" w:color="000000"/>
            </w:tcBorders>
            <w:shd w:val="clear" w:color="auto" w:fill="C7EDCC"/>
          </w:tcPr>
          <w:p>
            <w:pP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交电的销</w:t>
            </w:r>
          </w:p>
        </w:tc>
        <w:tc>
          <w:tcPr>
            <w:tcW w:w="942" w:type="dxa"/>
            <w:tcBorders>
              <w:top w:val="nil" w:sz="6" w:space="0" w:color="auto"/>
              <w:left w:val="single" w:sz="4" w:space="0" w:color="000000"/>
              <w:bottom w:val="nil" w:sz="6" w:space="0" w:color="auto"/>
              <w:right w:val="single" w:sz="4" w:space="0" w:color="000000"/>
            </w:tcBorders>
            <w:shd w:val="clear" w:color="auto" w:fill="C7EDCC"/>
          </w:tcPr>
          <w:p>
            <w:pPr/>
          </w:p>
        </w:tc>
        <w:tc>
          <w:tcPr>
            <w:tcW w:w="94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shd w:val="clear" w:color="auto" w:fill="C7EDCC"/>
          </w:tcPr>
          <w:p>
            <w:pPr/>
          </w:p>
        </w:tc>
        <w:tc>
          <w:tcPr>
            <w:tcW w:w="94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售业务。</w:t>
            </w:r>
          </w:p>
        </w:tc>
        <w:tc>
          <w:tcPr>
            <w:tcW w:w="942" w:type="dxa"/>
            <w:tcBorders>
              <w:top w:val="nil" w:sz="6" w:space="0" w:color="auto"/>
              <w:left w:val="single" w:sz="4" w:space="0" w:color="000000"/>
              <w:bottom w:val="single" w:sz="4" w:space="0" w:color="000000"/>
              <w:right w:val="single" w:sz="4" w:space="0" w:color="000000"/>
            </w:tcBorders>
            <w:shd w:val="clear" w:color="auto" w:fill="C7EDCC"/>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主要子公司、参股公司情况说明</w:t>
      </w:r>
    </w:p>
    <w:p>
      <w:pPr>
        <w:pStyle w:val="BodyText"/>
        <w:spacing w:line="300" w:lineRule="auto" w:before="116"/>
        <w:ind w:left="153" w:right="171"/>
        <w:jc w:val="left"/>
      </w:pPr>
      <w:r>
        <w:rPr/>
        <w:t>报告期内，常山恒新实现净利润</w:t>
      </w:r>
      <w:r>
        <w:rPr>
          <w:rFonts w:ascii="Times New Roman" w:hAnsi="Times New Roman" w:cs="Times New Roman" w:eastAsia="Times New Roman" w:hint="default"/>
        </w:rPr>
        <w:t>453.93</w:t>
      </w:r>
      <w:r>
        <w:rPr/>
        <w:t>万元，同比减少</w:t>
      </w:r>
      <w:r>
        <w:rPr>
          <w:rFonts w:ascii="Times New Roman" w:hAnsi="Times New Roman" w:cs="Times New Roman" w:eastAsia="Times New Roman" w:hint="default"/>
        </w:rPr>
        <w:t>66.8%</w:t>
      </w:r>
      <w:r>
        <w:rPr/>
        <w:t>，主要系人工成本上涨，土地使用税征收标准上调，导致成本 及期间费用增加，以及同期收到政府补助较多所致。</w:t>
      </w:r>
    </w:p>
    <w:p>
      <w:pPr>
        <w:pStyle w:val="BodyText"/>
        <w:spacing w:line="240" w:lineRule="auto" w:before="72"/>
        <w:ind w:left="153" w:right="0"/>
        <w:jc w:val="left"/>
      </w:pPr>
      <w:r>
        <w:rPr/>
        <w:t>报告期内取得和处置子公司的情况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9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88"/>
        <w:gridCol w:w="1207"/>
        <w:gridCol w:w="1196"/>
        <w:gridCol w:w="1195"/>
        <w:gridCol w:w="1196"/>
        <w:gridCol w:w="1196"/>
        <w:gridCol w:w="924"/>
        <w:gridCol w:w="900"/>
      </w:tblGrid>
      <w:tr>
        <w:trPr>
          <w:trHeight w:val="1026"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4"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项目收益情况</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7"/>
              <w:ind w:left="83"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358" w:hRule="exact"/>
        </w:trPr>
        <w:tc>
          <w:tcPr>
            <w:tcW w:w="178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整体改造优化升级项</w:t>
            </w:r>
          </w:p>
        </w:tc>
        <w:tc>
          <w:tcPr>
            <w:tcW w:w="1207" w:type="dxa"/>
            <w:tcBorders>
              <w:top w:val="single" w:sz="4" w:space="0" w:color="000000"/>
              <w:left w:val="single" w:sz="10" w:space="0" w:color="C7EDCC"/>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shd w:val="clear" w:color="auto" w:fill="C7EDCC"/>
          </w:tcPr>
          <w:p>
            <w:pPr/>
          </w:p>
        </w:tc>
        <w:tc>
          <w:tcPr>
            <w:tcW w:w="92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shd w:val="clear" w:color="auto" w:fill="C7EDCC"/>
          </w:tcPr>
          <w:p>
            <w:pPr/>
          </w:p>
        </w:tc>
      </w:tr>
      <w:tr>
        <w:trPr>
          <w:trHeight w:val="318" w:hRule="exact"/>
        </w:trPr>
        <w:tc>
          <w:tcPr>
            <w:tcW w:w="178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高档服装及绿色环</w:t>
            </w:r>
          </w:p>
        </w:tc>
        <w:tc>
          <w:tcPr>
            <w:tcW w:w="1207" w:type="dxa"/>
            <w:tcBorders>
              <w:top w:val="nil" w:sz="6" w:space="0" w:color="auto"/>
              <w:left w:val="single" w:sz="10" w:space="0" w:color="C7EDCC"/>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196,666</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30,111.60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134,689.06</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08" w:right="0"/>
              <w:jc w:val="left"/>
              <w:rPr>
                <w:rFonts w:ascii="Times New Roman" w:hAnsi="Times New Roman" w:cs="Times New Roman" w:eastAsia="Times New Roman" w:hint="default"/>
                <w:sz w:val="18"/>
                <w:szCs w:val="18"/>
              </w:rPr>
            </w:pPr>
            <w:r>
              <w:rPr>
                <w:rFonts w:ascii="Times New Roman"/>
                <w:sz w:val="18"/>
              </w:rPr>
              <w:t>68.49%</w:t>
            </w:r>
          </w:p>
        </w:tc>
        <w:tc>
          <w:tcPr>
            <w:tcW w:w="11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59"/>
              <w:jc w:val="center"/>
              <w:rPr>
                <w:rFonts w:ascii="宋体" w:hAnsi="宋体" w:cs="宋体" w:eastAsia="宋体" w:hint="default"/>
                <w:sz w:val="18"/>
                <w:szCs w:val="18"/>
              </w:rPr>
            </w:pPr>
            <w:r>
              <w:rPr>
                <w:rFonts w:ascii="宋体" w:hAnsi="宋体" w:cs="宋体" w:eastAsia="宋体" w:hint="default"/>
                <w:sz w:val="18"/>
                <w:szCs w:val="18"/>
              </w:rPr>
              <w:t>尚未产生收益</w:t>
            </w:r>
          </w:p>
        </w:tc>
        <w:tc>
          <w:tcPr>
            <w:tcW w:w="92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r>
      <w:tr>
        <w:trPr>
          <w:trHeight w:val="351" w:hRule="exact"/>
        </w:trPr>
        <w:tc>
          <w:tcPr>
            <w:tcW w:w="178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保服装面料项目</w:t>
            </w:r>
          </w:p>
        </w:tc>
        <w:tc>
          <w:tcPr>
            <w:tcW w:w="1207" w:type="dxa"/>
            <w:tcBorders>
              <w:top w:val="nil" w:sz="6" w:space="0" w:color="auto"/>
              <w:left w:val="single" w:sz="10" w:space="0" w:color="C7EDCC"/>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C7EDCC"/>
          </w:tcPr>
          <w:p>
            <w:pPr/>
          </w:p>
        </w:tc>
        <w:tc>
          <w:tcPr>
            <w:tcW w:w="92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shd w:val="clear" w:color="auto" w:fill="C7EDCC"/>
          </w:tcPr>
          <w:p>
            <w:pPr/>
          </w:p>
        </w:tc>
      </w:tr>
      <w:tr>
        <w:trPr>
          <w:trHeight w:val="403"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196,666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30,111.60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134,689.06</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t>预测年初至下一报告期期末的累计净利润可能为亏损或者与上年同期相比发生大幅度变动的警示及原因说明</w:t>
      </w:r>
    </w:p>
    <w:p>
      <w:pPr>
        <w:pStyle w:val="BodyText"/>
        <w:spacing w:line="240" w:lineRule="auto" w:before="116"/>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八、公司控制的特殊目的主体情况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91"/>
        <w:jc w:val="left"/>
      </w:pPr>
      <w:r>
        <w:rPr/>
        <w:t>（一）所处行业竞争格局和发展趋势 </w:t>
      </w:r>
      <w:r>
        <w:rPr>
          <w:spacing w:val="-4"/>
        </w:rPr>
        <w:t>全球经济复苏缓慢，国内转变经济发展方式，经济增长压力加大。棉纺织行业供求矛盾突出，竞争加剧，出口优势减弱，</w:t>
      </w:r>
    </w:p>
    <w:p>
      <w:pPr>
        <w:pStyle w:val="BodyText"/>
        <w:spacing w:line="224" w:lineRule="exact"/>
        <w:ind w:left="153" w:right="0"/>
        <w:jc w:val="both"/>
      </w:pPr>
      <w:r>
        <w:rPr/>
        <w:t>用工、用电等生产要素成本不断上涨等诸多不利因素依然严峻，竞争和洗牌的力度加大，面临的形势依然复杂。但随着深化</w:t>
      </w:r>
    </w:p>
    <w:p>
      <w:pPr>
        <w:pStyle w:val="BodyText"/>
        <w:spacing w:line="319" w:lineRule="auto" w:before="76"/>
        <w:ind w:left="153" w:right="188"/>
        <w:jc w:val="both"/>
      </w:pPr>
      <w:r>
        <w:rPr>
          <w:spacing w:val="-2"/>
        </w:rPr>
        <w:t>改革、反腐倡廉的力度不断加大，政策环境更为有利。国家有望继续出台稳增长措施，支持实体经济的措施也正在进一步细</w:t>
      </w:r>
      <w:r>
        <w:rPr>
          <w:spacing w:val="-66"/>
        </w:rPr>
        <w:t> </w:t>
      </w:r>
      <w:r>
        <w:rPr>
          <w:spacing w:val="-66"/>
        </w:rPr>
      </w:r>
      <w:r>
        <w:rPr>
          <w:spacing w:val="-2"/>
        </w:rPr>
        <w:t>化硬化，货币政策也有进一步宽松的可能。国内外棉花价差逐步缩小，棉花增值税“高征低扣”问题已经解决，部分纺织品</w:t>
      </w:r>
      <w:r>
        <w:rPr>
          <w:spacing w:val="-67"/>
        </w:rPr>
        <w:t> </w:t>
      </w:r>
      <w:r>
        <w:rPr>
          <w:spacing w:val="-67"/>
        </w:rPr>
      </w:r>
      <w:r>
        <w:rPr/>
        <w:t>服装出口实行全额退税，棉纺织行业将迎来更为有利的发展环境。</w:t>
      </w:r>
    </w:p>
    <w:p>
      <w:pPr>
        <w:pStyle w:val="BodyText"/>
        <w:spacing w:line="357" w:lineRule="auto" w:before="56"/>
        <w:ind w:left="513" w:right="91"/>
        <w:jc w:val="left"/>
      </w:pPr>
      <w:r>
        <w:rPr/>
        <w:t>（二）未来发展战略 </w:t>
      </w:r>
      <w:r>
        <w:rPr>
          <w:spacing w:val="-2"/>
        </w:rPr>
        <w:t>以提质增效为中心，以转型升级为主线，以人才兴企、科技兴企为支撑，以改革创新统揽工作全局，按照主业升级、开</w:t>
      </w:r>
    </w:p>
    <w:p>
      <w:pPr>
        <w:pStyle w:val="BodyText"/>
        <w:spacing w:line="224" w:lineRule="exact"/>
        <w:ind w:left="153" w:right="0"/>
        <w:jc w:val="both"/>
      </w:pPr>
      <w:r>
        <w:rPr/>
        <w:t>发突破、多元经营的发展战略，解放思想、攻坚克难，加快进入国际高端纺织产业链，加快推进老厂区地产开发，加快向高</w:t>
      </w:r>
    </w:p>
    <w:p>
      <w:pPr>
        <w:pStyle w:val="BodyText"/>
        <w:spacing w:line="240" w:lineRule="auto" w:before="77"/>
        <w:ind w:left="153" w:right="0"/>
        <w:jc w:val="both"/>
      </w:pPr>
      <w:r>
        <w:rPr/>
        <w:t>新技术产业领域延伸，为建成现代化幸福新常山奠定坚实基础。</w:t>
      </w:r>
    </w:p>
    <w:p>
      <w:pPr>
        <w:pStyle w:val="BodyText"/>
        <w:spacing w:line="240" w:lineRule="auto" w:before="117"/>
        <w:ind w:left="514" w:right="418"/>
        <w:jc w:val="left"/>
      </w:pPr>
      <w:r>
        <w:rPr/>
        <w:t>（三）下一年度经营计划及面对的风险</w:t>
      </w:r>
    </w:p>
    <w:p>
      <w:pPr>
        <w:pStyle w:val="BodyText"/>
        <w:spacing w:line="309" w:lineRule="auto" w:before="115"/>
        <w:ind w:left="153" w:right="191" w:firstLine="360"/>
        <w:jc w:val="both"/>
      </w:pPr>
      <w:r>
        <w:rPr>
          <w:rFonts w:ascii="Times New Roman" w:hAnsi="Times New Roman" w:cs="Times New Roman" w:eastAsia="Times New Roman" w:hint="default"/>
        </w:rPr>
        <w:t>1</w:t>
      </w:r>
      <w:r>
        <w:rPr/>
        <w:t>、集中精力，打好主业扭亏攻坚战。要把主业扭亏作为公司今年的中心任务，解放思想，打破常规，强化监督考核； </w:t>
      </w:r>
      <w:r>
        <w:rPr>
          <w:spacing w:val="-2"/>
        </w:rPr>
        <w:t>利用设备、人员、技术、管理等优势，开拓新“蓝海”；围绕提高产量降低单位成本，围绕设备和技术优势开发品种，围绕</w:t>
      </w:r>
      <w:r>
        <w:rPr>
          <w:spacing w:val="-69"/>
        </w:rPr>
        <w:t> </w:t>
      </w:r>
      <w:r>
        <w:rPr>
          <w:spacing w:val="-69"/>
        </w:rPr>
      </w:r>
      <w:r>
        <w:rPr/>
        <w:t>精细化管理提高产质量，用质量赢得市场，靠品质赢得信任，真正实现良性运转。</w:t>
      </w:r>
    </w:p>
    <w:p>
      <w:pPr>
        <w:pStyle w:val="BodyText"/>
        <w:spacing w:line="312" w:lineRule="auto" w:before="62"/>
        <w:ind w:left="153" w:right="189" w:firstLine="360"/>
        <w:jc w:val="both"/>
      </w:pPr>
      <w:r>
        <w:rPr>
          <w:rFonts w:ascii="Times New Roman" w:hAnsi="Times New Roman" w:cs="Times New Roman" w:eastAsia="Times New Roman" w:hint="default"/>
        </w:rPr>
        <w:t>2</w:t>
      </w:r>
      <w:r>
        <w:rPr/>
        <w:t>、全力以赴，确保公司多元发展迈出坚实一步。公司重大资产重组是公司的重大战略举措，要积极做好各项工作，争 </w:t>
      </w:r>
      <w:r>
        <w:rPr>
          <w:spacing w:val="-2"/>
        </w:rPr>
        <w:t>取早日取得证监会批准。提前谋划重组获批后公司整体战略布局的调整，整合纺织的研发、管理优势和北明软件的技术、客</w:t>
      </w:r>
      <w:r>
        <w:rPr>
          <w:spacing w:val="-66"/>
        </w:rPr>
        <w:t> </w:t>
      </w:r>
      <w:r>
        <w:rPr>
          <w:spacing w:val="-66"/>
        </w:rPr>
      </w:r>
      <w:r>
        <w:rPr>
          <w:spacing w:val="-2"/>
        </w:rPr>
        <w:t>户优势，做好两个企业的融合，以培养和壮大核心竞争力为目标，调整战略规划，建立有效的管控模式，构建科学的组织架</w:t>
      </w:r>
      <w:r>
        <w:rPr>
          <w:spacing w:val="-66"/>
        </w:rPr>
        <w:t> </w:t>
      </w:r>
      <w:r>
        <w:rPr>
          <w:spacing w:val="-66"/>
        </w:rPr>
      </w:r>
      <w:r>
        <w:rPr/>
        <w:t>构，形成互补产业组合。</w:t>
      </w:r>
    </w:p>
    <w:p>
      <w:pPr>
        <w:pStyle w:val="BodyText"/>
        <w:spacing w:line="300" w:lineRule="auto" w:before="62"/>
        <w:ind w:left="153" w:right="198" w:firstLine="360"/>
        <w:jc w:val="both"/>
      </w:pPr>
      <w:r>
        <w:rPr>
          <w:rFonts w:ascii="Times New Roman" w:hAnsi="Times New Roman" w:cs="Times New Roman" w:eastAsia="Times New Roman" w:hint="default"/>
        </w:rPr>
        <w:t>3</w:t>
      </w:r>
      <w:r>
        <w:rPr/>
        <w:t>、理顺管理，加强园区建设。要从顶层设计开始，理顺管理体制，整合园区资源，优化配置，提高效能。要将市场理 念引入园区生产和管理各个环节，形成内部竞争机制，借鉴先进管理手段，创新机制建设。</w:t>
      </w:r>
    </w:p>
    <w:p>
      <w:pPr>
        <w:pStyle w:val="BodyText"/>
        <w:spacing w:line="316" w:lineRule="auto" w:before="71"/>
        <w:ind w:left="153" w:right="191" w:firstLine="360"/>
        <w:jc w:val="both"/>
      </w:pPr>
      <w:r>
        <w:rPr/>
        <w:t>4、抓住机遇，实施创新驱动。以院士工作站为平台，以“绿色、健康、安全”为主导思想，与大专院校开展紧密、深 </w:t>
      </w:r>
      <w:r>
        <w:rPr>
          <w:spacing w:val="-2"/>
        </w:rPr>
        <w:t>度合作，利用外脑，在研发和技术创新上有所突破；积极推进公司两化融合和电子商务，进而使公司产品向下游延伸，同时</w:t>
      </w:r>
    </w:p>
    <w:p>
      <w:pPr>
        <w:spacing w:after="0" w:line="316"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418"/>
        <w:jc w:val="left"/>
      </w:pPr>
      <w:r>
        <w:rPr/>
        <w:t>逐步培育自主品牌，与市场直接对接，用科技创新和品牌建设助推产业链延伸。</w:t>
      </w:r>
    </w:p>
    <w:p>
      <w:pPr>
        <w:pStyle w:val="BodyText"/>
        <w:spacing w:line="357" w:lineRule="auto" w:before="116"/>
        <w:ind w:left="513" w:right="91"/>
        <w:jc w:val="left"/>
      </w:pPr>
      <w:r>
        <w:rPr/>
        <w:t>（四）资金需求、使用和来源情况 </w:t>
      </w:r>
      <w:r>
        <w:rPr>
          <w:spacing w:val="-2"/>
        </w:rPr>
        <w:t>未来几年，公司将建设正定纺织工业园、适时介入房地产开发、业务适度多元化和加强资本运营，资金来源主要有以下</w:t>
      </w:r>
    </w:p>
    <w:p>
      <w:pPr>
        <w:pStyle w:val="BodyText"/>
        <w:spacing w:line="224" w:lineRule="exact"/>
        <w:ind w:left="153" w:right="0"/>
        <w:jc w:val="left"/>
      </w:pPr>
      <w:r>
        <w:rPr/>
        <w:t>几条渠道：一是通过市区土地出让筹集主要建设资金；二是积极争取债券融资；三是利用自筹资金；四是引进战略投资者投</w:t>
      </w:r>
    </w:p>
    <w:p>
      <w:pPr>
        <w:pStyle w:val="BodyText"/>
        <w:spacing w:line="240" w:lineRule="auto" w:before="77"/>
        <w:ind w:left="153" w:right="418"/>
        <w:jc w:val="left"/>
      </w:pPr>
      <w:r>
        <w:rPr/>
        <w:t>资。</w:t>
      </w:r>
    </w:p>
    <w:p>
      <w:pPr>
        <w:pStyle w:val="BodyText"/>
        <w:spacing w:line="357" w:lineRule="auto" w:before="116"/>
        <w:ind w:left="513" w:right="6481"/>
        <w:jc w:val="left"/>
      </w:pPr>
      <w:r>
        <w:rPr/>
        <w:t>（五）可能面对的风险及对策 1、公司棉纺织主业经营亏损的风险。</w:t>
      </w:r>
    </w:p>
    <w:p>
      <w:pPr>
        <w:pStyle w:val="BodyText"/>
        <w:spacing w:line="319" w:lineRule="auto" w:before="28"/>
        <w:ind w:left="153" w:right="91" w:firstLine="360"/>
        <w:jc w:val="left"/>
      </w:pPr>
      <w:r>
        <w:rPr>
          <w:spacing w:val="-4"/>
        </w:rPr>
        <w:t>全球经济复苏缓慢，国内转变经济发展方式，经济增长压力加大。棉纺织行业供求矛盾突出，竞争加剧，出口优势减弱，</w:t>
      </w:r>
      <w:r>
        <w:rPr/>
        <w:t> 用工、用电等生产要素成本不断上涨等诸多不利因素依然严峻，竞争和洗牌的力度加大，我们面临的形势依然复杂。</w:t>
      </w:r>
    </w:p>
    <w:p>
      <w:pPr>
        <w:pStyle w:val="BodyText"/>
        <w:spacing w:line="357" w:lineRule="auto" w:before="56"/>
        <w:ind w:left="513" w:right="3151"/>
        <w:jc w:val="left"/>
      </w:pPr>
      <w:r>
        <w:rPr/>
        <w:t>对策：公司将按照年初制定的年度经营计划，做好纺织主业经营提质增效公司。 2、公司重大资产重组风险。</w:t>
      </w:r>
    </w:p>
    <w:p>
      <w:pPr>
        <w:pStyle w:val="BodyText"/>
        <w:spacing w:line="319" w:lineRule="auto" w:before="28"/>
        <w:ind w:left="153" w:right="91" w:firstLine="360"/>
        <w:jc w:val="left"/>
      </w:pPr>
      <w:r>
        <w:rPr>
          <w:spacing w:val="-4"/>
        </w:rPr>
        <w:t>公司重大资产重组申请材料已上报证监会，中国证监会就公司提交的资料进行了第一次反馈，并出具了反馈意见通知书。</w:t>
      </w:r>
      <w:r>
        <w:rPr/>
        <w:t> </w:t>
      </w:r>
      <w:r>
        <w:rPr>
          <w:spacing w:val="-2"/>
        </w:rPr>
        <w:t>公司与相关中介机构将按照上述通知书的要求及时组织有关材料，在规定期限内报送中国证监会行政许可受理部门。公司重</w:t>
      </w:r>
      <w:r>
        <w:rPr>
          <w:spacing w:val="-64"/>
        </w:rPr>
        <w:t> </w:t>
      </w:r>
      <w:r>
        <w:rPr>
          <w:spacing w:val="-64"/>
        </w:rPr>
      </w:r>
      <w:r>
        <w:rPr/>
        <w:t>大资产重组存在不确定性，存在无法获得审批通过而导致重组失败的风险。</w:t>
      </w:r>
    </w:p>
    <w:p>
      <w:pPr>
        <w:pStyle w:val="BodyText"/>
        <w:spacing w:line="319" w:lineRule="auto" w:before="55"/>
        <w:ind w:left="153" w:right="91" w:firstLine="360"/>
        <w:jc w:val="left"/>
      </w:pPr>
      <w:r>
        <w:rPr>
          <w:spacing w:val="-2"/>
        </w:rPr>
        <w:t>对策：公司将按照有关重大资产重组的规定，根据重组的进度，真实、准确、完整、及时履行信息披露义务，确保所有</w:t>
      </w:r>
      <w:r>
        <w:rPr/>
        <w:t> 投资者能公平获取所有信息。</w:t>
      </w:r>
    </w:p>
    <w:p>
      <w:pPr>
        <w:spacing w:line="240" w:lineRule="auto" w:before="6"/>
        <w:rPr>
          <w:rFonts w:ascii="宋体" w:hAnsi="宋体" w:cs="宋体" w:eastAsia="宋体" w:hint="default"/>
          <w:sz w:val="20"/>
          <w:szCs w:val="20"/>
        </w:rPr>
      </w:pPr>
    </w:p>
    <w:p>
      <w:pPr>
        <w:pStyle w:val="Heading2"/>
        <w:spacing w:line="240" w:lineRule="auto"/>
        <w:ind w:right="418"/>
        <w:jc w:val="left"/>
        <w:rPr>
          <w:b w:val="0"/>
          <w:bCs w:val="0"/>
        </w:rPr>
      </w:pPr>
      <w:r>
        <w:rPr/>
        <w:t>十、董事会、监事会对会计师事务所本报告期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418"/>
        <w:jc w:val="left"/>
        <w:rPr>
          <w:b w:val="0"/>
          <w:bCs w:val="0"/>
        </w:rPr>
      </w:pPr>
      <w:r>
        <w:rPr/>
        <w:t>十一、与上年度财务报告相比，会计政策、会计估计和核算方法发生变化的情况说明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88" w:firstLine="360"/>
        <w:jc w:val="both"/>
      </w:pPr>
      <w:r>
        <w:rPr/>
        <w:t>①自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日起，财政部陆续修订和新颁布了《企业会计准则第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 </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39</w:t>
      </w:r>
      <w:r>
        <w:rPr>
          <w:rFonts w:ascii="Times New Roman" w:hAnsi="Times New Roman" w:cs="Times New Roman" w:eastAsia="Times New Roman" w:hint="default"/>
          <w:spacing w:val="36"/>
        </w:rPr>
        <w:t> </w:t>
      </w:r>
      <w:r>
        <w:rPr>
          <w:spacing w:val="-2"/>
        </w:rPr>
        <w:t>号</w:t>
      </w:r>
      <w:r>
        <w:rPr>
          <w:rFonts w:ascii="Times New Roman" w:hAnsi="Times New Roman" w:cs="Times New Roman" w:eastAsia="Times New Roman" w:hint="default"/>
          <w:spacing w:val="-2"/>
        </w:rPr>
        <w:t>—</w:t>
      </w:r>
      <w:r>
        <w:rPr>
          <w:spacing w:val="-2"/>
        </w:rPr>
        <w:t>公允价值计量》、《企业会计准则第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合营安排》和《企业会计准则第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在其他主体中权益的披露》等七项具</w:t>
      </w:r>
      <w:r>
        <w:rPr>
          <w:spacing w:val="-65"/>
        </w:rPr>
        <w:t> </w:t>
      </w:r>
      <w:r>
        <w:rPr>
          <w:spacing w:val="-65"/>
        </w:rPr>
      </w:r>
      <w:r>
        <w:rPr/>
        <w:t>体准则，并要求自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日起在所有执行企业会计准则的企业范围内施行。</w:t>
      </w:r>
    </w:p>
    <w:p>
      <w:pPr>
        <w:pStyle w:val="BodyText"/>
        <w:spacing w:line="300" w:lineRule="auto" w:before="13"/>
        <w:ind w:right="91" w:firstLine="29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月，财政部修订了《企业会计准则第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金融工具列报》，要求执行企业会计准则的企业应当在</w:t>
      </w:r>
      <w:r>
        <w:rPr>
          <w:rFonts w:ascii="Times New Roman" w:hAnsi="Times New Roman" w:cs="Times New Roman" w:eastAsia="Times New Roman" w:hint="default"/>
        </w:rPr>
        <w:t>2014</w:t>
      </w:r>
      <w:r>
        <w:rPr/>
        <w:t>年年度</w:t>
      </w:r>
      <w:r>
        <w:rPr>
          <w:spacing w:val="1"/>
        </w:rPr>
        <w:t> </w:t>
      </w:r>
      <w:r>
        <w:rPr/>
        <w:t>及以后期间的财务报告中按照该准则要求对金融工具进行列报。</w:t>
      </w:r>
    </w:p>
    <w:p>
      <w:pPr>
        <w:pStyle w:val="BodyText"/>
        <w:spacing w:line="338" w:lineRule="auto" w:before="32"/>
        <w:ind w:left="514" w:right="180" w:hanging="7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日，财政部发布了《关于修改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&gt;</w:t>
      </w:r>
      <w:r>
        <w:rPr/>
        <w:t>的决定》，自公布之日起施行。 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w:t>
      </w:r>
    </w:p>
    <w:p>
      <w:pPr>
        <w:pStyle w:val="BodyText"/>
        <w:spacing w:line="217" w:lineRule="exact"/>
        <w:ind w:right="0"/>
        <w:jc w:val="left"/>
      </w:pPr>
      <w:r>
        <w:rPr/>
        <w:t>财务报告时开始执行金融工具列报准则，并根据各准则衔接要求进行了调整，对当期和列报前期财务报表项目及金额的影响</w:t>
      </w:r>
    </w:p>
    <w:p>
      <w:pPr>
        <w:pStyle w:val="BodyText"/>
        <w:spacing w:line="240" w:lineRule="auto" w:before="76"/>
        <w:ind w:right="418"/>
        <w:jc w:val="left"/>
      </w:pPr>
      <w:r>
        <w:rPr/>
        <w:t>如下：</w:t>
      </w:r>
    </w:p>
    <w:p>
      <w:pPr>
        <w:spacing w:line="240" w:lineRule="auto" w:before="7"/>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1526"/>
        <w:gridCol w:w="4252"/>
        <w:gridCol w:w="1418"/>
        <w:gridCol w:w="1836"/>
      </w:tblGrid>
      <w:tr>
        <w:trPr>
          <w:trHeight w:val="747" w:hRule="exact"/>
        </w:trPr>
        <w:tc>
          <w:tcPr>
            <w:tcW w:w="1526" w:type="dxa"/>
            <w:vMerge w:val="restart"/>
            <w:tcBorders>
              <w:top w:val="single" w:sz="6" w:space="0" w:color="000000"/>
              <w:left w:val="single" w:sz="6" w:space="0" w:color="000000"/>
              <w:right w:val="single" w:sz="6" w:space="0" w:color="000000"/>
            </w:tcBorders>
          </w:tcPr>
          <w:p>
            <w:pPr>
              <w:pStyle w:val="TableParagraph"/>
              <w:spacing w:line="357" w:lineRule="auto" w:before="62"/>
              <w:ind w:left="574" w:right="575"/>
              <w:jc w:val="center"/>
              <w:rPr>
                <w:rFonts w:ascii="宋体" w:hAnsi="宋体" w:cs="宋体" w:eastAsia="宋体" w:hint="default"/>
                <w:sz w:val="18"/>
                <w:szCs w:val="18"/>
              </w:rPr>
            </w:pPr>
            <w:r>
              <w:rPr>
                <w:rFonts w:ascii="宋体" w:hAnsi="宋体" w:cs="宋体" w:eastAsia="宋体" w:hint="default"/>
                <w:sz w:val="18"/>
                <w:szCs w:val="18"/>
              </w:rPr>
              <w:t>准则 名称</w:t>
            </w:r>
          </w:p>
        </w:tc>
        <w:tc>
          <w:tcPr>
            <w:tcW w:w="4252" w:type="dxa"/>
            <w:vMerge w:val="restart"/>
            <w:tcBorders>
              <w:top w:val="single" w:sz="6" w:space="0" w:color="000000"/>
              <w:left w:val="single" w:sz="6" w:space="0" w:color="000000"/>
              <w:right w:val="single" w:sz="6" w:space="0" w:color="000000"/>
            </w:tcBorders>
          </w:tcPr>
          <w:p>
            <w:pPr>
              <w:pStyle w:val="TableParagraph"/>
              <w:spacing w:line="357" w:lineRule="auto" w:before="62"/>
              <w:ind w:left="1937" w:right="497" w:hanging="144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3254" w:type="dxa"/>
            <w:gridSpan w:val="2"/>
            <w:tcBorders>
              <w:top w:val="single" w:sz="6" w:space="0" w:color="000000"/>
              <w:left w:val="single" w:sz="6" w:space="0" w:color="000000"/>
              <w:bottom w:val="single" w:sz="12" w:space="0" w:color="000000"/>
              <w:right w:val="nil" w:sz="6" w:space="0" w:color="auto"/>
            </w:tcBorders>
          </w:tcPr>
          <w:p>
            <w:pPr>
              <w:pStyle w:val="TableParagraph"/>
              <w:spacing w:line="300" w:lineRule="auto" w:before="62"/>
              <w:ind w:left="992" w:right="67" w:hanging="92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 项目的影响金额</w:t>
            </w:r>
          </w:p>
        </w:tc>
      </w:tr>
      <w:tr>
        <w:trPr>
          <w:trHeight w:val="784" w:hRule="exact"/>
        </w:trPr>
        <w:tc>
          <w:tcPr>
            <w:tcW w:w="1526" w:type="dxa"/>
            <w:vMerge/>
            <w:tcBorders>
              <w:left w:val="single" w:sz="6" w:space="0" w:color="000000"/>
              <w:bottom w:val="single" w:sz="12" w:space="0" w:color="000000"/>
              <w:right w:val="single" w:sz="6" w:space="0" w:color="000000"/>
            </w:tcBorders>
          </w:tcPr>
          <w:p>
            <w:pPr/>
          </w:p>
        </w:tc>
        <w:tc>
          <w:tcPr>
            <w:tcW w:w="4252"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51"/>
              <w:ind w:left="447" w:right="446"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32" w:hRule="exact"/>
        </w:trPr>
        <w:tc>
          <w:tcPr>
            <w:tcW w:w="1526" w:type="dxa"/>
            <w:vMerge w:val="restart"/>
            <w:tcBorders>
              <w:top w:val="single" w:sz="12" w:space="0" w:color="000000"/>
              <w:left w:val="single" w:sz="6" w:space="0" w:color="000000"/>
              <w:right w:val="single" w:sz="6" w:space="0" w:color="000000"/>
            </w:tcBorders>
          </w:tcPr>
          <w:p>
            <w:pPr>
              <w:pStyle w:val="TableParagraph"/>
              <w:spacing w:line="309"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 资》</w:t>
            </w:r>
          </w:p>
        </w:tc>
        <w:tc>
          <w:tcPr>
            <w:tcW w:w="4252" w:type="dxa"/>
            <w:vMerge w:val="restart"/>
            <w:tcBorders>
              <w:top w:val="single" w:sz="12" w:space="0" w:color="000000"/>
              <w:left w:val="single" w:sz="6" w:space="0" w:color="000000"/>
              <w:right w:val="single" w:sz="6" w:space="0" w:color="000000"/>
            </w:tcBorders>
          </w:tcPr>
          <w:p>
            <w:pPr>
              <w:pStyle w:val="TableParagraph"/>
              <w:spacing w:line="309" w:lineRule="auto" w:before="130"/>
              <w:ind w:left="2" w:right="0"/>
              <w:jc w:val="both"/>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 </w:t>
            </w:r>
            <w:r>
              <w:rPr>
                <w:rFonts w:ascii="宋体" w:hAnsi="宋体" w:cs="宋体" w:eastAsia="宋体" w:hint="default"/>
                <w:spacing w:val="-4"/>
                <w:sz w:val="18"/>
                <w:szCs w:val="18"/>
              </w:rPr>
              <w:t>修订）》之前，本公司对被投资单位不具有共同控制或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重大影响，并且在活跃市场中没有报价、公允价值不能</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-38,337,335.77</w:t>
            </w:r>
          </w:p>
        </w:tc>
      </w:tr>
      <w:tr>
        <w:trPr>
          <w:trHeight w:val="744" w:hRule="exact"/>
        </w:trPr>
        <w:tc>
          <w:tcPr>
            <w:tcW w:w="1526" w:type="dxa"/>
            <w:vMerge/>
            <w:tcBorders>
              <w:left w:val="single" w:sz="6" w:space="0" w:color="000000"/>
              <w:bottom w:val="single" w:sz="12" w:space="0" w:color="000000"/>
              <w:right w:val="single" w:sz="6" w:space="0" w:color="000000"/>
            </w:tcBorders>
          </w:tcPr>
          <w:p>
            <w:pPr/>
          </w:p>
        </w:tc>
        <w:tc>
          <w:tcPr>
            <w:tcW w:w="4252"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610" w:right="71" w:hanging="540"/>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38,337,335.77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6"/>
        <w:gridCol w:w="4252"/>
        <w:gridCol w:w="1418"/>
        <w:gridCol w:w="1836"/>
      </w:tblGrid>
      <w:tr>
        <w:trPr>
          <w:trHeight w:val="330" w:hRule="exact"/>
        </w:trPr>
        <w:tc>
          <w:tcPr>
            <w:tcW w:w="1526" w:type="dxa"/>
            <w:vMerge w:val="restart"/>
            <w:tcBorders>
              <w:top w:val="single" w:sz="6" w:space="0" w:color="000000"/>
              <w:left w:val="single" w:sz="6" w:space="0" w:color="000000"/>
              <w:right w:val="single" w:sz="6" w:space="0" w:color="000000"/>
            </w:tcBorders>
          </w:tcPr>
          <w:p>
            <w:pPr/>
          </w:p>
        </w:tc>
        <w:tc>
          <w:tcPr>
            <w:tcW w:w="42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可靠计量的股权投资</w:t>
            </w:r>
            <w:r>
              <w:rPr>
                <w:rFonts w:ascii="宋体" w:hAnsi="宋体" w:cs="宋体" w:eastAsia="宋体" w:hint="default"/>
                <w:spacing w:val="-88"/>
                <w:sz w:val="18"/>
                <w:szCs w:val="18"/>
              </w:rPr>
              <w:t>，</w:t>
            </w:r>
            <w:r>
              <w:rPr>
                <w:rFonts w:ascii="宋体" w:hAnsi="宋体" w:cs="宋体" w:eastAsia="宋体" w:hint="default"/>
                <w:sz w:val="18"/>
                <w:szCs w:val="18"/>
              </w:rPr>
              <w:t>作为长期股权投资并采用成本法</w:t>
            </w:r>
          </w:p>
        </w:tc>
        <w:tc>
          <w:tcPr>
            <w:tcW w:w="1418" w:type="dxa"/>
            <w:vMerge w:val="restart"/>
            <w:tcBorders>
              <w:top w:val="single" w:sz="6" w:space="0" w:color="000000"/>
              <w:left w:val="single" w:sz="6" w:space="0" w:color="000000"/>
              <w:right w:val="single" w:sz="6" w:space="0" w:color="000000"/>
            </w:tcBorders>
          </w:tcPr>
          <w:p>
            <w:pPr/>
          </w:p>
        </w:tc>
        <w:tc>
          <w:tcPr>
            <w:tcW w:w="1836" w:type="dxa"/>
            <w:vMerge w:val="restart"/>
            <w:tcBorders>
              <w:top w:val="single" w:sz="6" w:space="0" w:color="000000"/>
              <w:left w:val="single" w:sz="6" w:space="0" w:color="000000"/>
              <w:right w:val="nil" w:sz="6" w:space="0" w:color="auto"/>
            </w:tcBorders>
          </w:tcPr>
          <w:p>
            <w:pPr/>
          </w:p>
        </w:tc>
      </w:tr>
      <w:tr>
        <w:trPr>
          <w:trHeight w:val="317" w:hRule="exact"/>
        </w:trPr>
        <w:tc>
          <w:tcPr>
            <w:tcW w:w="1526" w:type="dxa"/>
            <w:vMerge/>
            <w:tcBorders>
              <w:left w:val="single" w:sz="6" w:space="0" w:color="000000"/>
              <w:right w:val="single" w:sz="6" w:space="0" w:color="000000"/>
            </w:tcBorders>
          </w:tcPr>
          <w:p>
            <w:pPr/>
          </w:p>
        </w:tc>
        <w:tc>
          <w:tcPr>
            <w:tcW w:w="42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进行核算。执行《企业会计准则第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w:t>
            </w:r>
          </w:p>
        </w:tc>
        <w:tc>
          <w:tcPr>
            <w:tcW w:w="1418" w:type="dxa"/>
            <w:vMerge/>
            <w:tcBorders>
              <w:left w:val="single" w:sz="6" w:space="0" w:color="000000"/>
              <w:right w:val="single" w:sz="6" w:space="0" w:color="000000"/>
            </w:tcBorders>
          </w:tcPr>
          <w:p>
            <w:pPr/>
          </w:p>
        </w:tc>
        <w:tc>
          <w:tcPr>
            <w:tcW w:w="1836" w:type="dxa"/>
            <w:vMerge/>
            <w:tcBorders>
              <w:left w:val="single" w:sz="6" w:space="0" w:color="000000"/>
              <w:right w:val="nil" w:sz="6" w:space="0" w:color="auto"/>
            </w:tcBorders>
          </w:tcPr>
          <w:p>
            <w:pPr/>
          </w:p>
        </w:tc>
      </w:tr>
      <w:tr>
        <w:trPr>
          <w:trHeight w:val="312" w:hRule="exact"/>
        </w:trPr>
        <w:tc>
          <w:tcPr>
            <w:tcW w:w="1526" w:type="dxa"/>
            <w:vMerge/>
            <w:tcBorders>
              <w:left w:val="single" w:sz="6" w:space="0" w:color="000000"/>
              <w:right w:val="single" w:sz="6" w:space="0" w:color="000000"/>
            </w:tcBorders>
          </w:tcPr>
          <w:p>
            <w:pPr/>
          </w:p>
        </w:tc>
        <w:tc>
          <w:tcPr>
            <w:tcW w:w="425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4"/>
                <w:sz w:val="18"/>
                <w:szCs w:val="18"/>
              </w:rPr>
              <w:t>资（</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年修订）》后，本公司将对被投资单位不具有</w:t>
            </w:r>
          </w:p>
        </w:tc>
        <w:tc>
          <w:tcPr>
            <w:tcW w:w="1418" w:type="dxa"/>
            <w:vMerge/>
            <w:tcBorders>
              <w:left w:val="single" w:sz="6" w:space="0" w:color="000000"/>
              <w:right w:val="single" w:sz="6" w:space="0" w:color="000000"/>
            </w:tcBorders>
          </w:tcPr>
          <w:p>
            <w:pPr/>
          </w:p>
        </w:tc>
        <w:tc>
          <w:tcPr>
            <w:tcW w:w="1836" w:type="dxa"/>
            <w:vMerge/>
            <w:tcBorders>
              <w:left w:val="single" w:sz="6" w:space="0" w:color="000000"/>
              <w:right w:val="nil" w:sz="6" w:space="0" w:color="auto"/>
            </w:tcBorders>
          </w:tcPr>
          <w:p>
            <w:pPr/>
          </w:p>
        </w:tc>
      </w:tr>
      <w:tr>
        <w:trPr>
          <w:trHeight w:val="307" w:hRule="exact"/>
        </w:trPr>
        <w:tc>
          <w:tcPr>
            <w:tcW w:w="1526" w:type="dxa"/>
            <w:vMerge/>
            <w:tcBorders>
              <w:left w:val="single" w:sz="6" w:space="0" w:color="000000"/>
              <w:right w:val="single" w:sz="6" w:space="0" w:color="000000"/>
            </w:tcBorders>
          </w:tcPr>
          <w:p>
            <w:pPr/>
          </w:p>
        </w:tc>
        <w:tc>
          <w:tcPr>
            <w:tcW w:w="425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4"/>
                <w:sz w:val="18"/>
                <w:szCs w:val="18"/>
              </w:rPr>
              <w:t>共同控制或重大影响，并且在活跃市场中没有报价、公</w:t>
            </w:r>
          </w:p>
        </w:tc>
        <w:tc>
          <w:tcPr>
            <w:tcW w:w="1418" w:type="dxa"/>
            <w:vMerge/>
            <w:tcBorders>
              <w:left w:val="single" w:sz="6" w:space="0" w:color="000000"/>
              <w:right w:val="single" w:sz="6" w:space="0" w:color="000000"/>
            </w:tcBorders>
          </w:tcPr>
          <w:p>
            <w:pPr/>
          </w:p>
        </w:tc>
        <w:tc>
          <w:tcPr>
            <w:tcW w:w="1836" w:type="dxa"/>
            <w:vMerge/>
            <w:tcBorders>
              <w:left w:val="single" w:sz="6" w:space="0" w:color="000000"/>
              <w:right w:val="nil" w:sz="6" w:space="0" w:color="auto"/>
            </w:tcBorders>
          </w:tcPr>
          <w:p>
            <w:pPr/>
          </w:p>
        </w:tc>
      </w:tr>
      <w:tr>
        <w:trPr>
          <w:trHeight w:val="312" w:hRule="exact"/>
        </w:trPr>
        <w:tc>
          <w:tcPr>
            <w:tcW w:w="1526" w:type="dxa"/>
            <w:vMerge/>
            <w:tcBorders>
              <w:left w:val="single" w:sz="6" w:space="0" w:color="000000"/>
              <w:right w:val="single" w:sz="6" w:space="0" w:color="000000"/>
            </w:tcBorders>
          </w:tcPr>
          <w:p>
            <w:pPr/>
          </w:p>
        </w:tc>
        <w:tc>
          <w:tcPr>
            <w:tcW w:w="42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允价值不能可靠计量的股权投资作为可供出售金融资</w:t>
            </w:r>
          </w:p>
        </w:tc>
        <w:tc>
          <w:tcPr>
            <w:tcW w:w="1418" w:type="dxa"/>
            <w:vMerge/>
            <w:tcBorders>
              <w:left w:val="single" w:sz="6" w:space="0" w:color="000000"/>
              <w:right w:val="single" w:sz="6" w:space="0" w:color="000000"/>
            </w:tcBorders>
          </w:tcPr>
          <w:p>
            <w:pPr/>
          </w:p>
        </w:tc>
        <w:tc>
          <w:tcPr>
            <w:tcW w:w="1836" w:type="dxa"/>
            <w:vMerge/>
            <w:tcBorders>
              <w:left w:val="single" w:sz="6" w:space="0" w:color="000000"/>
              <w:right w:val="nil" w:sz="6" w:space="0" w:color="auto"/>
            </w:tcBorders>
          </w:tcPr>
          <w:p>
            <w:pPr/>
          </w:p>
        </w:tc>
      </w:tr>
      <w:tr>
        <w:trPr>
          <w:trHeight w:val="313" w:hRule="exact"/>
        </w:trPr>
        <w:tc>
          <w:tcPr>
            <w:tcW w:w="1526" w:type="dxa"/>
            <w:vMerge/>
            <w:tcBorders>
              <w:left w:val="single" w:sz="6" w:space="0" w:color="000000"/>
              <w:right w:val="single" w:sz="6" w:space="0" w:color="000000"/>
            </w:tcBorders>
          </w:tcPr>
          <w:p>
            <w:pPr/>
          </w:p>
        </w:tc>
        <w:tc>
          <w:tcPr>
            <w:tcW w:w="42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产核算</w:t>
            </w:r>
            <w:r>
              <w:rPr>
                <w:rFonts w:ascii="宋体" w:hAnsi="宋体" w:cs="宋体" w:eastAsia="宋体" w:hint="default"/>
                <w:spacing w:val="-88"/>
                <w:sz w:val="18"/>
                <w:szCs w:val="18"/>
              </w:rPr>
              <w:t>。</w:t>
            </w:r>
            <w:r>
              <w:rPr>
                <w:rFonts w:ascii="宋体" w:hAnsi="宋体" w:cs="宋体" w:eastAsia="宋体" w:hint="default"/>
                <w:sz w:val="18"/>
                <w:szCs w:val="18"/>
              </w:rPr>
              <w:t>本公司采用追溯调整法对上述会计政策变更进</w:t>
            </w:r>
          </w:p>
        </w:tc>
        <w:tc>
          <w:tcPr>
            <w:tcW w:w="1418" w:type="dxa"/>
            <w:vMerge/>
            <w:tcBorders>
              <w:left w:val="single" w:sz="6" w:space="0" w:color="000000"/>
              <w:right w:val="single" w:sz="6" w:space="0" w:color="000000"/>
            </w:tcBorders>
          </w:tcPr>
          <w:p>
            <w:pPr/>
          </w:p>
        </w:tc>
        <w:tc>
          <w:tcPr>
            <w:tcW w:w="1836" w:type="dxa"/>
            <w:vMerge/>
            <w:tcBorders>
              <w:left w:val="single" w:sz="6" w:space="0" w:color="000000"/>
              <w:right w:val="nil" w:sz="6" w:space="0" w:color="auto"/>
            </w:tcBorders>
          </w:tcPr>
          <w:p>
            <w:pPr/>
          </w:p>
        </w:tc>
      </w:tr>
      <w:tr>
        <w:trPr>
          <w:trHeight w:val="376" w:hRule="exact"/>
        </w:trPr>
        <w:tc>
          <w:tcPr>
            <w:tcW w:w="1526" w:type="dxa"/>
            <w:vMerge/>
            <w:tcBorders>
              <w:left w:val="single" w:sz="6" w:space="0" w:color="000000"/>
              <w:bottom w:val="single" w:sz="12" w:space="0" w:color="000000"/>
              <w:right w:val="single" w:sz="6" w:space="0" w:color="000000"/>
            </w:tcBorders>
          </w:tcPr>
          <w:p>
            <w:pPr/>
          </w:p>
        </w:tc>
        <w:tc>
          <w:tcPr>
            <w:tcW w:w="425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行会计处理。</w:t>
            </w:r>
          </w:p>
        </w:tc>
        <w:tc>
          <w:tcPr>
            <w:tcW w:w="1418" w:type="dxa"/>
            <w:vMerge/>
            <w:tcBorders>
              <w:left w:val="single" w:sz="6" w:space="0" w:color="000000"/>
              <w:bottom w:val="single" w:sz="12" w:space="0" w:color="000000"/>
              <w:right w:val="single" w:sz="6" w:space="0" w:color="000000"/>
            </w:tcBorders>
          </w:tcPr>
          <w:p>
            <w:pPr/>
          </w:p>
        </w:tc>
        <w:tc>
          <w:tcPr>
            <w:tcW w:w="1836" w:type="dxa"/>
            <w:vMerge/>
            <w:tcBorders>
              <w:left w:val="single" w:sz="6" w:space="0" w:color="000000"/>
              <w:bottom w:val="single" w:sz="12" w:space="0" w:color="000000"/>
              <w:right w:val="nil" w:sz="6" w:space="0" w:color="auto"/>
            </w:tcBorders>
          </w:tcPr>
          <w:p>
            <w:pPr/>
          </w:p>
        </w:tc>
      </w:tr>
      <w:tr>
        <w:trPr>
          <w:trHeight w:val="373" w:hRule="exact"/>
        </w:trPr>
        <w:tc>
          <w:tcPr>
            <w:tcW w:w="152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《企业会计准则第</w:t>
            </w:r>
          </w:p>
        </w:tc>
        <w:tc>
          <w:tcPr>
            <w:tcW w:w="425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p>
        </w:tc>
        <w:tc>
          <w:tcPr>
            <w:tcW w:w="141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6" w:type="dxa"/>
            <w:tcBorders>
              <w:top w:val="single" w:sz="12" w:space="0" w:color="000000"/>
              <w:left w:val="single" w:sz="6" w:space="0" w:color="000000"/>
              <w:bottom w:val="nil" w:sz="6" w:space="0" w:color="auto"/>
              <w:right w:val="nil" w:sz="6" w:space="0" w:color="auto"/>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-5,355,554.47</w:t>
            </w:r>
          </w:p>
        </w:tc>
      </w:tr>
      <w:tr>
        <w:trPr>
          <w:trHeight w:val="312" w:hRule="exact"/>
        </w:trPr>
        <w:tc>
          <w:tcPr>
            <w:tcW w:w="152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5"/>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w:t>
            </w:r>
          </w:p>
        </w:tc>
        <w:tc>
          <w:tcPr>
            <w:tcW w:w="425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年修订）》将其他综合收益划分为两类：</w:t>
            </w:r>
            <w:r>
              <w:rPr>
                <w:rFonts w:ascii="Times New Roman" w:hAnsi="Times New Roman" w:cs="Times New Roman" w:eastAsia="Times New Roman" w:hint="default"/>
                <w:sz w:val="18"/>
                <w:szCs w:val="18"/>
              </w:rPr>
              <w:t>(1)</w:t>
            </w:r>
            <w:r>
              <w:rPr>
                <w:rFonts w:ascii="宋体" w:hAnsi="宋体" w:cs="宋体" w:eastAsia="宋体" w:hint="default"/>
                <w:sz w:val="18"/>
                <w:szCs w:val="18"/>
              </w:rPr>
              <w:t>以后会计</w:t>
            </w:r>
          </w:p>
        </w:tc>
        <w:tc>
          <w:tcPr>
            <w:tcW w:w="1418" w:type="dxa"/>
            <w:tcBorders>
              <w:top w:val="nil" w:sz="6" w:space="0" w:color="auto"/>
              <w:left w:val="single" w:sz="6" w:space="0" w:color="000000"/>
              <w:bottom w:val="nil" w:sz="6" w:space="0" w:color="auto"/>
              <w:right w:val="single" w:sz="6" w:space="0" w:color="000000"/>
            </w:tcBorders>
          </w:tcPr>
          <w:p>
            <w:pPr/>
          </w:p>
        </w:tc>
        <w:tc>
          <w:tcPr>
            <w:tcW w:w="1836" w:type="dxa"/>
            <w:tcBorders>
              <w:top w:val="nil" w:sz="6" w:space="0" w:color="auto"/>
              <w:left w:val="single" w:sz="6" w:space="0" w:color="000000"/>
              <w:bottom w:val="nil" w:sz="6" w:space="0" w:color="auto"/>
              <w:right w:val="nil" w:sz="6" w:space="0" w:color="auto"/>
            </w:tcBorders>
          </w:tcPr>
          <w:p>
            <w:pPr/>
          </w:p>
        </w:tc>
      </w:tr>
      <w:tr>
        <w:trPr>
          <w:trHeight w:val="100" w:hRule="exact"/>
        </w:trPr>
        <w:tc>
          <w:tcPr>
            <w:tcW w:w="1526" w:type="dxa"/>
            <w:vMerge w:val="restart"/>
            <w:tcBorders>
              <w:top w:val="nil" w:sz="6" w:space="0" w:color="auto"/>
              <w:left w:val="single" w:sz="6" w:space="0" w:color="000000"/>
              <w:right w:val="single" w:sz="6" w:space="0" w:color="000000"/>
            </w:tcBorders>
          </w:tcPr>
          <w:p>
            <w:pPr>
              <w:pStyle w:val="TableParagraph"/>
              <w:spacing w:line="240" w:lineRule="auto" w:before="6"/>
              <w:ind w:left="484" w:right="0"/>
              <w:jc w:val="left"/>
              <w:rPr>
                <w:rFonts w:ascii="宋体" w:hAnsi="宋体" w:cs="宋体" w:eastAsia="宋体" w:hint="default"/>
                <w:sz w:val="18"/>
                <w:szCs w:val="18"/>
              </w:rPr>
            </w:pPr>
            <w:r>
              <w:rPr>
                <w:rFonts w:ascii="宋体" w:hAnsi="宋体" w:cs="宋体" w:eastAsia="宋体" w:hint="default"/>
                <w:sz w:val="18"/>
                <w:szCs w:val="18"/>
              </w:rPr>
              <w:t>列报》</w:t>
            </w:r>
          </w:p>
        </w:tc>
        <w:tc>
          <w:tcPr>
            <w:tcW w:w="4252" w:type="dxa"/>
            <w:vMerge w:val="restart"/>
            <w:tcBorders>
              <w:top w:val="nil" w:sz="6" w:space="0" w:color="auto"/>
              <w:left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期间不能重分类进损益的其他综合收益项目；</w:t>
            </w:r>
            <w:r>
              <w:rPr>
                <w:rFonts w:ascii="Times New Roman" w:hAnsi="Times New Roman" w:cs="Times New Roman" w:eastAsia="Times New Roman" w:hint="default"/>
                <w:sz w:val="18"/>
                <w:szCs w:val="18"/>
              </w:rPr>
              <w:t>(2)</w:t>
            </w:r>
            <w:r>
              <w:rPr>
                <w:rFonts w:ascii="宋体" w:hAnsi="宋体" w:cs="宋体" w:eastAsia="宋体" w:hint="default"/>
                <w:sz w:val="18"/>
                <w:szCs w:val="18"/>
              </w:rPr>
              <w:t>以后</w:t>
            </w:r>
          </w:p>
        </w:tc>
        <w:tc>
          <w:tcPr>
            <w:tcW w:w="1418" w:type="dxa"/>
            <w:tcBorders>
              <w:top w:val="nil" w:sz="6" w:space="0" w:color="auto"/>
              <w:left w:val="single" w:sz="6" w:space="0" w:color="000000"/>
              <w:bottom w:val="single" w:sz="12" w:space="0" w:color="000000"/>
              <w:right w:val="single" w:sz="6" w:space="0" w:color="000000"/>
            </w:tcBorders>
          </w:tcPr>
          <w:p>
            <w:pPr/>
          </w:p>
        </w:tc>
        <w:tc>
          <w:tcPr>
            <w:tcW w:w="1836" w:type="dxa"/>
            <w:tcBorders>
              <w:top w:val="nil" w:sz="6" w:space="0" w:color="auto"/>
              <w:left w:val="single" w:sz="6" w:space="0" w:color="000000"/>
              <w:bottom w:val="single" w:sz="12" w:space="0" w:color="000000"/>
              <w:right w:val="nil" w:sz="6" w:space="0" w:color="auto"/>
            </w:tcBorders>
          </w:tcPr>
          <w:p>
            <w:pPr/>
          </w:p>
        </w:tc>
      </w:tr>
      <w:tr>
        <w:trPr>
          <w:trHeight w:val="212" w:hRule="exact"/>
        </w:trPr>
        <w:tc>
          <w:tcPr>
            <w:tcW w:w="1526" w:type="dxa"/>
            <w:vMerge/>
            <w:tcBorders>
              <w:left w:val="single" w:sz="6" w:space="0" w:color="000000"/>
              <w:bottom w:val="nil" w:sz="6" w:space="0" w:color="auto"/>
              <w:right w:val="single" w:sz="6" w:space="0" w:color="000000"/>
            </w:tcBorders>
          </w:tcPr>
          <w:p>
            <w:pPr/>
          </w:p>
        </w:tc>
        <w:tc>
          <w:tcPr>
            <w:tcW w:w="4252" w:type="dxa"/>
            <w:vMerge/>
            <w:tcBorders>
              <w:left w:val="single" w:sz="6" w:space="0" w:color="000000"/>
              <w:bottom w:val="nil" w:sz="6" w:space="0" w:color="auto"/>
              <w:right w:val="single" w:sz="6" w:space="0" w:color="000000"/>
            </w:tcBorders>
          </w:tcPr>
          <w:p>
            <w:pPr/>
          </w:p>
        </w:tc>
        <w:tc>
          <w:tcPr>
            <w:tcW w:w="1418" w:type="dxa"/>
            <w:vMerge w:val="restart"/>
            <w:tcBorders>
              <w:top w:val="single" w:sz="12" w:space="0" w:color="000000"/>
              <w:left w:val="single" w:sz="6" w:space="0" w:color="000000"/>
              <w:right w:val="single" w:sz="6" w:space="0" w:color="000000"/>
            </w:tcBorders>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w:t>
            </w:r>
          </w:p>
        </w:tc>
        <w:tc>
          <w:tcPr>
            <w:tcW w:w="1836" w:type="dxa"/>
            <w:vMerge w:val="restart"/>
            <w:tcBorders>
              <w:top w:val="single" w:sz="12" w:space="0" w:color="000000"/>
              <w:left w:val="single" w:sz="6" w:space="0" w:color="000000"/>
              <w:right w:val="nil" w:sz="6" w:space="0" w:color="auto"/>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5,355,554.47</w:t>
            </w:r>
          </w:p>
        </w:tc>
      </w:tr>
      <w:tr>
        <w:trPr>
          <w:trHeight w:val="307" w:hRule="exact"/>
        </w:trPr>
        <w:tc>
          <w:tcPr>
            <w:tcW w:w="1526" w:type="dxa"/>
            <w:tcBorders>
              <w:top w:val="nil" w:sz="6" w:space="0" w:color="auto"/>
              <w:left w:val="single" w:sz="6" w:space="0" w:color="000000"/>
              <w:bottom w:val="nil" w:sz="6" w:space="0" w:color="auto"/>
              <w:right w:val="single" w:sz="6" w:space="0" w:color="000000"/>
            </w:tcBorders>
          </w:tcPr>
          <w:p>
            <w:pPr/>
          </w:p>
        </w:tc>
        <w:tc>
          <w:tcPr>
            <w:tcW w:w="425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会计期间在满足特定条件时将重分类进损益的其他综</w:t>
            </w:r>
          </w:p>
        </w:tc>
        <w:tc>
          <w:tcPr>
            <w:tcW w:w="1418" w:type="dxa"/>
            <w:vMerge/>
            <w:tcBorders>
              <w:left w:val="single" w:sz="6" w:space="0" w:color="000000"/>
              <w:right w:val="single" w:sz="6" w:space="0" w:color="000000"/>
            </w:tcBorders>
          </w:tcPr>
          <w:p>
            <w:pPr/>
          </w:p>
        </w:tc>
        <w:tc>
          <w:tcPr>
            <w:tcW w:w="1836" w:type="dxa"/>
            <w:vMerge/>
            <w:tcBorders>
              <w:left w:val="single" w:sz="6" w:space="0" w:color="000000"/>
              <w:right w:val="nil" w:sz="6" w:space="0" w:color="auto"/>
            </w:tcBorders>
          </w:tcPr>
          <w:p>
            <w:pPr/>
          </w:p>
        </w:tc>
      </w:tr>
      <w:tr>
        <w:trPr>
          <w:trHeight w:val="313" w:hRule="exact"/>
        </w:trPr>
        <w:tc>
          <w:tcPr>
            <w:tcW w:w="1526" w:type="dxa"/>
            <w:tcBorders>
              <w:top w:val="nil" w:sz="6" w:space="0" w:color="auto"/>
              <w:left w:val="single" w:sz="6" w:space="0" w:color="000000"/>
              <w:bottom w:val="nil" w:sz="6" w:space="0" w:color="auto"/>
              <w:right w:val="single" w:sz="6" w:space="0" w:color="000000"/>
            </w:tcBorders>
          </w:tcPr>
          <w:p>
            <w:pPr/>
          </w:p>
        </w:tc>
        <w:tc>
          <w:tcPr>
            <w:tcW w:w="42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合收益项目。本财务报表已按该准则的规定进行列报</w:t>
            </w:r>
          </w:p>
        </w:tc>
        <w:tc>
          <w:tcPr>
            <w:tcW w:w="1418" w:type="dxa"/>
            <w:vMerge/>
            <w:tcBorders>
              <w:left w:val="single" w:sz="6" w:space="0" w:color="000000"/>
              <w:right w:val="single" w:sz="6" w:space="0" w:color="000000"/>
            </w:tcBorders>
          </w:tcPr>
          <w:p>
            <w:pPr/>
          </w:p>
        </w:tc>
        <w:tc>
          <w:tcPr>
            <w:tcW w:w="1836" w:type="dxa"/>
            <w:vMerge/>
            <w:tcBorders>
              <w:left w:val="single" w:sz="6" w:space="0" w:color="000000"/>
              <w:right w:val="nil" w:sz="6" w:space="0" w:color="auto"/>
            </w:tcBorders>
          </w:tcPr>
          <w:p>
            <w:pPr/>
          </w:p>
        </w:tc>
      </w:tr>
      <w:tr>
        <w:trPr>
          <w:trHeight w:val="376" w:hRule="exact"/>
        </w:trPr>
        <w:tc>
          <w:tcPr>
            <w:tcW w:w="1526" w:type="dxa"/>
            <w:tcBorders>
              <w:top w:val="nil" w:sz="6" w:space="0" w:color="auto"/>
              <w:left w:val="single" w:sz="6" w:space="0" w:color="000000"/>
              <w:bottom w:val="single" w:sz="12" w:space="0" w:color="000000"/>
              <w:right w:val="single" w:sz="6" w:space="0" w:color="000000"/>
            </w:tcBorders>
          </w:tcPr>
          <w:p>
            <w:pPr/>
          </w:p>
        </w:tc>
        <w:tc>
          <w:tcPr>
            <w:tcW w:w="425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并对可比年度财务报表的列报进行了相应调整。</w:t>
            </w:r>
          </w:p>
        </w:tc>
        <w:tc>
          <w:tcPr>
            <w:tcW w:w="1418" w:type="dxa"/>
            <w:vMerge/>
            <w:tcBorders>
              <w:left w:val="single" w:sz="6" w:space="0" w:color="000000"/>
              <w:bottom w:val="single" w:sz="12" w:space="0" w:color="000000"/>
              <w:right w:val="single" w:sz="6" w:space="0" w:color="000000"/>
            </w:tcBorders>
          </w:tcPr>
          <w:p>
            <w:pPr/>
          </w:p>
        </w:tc>
        <w:tc>
          <w:tcPr>
            <w:tcW w:w="1836" w:type="dxa"/>
            <w:vMerge/>
            <w:tcBorders>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537" w:lineRule="auto" w:before="44"/>
        <w:ind w:left="516" w:right="7900" w:hanging="72"/>
        <w:jc w:val="left"/>
      </w:pPr>
      <w:r>
        <w:rPr/>
        <w:t>②其他会计政策变更 无。</w:t>
      </w:r>
    </w:p>
    <w:p>
      <w:pPr>
        <w:pStyle w:val="Heading2"/>
        <w:spacing w:line="240" w:lineRule="auto" w:before="106"/>
        <w:ind w:right="418"/>
        <w:jc w:val="left"/>
        <w:rPr>
          <w:b w:val="0"/>
          <w:bCs w:val="0"/>
        </w:rPr>
      </w:pPr>
      <w:r>
        <w:rPr/>
        <w:t>十二、报告期内发生重大会计差错更正需追溯重述的情况说明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418"/>
        <w:jc w:val="left"/>
        <w:rPr>
          <w:b w:val="0"/>
          <w:bCs w:val="0"/>
        </w:rPr>
      </w:pPr>
      <w:r>
        <w:rPr/>
        <w:t>十三、与上年度财务报告相比，合并报表范围发生变化的情况说明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2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418"/>
        <w:jc w:val="left"/>
        <w:rPr>
          <w:b w:val="0"/>
          <w:bCs w:val="0"/>
        </w:rPr>
      </w:pPr>
      <w:r>
        <w:rPr/>
        <w:t>十四、公司利润分配及分红派息情况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18"/>
        <w:jc w:val="left"/>
      </w:pPr>
      <w:r>
        <w:rPr/>
        <w:t>报告期内利润分配政策的制定、执行或调整情况</w:t>
      </w:r>
    </w:p>
    <w:p>
      <w:pPr>
        <w:pStyle w:val="BodyText"/>
        <w:spacing w:line="338" w:lineRule="auto" w:before="117"/>
        <w:ind w:left="514" w:right="18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根据中国证监会《关于进一步落实上市公司现金分红有关事项的通知》、《上市公司监管指引第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w:t>
      </w:r>
    </w:p>
    <w:p>
      <w:pPr>
        <w:pStyle w:val="BodyText"/>
        <w:spacing w:line="217" w:lineRule="exact"/>
        <w:ind w:right="0"/>
        <w:jc w:val="left"/>
      </w:pPr>
      <w:r>
        <w:rPr/>
        <w:t>分红》的规定和公司章程等相关文件的规定，为进一步增强公司现金分红的透明度，完善和健全公司分红决策和监督机制，</w:t>
      </w:r>
    </w:p>
    <w:p>
      <w:pPr>
        <w:pStyle w:val="BodyText"/>
        <w:spacing w:line="319" w:lineRule="auto" w:before="76"/>
        <w:ind w:right="91"/>
        <w:jc w:val="left"/>
      </w:pPr>
      <w:r>
        <w:rPr>
          <w:spacing w:val="-2"/>
        </w:rPr>
        <w:t>保持利润分配政策的连续性和稳定性，便于投资者形成稳定的回报预期，结合公司实际情况，经公司董事会五届十六次会议</w:t>
      </w:r>
      <w:r>
        <w:rPr>
          <w:spacing w:val="-66"/>
        </w:rPr>
        <w:t> </w:t>
      </w:r>
      <w:r>
        <w:rPr>
          <w:spacing w:val="-66"/>
        </w:rPr>
      </w:r>
      <w:r>
        <w:rPr/>
        <w:t>审议同意制定《未来三年（</w:t>
      </w:r>
      <w:r>
        <w:rPr>
          <w:rFonts w:ascii="Times New Roman" w:hAnsi="Times New Roman" w:cs="Times New Roman" w:eastAsia="Times New Roman" w:hint="default"/>
        </w:rPr>
        <w:t>2014—2016</w:t>
      </w:r>
      <w:r>
        <w:rPr/>
        <w:t>）股东分红回报规划》，并经</w:t>
      </w:r>
      <w:r>
        <w:rPr>
          <w:rFonts w:ascii="Times New Roman" w:hAnsi="Times New Roman" w:cs="Times New Roman" w:eastAsia="Times New Roman" w:hint="default"/>
        </w:rPr>
        <w:t>2014</w:t>
      </w:r>
      <w:r>
        <w:rPr/>
        <w:t>年第二次临时股东大会审议通过。</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5"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5"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5"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5"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3"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w:t>
            </w:r>
          </w:p>
        </w:tc>
        <w:tc>
          <w:tcPr>
            <w:tcW w:w="4795"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36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否得到了充分保护：</w:t>
            </w:r>
          </w:p>
        </w:tc>
        <w:tc>
          <w:tcPr>
            <w:tcW w:w="4783"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38" w:lineRule="auto" w:before="51"/>
        <w:ind w:left="660" w:right="136" w:hanging="507"/>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公司按照中国证监会《关于进一步落实上市公司现金分红有关事项的通知》（证监发</w:t>
      </w:r>
      <w:r>
        <w:rPr>
          <w:rFonts w:ascii="Times New Roman" w:hAnsi="Times New Roman" w:cs="Times New Roman" w:eastAsia="Times New Roman" w:hint="default"/>
        </w:rPr>
        <w:t>[2012]37</w:t>
      </w:r>
      <w:r>
        <w:rPr>
          <w:rFonts w:ascii="Times New Roman" w:hAnsi="Times New Roman" w:cs="Times New Roman" w:eastAsia="Times New Roman" w:hint="default"/>
          <w:spacing w:val="-7"/>
        </w:rPr>
        <w:t> </w:t>
      </w:r>
      <w:r>
        <w:rPr>
          <w:spacing w:val="-3"/>
        </w:rPr>
        <w:t>号）等文件的要求，对</w:t>
      </w:r>
    </w:p>
    <w:p>
      <w:pPr>
        <w:pStyle w:val="BodyText"/>
        <w:spacing w:line="230" w:lineRule="exact"/>
        <w:ind w:right="0"/>
        <w:jc w:val="left"/>
      </w:pPr>
      <w:r>
        <w:rPr/>
        <w:t>《公司章程》中关于利润分配的相关条款进行了修改，并经公司董事会四届二十七次会议和</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t>年第一次临时股东大会批</w:t>
      </w:r>
    </w:p>
    <w:p>
      <w:pPr>
        <w:pStyle w:val="BodyText"/>
        <w:spacing w:line="319" w:lineRule="auto" w:before="63"/>
        <w:ind w:right="0"/>
        <w:jc w:val="left"/>
      </w:pPr>
      <w:r>
        <w:rPr>
          <w:spacing w:val="-2"/>
        </w:rPr>
        <w:t>准。该次修订明确了现金分红的条件、分红比例、期间间隔等内容，对独立董事的作用发挥、公众投资者特别是中小股东的</w:t>
      </w:r>
      <w:r>
        <w:rPr>
          <w:spacing w:val="-66"/>
        </w:rPr>
        <w:t> </w:t>
      </w:r>
      <w:r>
        <w:rPr>
          <w:spacing w:val="-66"/>
        </w:rPr>
      </w:r>
      <w:r>
        <w:rPr/>
        <w:t>利益保护做出了明确规定。</w:t>
      </w:r>
    </w:p>
    <w:p>
      <w:pPr>
        <w:pStyle w:val="BodyText"/>
        <w:spacing w:line="240" w:lineRule="auto" w:before="56"/>
        <w:ind w:right="0"/>
        <w:jc w:val="left"/>
      </w:pPr>
      <w:r>
        <w:rPr/>
        <w:t>公司近三年现金分红情况表</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5"/>
        <w:gridCol w:w="1594"/>
        <w:gridCol w:w="1594"/>
        <w:gridCol w:w="1594"/>
        <w:gridCol w:w="1595"/>
      </w:tblGrid>
      <w:tr>
        <w:trPr>
          <w:trHeight w:val="161" w:hRule="exact"/>
        </w:trPr>
        <w:tc>
          <w:tcPr>
            <w:tcW w:w="1584" w:type="dxa"/>
            <w:vMerge w:val="restart"/>
            <w:tcBorders>
              <w:top w:val="single" w:sz="4" w:space="0" w:color="000000"/>
              <w:left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3D3D3"/>
          </w:tcPr>
          <w:p>
            <w:pP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5" w:type="dxa"/>
            <w:vMerge/>
            <w:tcBorders>
              <w:left w:val="single" w:sz="4" w:space="0" w:color="000000"/>
              <w:right w:val="single" w:sz="4" w:space="0" w:color="000000"/>
            </w:tcBorders>
            <w:shd w:val="clear" w:color="auto" w:fill="D3D3D3"/>
          </w:tcPr>
          <w:p>
            <w:pPr/>
          </w:p>
        </w:tc>
      </w:tr>
      <w:tr>
        <w:trPr>
          <w:trHeight w:val="392" w:hRule="exact"/>
        </w:trPr>
        <w:tc>
          <w:tcPr>
            <w:tcW w:w="15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5"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5" w:type="dxa"/>
            <w:vMerge/>
            <w:tcBorders>
              <w:left w:val="single" w:sz="4" w:space="0" w:color="000000"/>
              <w:right w:val="single" w:sz="4" w:space="0" w:color="000000"/>
            </w:tcBorders>
            <w:shd w:val="clear" w:color="auto" w:fill="D3D3D3"/>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5" w:type="dxa"/>
            <w:vMerge/>
            <w:tcBorders>
              <w:left w:val="single" w:sz="4" w:space="0" w:color="000000"/>
              <w:right w:val="single" w:sz="4" w:space="0" w:color="000000"/>
            </w:tcBorders>
            <w:shd w:val="clear" w:color="auto" w:fill="D3D3D3"/>
          </w:tcPr>
          <w:p>
            <w:pPr/>
          </w:p>
        </w:tc>
      </w:tr>
      <w:tr>
        <w:trPr>
          <w:trHeight w:val="162" w:hRule="exact"/>
        </w:trPr>
        <w:tc>
          <w:tcPr>
            <w:tcW w:w="1584"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24,284,736.36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17,565,895.35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11,763,142.83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公司报告期内盈利且母公司未分配利润为正但未提出现金红利分配预案</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46" w:right="47"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2" w:hRule="exact"/>
        </w:trPr>
        <w:tc>
          <w:tcPr>
            <w:tcW w:w="478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年，棉纺织企业面临形势依然复杂。公司市内企业</w:t>
            </w: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06" w:hRule="exact"/>
        </w:trPr>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搬迁员工安置，新园区项目投入及新建成生产线投产，均需</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24" w:hRule="exact"/>
        </w:trPr>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大量资金。为保障搬迁及安置平稳进行、新增生产线尽快达 效、满足项目建设和生产经营资金需求，实现公司稳健和可</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未分配的利润将继续留存公司用于再发展。</w:t>
            </w:r>
          </w:p>
        </w:tc>
      </w:tr>
      <w:tr>
        <w:trPr>
          <w:trHeight w:val="318" w:hRule="exact"/>
        </w:trPr>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持续发展，为股东创造更大和更长远的利益，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年度公司</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2" w:hRule="exact"/>
        </w:trPr>
        <w:tc>
          <w:tcPr>
            <w:tcW w:w="478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不进行现金分红，不实施公积金和未分配利润转增股本。</w:t>
            </w: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十五、本报告期利润分配及资本公积金转增股本预案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4551"/>
        <w:jc w:val="left"/>
      </w:pPr>
      <w:r>
        <w:rPr/>
        <w:t>□ 适用 √ 不适用 公司计划年度不派发现金红利，不送红股，不以公积金转增股本。</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十六、社会责任情况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302" w:lineRule="auto" w:before="115"/>
        <w:ind w:left="153" w:right="141" w:firstLine="360"/>
        <w:jc w:val="left"/>
      </w:pPr>
      <w:r>
        <w:rPr>
          <w:rFonts w:ascii="Times New Roman" w:hAnsi="Times New Roman" w:cs="Times New Roman" w:eastAsia="Times New Roman" w:hint="default"/>
        </w:rPr>
        <w:t>1</w:t>
      </w:r>
      <w:r>
        <w:rPr/>
        <w:t>、公司不断完善治理结构，严格管理，不存在违规担保、关联方违规占用资金、内幕交易等损害投资者债权人等利益 相关者的行为。</w:t>
      </w:r>
    </w:p>
    <w:p>
      <w:pPr>
        <w:pStyle w:val="BodyText"/>
        <w:spacing w:line="240" w:lineRule="auto" w:before="69"/>
        <w:ind w:left="513" w:right="0"/>
        <w:jc w:val="left"/>
      </w:pPr>
      <w:r>
        <w:rPr>
          <w:rFonts w:ascii="Times New Roman" w:hAnsi="Times New Roman" w:cs="Times New Roman" w:eastAsia="Times New Roman" w:hint="default"/>
        </w:rPr>
        <w:t>2</w:t>
      </w:r>
      <w:r>
        <w:rPr/>
        <w:t>、公司守法诚信经营，与上下游客户建立了和谐共盈的合作关系。</w:t>
      </w:r>
    </w:p>
    <w:p>
      <w:pPr>
        <w:pStyle w:val="BodyText"/>
        <w:spacing w:line="302" w:lineRule="auto" w:before="102"/>
        <w:ind w:left="153" w:right="141" w:firstLine="360"/>
        <w:jc w:val="left"/>
      </w:pPr>
      <w:r>
        <w:rPr>
          <w:rFonts w:ascii="Times New Roman" w:hAnsi="Times New Roman" w:cs="Times New Roman" w:eastAsia="Times New Roman" w:hint="default"/>
        </w:rPr>
        <w:t>3</w:t>
      </w:r>
      <w:r>
        <w:rPr/>
        <w:t>、公司严格按照《劳动合同法》要求，与职工签订劳动合同，按照国家相关规定为职工缴纳各项社会保险，尊重员工 各项权利。</w:t>
      </w:r>
    </w:p>
    <w:p>
      <w:pPr>
        <w:pStyle w:val="BodyText"/>
        <w:spacing w:line="240" w:lineRule="auto" w:before="69"/>
        <w:ind w:left="153" w:right="0"/>
        <w:jc w:val="left"/>
      </w:pPr>
      <w:r>
        <w:rPr/>
        <w:t>上市公司及其子公司是否属于国家环境保护部门规定的重污染行业</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right="56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3"/>
        <w:ind w:right="78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2"/>
        <w:ind w:right="4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18"/>
        <w:jc w:val="left"/>
        <w:rPr>
          <w:b w:val="0"/>
          <w:bCs w:val="0"/>
        </w:rPr>
      </w:pPr>
      <w:r>
        <w:rPr/>
        <w:t>十七、报告期内接待调研、沟通、采访等活动登记表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1"/>
        <w:gridCol w:w="1069"/>
        <w:gridCol w:w="737"/>
        <w:gridCol w:w="163"/>
        <w:gridCol w:w="732"/>
        <w:gridCol w:w="1063"/>
        <w:gridCol w:w="4313"/>
      </w:tblGrid>
      <w:tr>
        <w:trPr>
          <w:trHeight w:val="714" w:hRule="exact"/>
        </w:trPr>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0" w:right="90"/>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7"/>
              <w:jc w:val="right"/>
              <w:rPr>
                <w:rFonts w:ascii="宋体" w:hAnsi="宋体" w:cs="宋体" w:eastAsia="宋体" w:hint="default"/>
                <w:sz w:val="18"/>
                <w:szCs w:val="18"/>
              </w:rPr>
            </w:pPr>
            <w:r>
              <w:rPr>
                <w:rFonts w:ascii="宋体" w:hAnsi="宋体" w:cs="宋体" w:eastAsia="宋体" w:hint="default"/>
                <w:sz w:val="18"/>
                <w:szCs w:val="18"/>
              </w:rPr>
              <w:t>接待对象</w:t>
            </w:r>
          </w:p>
        </w:tc>
        <w:tc>
          <w:tcPr>
            <w:tcW w:w="4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4"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02" w:hRule="exact"/>
        </w:trPr>
        <w:tc>
          <w:tcPr>
            <w:tcW w:w="1631"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太行国宾馆</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2"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年度业绩情况</w:t>
            </w:r>
          </w:p>
        </w:tc>
      </w:tr>
      <w:tr>
        <w:trPr>
          <w:trHeight w:val="402" w:hRule="exact"/>
        </w:trPr>
        <w:tc>
          <w:tcPr>
            <w:tcW w:w="1631"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32"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pacing w:val="-3"/>
                <w:sz w:val="18"/>
                <w:szCs w:val="18"/>
              </w:rPr>
              <w:t>公司生产经营及棉三、棉四分公司土地交付、出让情况</w:t>
            </w:r>
          </w:p>
        </w:tc>
      </w:tr>
      <w:tr>
        <w:trPr>
          <w:trHeight w:val="402" w:hRule="exact"/>
        </w:trPr>
        <w:tc>
          <w:tcPr>
            <w:tcW w:w="1631"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32"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公司重大事项有关情况</w:t>
            </w:r>
          </w:p>
        </w:tc>
      </w:tr>
      <w:tr>
        <w:trPr>
          <w:trHeight w:val="402" w:hRule="exact"/>
        </w:trPr>
        <w:tc>
          <w:tcPr>
            <w:tcW w:w="1631"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732"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3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公司重大资产重组进展情况</w:t>
            </w:r>
          </w:p>
        </w:tc>
      </w:tr>
      <w:tr>
        <w:trPr>
          <w:trHeight w:val="401" w:hRule="exact"/>
        </w:trPr>
        <w:tc>
          <w:tcPr>
            <w:tcW w:w="3437" w:type="dxa"/>
            <w:gridSpan w:val="3"/>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271" w:type="dxa"/>
            <w:gridSpan w:val="4"/>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28"/>
        <w:gridCol w:w="1992"/>
        <w:gridCol w:w="3910"/>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3" w:right="0"/>
              <w:jc w:val="left"/>
              <w:rPr>
                <w:rFonts w:ascii="宋体" w:hAnsi="宋体" w:cs="宋体" w:eastAsia="宋体" w:hint="default"/>
                <w:sz w:val="18"/>
                <w:szCs w:val="18"/>
              </w:rPr>
            </w:pPr>
            <w:r>
              <w:rPr>
                <w:rFonts w:ascii="宋体" w:hAnsi="宋体" w:cs="宋体" w:eastAsia="宋体" w:hint="default"/>
                <w:sz w:val="18"/>
                <w:szCs w:val="18"/>
              </w:rPr>
              <w:t>媒体质疑事项说明</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322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《证券市场周刊》刊登公司收购标的资产</w:t>
            </w:r>
          </w:p>
        </w:tc>
        <w:tc>
          <w:tcPr>
            <w:tcW w:w="1992" w:type="dxa"/>
            <w:tcBorders>
              <w:top w:val="single" w:sz="4" w:space="0" w:color="000000"/>
              <w:left w:val="single" w:sz="10" w:space="0" w:color="C7EDCC"/>
              <w:bottom w:val="nil" w:sz="6" w:space="0" w:color="auto"/>
              <w:right w:val="single" w:sz="4" w:space="0" w:color="000000"/>
            </w:tcBorders>
          </w:tcPr>
          <w:p>
            <w:pPr/>
          </w:p>
        </w:tc>
        <w:tc>
          <w:tcPr>
            <w:tcW w:w="391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公司披露了《石家庄常山纺织股份有限公司关于</w:t>
            </w:r>
          </w:p>
        </w:tc>
      </w:tr>
      <w:tr>
        <w:trPr>
          <w:trHeight w:val="624" w:hRule="exact"/>
        </w:trPr>
        <w:tc>
          <w:tcPr>
            <w:tcW w:w="32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北明软件股份有限公司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股权，对北 </w:t>
            </w:r>
            <w:r>
              <w:rPr>
                <w:rFonts w:ascii="宋体" w:hAnsi="宋体" w:cs="宋体" w:eastAsia="宋体" w:hint="default"/>
                <w:spacing w:val="-4"/>
                <w:sz w:val="18"/>
                <w:szCs w:val="18"/>
              </w:rPr>
              <w:t>明软件高毛利率质疑的相关报道，公司及</w:t>
            </w:r>
          </w:p>
        </w:tc>
        <w:tc>
          <w:tcPr>
            <w:tcW w:w="1992" w:type="dxa"/>
            <w:tcBorders>
              <w:top w:val="nil" w:sz="6" w:space="0" w:color="auto"/>
              <w:left w:val="single" w:sz="10" w:space="0" w:color="C7EDCC"/>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1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媒体报道的澄清公告</w:t>
            </w:r>
            <w:r>
              <w:rPr>
                <w:rFonts w:ascii="宋体" w:hAnsi="宋体" w:cs="宋体" w:eastAsia="宋体" w:hint="default"/>
                <w:spacing w:val="-96"/>
                <w:sz w:val="18"/>
                <w:szCs w:val="18"/>
              </w:rPr>
              <w:t>》</w:t>
            </w:r>
            <w:r>
              <w:rPr>
                <w:rFonts w:ascii="宋体" w:hAnsi="宋体" w:cs="宋体" w:eastAsia="宋体" w:hint="default"/>
                <w:sz w:val="18"/>
                <w:szCs w:val="18"/>
              </w:rPr>
              <w:t>（编号</w:t>
            </w:r>
            <w:r>
              <w:rPr>
                <w:rFonts w:ascii="宋体" w:hAnsi="宋体" w:cs="宋体" w:eastAsia="宋体" w:hint="default"/>
                <w:spacing w:val="-6"/>
                <w:sz w:val="18"/>
                <w:szCs w:val="18"/>
              </w:rPr>
              <w:t>：</w:t>
            </w:r>
            <w:r>
              <w:rPr>
                <w:rFonts w:ascii="Times New Roman" w:hAnsi="Times New Roman" w:cs="Times New Roman" w:eastAsia="Times New Roman" w:hint="default"/>
                <w:sz w:val="18"/>
                <w:szCs w:val="18"/>
              </w:rPr>
              <w:t>2014—055</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刊登</w:t>
            </w:r>
            <w:r>
              <w:rPr>
                <w:rFonts w:ascii="宋体" w:hAnsi="宋体" w:cs="宋体" w:eastAsia="宋体" w:hint="default"/>
                <w:sz w:val="18"/>
                <w:szCs w:val="18"/>
              </w:rPr>
              <w:t> 在《中国证券报</w:t>
            </w:r>
            <w:r>
              <w:rPr>
                <w:rFonts w:ascii="宋体" w:hAnsi="宋体" w:cs="宋体" w:eastAsia="宋体" w:hint="default"/>
                <w:spacing w:val="-90"/>
                <w:sz w:val="18"/>
                <w:szCs w:val="18"/>
              </w:rPr>
              <w:t>》、</w:t>
            </w:r>
            <w:r>
              <w:rPr>
                <w:rFonts w:ascii="宋体" w:hAnsi="宋体" w:cs="宋体" w:eastAsia="宋体" w:hint="default"/>
                <w:sz w:val="18"/>
                <w:szCs w:val="18"/>
              </w:rPr>
              <w:t>《证券时报》及巨潮资讯网</w:t>
            </w:r>
          </w:p>
        </w:tc>
      </w:tr>
      <w:tr>
        <w:trPr>
          <w:trHeight w:val="357" w:hRule="exact"/>
        </w:trPr>
        <w:tc>
          <w:tcPr>
            <w:tcW w:w="322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时对媒体的报道做了澄清公告。</w:t>
            </w:r>
          </w:p>
        </w:tc>
        <w:tc>
          <w:tcPr>
            <w:tcW w:w="1992" w:type="dxa"/>
            <w:tcBorders>
              <w:top w:val="nil" w:sz="6" w:space="0" w:color="auto"/>
              <w:left w:val="single" w:sz="10" w:space="0" w:color="C7EDCC"/>
              <w:bottom w:val="single" w:sz="4" w:space="0" w:color="000000"/>
              <w:right w:val="single" w:sz="4" w:space="0" w:color="000000"/>
            </w:tcBorders>
          </w:tcPr>
          <w:p>
            <w:pPr/>
          </w:p>
        </w:tc>
        <w:tc>
          <w:tcPr>
            <w:tcW w:w="391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）等。</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四、破产重整相关事项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公司报告期未收购资产。</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公司报告期未发生企业合并情况。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3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8"/>
        <w:gridCol w:w="805"/>
        <w:gridCol w:w="799"/>
        <w:gridCol w:w="797"/>
        <w:gridCol w:w="798"/>
        <w:gridCol w:w="798"/>
        <w:gridCol w:w="798"/>
        <w:gridCol w:w="798"/>
        <w:gridCol w:w="794"/>
        <w:gridCol w:w="78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石家庄常</w:t>
            </w:r>
          </w:p>
        </w:tc>
      </w:tr>
      <w:tr>
        <w:trPr>
          <w:trHeight w:val="936"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3"/>
              <w:jc w:val="both"/>
              <w:rPr>
                <w:rFonts w:ascii="宋体" w:hAnsi="宋体" w:cs="宋体" w:eastAsia="宋体" w:hint="default"/>
                <w:sz w:val="18"/>
                <w:szCs w:val="18"/>
              </w:rPr>
            </w:pPr>
            <w:r>
              <w:rPr>
                <w:rFonts w:ascii="宋体" w:hAnsi="宋体" w:cs="宋体" w:eastAsia="宋体" w:hint="default"/>
                <w:sz w:val="18"/>
                <w:szCs w:val="18"/>
              </w:rPr>
              <w:t>山纺织集 团进出口 贸易有限</w:t>
            </w:r>
          </w:p>
        </w:tc>
        <w:tc>
          <w:tcPr>
            <w:tcW w:w="7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z w:val="18"/>
              </w:rPr>
              <w:t>1,918.96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z w:val="18"/>
              </w:rPr>
              <w:t>0.29%</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1918.96</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30" w:right="26"/>
              <w:jc w:val="both"/>
              <w:rPr>
                <w:rFonts w:ascii="宋体" w:hAnsi="宋体" w:cs="宋体" w:eastAsia="宋体" w:hint="default"/>
                <w:sz w:val="18"/>
                <w:szCs w:val="18"/>
              </w:rPr>
            </w:pPr>
            <w:r>
              <w:rPr>
                <w:rFonts w:ascii="宋体" w:hAnsi="宋体" w:cs="宋体" w:eastAsia="宋体" w:hint="default"/>
                <w:sz w:val="18"/>
                <w:szCs w:val="18"/>
              </w:rPr>
              <w:t>山纺织股 份有限公 司日常生</w:t>
            </w:r>
          </w:p>
        </w:tc>
      </w:tr>
      <w:tr>
        <w:trPr>
          <w:trHeight w:val="357"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产经营关</w:t>
            </w:r>
          </w:p>
        </w:tc>
      </w:tr>
      <w:tr>
        <w:trPr>
          <w:trHeight w:val="1248"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石家庄常 山纺织贸 易有限责 任公司</w:t>
            </w: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1,295.13</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0.20%</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1295.13</w:t>
            </w: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联交易公</w:t>
            </w:r>
          </w:p>
          <w:p>
            <w:pPr>
              <w:pStyle w:val="TableParagraph"/>
              <w:spacing w:line="338" w:lineRule="auto" w:before="76"/>
              <w:ind w:left="30"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告、公告 编号： </w:t>
            </w:r>
            <w:r>
              <w:rPr>
                <w:rFonts w:ascii="Times New Roman" w:hAnsi="Times New Roman" w:cs="Times New Roman" w:eastAsia="Times New Roman" w:hint="default"/>
                <w:sz w:val="18"/>
                <w:szCs w:val="18"/>
              </w:rPr>
              <w:t>2014-008</w:t>
            </w:r>
          </w:p>
        </w:tc>
      </w:tr>
      <w:tr>
        <w:trPr>
          <w:trHeight w:val="90"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88" w:type="dxa"/>
            <w:vMerge w:val="restart"/>
            <w:tcBorders>
              <w:top w:val="nil" w:sz="6" w:space="0" w:color="auto"/>
              <w:left w:val="single" w:sz="4" w:space="0" w:color="000000"/>
              <w:right w:val="single" w:sz="4" w:space="0" w:color="000000"/>
            </w:tcBorders>
            <w:shd w:val="clear" w:color="auto" w:fill="C7EDCC"/>
          </w:tcPr>
          <w:p>
            <w:pPr>
              <w:pStyle w:val="TableParagraph"/>
              <w:spacing w:line="200" w:lineRule="exact"/>
              <w:ind w:left="30" w:right="0"/>
              <w:jc w:val="left"/>
              <w:rPr>
                <w:rFonts w:ascii="宋体" w:hAnsi="宋体" w:cs="宋体" w:eastAsia="宋体" w:hint="default"/>
                <w:sz w:val="18"/>
                <w:szCs w:val="18"/>
              </w:rPr>
            </w:pPr>
            <w:r>
              <w:rPr>
                <w:rFonts w:ascii="宋体" w:hAnsi="宋体" w:cs="宋体" w:eastAsia="宋体" w:hint="default"/>
                <w:sz w:val="18"/>
                <w:szCs w:val="18"/>
              </w:rPr>
              <w:t>、在《中</w:t>
            </w:r>
          </w:p>
        </w:tc>
      </w:tr>
      <w:tr>
        <w:trPr>
          <w:trHeight w:val="111"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88" w:type="dxa"/>
            <w:vMerge/>
            <w:tcBorders>
              <w:left w:val="single" w:sz="4" w:space="0" w:color="000000"/>
              <w:bottom w:val="nil" w:sz="6" w:space="0" w:color="auto"/>
              <w:right w:val="single" w:sz="4" w:space="0" w:color="000000"/>
            </w:tcBorders>
            <w:shd w:val="clear" w:color="auto" w:fill="C7EDCC"/>
          </w:tcPr>
          <w:p>
            <w:pPr/>
          </w:p>
        </w:tc>
      </w:tr>
      <w:tr>
        <w:trPr>
          <w:trHeight w:val="1227"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181" w:lineRule="exact"/>
              <w:ind w:left="22" w:right="0"/>
              <w:jc w:val="both"/>
              <w:rPr>
                <w:rFonts w:ascii="宋体" w:hAnsi="宋体" w:cs="宋体" w:eastAsia="宋体" w:hint="default"/>
                <w:sz w:val="18"/>
                <w:szCs w:val="18"/>
              </w:rPr>
            </w:pPr>
            <w:r>
              <w:rPr>
                <w:rFonts w:ascii="宋体" w:hAnsi="宋体" w:cs="宋体" w:eastAsia="宋体" w:hint="default"/>
                <w:sz w:val="18"/>
                <w:szCs w:val="18"/>
              </w:rPr>
              <w:t>石家庄常</w:t>
            </w:r>
          </w:p>
          <w:p>
            <w:pPr>
              <w:pStyle w:val="TableParagraph"/>
              <w:spacing w:line="319" w:lineRule="auto" w:before="75"/>
              <w:ind w:left="22" w:right="43"/>
              <w:jc w:val="both"/>
              <w:rPr>
                <w:rFonts w:ascii="宋体" w:hAnsi="宋体" w:cs="宋体" w:eastAsia="宋体" w:hint="default"/>
                <w:sz w:val="18"/>
                <w:szCs w:val="18"/>
              </w:rPr>
            </w:pPr>
            <w:r>
              <w:rPr>
                <w:rFonts w:ascii="宋体" w:hAnsi="宋体" w:cs="宋体" w:eastAsia="宋体" w:hint="default"/>
                <w:sz w:val="18"/>
                <w:szCs w:val="18"/>
              </w:rPr>
              <w:t>山纺织集 团供销公 司</w:t>
            </w: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2,074.92</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0.32%</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2074.92</w:t>
            </w: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76"/>
              <w:ind w:left="24" w:right="20" w:firstLine="96"/>
              <w:jc w:val="left"/>
              <w:rPr>
                <w:rFonts w:ascii="宋体" w:hAnsi="宋体" w:cs="宋体" w:eastAsia="宋体" w:hint="default"/>
                <w:sz w:val="18"/>
                <w:szCs w:val="18"/>
              </w:rPr>
            </w:pPr>
            <w:r>
              <w:rPr>
                <w:rFonts w:ascii="宋体" w:hAnsi="宋体" w:cs="宋体" w:eastAsia="宋体" w:hint="default"/>
                <w:sz w:val="18"/>
                <w:szCs w:val="18"/>
              </w:rPr>
              <w:t>国证券 </w:t>
            </w:r>
            <w:r>
              <w:rPr>
                <w:rFonts w:ascii="宋体" w:hAnsi="宋体" w:cs="宋体" w:eastAsia="宋体" w:hint="default"/>
                <w:spacing w:val="-34"/>
                <w:sz w:val="18"/>
                <w:szCs w:val="18"/>
              </w:rPr>
              <w:t>报》和《证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券时报》 及巨潮资</w:t>
            </w:r>
          </w:p>
        </w:tc>
      </w:tr>
      <w:tr>
        <w:trPr>
          <w:trHeight w:val="66"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88" w:type="dxa"/>
            <w:vMerge/>
            <w:tcBorders>
              <w:left w:val="single" w:sz="4" w:space="0" w:color="000000"/>
              <w:bottom w:val="nil" w:sz="6" w:space="0" w:color="auto"/>
              <w:right w:val="single" w:sz="4" w:space="0" w:color="000000"/>
            </w:tcBorders>
            <w:shd w:val="clear" w:color="auto" w:fill="C7EDCC"/>
          </w:tcPr>
          <w:p>
            <w:pPr/>
          </w:p>
        </w:tc>
      </w:tr>
      <w:tr>
        <w:trPr>
          <w:trHeight w:val="311"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799" w:type="dxa"/>
            <w:tcBorders>
              <w:top w:val="nil" w:sz="6" w:space="0" w:color="auto"/>
              <w:left w:val="single" w:sz="4" w:space="0" w:color="000000"/>
              <w:bottom w:val="nil" w:sz="6" w:space="0" w:color="auto"/>
              <w:right w:val="single" w:sz="4" w:space="0" w:color="000000"/>
            </w:tcBorders>
            <w:shd w:val="clear" w:color="auto" w:fill="C7EDCC"/>
          </w:tcPr>
          <w:p>
            <w:pPr/>
          </w:p>
        </w:tc>
        <w:tc>
          <w:tcPr>
            <w:tcW w:w="798" w:type="dxa"/>
            <w:tcBorders>
              <w:top w:val="nil" w:sz="6" w:space="0" w:color="auto"/>
              <w:left w:val="single" w:sz="4" w:space="0" w:color="000000"/>
              <w:bottom w:val="nil" w:sz="6" w:space="0" w:color="auto"/>
              <w:right w:val="single" w:sz="4" w:space="0" w:color="000000"/>
            </w:tcBorders>
            <w:shd w:val="clear" w:color="auto" w:fill="C7EDCC"/>
          </w:tcPr>
          <w:p>
            <w:pPr/>
          </w:p>
        </w:tc>
        <w:tc>
          <w:tcPr>
            <w:tcW w:w="805" w:type="dxa"/>
            <w:tcBorders>
              <w:top w:val="nil" w:sz="6" w:space="0" w:color="auto"/>
              <w:left w:val="single" w:sz="4" w:space="0" w:color="000000"/>
              <w:bottom w:val="nil" w:sz="6" w:space="0" w:color="auto"/>
              <w:right w:val="single" w:sz="4" w:space="0" w:color="000000"/>
            </w:tcBorders>
            <w:shd w:val="clear" w:color="auto" w:fill="C7EDCC"/>
          </w:tcPr>
          <w:p>
            <w:pPr/>
          </w:p>
        </w:tc>
        <w:tc>
          <w:tcPr>
            <w:tcW w:w="799" w:type="dxa"/>
            <w:tcBorders>
              <w:top w:val="nil" w:sz="6" w:space="0" w:color="auto"/>
              <w:left w:val="single" w:sz="4" w:space="0" w:color="000000"/>
              <w:bottom w:val="nil" w:sz="6" w:space="0" w:color="auto"/>
              <w:right w:val="single" w:sz="4" w:space="0" w:color="000000"/>
            </w:tcBorders>
            <w:shd w:val="clear" w:color="auto" w:fill="C7EDCC"/>
          </w:tcPr>
          <w:p>
            <w:pPr/>
          </w:p>
        </w:tc>
        <w:tc>
          <w:tcPr>
            <w:tcW w:w="797" w:type="dxa"/>
            <w:tcBorders>
              <w:top w:val="nil" w:sz="6" w:space="0" w:color="auto"/>
              <w:left w:val="single" w:sz="4" w:space="0" w:color="000000"/>
              <w:bottom w:val="nil" w:sz="6" w:space="0" w:color="auto"/>
              <w:right w:val="single" w:sz="4" w:space="0" w:color="000000"/>
            </w:tcBorders>
            <w:shd w:val="clear" w:color="auto" w:fill="C7EDCC"/>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shd w:val="clear" w:color="auto" w:fill="C7EDCC"/>
          </w:tcPr>
          <w:p>
            <w:pPr/>
          </w:p>
        </w:tc>
        <w:tc>
          <w:tcPr>
            <w:tcW w:w="798" w:type="dxa"/>
            <w:tcBorders>
              <w:top w:val="nil" w:sz="6" w:space="0" w:color="auto"/>
              <w:left w:val="single" w:sz="4" w:space="0" w:color="000000"/>
              <w:bottom w:val="nil" w:sz="6" w:space="0" w:color="auto"/>
              <w:right w:val="single" w:sz="4" w:space="0" w:color="000000"/>
            </w:tcBorders>
            <w:shd w:val="clear" w:color="auto" w:fill="C7EDCC"/>
          </w:tcPr>
          <w:p>
            <w:pPr/>
          </w:p>
        </w:tc>
        <w:tc>
          <w:tcPr>
            <w:tcW w:w="794"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讯网</w:t>
            </w:r>
          </w:p>
        </w:tc>
      </w:tr>
      <w:tr>
        <w:trPr>
          <w:trHeight w:val="942"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山纺织集 团经编实 业有限公</w:t>
            </w:r>
          </w:p>
        </w:tc>
        <w:tc>
          <w:tcPr>
            <w:tcW w:w="7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46"/>
              <w:ind w:left="22" w:right="44"/>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730.59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730.59</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28" w:lineRule="auto" w:before="31"/>
              <w:ind w:left="92" w:right="46" w:hanging="4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ninfo.co m.cn</w:t>
            </w:r>
            <w:r>
              <w:rPr>
                <w:rFonts w:ascii="宋体" w:hAnsi="宋体" w:cs="宋体" w:eastAsia="宋体" w:hint="default"/>
                <w:sz w:val="18"/>
                <w:szCs w:val="18"/>
              </w:rPr>
              <w:t>）</w:t>
            </w:r>
          </w:p>
        </w:tc>
      </w:tr>
      <w:tr>
        <w:trPr>
          <w:trHeight w:val="330"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石家庄常 山纺织集 团供销公 司</w:t>
            </w:r>
          </w:p>
        </w:tc>
        <w:tc>
          <w:tcPr>
            <w:tcW w:w="7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692.73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7"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5" w:type="dxa"/>
            <w:tcBorders>
              <w:top w:val="single" w:sz="4" w:space="0" w:color="000000"/>
              <w:left w:val="single" w:sz="4" w:space="0" w:color="000000"/>
              <w:bottom w:val="nil" w:sz="6" w:space="0" w:color="auto"/>
              <w:right w:val="single" w:sz="4" w:space="0" w:color="000000"/>
            </w:tcBorders>
            <w:shd w:val="clear" w:color="auto" w:fill="C7EDCC"/>
          </w:tcPr>
          <w:p>
            <w:pPr/>
          </w:p>
        </w:tc>
        <w:tc>
          <w:tcPr>
            <w:tcW w:w="79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937"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3"/>
              <w:jc w:val="both"/>
              <w:rPr>
                <w:rFonts w:ascii="宋体" w:hAnsi="宋体" w:cs="宋体" w:eastAsia="宋体" w:hint="default"/>
                <w:sz w:val="18"/>
                <w:szCs w:val="18"/>
              </w:rPr>
            </w:pPr>
            <w:r>
              <w:rPr>
                <w:rFonts w:ascii="宋体" w:hAnsi="宋体" w:cs="宋体" w:eastAsia="宋体" w:hint="default"/>
                <w:sz w:val="18"/>
                <w:szCs w:val="18"/>
              </w:rPr>
              <w:t>山纺织集 团进出口 贸易有限</w:t>
            </w:r>
          </w:p>
        </w:tc>
        <w:tc>
          <w:tcPr>
            <w:tcW w:w="7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z w:val="18"/>
              </w:rPr>
              <w:t>2,261.44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z w:val="18"/>
              </w:rPr>
              <w:t>0.46%</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2261.44</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6"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5" w:type="dxa"/>
            <w:tcBorders>
              <w:top w:val="nil" w:sz="6" w:space="0" w:color="auto"/>
              <w:left w:val="single" w:sz="4" w:space="0" w:color="000000"/>
              <w:bottom w:val="single" w:sz="4" w:space="0" w:color="000000"/>
              <w:right w:val="single" w:sz="4" w:space="0" w:color="000000"/>
            </w:tcBorders>
            <w:shd w:val="clear" w:color="auto" w:fill="C7EDCC"/>
          </w:tcPr>
          <w:p>
            <w:pPr/>
          </w:p>
        </w:tc>
        <w:tc>
          <w:tcPr>
            <w:tcW w:w="79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9"/>
        <w:gridCol w:w="798"/>
        <w:gridCol w:w="805"/>
        <w:gridCol w:w="799"/>
        <w:gridCol w:w="797"/>
        <w:gridCol w:w="798"/>
        <w:gridCol w:w="798"/>
        <w:gridCol w:w="798"/>
        <w:gridCol w:w="798"/>
        <w:gridCol w:w="794"/>
        <w:gridCol w:w="788"/>
      </w:tblGrid>
      <w:tr>
        <w:trPr>
          <w:trHeight w:val="1650"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石家庄常 山纺织集 团第四实 业有限公 司</w:t>
            </w:r>
          </w:p>
        </w:tc>
        <w:tc>
          <w:tcPr>
            <w:tcW w:w="7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82.91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vMerge w:val="restart"/>
            <w:tcBorders>
              <w:top w:val="nil" w:sz="6" w:space="0" w:color="auto"/>
              <w:left w:val="single" w:sz="4" w:space="0" w:color="000000"/>
              <w:right w:val="single" w:sz="4" w:space="0" w:color="000000"/>
            </w:tcBorders>
            <w:shd w:val="clear" w:color="auto" w:fill="C7EDCC"/>
          </w:tcPr>
          <w:p>
            <w:pPr/>
          </w:p>
        </w:tc>
      </w:tr>
      <w:tr>
        <w:trPr>
          <w:trHeight w:val="1650"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石家庄常 山纺织集 团经编实 业有限公 司</w:t>
            </w:r>
          </w:p>
        </w:tc>
        <w:tc>
          <w:tcPr>
            <w:tcW w:w="7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2,537.97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2537.97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vMerge/>
            <w:tcBorders>
              <w:left w:val="single" w:sz="4" w:space="0" w:color="000000"/>
              <w:right w:val="single" w:sz="4" w:space="0" w:color="000000"/>
            </w:tcBorders>
            <w:shd w:val="clear" w:color="auto" w:fill="C7EDCC"/>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石家庄常 山纺织贸 易有限责 任公司</w:t>
            </w:r>
          </w:p>
        </w:tc>
        <w:tc>
          <w:tcPr>
            <w:tcW w:w="7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1,257.97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0.26%</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1257.97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12,852.62</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1"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 w:right="36"/>
              <w:jc w:val="left"/>
              <w:rPr>
                <w:rFonts w:ascii="宋体" w:hAnsi="宋体" w:cs="宋体" w:eastAsia="宋体" w:hint="default"/>
                <w:sz w:val="18"/>
                <w:szCs w:val="18"/>
              </w:rPr>
            </w:pPr>
            <w:r>
              <w:rPr>
                <w:rFonts w:ascii="宋体" w:hAnsi="宋体" w:cs="宋体" w:eastAsia="宋体" w:hint="default"/>
                <w:sz w:val="18"/>
                <w:szCs w:val="18"/>
              </w:rPr>
              <w:t>公司向上述关联方采购公司生产所需原材料及销售棉纱、坯布，属于正常的上下 游产业链贸易，符合本公司业务特点及业务发展的需要，关联交易将持续存在。</w:t>
            </w:r>
          </w:p>
        </w:tc>
      </w:tr>
      <w:tr>
        <w:trPr>
          <w:trHeight w:val="161" w:hRule="exact"/>
        </w:trPr>
        <w:tc>
          <w:tcPr>
            <w:tcW w:w="3200"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371" w:type="dxa"/>
            <w:gridSpan w:val="8"/>
            <w:vMerge w:val="restart"/>
            <w:tcBorders>
              <w:top w:val="single" w:sz="4" w:space="0" w:color="000000"/>
              <w:left w:val="single" w:sz="10" w:space="0" w:color="D3D3D3"/>
              <w:right w:val="single" w:sz="4" w:space="0" w:color="000000"/>
            </w:tcBorders>
            <w:shd w:val="clear" w:color="auto" w:fill="C7EDCC"/>
          </w:tcPr>
          <w:p>
            <w:pPr>
              <w:pStyle w:val="TableParagraph"/>
              <w:spacing w:line="316" w:lineRule="auto" w:before="51"/>
              <w:ind w:left="15" w:right="36"/>
              <w:jc w:val="left"/>
              <w:rPr>
                <w:rFonts w:ascii="宋体" w:hAnsi="宋体" w:cs="宋体" w:eastAsia="宋体" w:hint="default"/>
                <w:sz w:val="18"/>
                <w:szCs w:val="18"/>
              </w:rPr>
            </w:pPr>
            <w:r>
              <w:rPr>
                <w:rFonts w:ascii="宋体" w:hAnsi="宋体" w:cs="宋体" w:eastAsia="宋体" w:hint="default"/>
                <w:sz w:val="18"/>
                <w:szCs w:val="18"/>
              </w:rPr>
              <w:t>上述关联交易遵循了有偿公平、自愿的商业原则，关联交易定价公允，对公司和 全体股东而言是公平合理的，不影响公司的独立性。</w:t>
            </w:r>
          </w:p>
        </w:tc>
      </w:tr>
      <w:tr>
        <w:trPr>
          <w:trHeight w:val="392" w:hRule="exact"/>
        </w:trPr>
        <w:tc>
          <w:tcPr>
            <w:tcW w:w="3200"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1" w:type="dxa"/>
            <w:gridSpan w:val="8"/>
            <w:vMerge/>
            <w:tcBorders>
              <w:left w:val="single" w:sz="10" w:space="0" w:color="D3D3D3"/>
              <w:right w:val="single" w:sz="4" w:space="0" w:color="000000"/>
            </w:tcBorders>
            <w:shd w:val="clear" w:color="auto" w:fill="C7EDCC"/>
          </w:tcPr>
          <w:p>
            <w:pPr/>
          </w:p>
        </w:tc>
      </w:tr>
      <w:tr>
        <w:trPr>
          <w:trHeight w:val="161" w:hRule="exact"/>
        </w:trPr>
        <w:tc>
          <w:tcPr>
            <w:tcW w:w="3200"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371" w:type="dxa"/>
            <w:gridSpan w:val="8"/>
            <w:vMerge/>
            <w:tcBorders>
              <w:left w:val="single" w:sz="10" w:space="0" w:color="D3D3D3"/>
              <w:bottom w:val="single" w:sz="4" w:space="0" w:color="000000"/>
              <w:right w:val="single" w:sz="4" w:space="0" w:color="000000"/>
            </w:tcBorders>
            <w:shd w:val="clear" w:color="auto" w:fill="C7EDCC"/>
          </w:tcPr>
          <w:p>
            <w:pP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71"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关联交易占公司采购、销售额的比例较小，不会对其构成依赖。</w:t>
            </w:r>
          </w:p>
        </w:tc>
      </w:tr>
      <w:tr>
        <w:trPr>
          <w:trHeight w:val="161" w:hRule="exact"/>
        </w:trPr>
        <w:tc>
          <w:tcPr>
            <w:tcW w:w="3200"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371" w:type="dxa"/>
            <w:gridSpan w:val="8"/>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1"/>
              <w:ind w:left="15"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年年度股东大会审议通过与常山集团签署</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年度日常生产经营 </w:t>
            </w:r>
            <w:r>
              <w:rPr>
                <w:rFonts w:ascii="宋体" w:hAnsi="宋体" w:cs="宋体" w:eastAsia="宋体" w:hint="default"/>
                <w:spacing w:val="-3"/>
                <w:sz w:val="18"/>
                <w:szCs w:val="18"/>
              </w:rPr>
              <w:t>关联交易协议的议案，</w:t>
            </w:r>
            <w:r>
              <w:rPr>
                <w:rFonts w:ascii="Times New Roman" w:hAnsi="Times New Roman" w:cs="Times New Roman" w:eastAsia="Times New Roman" w:hint="default"/>
                <w:spacing w:val="-3"/>
                <w:sz w:val="18"/>
                <w:szCs w:val="18"/>
              </w:rPr>
              <w:t>2014 </w:t>
            </w:r>
            <w:r>
              <w:rPr>
                <w:rFonts w:ascii="宋体" w:hAnsi="宋体" w:cs="宋体" w:eastAsia="宋体" w:hint="default"/>
                <w:sz w:val="18"/>
                <w:szCs w:val="18"/>
              </w:rPr>
              <w:t>年度预计销售商品发生关联交易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万元，购买商</w:t>
            </w:r>
            <w:r>
              <w:rPr>
                <w:rFonts w:ascii="宋体" w:hAnsi="宋体" w:cs="宋体" w:eastAsia="宋体" w:hint="default"/>
                <w:sz w:val="18"/>
                <w:szCs w:val="18"/>
              </w:rPr>
              <w:t> 品发生关联交易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  </w:t>
            </w:r>
            <w:r>
              <w:rPr>
                <w:rFonts w:ascii="宋体" w:hAnsi="宋体" w:cs="宋体" w:eastAsia="宋体" w:hint="default"/>
                <w:sz w:val="18"/>
                <w:szCs w:val="18"/>
              </w:rPr>
              <w:t>万元，本报告期内实际发生销售商品关联交易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6,019.60</w:t>
            </w:r>
          </w:p>
          <w:p>
            <w:pPr>
              <w:pStyle w:val="TableParagraph"/>
              <w:spacing w:line="240" w:lineRule="auto" w:before="14"/>
              <w:ind w:left="15" w:right="0"/>
              <w:jc w:val="both"/>
              <w:rPr>
                <w:rFonts w:ascii="宋体" w:hAnsi="宋体" w:cs="宋体" w:eastAsia="宋体" w:hint="default"/>
                <w:sz w:val="18"/>
                <w:szCs w:val="18"/>
              </w:rPr>
            </w:pPr>
            <w:r>
              <w:rPr>
                <w:rFonts w:ascii="宋体" w:hAnsi="宋体" w:cs="宋体" w:eastAsia="宋体" w:hint="default"/>
                <w:sz w:val="18"/>
                <w:szCs w:val="18"/>
              </w:rPr>
              <w:t>万元，发生购买商品关联交易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6,833.02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万元，在股东大会授权范围内。</w:t>
            </w:r>
          </w:p>
        </w:tc>
      </w:tr>
      <w:tr>
        <w:trPr>
          <w:trHeight w:val="1016" w:hRule="exact"/>
        </w:trPr>
        <w:tc>
          <w:tcPr>
            <w:tcW w:w="3200"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1" w:type="dxa"/>
            <w:gridSpan w:val="8"/>
            <w:vMerge/>
            <w:tcBorders>
              <w:left w:val="single" w:sz="10" w:space="0" w:color="D3D3D3"/>
              <w:right w:val="single" w:sz="4" w:space="0" w:color="000000"/>
            </w:tcBorders>
            <w:shd w:val="clear" w:color="auto" w:fill="C7EDCC"/>
          </w:tcPr>
          <w:p>
            <w:pPr/>
          </w:p>
        </w:tc>
      </w:tr>
      <w:tr>
        <w:trPr>
          <w:trHeight w:val="161" w:hRule="exact"/>
        </w:trPr>
        <w:tc>
          <w:tcPr>
            <w:tcW w:w="3200"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371" w:type="dxa"/>
            <w:gridSpan w:val="8"/>
            <w:vMerge/>
            <w:tcBorders>
              <w:left w:val="single" w:sz="10" w:space="0" w:color="D3D3D3"/>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891"/>
        <w:jc w:val="left"/>
      </w:pPr>
      <w:r>
        <w:rPr/>
        <w:t>√ 适用 □ 不适用 是否存在非经营性关联债权债务往来</w:t>
      </w:r>
    </w:p>
    <w:p>
      <w:pPr>
        <w:pStyle w:val="BodyText"/>
        <w:spacing w:line="240" w:lineRule="auto" w:before="29"/>
        <w:ind w:left="153" w:right="0"/>
        <w:jc w:val="left"/>
      </w:pPr>
      <w:r>
        <w:rPr/>
        <w:t>□ 是 √ 否</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公司报告期不存在非经营性关联债权债务往来。</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3"/>
        <w:gridCol w:w="942"/>
        <w:gridCol w:w="932"/>
        <w:gridCol w:w="1212"/>
        <w:gridCol w:w="1176"/>
        <w:gridCol w:w="1093"/>
        <w:gridCol w:w="1016"/>
        <w:gridCol w:w="806"/>
        <w:gridCol w:w="786"/>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0"/>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0"/>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18,234.03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92"/>
        <w:gridCol w:w="936"/>
        <w:gridCol w:w="938"/>
        <w:gridCol w:w="1212"/>
        <w:gridCol w:w="1176"/>
        <w:gridCol w:w="1082"/>
        <w:gridCol w:w="1028"/>
        <w:gridCol w:w="806"/>
        <w:gridCol w:w="786"/>
      </w:tblGrid>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11" w:right="128"/>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30,434.23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11" w:right="128"/>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4"/>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1" w:type="dxa"/>
            <w:gridSpan w:val="2"/>
            <w:tcBorders>
              <w:top w:val="single" w:sz="4" w:space="0" w:color="000000"/>
              <w:left w:val="single" w:sz="10" w:space="0" w:color="D3D3D3"/>
              <w:bottom w:val="single" w:sz="4" w:space="0" w:color="000000"/>
              <w:right w:val="single" w:sz="10"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74,000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48,668.26</w:t>
            </w:r>
          </w:p>
        </w:tc>
      </w:tr>
      <w:tr>
        <w:trPr>
          <w:trHeight w:val="714" w:hRule="exact"/>
        </w:trPr>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4"/>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1" w:type="dxa"/>
            <w:gridSpan w:val="2"/>
            <w:tcBorders>
              <w:top w:val="single" w:sz="4" w:space="0" w:color="000000"/>
              <w:left w:val="single" w:sz="10" w:space="0" w:color="D3D3D3"/>
              <w:bottom w:val="single" w:sz="4" w:space="0" w:color="000000"/>
              <w:right w:val="single" w:sz="10"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134,000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48,668.26</w:t>
            </w:r>
          </w:p>
        </w:tc>
      </w:tr>
      <w:tr>
        <w:trPr>
          <w:trHeight w:val="402"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1" w:type="dxa"/>
            <w:gridSpan w:val="2"/>
            <w:tcBorders>
              <w:top w:val="single" w:sz="4" w:space="0" w:color="000000"/>
              <w:left w:val="single" w:sz="10" w:space="0" w:color="D3D3D3"/>
              <w:bottom w:val="single" w:sz="4" w:space="0" w:color="000000"/>
              <w:right w:val="single" w:sz="10"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74,000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2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48,668.26</w:t>
            </w:r>
          </w:p>
        </w:tc>
      </w:tr>
      <w:tr>
        <w:trPr>
          <w:trHeight w:val="714" w:hRule="exact"/>
        </w:trPr>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1" w:type="dxa"/>
            <w:gridSpan w:val="2"/>
            <w:tcBorders>
              <w:top w:val="single" w:sz="4" w:space="0" w:color="000000"/>
              <w:left w:val="single" w:sz="10" w:space="0" w:color="D3D3D3"/>
              <w:bottom w:val="single" w:sz="4" w:space="0" w:color="000000"/>
              <w:right w:val="single" w:sz="10"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134,000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2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48,668.26</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19.68%</w:t>
            </w:r>
          </w:p>
        </w:tc>
      </w:tr>
      <w:tr>
        <w:trPr>
          <w:trHeight w:val="402"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4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gridSpan w:val="5"/>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8" w:type="dxa"/>
            <w:gridSpan w:val="5"/>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418"/>
        <w:jc w:val="left"/>
        <w:rPr>
          <w:b w:val="0"/>
          <w:bCs w:val="0"/>
        </w:rPr>
      </w:pP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18"/>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69"/>
        <w:gridCol w:w="1080"/>
        <w:gridCol w:w="1080"/>
        <w:gridCol w:w="884"/>
        <w:gridCol w:w="895"/>
        <w:gridCol w:w="2900"/>
      </w:tblGrid>
      <w:tr>
        <w:trPr>
          <w:trHeight w:val="402" w:hRule="exact"/>
        </w:trPr>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080" w:type="dxa"/>
            <w:tcBorders>
              <w:top w:val="single" w:sz="4" w:space="0" w:color="000000"/>
              <w:left w:val="single" w:sz="10" w:space="0" w:color="D3D3D3"/>
              <w:bottom w:val="single" w:sz="4" w:space="0" w:color="000000"/>
              <w:right w:val="single" w:sz="4" w:space="0" w:color="000000"/>
            </w:tcBorders>
            <w:shd w:val="clear" w:color="auto" w:fill="C7EDC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90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5"/>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080" w:type="dxa"/>
            <w:tcBorders>
              <w:top w:val="single" w:sz="4" w:space="0" w:color="000000"/>
              <w:left w:val="single" w:sz="10" w:space="0" w:color="D3D3D3"/>
              <w:bottom w:val="single" w:sz="4" w:space="0" w:color="000000"/>
              <w:right w:val="single" w:sz="4" w:space="0" w:color="000000"/>
            </w:tcBorders>
            <w:shd w:val="clear" w:color="auto" w:fill="C7EDC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90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080" w:type="dxa"/>
            <w:tcBorders>
              <w:top w:val="single" w:sz="4" w:space="0" w:color="000000"/>
              <w:left w:val="single" w:sz="10" w:space="0" w:color="D3D3D3"/>
              <w:bottom w:val="single" w:sz="4" w:space="0" w:color="000000"/>
              <w:right w:val="single" w:sz="4" w:space="0" w:color="000000"/>
            </w:tcBorders>
            <w:shd w:val="clear" w:color="auto" w:fill="C7EDC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90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080" w:type="dxa"/>
            <w:tcBorders>
              <w:top w:val="single" w:sz="4" w:space="0" w:color="000000"/>
              <w:left w:val="single" w:sz="10" w:space="0" w:color="D3D3D3"/>
              <w:bottom w:val="single" w:sz="4" w:space="0" w:color="000000"/>
              <w:right w:val="single" w:sz="4" w:space="0" w:color="000000"/>
            </w:tcBorders>
            <w:shd w:val="clear" w:color="auto" w:fill="C7EDC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90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2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宋体" w:hAnsi="宋体" w:cs="宋体" w:eastAsia="宋体" w:hint="default"/>
                <w:sz w:val="18"/>
                <w:szCs w:val="18"/>
              </w:rPr>
              <w:t>公司董事会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棉三分公司 厂区土地交 付</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年二 季度</w:t>
            </w:r>
          </w:p>
        </w:tc>
        <w:tc>
          <w:tcPr>
            <w:tcW w:w="2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r>
      <w:tr>
        <w:trPr>
          <w:trHeight w:val="347" w:hRule="exact"/>
        </w:trPr>
        <w:tc>
          <w:tcPr>
            <w:tcW w:w="2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080" w:type="dxa"/>
            <w:vMerge w:val="restart"/>
            <w:tcBorders>
              <w:top w:val="single" w:sz="4" w:space="0" w:color="000000"/>
              <w:left w:val="single" w:sz="10" w:space="0" w:color="D3D3D3"/>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080" w:type="dxa"/>
            <w:vMerge w:val="restart"/>
            <w:tcBorders>
              <w:top w:val="single" w:sz="4" w:space="0" w:color="000000"/>
              <w:left w:val="single" w:sz="4" w:space="0" w:color="000000"/>
              <w:right w:val="single" w:sz="4" w:space="0" w:color="000000"/>
            </w:tcBorders>
            <w:shd w:val="clear" w:color="auto" w:fill="C7EDCC"/>
          </w:tcPr>
          <w:p>
            <w:pPr>
              <w:pStyle w:val="TableParagraph"/>
              <w:spacing w:line="312"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年底完 成公司棉四 分公司厂区 土地的出让</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w:t>
            </w:r>
          </w:p>
        </w:tc>
        <w:tc>
          <w:tcPr>
            <w:tcW w:w="29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已经董事会五届二十次和二零一五 年第一次临时股东大会批准豁免履 行</w:t>
            </w:r>
          </w:p>
        </w:tc>
      </w:tr>
      <w:tr>
        <w:trPr>
          <w:trHeight w:val="991" w:hRule="exact"/>
        </w:trPr>
        <w:tc>
          <w:tcPr>
            <w:tcW w:w="2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vMerge/>
            <w:tcBorders>
              <w:left w:val="single" w:sz="10" w:space="0" w:color="D3D3D3"/>
              <w:bottom w:val="single" w:sz="4" w:space="0" w:color="000000"/>
              <w:right w:val="single" w:sz="4" w:space="0" w:color="000000"/>
            </w:tcBorders>
            <w:shd w:val="clear" w:color="auto" w:fill="C7EDCC"/>
          </w:tcPr>
          <w:p>
            <w:pPr/>
          </w:p>
        </w:tc>
        <w:tc>
          <w:tcPr>
            <w:tcW w:w="1080" w:type="dxa"/>
            <w:vMerge/>
            <w:tcBorders>
              <w:left w:val="single" w:sz="4" w:space="0" w:color="000000"/>
              <w:bottom w:val="single" w:sz="4" w:space="0" w:color="000000"/>
              <w:right w:val="single" w:sz="4" w:space="0" w:color="000000"/>
            </w:tcBorders>
            <w:shd w:val="clear" w:color="auto" w:fill="C7EDCC"/>
          </w:tcPr>
          <w:p>
            <w:pPr/>
          </w:p>
        </w:tc>
        <w:tc>
          <w:tcPr>
            <w:tcW w:w="884"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shd w:val="clear" w:color="auto" w:fill="C7EDCC"/>
          </w:tcPr>
          <w:p>
            <w:pPr/>
          </w:p>
        </w:tc>
        <w:tc>
          <w:tcPr>
            <w:tcW w:w="2900"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840"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6" w:hRule="exact"/>
        </w:trPr>
        <w:tc>
          <w:tcPr>
            <w:tcW w:w="2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gridSpan w:val="5"/>
            <w:vMerge w:val="restart"/>
            <w:tcBorders>
              <w:top w:val="single" w:sz="4" w:space="0" w:color="000000"/>
              <w:left w:val="single" w:sz="10" w:space="0" w:color="D3D3D3"/>
              <w:right w:val="single" w:sz="4" w:space="0" w:color="000000"/>
            </w:tcBorders>
            <w:shd w:val="clear" w:color="auto" w:fill="C7EDCC"/>
          </w:tcPr>
          <w:p>
            <w:pPr>
              <w:pStyle w:val="TableParagraph"/>
              <w:spacing w:line="319" w:lineRule="auto" w:before="51"/>
              <w:ind w:left="15" w:right="23" w:firstLine="360"/>
              <w:jc w:val="left"/>
              <w:rPr>
                <w:rFonts w:ascii="宋体" w:hAnsi="宋体" w:cs="宋体" w:eastAsia="宋体" w:hint="default"/>
                <w:sz w:val="18"/>
                <w:szCs w:val="18"/>
              </w:rPr>
            </w:pPr>
            <w:r>
              <w:rPr>
                <w:rFonts w:ascii="宋体" w:hAnsi="宋体" w:cs="宋体" w:eastAsia="宋体" w:hint="default"/>
                <w:spacing w:val="-2"/>
                <w:sz w:val="18"/>
                <w:szCs w:val="18"/>
              </w:rPr>
              <w:t>公司当时承诺棉四分公司土地出让时间超出了公司的控制范围，承诺出让时间不够</w:t>
            </w:r>
            <w:r>
              <w:rPr>
                <w:rFonts w:ascii="宋体" w:hAnsi="宋体" w:cs="宋体" w:eastAsia="宋体" w:hint="default"/>
                <w:sz w:val="18"/>
                <w:szCs w:val="18"/>
              </w:rPr>
              <w:t> 严谨；市政府土地出让进程放缓，土地出让条件更加严格，相关承诺无法完成。</w:t>
            </w:r>
          </w:p>
          <w:p>
            <w:pPr>
              <w:pStyle w:val="TableParagraph"/>
              <w:spacing w:line="319" w:lineRule="auto" w:before="55"/>
              <w:ind w:left="15" w:right="23" w:firstLine="360"/>
              <w:jc w:val="left"/>
              <w:rPr>
                <w:rFonts w:ascii="宋体" w:hAnsi="宋体" w:cs="宋体" w:eastAsia="宋体" w:hint="default"/>
                <w:sz w:val="18"/>
                <w:szCs w:val="18"/>
              </w:rPr>
            </w:pPr>
            <w:r>
              <w:rPr>
                <w:rFonts w:ascii="宋体" w:hAnsi="宋体" w:cs="宋体" w:eastAsia="宋体" w:hint="default"/>
                <w:spacing w:val="-2"/>
                <w:sz w:val="18"/>
                <w:szCs w:val="18"/>
              </w:rPr>
              <w:t>公司将继续积极配合市政府和相关部门做好土地出让的各项工作，争取尽早出让变</w:t>
            </w:r>
            <w:r>
              <w:rPr>
                <w:rFonts w:ascii="宋体" w:hAnsi="宋体" w:cs="宋体" w:eastAsia="宋体" w:hint="default"/>
                <w:sz w:val="18"/>
                <w:szCs w:val="18"/>
              </w:rPr>
              <w:t> 现，实现土地价值，并根据进展情况及时履行公告义务。</w:t>
            </w:r>
          </w:p>
        </w:tc>
      </w:tr>
      <w:tr>
        <w:trPr>
          <w:trHeight w:val="705" w:hRule="exact"/>
        </w:trPr>
        <w:tc>
          <w:tcPr>
            <w:tcW w:w="2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145"/>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 划（如有）</w:t>
            </w:r>
          </w:p>
        </w:tc>
        <w:tc>
          <w:tcPr>
            <w:tcW w:w="6840" w:type="dxa"/>
            <w:gridSpan w:val="5"/>
            <w:vMerge/>
            <w:tcBorders>
              <w:left w:val="single" w:sz="10" w:space="0" w:color="D3D3D3"/>
              <w:right w:val="single" w:sz="4" w:space="0" w:color="000000"/>
            </w:tcBorders>
            <w:shd w:val="clear" w:color="auto" w:fill="C7EDCC"/>
          </w:tcPr>
          <w:p>
            <w:pPr/>
          </w:p>
        </w:tc>
      </w:tr>
      <w:tr>
        <w:trPr>
          <w:trHeight w:val="338" w:hRule="exact"/>
        </w:trPr>
        <w:tc>
          <w:tcPr>
            <w:tcW w:w="2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gridSpan w:val="5"/>
            <w:vMerge/>
            <w:tcBorders>
              <w:left w:val="single" w:sz="10" w:space="0" w:color="D3D3D3"/>
              <w:bottom w:val="single" w:sz="4" w:space="0" w:color="000000"/>
              <w:right w:val="single" w:sz="4" w:space="0" w:color="000000"/>
            </w:tcBorders>
            <w:shd w:val="clear" w:color="auto" w:fill="C7EDCC"/>
          </w:tcPr>
          <w:p>
            <w:pPr/>
          </w:p>
        </w:tc>
      </w:tr>
    </w:tbl>
    <w:p>
      <w:pPr>
        <w:spacing w:line="240" w:lineRule="auto" w:before="3"/>
        <w:rPr>
          <w:rFonts w:ascii="宋体" w:hAnsi="宋体" w:cs="宋体" w:eastAsia="宋体" w:hint="default"/>
          <w:sz w:val="19"/>
          <w:szCs w:val="19"/>
        </w:rPr>
      </w:pPr>
    </w:p>
    <w:p>
      <w:pPr>
        <w:pStyle w:val="Heading3"/>
        <w:spacing w:line="259" w:lineRule="auto" w:before="35"/>
        <w:ind w:right="91"/>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18"/>
        <w:jc w:val="left"/>
        <w:rPr>
          <w:b w:val="0"/>
          <w:bCs w:val="0"/>
        </w:rPr>
      </w:pPr>
      <w:r>
        <w:rPr/>
        <w:t>十、聘任、解聘会计师事务所情况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18"/>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858"/>
        <w:gridCol w:w="5682"/>
      </w:tblGrid>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王凤岐  杨海龙</w:t>
            </w:r>
          </w:p>
        </w:tc>
      </w:tr>
    </w:tbl>
    <w:p>
      <w:pPr>
        <w:pStyle w:val="BodyText"/>
        <w:spacing w:line="240" w:lineRule="auto" w:before="51"/>
        <w:ind w:right="418"/>
        <w:jc w:val="left"/>
      </w:pPr>
      <w:r>
        <w:rPr/>
        <w:t>当期是否改聘会计师事务所</w:t>
      </w:r>
    </w:p>
    <w:p>
      <w:pPr>
        <w:pStyle w:val="BodyText"/>
        <w:spacing w:line="338" w:lineRule="auto" w:before="117"/>
        <w:ind w:right="53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本年度，公司聘请中兴财光华会计师事务所（特殊普通合伙）为内部控制审计机构，支付报酬</w:t>
      </w:r>
      <w:r>
        <w:rPr>
          <w:rFonts w:ascii="Times New Roman" w:hAnsi="Times New Roman" w:cs="Times New Roman" w:eastAsia="Times New Roman" w:hint="default"/>
        </w:rPr>
        <w:t>35</w:t>
      </w:r>
      <w:r>
        <w:rPr/>
        <w:t>万元。</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十一、监事会、独立董事（如适用）对会计师事务所本报告期“非标准审计报告”的说明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931"/>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81" w:hanging="360"/>
        <w:jc w:val="left"/>
      </w:pPr>
      <w:r>
        <w:rPr/>
        <w:t>√ 适用 □ 不适用 公司拟向北明控股、万峰嘉晔、万峰嘉华、广发信德、合赢成长、西域至尚等</w:t>
      </w:r>
      <w:r>
        <w:rPr>
          <w:rFonts w:ascii="Times New Roman" w:hAnsi="Times New Roman" w:cs="Times New Roman" w:eastAsia="Times New Roman" w:hint="default"/>
        </w:rPr>
        <w:t>6</w:t>
      </w:r>
      <w:r>
        <w:rPr/>
        <w:t>家机构及李峰等</w:t>
      </w:r>
      <w:r>
        <w:rPr>
          <w:rFonts w:ascii="Times New Roman" w:hAnsi="Times New Roman" w:cs="Times New Roman" w:eastAsia="Times New Roman" w:hint="default"/>
        </w:rPr>
        <w:t>41</w:t>
      </w:r>
      <w:r>
        <w:rPr/>
        <w:t>名自然人发行股份购</w:t>
      </w:r>
    </w:p>
    <w:p>
      <w:pPr>
        <w:pStyle w:val="BodyText"/>
        <w:spacing w:line="214" w:lineRule="exact"/>
        <w:ind w:left="153" w:right="0"/>
        <w:jc w:val="both"/>
      </w:pPr>
      <w:r>
        <w:rPr/>
        <w:t>买其持有的北明软件</w:t>
      </w:r>
      <w:r>
        <w:rPr>
          <w:rFonts w:ascii="Times New Roman" w:hAnsi="Times New Roman" w:cs="Times New Roman" w:eastAsia="Times New Roman" w:hint="default"/>
        </w:rPr>
        <w:t>100%</w:t>
      </w:r>
      <w:r>
        <w:rPr/>
        <w:t>股份，同时，公司拟向特定投资者发行股份募集配套资金，募集配套资金总额不超过此次交易总</w:t>
      </w:r>
    </w:p>
    <w:p>
      <w:pPr>
        <w:pStyle w:val="BodyText"/>
        <w:spacing w:line="300" w:lineRule="auto" w:before="63"/>
        <w:ind w:left="153" w:right="191"/>
        <w:jc w:val="both"/>
      </w:pPr>
      <w:r>
        <w:rPr>
          <w:spacing w:val="-1"/>
        </w:rPr>
        <w:t>金额的</w:t>
      </w:r>
      <w:r>
        <w:rPr>
          <w:rFonts w:ascii="Times New Roman" w:hAnsi="Times New Roman" w:cs="Times New Roman" w:eastAsia="Times New Roman" w:hint="default"/>
          <w:spacing w:val="-1"/>
        </w:rPr>
        <w:t>25%</w:t>
      </w:r>
      <w:r>
        <w:rPr>
          <w:spacing w:val="-1"/>
        </w:rPr>
        <w:t>。本次交易分为发行股份购买资产与配套融资两部分。相关内容经公司董事会五届十六次会议和五届十八次会议</w:t>
      </w:r>
      <w:r>
        <w:rPr/>
        <w:t> 审议通过，董事会决议（编号：</w:t>
      </w:r>
      <w:r>
        <w:rPr>
          <w:rFonts w:ascii="Times New Roman" w:hAnsi="Times New Roman" w:cs="Times New Roman" w:eastAsia="Times New Roman" w:hint="default"/>
        </w:rPr>
        <w:t>2014—040</w:t>
      </w:r>
      <w:r>
        <w:rPr/>
        <w:t>和编号：</w:t>
      </w:r>
      <w:r>
        <w:rPr>
          <w:rFonts w:ascii="Times New Roman" w:hAnsi="Times New Roman" w:cs="Times New Roman" w:eastAsia="Times New Roman" w:hint="default"/>
        </w:rPr>
        <w:t>2014—051</w:t>
      </w:r>
      <w:r>
        <w:rPr/>
        <w:t>）分别于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12</w:t>
      </w:r>
      <w:r>
        <w:rPr/>
        <w:t>日召开2014年第二次临时股东大会审议通过了相关事项，股东大会决议（编号：</w:t>
      </w:r>
      <w:r>
        <w:rPr>
          <w:rFonts w:ascii="Times New Roman" w:hAnsi="Times New Roman" w:cs="Times New Roman" w:eastAsia="Times New Roman" w:hint="default"/>
        </w:rPr>
        <w:t>2014—059</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日公告，上 述相关信息均在巨潮资讯网（</w:t>
      </w:r>
      <w:hyperlink r:id="rId14">
        <w:r>
          <w:rPr>
            <w:rFonts w:ascii="Times New Roman" w:hAnsi="Times New Roman" w:cs="Times New Roman" w:eastAsia="Times New Roman" w:hint="default"/>
          </w:rPr>
          <w:t>http:www.cninfo.</w:t>
        </w:r>
      </w:hyperlink>
      <w:r>
        <w:rPr>
          <w:rFonts w:ascii="Times New Roman" w:hAnsi="Times New Roman" w:cs="Times New Roman" w:eastAsia="Times New Roman" w:hint="default"/>
        </w:rPr>
        <w:t>com.c</w:t>
      </w:r>
      <w:hyperlink r:id="rId14">
        <w:r>
          <w:rPr>
            <w:rFonts w:ascii="Times New Roman" w:hAnsi="Times New Roman" w:cs="Times New Roman" w:eastAsia="Times New Roman" w:hint="default"/>
          </w:rPr>
          <w:t>n</w:t>
        </w:r>
      </w:hyperlink>
      <w:r>
        <w:rPr/>
        <w:t>）披露。</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6" w:right="88"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日召开的董事会四届十八次会议及公司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2011</w:t>
      </w:r>
      <w:r>
        <w:rPr/>
        <w:t>年第一次临时股东大会审议通过，</w:t>
      </w:r>
    </w:p>
    <w:p>
      <w:pPr>
        <w:pStyle w:val="BodyText"/>
        <w:spacing w:line="230"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日，经中国证监会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[2011]1650</w:t>
      </w:r>
      <w:r>
        <w:rPr/>
        <w:t>号</w:t>
      </w:r>
      <w:r>
        <w:rPr>
          <w:rFonts w:ascii="Times New Roman" w:hAnsi="Times New Roman" w:cs="Times New Roman" w:eastAsia="Times New Roman" w:hint="default"/>
        </w:rPr>
        <w:t>”</w:t>
      </w:r>
      <w:r>
        <w:rPr/>
        <w:t>文核准，本公司获准发行不超过人民币</w:t>
      </w:r>
      <w:r>
        <w:rPr>
          <w:rFonts w:ascii="Times New Roman" w:hAnsi="Times New Roman" w:cs="Times New Roman" w:eastAsia="Times New Roman" w:hint="default"/>
        </w:rPr>
        <w:t>9</w:t>
      </w:r>
      <w:r>
        <w:rPr/>
        <w:t>亿元的公司债券。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p>
    <w:p>
      <w:pPr>
        <w:pStyle w:val="BodyText"/>
        <w:spacing w:line="300" w:lineRule="auto" w:before="63"/>
        <w:ind w:right="191"/>
        <w:jc w:val="both"/>
      </w:pPr>
      <w:r>
        <w:rPr>
          <w:spacing w:val="-2"/>
        </w:rPr>
        <w:t>月</w:t>
      </w:r>
      <w:r>
        <w:rPr>
          <w:rFonts w:ascii="Times New Roman" w:hAnsi="Times New Roman" w:cs="Times New Roman" w:eastAsia="Times New Roman" w:hint="default"/>
          <w:spacing w:val="-2"/>
        </w:rPr>
        <w:t>13</w:t>
      </w:r>
      <w:r>
        <w:rPr>
          <w:spacing w:val="-2"/>
        </w:rPr>
        <w:t>至</w:t>
      </w:r>
      <w:r>
        <w:rPr>
          <w:rFonts w:ascii="Times New Roman" w:hAnsi="Times New Roman" w:cs="Times New Roman" w:eastAsia="Times New Roman" w:hint="default"/>
          <w:spacing w:val="-2"/>
        </w:rPr>
        <w:t>15</w:t>
      </w:r>
      <w:r>
        <w:rPr>
          <w:spacing w:val="-2"/>
        </w:rPr>
        <w:t>日，本次债券采取网上面向社会公众投资者公开发行和网下面向机构投资者询价配售相结合的方式，发行债券总额</w:t>
      </w:r>
      <w:r>
        <w:rPr>
          <w:spacing w:val="-60"/>
        </w:rPr>
        <w:t> </w:t>
      </w:r>
      <w:r>
        <w:rPr>
          <w:spacing w:val="-60"/>
        </w:rPr>
      </w:r>
      <w:r>
        <w:rPr>
          <w:spacing w:val="-1"/>
        </w:rPr>
        <w:t>为</w:t>
      </w:r>
      <w:r>
        <w:rPr>
          <w:rFonts w:ascii="Times New Roman" w:hAnsi="Times New Roman" w:cs="Times New Roman" w:eastAsia="Times New Roman" w:hint="default"/>
          <w:spacing w:val="-1"/>
        </w:rPr>
        <w:t>6.3</w:t>
      </w:r>
      <w:r>
        <w:rPr>
          <w:spacing w:val="-1"/>
        </w:rPr>
        <w:t>亿元，期限</w:t>
      </w:r>
      <w:r>
        <w:rPr>
          <w:rFonts w:ascii="Times New Roman" w:hAnsi="Times New Roman" w:cs="Times New Roman" w:eastAsia="Times New Roman" w:hint="default"/>
          <w:spacing w:val="-1"/>
        </w:rPr>
        <w:t>3</w:t>
      </w:r>
      <w:r>
        <w:rPr>
          <w:spacing w:val="-1"/>
        </w:rPr>
        <w:t>年，票面利率为</w:t>
      </w:r>
      <w:r>
        <w:rPr>
          <w:rFonts w:ascii="Times New Roman" w:hAnsi="Times New Roman" w:cs="Times New Roman" w:eastAsia="Times New Roman" w:hint="default"/>
          <w:spacing w:val="-1"/>
        </w:rPr>
        <w:t>8.20%</w:t>
      </w:r>
      <w:r>
        <w:rPr>
          <w:spacing w:val="-1"/>
        </w:rPr>
        <w:t>，在债券存续期限的</w:t>
      </w:r>
      <w:r>
        <w:rPr>
          <w:rFonts w:ascii="Times New Roman" w:hAnsi="Times New Roman" w:cs="Times New Roman" w:eastAsia="Times New Roman" w:hint="default"/>
          <w:spacing w:val="-1"/>
        </w:rPr>
        <w:t>3</w:t>
      </w:r>
      <w:r>
        <w:rPr>
          <w:spacing w:val="-1"/>
        </w:rPr>
        <w:t>年内固定不变。本期债券采用单利按年计息，不计复利，逾期</w:t>
      </w:r>
      <w:r>
        <w:rPr/>
        <w:t> 不另计息。每年付息一次，到期一次还本，最后一期利息随本金的兑付一起支付。本期债券起息日为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2013 </w:t>
      </w:r>
      <w:r>
        <w:rPr>
          <w:spacing w:val="-2"/>
        </w:rPr>
        <w:t>年至</w:t>
      </w:r>
      <w:r>
        <w:rPr>
          <w:rFonts w:ascii="Times New Roman" w:hAnsi="Times New Roman" w:cs="Times New Roman" w:eastAsia="Times New Roman" w:hint="default"/>
          <w:spacing w:val="-2"/>
        </w:rPr>
        <w:t>2015</w:t>
      </w:r>
      <w:r>
        <w:rPr>
          <w:spacing w:val="-2"/>
        </w:rPr>
        <w:t>年每年的</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日为上一个计息年度的付息日（如遇法定节假日或休息日，则顺延至其后的第</w:t>
      </w:r>
      <w:r>
        <w:rPr>
          <w:rFonts w:ascii="Times New Roman" w:hAnsi="Times New Roman" w:cs="Times New Roman" w:eastAsia="Times New Roman" w:hint="default"/>
          <w:spacing w:val="-2"/>
        </w:rPr>
        <w:t>1</w:t>
      </w:r>
      <w:r>
        <w:rPr>
          <w:spacing w:val="-2"/>
        </w:rPr>
        <w:t>个工作日）。本期债</w:t>
      </w:r>
      <w:r>
        <w:rPr>
          <w:spacing w:val="-58"/>
        </w:rPr>
        <w:t> </w:t>
      </w:r>
      <w:r>
        <w:rPr>
          <w:spacing w:val="-58"/>
        </w:rPr>
      </w:r>
      <w:r>
        <w:rPr/>
        <w:t>券的本金支付日为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日（如遇法定节假日或休息日，则顺延至其后的第</w:t>
      </w:r>
      <w:r>
        <w:rPr>
          <w:rFonts w:ascii="Times New Roman" w:hAnsi="Times New Roman" w:cs="Times New Roman" w:eastAsia="Times New Roman" w:hint="default"/>
        </w:rPr>
        <w:t>1</w:t>
      </w:r>
      <w:r>
        <w:rPr/>
        <w:t>个工作日）。</w:t>
      </w:r>
    </w:p>
    <w:p>
      <w:pPr>
        <w:pStyle w:val="BodyText"/>
        <w:spacing w:line="302" w:lineRule="auto" w:before="53"/>
        <w:ind w:right="200" w:firstLine="360"/>
        <w:jc w:val="left"/>
      </w:pPr>
      <w:r>
        <w:rPr/>
        <w:t>报告期内，</w:t>
      </w:r>
      <w:r>
        <w:rPr>
          <w:rFonts w:ascii="Times New Roman" w:hAnsi="Times New Roman" w:cs="Times New Roman" w:eastAsia="Times New Roman" w:hint="default"/>
        </w:rPr>
        <w:t>“11</w:t>
      </w:r>
      <w:r>
        <w:rPr/>
        <w:t>常山债</w:t>
      </w:r>
      <w:r>
        <w:rPr>
          <w:rFonts w:ascii="Times New Roman" w:hAnsi="Times New Roman" w:cs="Times New Roman" w:eastAsia="Times New Roman" w:hint="default"/>
        </w:rPr>
        <w:t>”</w:t>
      </w:r>
      <w:r>
        <w:rPr/>
        <w:t>按照《</w:t>
      </w:r>
      <w:r>
        <w:rPr>
          <w:rFonts w:ascii="Times New Roman" w:hAnsi="Times New Roman" w:cs="Times New Roman" w:eastAsia="Times New Roman" w:hint="default"/>
        </w:rPr>
        <w:t>2011</w:t>
      </w:r>
      <w:r>
        <w:rPr/>
        <w:t>年石家庄常山纺织股份有限公司公司债券票面利率公告》于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日成功派发 利息。</w:t>
      </w:r>
    </w:p>
    <w:p>
      <w:pPr>
        <w:spacing w:after="0" w:line="302"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88"/>
        <w:gridCol w:w="1092"/>
        <w:gridCol w:w="720"/>
        <w:gridCol w:w="844"/>
        <w:gridCol w:w="776"/>
        <w:gridCol w:w="844"/>
        <w:gridCol w:w="776"/>
        <w:gridCol w:w="900"/>
        <w:gridCol w:w="1080"/>
        <w:gridCol w:w="814"/>
      </w:tblGrid>
      <w:tr>
        <w:trPr>
          <w:trHeight w:val="402" w:hRule="exact"/>
        </w:trPr>
        <w:tc>
          <w:tcPr>
            <w:tcW w:w="1788" w:type="dxa"/>
            <w:tcBorders>
              <w:top w:val="single" w:sz="4" w:space="0" w:color="000000"/>
              <w:left w:val="single" w:sz="4" w:space="0" w:color="000000"/>
              <w:bottom w:val="nil" w:sz="6" w:space="0" w:color="auto"/>
              <w:right w:val="single" w:sz="4" w:space="0" w:color="000000"/>
            </w:tcBorders>
            <w:shd w:val="clear" w:color="auto" w:fill="D3D3D3"/>
          </w:tcPr>
          <w:p>
            <w:pPr/>
          </w:p>
        </w:tc>
        <w:tc>
          <w:tcPr>
            <w:tcW w:w="18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788" w:type="dxa"/>
            <w:vMerge w:val="restart"/>
            <w:tcBorders>
              <w:top w:val="nil" w:sz="6" w:space="0" w:color="auto"/>
              <w:left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7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6" w:right="55"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76"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788" w:type="dxa"/>
            <w:vMerge/>
            <w:tcBorders>
              <w:left w:val="single" w:sz="4" w:space="0" w:color="000000"/>
              <w:bottom w:val="nil" w:sz="6" w:space="0" w:color="auto"/>
              <w:right w:val="single" w:sz="4" w:space="0" w:color="000000"/>
            </w:tcBorders>
            <w:shd w:val="clear" w:color="auto" w:fill="D3D3D3"/>
          </w:tcPr>
          <w:p>
            <w:pPr/>
          </w:p>
        </w:tc>
        <w:tc>
          <w:tcPr>
            <w:tcW w:w="10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4" w:type="dxa"/>
            <w:vMerge/>
            <w:tcBorders>
              <w:left w:val="single" w:sz="4" w:space="0" w:color="000000"/>
              <w:right w:val="single" w:sz="4" w:space="0" w:color="000000"/>
            </w:tcBorders>
            <w:shd w:val="clear" w:color="auto" w:fill="D3D3D3"/>
          </w:tcPr>
          <w:p>
            <w:pPr/>
          </w:p>
        </w:tc>
        <w:tc>
          <w:tcPr>
            <w:tcW w:w="7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788" w:type="dxa"/>
            <w:vMerge w:val="restart"/>
            <w:tcBorders>
              <w:top w:val="nil" w:sz="6" w:space="0" w:color="auto"/>
              <w:left w:val="single" w:sz="4" w:space="0" w:color="000000"/>
              <w:right w:val="single" w:sz="4" w:space="0" w:color="000000"/>
            </w:tcBorders>
            <w:shd w:val="clear" w:color="auto" w:fill="D3D3D3"/>
          </w:tcPr>
          <w:p>
            <w:pPr/>
          </w:p>
        </w:tc>
        <w:tc>
          <w:tcPr>
            <w:tcW w:w="1092"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776"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right w:val="single" w:sz="4" w:space="0" w:color="000000"/>
            </w:tcBorders>
            <w:shd w:val="clear" w:color="auto" w:fill="D3D3D3"/>
          </w:tcPr>
          <w:p>
            <w:pPr/>
          </w:p>
        </w:tc>
        <w:tc>
          <w:tcPr>
            <w:tcW w:w="776"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788" w:type="dxa"/>
            <w:vMerge/>
            <w:tcBorders>
              <w:left w:val="single" w:sz="4" w:space="0" w:color="000000"/>
              <w:bottom w:val="single" w:sz="4" w:space="0" w:color="000000"/>
              <w:right w:val="single" w:sz="4" w:space="0" w:color="000000"/>
            </w:tcBorders>
            <w:shd w:val="clear" w:color="auto" w:fill="D3D3D3"/>
          </w:tcPr>
          <w:p>
            <w:pPr/>
          </w:p>
        </w:tc>
        <w:tc>
          <w:tcPr>
            <w:tcW w:w="109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7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776"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718,861,000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718,861,000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718,861,000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718,861,000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718,861,000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718,861,000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38" w:lineRule="auto" w:before="117"/>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38" w:lineRule="auto" w:before="43"/>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512"/>
        <w:gridCol w:w="866"/>
        <w:gridCol w:w="1294"/>
        <w:gridCol w:w="1582"/>
        <w:gridCol w:w="1152"/>
        <w:gridCol w:w="154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9" w:right="30"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32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2" w:hRule="exact"/>
        </w:trPr>
        <w:tc>
          <w:tcPr>
            <w:tcW w:w="9322" w:type="dxa"/>
            <w:gridSpan w:val="7"/>
            <w:tcBorders>
              <w:top w:val="single" w:sz="4" w:space="0" w:color="000000"/>
              <w:left w:val="single" w:sz="4" w:space="0" w:color="000000"/>
              <w:bottom w:val="single" w:sz="8" w:space="0" w:color="C7EDCC"/>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公司债（</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常山</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630,000,000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630,000,000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512"/>
        <w:gridCol w:w="866"/>
        <w:gridCol w:w="1294"/>
        <w:gridCol w:w="1582"/>
        <w:gridCol w:w="1152"/>
        <w:gridCol w:w="154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51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32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2"/>
        <w:ind w:right="0"/>
        <w:jc w:val="left"/>
      </w:pPr>
      <w:r>
        <w:rPr/>
        <w:t>前三年历次证券发行情况的说明</w:t>
      </w:r>
    </w:p>
    <w:p>
      <w:pPr>
        <w:pStyle w:val="BodyText"/>
        <w:spacing w:line="240" w:lineRule="auto" w:before="116"/>
        <w:ind w:left="153" w:right="0"/>
        <w:jc w:val="left"/>
      </w:pPr>
      <w:r>
        <w:rPr/>
        <w:t>公司债券发行情况详见第五节重要事项</w:t>
      </w:r>
      <w:r>
        <w:rPr>
          <w:spacing w:val="-19"/>
        </w:rPr>
        <w:t> </w:t>
      </w:r>
      <w:r>
        <w:rPr/>
        <w:t>第十六、公司发行公司债券的情况。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60"/>
        <w:gridCol w:w="233"/>
        <w:gridCol w:w="847"/>
        <w:gridCol w:w="407"/>
        <w:gridCol w:w="389"/>
        <w:gridCol w:w="797"/>
        <w:gridCol w:w="384"/>
        <w:gridCol w:w="414"/>
        <w:gridCol w:w="797"/>
        <w:gridCol w:w="406"/>
        <w:gridCol w:w="545"/>
        <w:gridCol w:w="1181"/>
        <w:gridCol w:w="221"/>
        <w:gridCol w:w="774"/>
      </w:tblGrid>
      <w:tr>
        <w:trPr>
          <w:trHeight w:val="317" w:hRule="exact"/>
        </w:trPr>
        <w:tc>
          <w:tcPr>
            <w:tcW w:w="239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55" w:type="dxa"/>
            <w:gridSpan w:val="2"/>
            <w:vMerge w:val="restart"/>
            <w:tcBorders>
              <w:top w:val="single" w:sz="4" w:space="0" w:color="000000"/>
              <w:left w:val="single" w:sz="10"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7" w:right="0"/>
              <w:jc w:val="left"/>
              <w:rPr>
                <w:rFonts w:ascii="Times New Roman" w:hAnsi="Times New Roman" w:cs="Times New Roman" w:eastAsia="Times New Roman" w:hint="default"/>
                <w:sz w:val="18"/>
                <w:szCs w:val="18"/>
              </w:rPr>
            </w:pPr>
            <w:r>
              <w:rPr>
                <w:rFonts w:ascii="Times New Roman"/>
                <w:sz w:val="18"/>
              </w:rPr>
              <w:t>29,820</w:t>
            </w:r>
          </w:p>
        </w:tc>
        <w:tc>
          <w:tcPr>
            <w:tcW w:w="157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val="restart"/>
            <w:tcBorders>
              <w:top w:val="single" w:sz="4" w:space="0" w:color="000000"/>
              <w:left w:val="single" w:sz="10"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25,709</w:t>
            </w:r>
          </w:p>
        </w:tc>
        <w:tc>
          <w:tcPr>
            <w:tcW w:w="1947" w:type="dxa"/>
            <w:gridSpan w:val="3"/>
            <w:vMerge w:val="restart"/>
            <w:tcBorders>
              <w:top w:val="single" w:sz="4" w:space="0" w:color="000000"/>
              <w:left w:val="single" w:sz="4" w:space="0" w:color="000000"/>
              <w:right w:val="single" w:sz="9" w:space="0" w:color="FFFFFF"/>
            </w:tcBorders>
            <w:shd w:val="clear" w:color="auto" w:fill="D3D3D3"/>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报告期末表决权恢复的 优先股股东总数（如有</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774" w:type="dxa"/>
            <w:vMerge w:val="restart"/>
            <w:tcBorders>
              <w:top w:val="single" w:sz="4" w:space="0" w:color="000000"/>
              <w:left w:val="single" w:sz="13"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638" w:val="left" w:leader="none"/>
              </w:tabs>
              <w:spacing w:line="240" w:lineRule="auto" w:before="128"/>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r>
      <w:tr>
        <w:trPr>
          <w:trHeight w:val="392" w:hRule="exact"/>
        </w:trPr>
        <w:tc>
          <w:tcPr>
            <w:tcW w:w="2393"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255" w:type="dxa"/>
            <w:gridSpan w:val="2"/>
            <w:vMerge/>
            <w:tcBorders>
              <w:left w:val="single" w:sz="10" w:space="0" w:color="D3D3D3"/>
              <w:right w:val="single" w:sz="13" w:space="0" w:color="D3D3D3"/>
            </w:tcBorders>
          </w:tcPr>
          <w:p>
            <w:pPr/>
          </w:p>
        </w:tc>
        <w:tc>
          <w:tcPr>
            <w:tcW w:w="1570" w:type="dxa"/>
            <w:gridSpan w:val="3"/>
            <w:vMerge/>
            <w:tcBorders>
              <w:left w:val="single" w:sz="4" w:space="0" w:color="000000"/>
              <w:right w:val="single" w:sz="4" w:space="0" w:color="000000"/>
            </w:tcBorders>
            <w:shd w:val="clear" w:color="auto" w:fill="D3D3D3"/>
          </w:tcPr>
          <w:p>
            <w:pPr/>
          </w:p>
        </w:tc>
        <w:tc>
          <w:tcPr>
            <w:tcW w:w="1617" w:type="dxa"/>
            <w:gridSpan w:val="3"/>
            <w:vMerge/>
            <w:tcBorders>
              <w:left w:val="single" w:sz="10" w:space="0" w:color="D3D3D3"/>
              <w:right w:val="single" w:sz="13" w:space="0" w:color="D3D3D3"/>
            </w:tcBorders>
          </w:tcPr>
          <w:p>
            <w:pPr/>
          </w:p>
        </w:tc>
        <w:tc>
          <w:tcPr>
            <w:tcW w:w="1947" w:type="dxa"/>
            <w:gridSpan w:val="3"/>
            <w:vMerge/>
            <w:tcBorders>
              <w:left w:val="single" w:sz="4" w:space="0" w:color="000000"/>
              <w:right w:val="single" w:sz="9" w:space="0" w:color="FFFFFF"/>
            </w:tcBorders>
            <w:shd w:val="clear" w:color="auto" w:fill="D3D3D3"/>
          </w:tcPr>
          <w:p>
            <w:pPr/>
          </w:p>
        </w:tc>
        <w:tc>
          <w:tcPr>
            <w:tcW w:w="774" w:type="dxa"/>
            <w:vMerge/>
            <w:tcBorders>
              <w:left w:val="single" w:sz="13" w:space="0" w:color="FFFFFF"/>
              <w:right w:val="single" w:sz="4" w:space="0" w:color="000000"/>
            </w:tcBorders>
          </w:tcPr>
          <w:p>
            <w:pPr/>
          </w:p>
        </w:tc>
      </w:tr>
      <w:tr>
        <w:trPr>
          <w:trHeight w:val="317" w:hRule="exact"/>
        </w:trPr>
        <w:tc>
          <w:tcPr>
            <w:tcW w:w="239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55" w:type="dxa"/>
            <w:gridSpan w:val="2"/>
            <w:vMerge/>
            <w:tcBorders>
              <w:left w:val="single" w:sz="10" w:space="0" w:color="D3D3D3"/>
              <w:bottom w:val="single" w:sz="4" w:space="0" w:color="000000"/>
              <w:right w:val="single" w:sz="13" w:space="0" w:color="D3D3D3"/>
            </w:tcBorders>
          </w:tcPr>
          <w:p>
            <w:pPr/>
          </w:p>
        </w:tc>
        <w:tc>
          <w:tcPr>
            <w:tcW w:w="1570" w:type="dxa"/>
            <w:gridSpan w:val="3"/>
            <w:vMerge/>
            <w:tcBorders>
              <w:left w:val="single" w:sz="4" w:space="0" w:color="000000"/>
              <w:bottom w:val="single" w:sz="4" w:space="0" w:color="000000"/>
              <w:right w:val="single" w:sz="4" w:space="0" w:color="000000"/>
            </w:tcBorders>
            <w:shd w:val="clear" w:color="auto" w:fill="D3D3D3"/>
          </w:tcPr>
          <w:p>
            <w:pPr/>
          </w:p>
        </w:tc>
        <w:tc>
          <w:tcPr>
            <w:tcW w:w="1617" w:type="dxa"/>
            <w:gridSpan w:val="3"/>
            <w:vMerge/>
            <w:tcBorders>
              <w:left w:val="single" w:sz="10" w:space="0" w:color="D3D3D3"/>
              <w:bottom w:val="single" w:sz="4" w:space="0" w:color="000000"/>
              <w:right w:val="single" w:sz="13" w:space="0" w:color="D3D3D3"/>
            </w:tcBorders>
          </w:tcPr>
          <w:p>
            <w:pPr/>
          </w:p>
        </w:tc>
        <w:tc>
          <w:tcPr>
            <w:tcW w:w="1947" w:type="dxa"/>
            <w:gridSpan w:val="3"/>
            <w:vMerge/>
            <w:tcBorders>
              <w:left w:val="single" w:sz="4" w:space="0" w:color="000000"/>
              <w:bottom w:val="single" w:sz="4" w:space="0" w:color="000000"/>
              <w:right w:val="single" w:sz="9" w:space="0" w:color="FFFFFF"/>
            </w:tcBorders>
            <w:shd w:val="clear" w:color="auto" w:fill="D3D3D3"/>
          </w:tcPr>
          <w:p>
            <w:pPr/>
          </w:p>
        </w:tc>
        <w:tc>
          <w:tcPr>
            <w:tcW w:w="774" w:type="dxa"/>
            <w:vMerge/>
            <w:tcBorders>
              <w:left w:val="single" w:sz="13" w:space="0" w:color="FFFFFF"/>
              <w:bottom w:val="single" w:sz="4" w:space="0" w:color="000000"/>
              <w:right w:val="single" w:sz="4" w:space="0" w:color="000000"/>
            </w:tcBorders>
          </w:tcPr>
          <w:p>
            <w:pPr/>
          </w:p>
        </w:tc>
      </w:tr>
      <w:tr>
        <w:trPr>
          <w:trHeight w:val="402" w:hRule="exact"/>
        </w:trPr>
        <w:tc>
          <w:tcPr>
            <w:tcW w:w="9556"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5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56" w:hRule="exact"/>
        </w:trPr>
        <w:tc>
          <w:tcPr>
            <w:tcW w:w="2160" w:type="dxa"/>
            <w:vMerge w:val="restart"/>
            <w:tcBorders>
              <w:top w:val="single" w:sz="4" w:space="0" w:color="000000"/>
              <w:left w:val="single" w:sz="4" w:space="0" w:color="000000"/>
              <w:right w:val="single" w:sz="4" w:space="0" w:color="000000"/>
            </w:tcBorders>
            <w:shd w:val="clear" w:color="auto" w:fill="D3D3D3"/>
          </w:tcPr>
          <w:p>
            <w:pPr/>
          </w:p>
        </w:tc>
        <w:tc>
          <w:tcPr>
            <w:tcW w:w="1080" w:type="dxa"/>
            <w:gridSpan w:val="2"/>
            <w:vMerge w:val="restart"/>
            <w:tcBorders>
              <w:top w:val="single" w:sz="4" w:space="0" w:color="000000"/>
              <w:left w:val="single" w:sz="4" w:space="0" w:color="000000"/>
              <w:right w:val="single" w:sz="4" w:space="0" w:color="000000"/>
            </w:tcBorders>
            <w:shd w:val="clear" w:color="auto" w:fill="D3D3D3"/>
          </w:tcPr>
          <w:p>
            <w:pPr/>
          </w:p>
        </w:tc>
        <w:tc>
          <w:tcPr>
            <w:tcW w:w="797" w:type="dxa"/>
            <w:gridSpan w:val="2"/>
            <w:vMerge w:val="restart"/>
            <w:tcBorders>
              <w:top w:val="single" w:sz="4" w:space="0" w:color="000000"/>
              <w:left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160" w:type="dxa"/>
            <w:vMerge/>
            <w:tcBorders>
              <w:left w:val="single" w:sz="4" w:space="0" w:color="000000"/>
              <w:bottom w:val="nil" w:sz="6" w:space="0" w:color="auto"/>
              <w:right w:val="single" w:sz="4" w:space="0" w:color="000000"/>
            </w:tcBorders>
            <w:shd w:val="clear" w:color="auto" w:fill="D3D3D3"/>
          </w:tcPr>
          <w:p>
            <w:pPr/>
          </w:p>
        </w:tc>
        <w:tc>
          <w:tcPr>
            <w:tcW w:w="1080" w:type="dxa"/>
            <w:gridSpan w:val="2"/>
            <w:vMerge/>
            <w:tcBorders>
              <w:left w:val="single" w:sz="4" w:space="0" w:color="000000"/>
              <w:bottom w:val="nil" w:sz="6" w:space="0" w:color="auto"/>
              <w:right w:val="single" w:sz="4" w:space="0" w:color="000000"/>
            </w:tcBorders>
            <w:shd w:val="clear" w:color="auto" w:fill="D3D3D3"/>
          </w:tcPr>
          <w:p>
            <w:pPr/>
          </w:p>
        </w:tc>
        <w:tc>
          <w:tcPr>
            <w:tcW w:w="797" w:type="dxa"/>
            <w:gridSpan w:val="2"/>
            <w:vMerge/>
            <w:tcBorders>
              <w:left w:val="single" w:sz="4" w:space="0" w:color="000000"/>
              <w:bottom w:val="nil" w:sz="6" w:space="0" w:color="auto"/>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34" w:right="30"/>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8"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952" w:type="dxa"/>
            <w:gridSpan w:val="2"/>
            <w:vMerge/>
            <w:tcBorders>
              <w:left w:val="single" w:sz="4" w:space="0" w:color="000000"/>
              <w:right w:val="single" w:sz="4" w:space="0" w:color="000000"/>
            </w:tcBorders>
            <w:shd w:val="clear" w:color="auto" w:fill="D3D3D3"/>
          </w:tcPr>
          <w:p>
            <w:pPr/>
          </w:p>
        </w:tc>
        <w:tc>
          <w:tcPr>
            <w:tcW w:w="2176" w:type="dxa"/>
            <w:gridSpan w:val="3"/>
            <w:vMerge/>
            <w:tcBorders>
              <w:left w:val="single" w:sz="4" w:space="0" w:color="000000"/>
              <w:right w:val="single" w:sz="4" w:space="0" w:color="000000"/>
            </w:tcBorders>
            <w:shd w:val="clear" w:color="auto" w:fill="D3D3D3"/>
          </w:tcPr>
          <w:p>
            <w:pPr/>
          </w:p>
        </w:tc>
      </w:tr>
      <w:tr>
        <w:trPr>
          <w:trHeight w:val="144" w:hRule="exact"/>
        </w:trPr>
        <w:tc>
          <w:tcPr>
            <w:tcW w:w="21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tcBorders>
              <w:left w:val="single" w:sz="4" w:space="0" w:color="000000"/>
              <w:right w:val="single" w:sz="4" w:space="0" w:color="000000"/>
            </w:tcBorders>
            <w:shd w:val="clear" w:color="auto" w:fill="D3D3D3"/>
          </w:tcPr>
          <w:p>
            <w:pPr/>
          </w:p>
        </w:tc>
        <w:tc>
          <w:tcPr>
            <w:tcW w:w="798"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952" w:type="dxa"/>
            <w:gridSpan w:val="2"/>
            <w:vMerge/>
            <w:tcBorders>
              <w:left w:val="single" w:sz="4" w:space="0" w:color="000000"/>
              <w:right w:val="single" w:sz="4" w:space="0" w:color="000000"/>
            </w:tcBorders>
            <w:shd w:val="clear" w:color="auto" w:fill="D3D3D3"/>
          </w:tcPr>
          <w:p>
            <w:pPr/>
          </w:p>
        </w:tc>
        <w:tc>
          <w:tcPr>
            <w:tcW w:w="2176" w:type="dxa"/>
            <w:gridSpan w:val="3"/>
            <w:vMerge/>
            <w:tcBorders>
              <w:left w:val="single" w:sz="4" w:space="0" w:color="000000"/>
              <w:bottom w:val="single" w:sz="4" w:space="0" w:color="000000"/>
              <w:right w:val="single" w:sz="4" w:space="0" w:color="000000"/>
            </w:tcBorders>
            <w:shd w:val="clear" w:color="auto" w:fill="D3D3D3"/>
          </w:tcPr>
          <w:p>
            <w:pPr/>
          </w:p>
        </w:tc>
      </w:tr>
      <w:tr>
        <w:trPr>
          <w:trHeight w:val="248" w:hRule="exact"/>
        </w:trPr>
        <w:tc>
          <w:tcPr>
            <w:tcW w:w="2160" w:type="dxa"/>
            <w:vMerge/>
            <w:tcBorders>
              <w:left w:val="single" w:sz="4" w:space="0" w:color="000000"/>
              <w:bottom w:val="nil" w:sz="6" w:space="0" w:color="auto"/>
              <w:right w:val="single" w:sz="4" w:space="0" w:color="000000"/>
            </w:tcBorders>
            <w:shd w:val="clear" w:color="auto" w:fill="D3D3D3"/>
          </w:tcPr>
          <w:p>
            <w:pPr/>
          </w:p>
        </w:tc>
        <w:tc>
          <w:tcPr>
            <w:tcW w:w="1080" w:type="dxa"/>
            <w:gridSpan w:val="2"/>
            <w:vMerge/>
            <w:tcBorders>
              <w:left w:val="single" w:sz="4" w:space="0" w:color="000000"/>
              <w:bottom w:val="nil" w:sz="6" w:space="0" w:color="auto"/>
              <w:right w:val="single" w:sz="4" w:space="0" w:color="000000"/>
            </w:tcBorders>
            <w:shd w:val="clear" w:color="auto" w:fill="D3D3D3"/>
          </w:tcPr>
          <w:p>
            <w:pPr/>
          </w:p>
        </w:tc>
        <w:tc>
          <w:tcPr>
            <w:tcW w:w="797" w:type="dxa"/>
            <w:gridSpan w:val="2"/>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8"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952" w:type="dxa"/>
            <w:gridSpan w:val="2"/>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22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9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31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160" w:type="dxa"/>
            <w:vMerge w:val="restart"/>
            <w:tcBorders>
              <w:top w:val="nil" w:sz="6" w:space="0" w:color="auto"/>
              <w:left w:val="single" w:sz="4" w:space="0" w:color="000000"/>
              <w:right w:val="single" w:sz="4" w:space="0" w:color="000000"/>
            </w:tcBorders>
            <w:shd w:val="clear" w:color="auto" w:fill="D3D3D3"/>
          </w:tcPr>
          <w:p>
            <w:pPr/>
          </w:p>
        </w:tc>
        <w:tc>
          <w:tcPr>
            <w:tcW w:w="1080" w:type="dxa"/>
            <w:gridSpan w:val="2"/>
            <w:vMerge w:val="restart"/>
            <w:tcBorders>
              <w:top w:val="nil" w:sz="6" w:space="0" w:color="auto"/>
              <w:left w:val="single" w:sz="4" w:space="0" w:color="000000"/>
              <w:right w:val="single" w:sz="4" w:space="0" w:color="000000"/>
            </w:tcBorders>
            <w:shd w:val="clear" w:color="auto" w:fill="D3D3D3"/>
          </w:tcPr>
          <w:p>
            <w:pPr/>
          </w:p>
        </w:tc>
        <w:tc>
          <w:tcPr>
            <w:tcW w:w="797" w:type="dxa"/>
            <w:gridSpan w:val="2"/>
            <w:vMerge w:val="restart"/>
            <w:tcBorders>
              <w:top w:val="nil" w:sz="6" w:space="0" w:color="auto"/>
              <w:left w:val="single" w:sz="4" w:space="0" w:color="000000"/>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952" w:type="dxa"/>
            <w:gridSpan w:val="2"/>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995" w:type="dxa"/>
            <w:gridSpan w:val="2"/>
            <w:vMerge/>
            <w:tcBorders>
              <w:left w:val="single" w:sz="4" w:space="0" w:color="000000"/>
              <w:right w:val="single" w:sz="4" w:space="0" w:color="000000"/>
            </w:tcBorders>
            <w:shd w:val="clear" w:color="auto" w:fill="D3D3D3"/>
          </w:tcPr>
          <w:p>
            <w:pPr/>
          </w:p>
        </w:tc>
      </w:tr>
      <w:tr>
        <w:trPr>
          <w:trHeight w:val="166" w:hRule="exact"/>
        </w:trPr>
        <w:tc>
          <w:tcPr>
            <w:tcW w:w="2160" w:type="dxa"/>
            <w:vMerge/>
            <w:tcBorders>
              <w:left w:val="single" w:sz="4" w:space="0" w:color="000000"/>
              <w:bottom w:val="single" w:sz="4" w:space="0" w:color="000000"/>
              <w:right w:val="single" w:sz="4" w:space="0" w:color="000000"/>
            </w:tcBorders>
            <w:shd w:val="clear" w:color="auto" w:fill="D3D3D3"/>
          </w:tcPr>
          <w:p>
            <w:pPr/>
          </w:p>
        </w:tc>
        <w:tc>
          <w:tcPr>
            <w:tcW w:w="1080" w:type="dxa"/>
            <w:gridSpan w:val="2"/>
            <w:vMerge/>
            <w:tcBorders>
              <w:left w:val="single" w:sz="4" w:space="0" w:color="000000"/>
              <w:bottom w:val="single" w:sz="4" w:space="0" w:color="000000"/>
              <w:right w:val="single" w:sz="4" w:space="0" w:color="000000"/>
            </w:tcBorders>
            <w:shd w:val="clear" w:color="auto" w:fill="D3D3D3"/>
          </w:tcPr>
          <w:p>
            <w:pPr/>
          </w:p>
        </w:tc>
        <w:tc>
          <w:tcPr>
            <w:tcW w:w="797" w:type="dxa"/>
            <w:gridSpan w:val="2"/>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952" w:type="dxa"/>
            <w:gridSpan w:val="2"/>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995" w:type="dxa"/>
            <w:gridSpan w:val="2"/>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石家庄常山纺织集团有限 责任公司</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48.06%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345,514,0</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345,514,011</w:t>
            </w:r>
          </w:p>
        </w:tc>
        <w:tc>
          <w:tcPr>
            <w:tcW w:w="1181" w:type="dxa"/>
            <w:tcBorders>
              <w:top w:val="single" w:sz="48" w:space="0" w:color="D3D3D3"/>
              <w:left w:val="single" w:sz="4" w:space="0" w:color="000000"/>
              <w:bottom w:val="single" w:sz="4" w:space="0" w:color="000000"/>
              <w:right w:val="single" w:sz="4" w:space="0" w:color="000000"/>
            </w:tcBorders>
          </w:tcPr>
          <w:p>
            <w:pPr/>
          </w:p>
        </w:tc>
        <w:tc>
          <w:tcPr>
            <w:tcW w:w="995" w:type="dxa"/>
            <w:gridSpan w:val="2"/>
            <w:tcBorders>
              <w:top w:val="single" w:sz="48" w:space="0" w:color="D3D3D3"/>
              <w:left w:val="single" w:sz="4" w:space="0" w:color="000000"/>
              <w:bottom w:val="single" w:sz="4" w:space="0" w:color="000000"/>
              <w:right w:val="single" w:sz="4" w:space="0" w:color="000000"/>
            </w:tcBorders>
          </w:tcPr>
          <w:p>
            <w:pPr/>
          </w:p>
        </w:tc>
      </w:tr>
      <w:tr>
        <w:trPr>
          <w:trHeight w:val="102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兴业银行股份有限公司－ 中邮核心竞争力灵活配置 混合型证券投资基金</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6,799,803</w:t>
            </w: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6,799,803</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5"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中国工商银行－汇添富均 衡增长股票型证券投资基 金</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6,299,988</w:t>
            </w: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6,299,988</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5"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中国工商银行股份有限公 司－汇添富外延增长主题 股票型证券投资基金</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5,000,063</w:t>
            </w: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5,000,063</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吉林省兴国投资有限公司</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3,293,378</w:t>
            </w: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7" w:right="0"/>
              <w:jc w:val="left"/>
              <w:rPr>
                <w:rFonts w:ascii="Times New Roman" w:hAnsi="Times New Roman" w:cs="Times New Roman" w:eastAsia="Times New Roman" w:hint="default"/>
                <w:sz w:val="18"/>
                <w:szCs w:val="18"/>
              </w:rPr>
            </w:pPr>
            <w:r>
              <w:rPr>
                <w:rFonts w:ascii="Times New Roman"/>
                <w:sz w:val="18"/>
              </w:rPr>
              <w:t>3,293,378</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曹为宇</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3,148,000</w:t>
            </w: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7" w:right="0"/>
              <w:jc w:val="left"/>
              <w:rPr>
                <w:rFonts w:ascii="Times New Roman" w:hAnsi="Times New Roman" w:cs="Times New Roman" w:eastAsia="Times New Roman" w:hint="default"/>
                <w:sz w:val="18"/>
                <w:szCs w:val="18"/>
              </w:rPr>
            </w:pPr>
            <w:r>
              <w:rPr>
                <w:rFonts w:ascii="Times New Roman"/>
                <w:sz w:val="18"/>
              </w:rPr>
              <w:t>3,148,000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5"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兴业银行股份有限公司－ 中邮战略新兴产业股票型 证券投资基金</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3,000,000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5"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60"/>
        <w:gridCol w:w="1080"/>
        <w:gridCol w:w="797"/>
        <w:gridCol w:w="797"/>
        <w:gridCol w:w="798"/>
        <w:gridCol w:w="797"/>
        <w:gridCol w:w="952"/>
        <w:gridCol w:w="1181"/>
        <w:gridCol w:w="995"/>
      </w:tblGrid>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韩小军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2,549,134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2,549,134</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温保忠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2,389,970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2,389,970</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2,369,000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2,369,000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r>
      <w:tr>
        <w:trPr>
          <w:trHeight w:val="1097" w:hRule="exact"/>
        </w:trPr>
        <w:tc>
          <w:tcPr>
            <w:tcW w:w="324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16" w:type="dxa"/>
            <w:gridSpan w:val="7"/>
            <w:vMerge w:val="restart"/>
            <w:tcBorders>
              <w:top w:val="single" w:sz="4" w:space="0" w:color="000000"/>
              <w:left w:val="single" w:sz="10" w:space="0" w:color="D3D3D3"/>
              <w:right w:val="single" w:sz="4" w:space="0" w:color="000000"/>
            </w:tcBorders>
            <w:shd w:val="clear" w:color="auto" w:fill="C7EDCC"/>
          </w:tcPr>
          <w:p>
            <w:pPr>
              <w:pStyle w:val="TableParagraph"/>
              <w:spacing w:line="316" w:lineRule="auto" w:before="51"/>
              <w:ind w:left="15" w:right="-17" w:firstLine="360"/>
              <w:jc w:val="left"/>
              <w:rPr>
                <w:rFonts w:ascii="宋体" w:hAnsi="宋体" w:cs="宋体" w:eastAsia="宋体" w:hint="default"/>
                <w:sz w:val="18"/>
                <w:szCs w:val="18"/>
              </w:rPr>
            </w:pPr>
            <w:r>
              <w:rPr>
                <w:rFonts w:ascii="宋体" w:hAnsi="宋体" w:cs="宋体" w:eastAsia="宋体" w:hint="default"/>
                <w:sz w:val="18"/>
                <w:szCs w:val="18"/>
              </w:rPr>
              <w:t>本公司全部为无限售流通股。本公司第一大股东与其它股东之间无关联关 系，也不属于《上市公司股东持股变动信息披露管理办法》规定的一致行动人。 兴业银行股份有限公司－中邮核心竞争力灵活配置混合型证券投资基金与兴业 银行股份有限公司－中邮战略新兴产业股票型证券投资基金同属一家基金管理 </w:t>
            </w:r>
            <w:r>
              <w:rPr>
                <w:rFonts w:ascii="宋体" w:hAnsi="宋体" w:cs="宋体" w:eastAsia="宋体" w:hint="default"/>
                <w:spacing w:val="-2"/>
                <w:sz w:val="18"/>
                <w:szCs w:val="18"/>
              </w:rPr>
              <w:t>公司；中国工商银行－汇添富均衡增长股票型证券投资基金中国工商银行股份有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限公司－汇添富外延增长主题股票型证券投资基金同属一家基金管理公司。公司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未知其它股东之间是否存在关联关系或属于《上市公司股东持股变动信息披露管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理办法》规定的一致行动人。</w:t>
            </w:r>
          </w:p>
        </w:tc>
      </w:tr>
      <w:tr>
        <w:trPr>
          <w:trHeight w:val="392" w:hRule="exact"/>
        </w:trPr>
        <w:tc>
          <w:tcPr>
            <w:tcW w:w="324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16" w:type="dxa"/>
            <w:gridSpan w:val="7"/>
            <w:vMerge/>
            <w:tcBorders>
              <w:left w:val="single" w:sz="10" w:space="0" w:color="D3D3D3"/>
              <w:right w:val="single" w:sz="4" w:space="0" w:color="000000"/>
            </w:tcBorders>
            <w:shd w:val="clear" w:color="auto" w:fill="C7EDCC"/>
          </w:tcPr>
          <w:p>
            <w:pPr/>
          </w:p>
        </w:tc>
      </w:tr>
      <w:tr>
        <w:trPr>
          <w:trHeight w:val="1097" w:hRule="exact"/>
        </w:trPr>
        <w:tc>
          <w:tcPr>
            <w:tcW w:w="324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16" w:type="dxa"/>
            <w:gridSpan w:val="7"/>
            <w:vMerge/>
            <w:tcBorders>
              <w:left w:val="single" w:sz="10" w:space="0" w:color="D3D3D3"/>
              <w:bottom w:val="single" w:sz="4" w:space="0" w:color="000000"/>
              <w:right w:val="single" w:sz="4" w:space="0" w:color="000000"/>
            </w:tcBorders>
            <w:shd w:val="clear" w:color="auto" w:fill="C7EDCC"/>
          </w:tcPr>
          <w:p>
            <w:pPr/>
          </w:p>
        </w:tc>
      </w:tr>
      <w:tr>
        <w:trPr>
          <w:trHeight w:val="402"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324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40"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17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324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40"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1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7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3240" w:type="dxa"/>
            <w:gridSpan w:val="2"/>
            <w:vMerge/>
            <w:tcBorders>
              <w:left w:val="single" w:sz="4" w:space="0" w:color="000000"/>
              <w:bottom w:val="nil" w:sz="6" w:space="0" w:color="auto"/>
              <w:right w:val="single" w:sz="4" w:space="0" w:color="000000"/>
            </w:tcBorders>
            <w:shd w:val="clear" w:color="auto" w:fill="D3D3D3"/>
          </w:tcPr>
          <w:p>
            <w:pPr/>
          </w:p>
        </w:tc>
        <w:tc>
          <w:tcPr>
            <w:tcW w:w="4140" w:type="dxa"/>
            <w:gridSpan w:val="5"/>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324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40"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9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345,514,011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345,514,011</w:t>
            </w:r>
          </w:p>
        </w:tc>
      </w:tr>
      <w:tr>
        <w:trPr>
          <w:trHeight w:val="714"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兴业银行股份有限公司－中邮核心竞争 力灵活配置混合型证券投资基金</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6,799,803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6,799,803</w:t>
            </w:r>
          </w:p>
        </w:tc>
      </w:tr>
      <w:tr>
        <w:trPr>
          <w:trHeight w:val="714"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中国工商银行－汇添富均衡增长股票型 证券投资基金</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6,299,988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6,299,988</w:t>
            </w:r>
          </w:p>
        </w:tc>
      </w:tr>
      <w:tr>
        <w:trPr>
          <w:trHeight w:val="714"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中国工商银行股份有限公司－汇添富外 延增长主题股票型证券投资基金</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5,000,063</w:t>
            </w:r>
          </w:p>
        </w:tc>
      </w:tr>
      <w:tr>
        <w:trPr>
          <w:trHeight w:val="40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吉林省兴国投资有限公司</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3,293,378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3,293,378</w:t>
            </w:r>
          </w:p>
        </w:tc>
      </w:tr>
      <w:tr>
        <w:trPr>
          <w:trHeight w:val="40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曹为宇</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3,148,000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3,148,000</w:t>
            </w:r>
          </w:p>
        </w:tc>
      </w:tr>
      <w:tr>
        <w:trPr>
          <w:trHeight w:val="714"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兴业银行股份有限公司－中邮战略新兴 产业股票型证券投资基金</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韩小军</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2,549,134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2,549,134</w:t>
            </w:r>
          </w:p>
        </w:tc>
      </w:tr>
      <w:tr>
        <w:trPr>
          <w:trHeight w:val="40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温保忠</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2,389,970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2,389,970</w:t>
            </w:r>
          </w:p>
        </w:tc>
      </w:tr>
      <w:tr>
        <w:trPr>
          <w:trHeight w:val="402" w:hRule="exact"/>
        </w:trPr>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4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2,369,000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2,369,000</w:t>
            </w:r>
          </w:p>
        </w:tc>
      </w:tr>
      <w:tr>
        <w:trPr>
          <w:trHeight w:val="2586" w:hRule="exact"/>
        </w:trPr>
        <w:tc>
          <w:tcPr>
            <w:tcW w:w="32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2"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名股东之 间关联关系或一致行动的说明</w:t>
            </w:r>
          </w:p>
        </w:tc>
        <w:tc>
          <w:tcPr>
            <w:tcW w:w="6316"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本公司全部为无限售流通股。本公司第一大股东与其它股东之间无关联关 系，也不属于《上市公司股东持股变动信息披露管理办法》规定的一致行动人。 兴业银行股份有限公司－中邮核心竞争力灵活配置混合型证券投资基金与兴业 银行股份有限公司－中邮战略新兴产业股票型证券投资基金同属一家基金管理 </w:t>
            </w:r>
            <w:r>
              <w:rPr>
                <w:rFonts w:ascii="宋体" w:hAnsi="宋体" w:cs="宋体" w:eastAsia="宋体" w:hint="default"/>
                <w:spacing w:val="-2"/>
                <w:sz w:val="18"/>
                <w:szCs w:val="18"/>
              </w:rPr>
              <w:t>公司；中国工商银行－汇添富均衡增长股票型证券投资基金中国工商银行股份有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限公司－汇添富外延增长主题股票型证券投资基金同属一家基金管理公司。公司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未知其它股东之间是否存在关联关系或属于《上市公司股东持股变动信息披露管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理办法》规定的一致行动人。</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t>□ 是 √ 否</w:t>
      </w:r>
    </w:p>
    <w:p>
      <w:pPr>
        <w:pStyle w:val="BodyText"/>
        <w:spacing w:line="240" w:lineRule="auto" w:before="11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212"/>
        <w:jc w:val="right"/>
      </w:pPr>
      <w:r>
        <w:rPr/>
        <w:pict>
          <v:shape style="position:absolute;margin-left:56.459999pt;margin-top:-36.548016pt;width:477.75pt;height:210.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9"/>
                    <w:gridCol w:w="1081"/>
                    <w:gridCol w:w="1568"/>
                    <w:gridCol w:w="1459"/>
                    <w:gridCol w:w="1301"/>
                    <w:gridCol w:w="2152"/>
                  </w:tblGrid>
                  <w:tr>
                    <w:trPr>
                      <w:trHeight w:val="714" w:hRule="exact"/>
                    </w:trPr>
                    <w:tc>
                      <w:tcPr>
                        <w:tcW w:w="1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84" w:right="5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0" w:hRule="exact"/>
                    </w:trPr>
                    <w:tc>
                      <w:tcPr>
                        <w:tcW w:w="1979"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石家庄常山纺织集团有 限责任公司</w:t>
                        </w:r>
                      </w:p>
                    </w:tc>
                    <w:tc>
                      <w:tcPr>
                        <w:tcW w:w="1081" w:type="dxa"/>
                        <w:tcBorders>
                          <w:top w:val="single" w:sz="4" w:space="0" w:color="000000"/>
                          <w:left w:val="single" w:sz="4" w:space="0" w:color="000000"/>
                          <w:bottom w:val="nil" w:sz="6" w:space="0" w:color="auto"/>
                          <w:right w:val="single" w:sz="4" w:space="0" w:color="000000"/>
                        </w:tcBorders>
                        <w:shd w:val="clear" w:color="auto" w:fill="C7EDCC"/>
                      </w:tcPr>
                      <w:p>
                        <w:pPr/>
                      </w:p>
                    </w:tc>
                    <w:tc>
                      <w:tcPr>
                        <w:tcW w:w="1568" w:type="dxa"/>
                        <w:vMerge w:val="restart"/>
                        <w:tcBorders>
                          <w:top w:val="single" w:sz="4" w:space="0" w:color="000000"/>
                          <w:left w:val="single" w:sz="10" w:space="0" w:color="C7EDCC"/>
                          <w:right w:val="single" w:sz="9" w:space="0" w:color="C7ED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9" w:type="dxa"/>
                        <w:tcBorders>
                          <w:top w:val="single" w:sz="4" w:space="0" w:color="000000"/>
                          <w:left w:val="single" w:sz="4" w:space="0" w:color="000000"/>
                          <w:bottom w:val="nil" w:sz="6" w:space="0" w:color="auto"/>
                          <w:right w:val="single" w:sz="4" w:space="0" w:color="000000"/>
                        </w:tcBorders>
                        <w:shd w:val="clear" w:color="auto" w:fill="C7EDCC"/>
                      </w:tcPr>
                      <w:p>
                        <w:pPr/>
                      </w:p>
                    </w:tc>
                    <w:tc>
                      <w:tcPr>
                        <w:tcW w:w="1301" w:type="dxa"/>
                        <w:tcBorders>
                          <w:top w:val="single" w:sz="4" w:space="0" w:color="000000"/>
                          <w:left w:val="single" w:sz="4" w:space="0" w:color="000000"/>
                          <w:bottom w:val="nil" w:sz="6" w:space="0" w:color="auto"/>
                          <w:right w:val="single" w:sz="4" w:space="0" w:color="000000"/>
                        </w:tcBorders>
                        <w:shd w:val="clear" w:color="auto" w:fill="C7EDCC"/>
                      </w:tcPr>
                      <w:p>
                        <w:pPr/>
                      </w:p>
                    </w:tc>
                    <w:tc>
                      <w:tcPr>
                        <w:tcW w:w="2152"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针纺织品开发、制造销售 纺织配件配材加工销售等</w:t>
                        </w:r>
                      </w:p>
                    </w:tc>
                  </w:tr>
                  <w:tr>
                    <w:trPr>
                      <w:trHeight w:val="392" w:hRule="exact"/>
                    </w:trPr>
                    <w:tc>
                      <w:tcPr>
                        <w:tcW w:w="1979" w:type="dxa"/>
                        <w:vMerge/>
                        <w:tcBorders>
                          <w:left w:val="single" w:sz="4" w:space="0" w:color="000000"/>
                          <w:right w:val="single" w:sz="4" w:space="0" w:color="000000"/>
                        </w:tcBorders>
                        <w:shd w:val="clear" w:color="auto" w:fill="C7EDCC"/>
                      </w:tcPr>
                      <w:p>
                        <w:pPr/>
                      </w:p>
                    </w:tc>
                    <w:tc>
                      <w:tcPr>
                        <w:tcW w:w="108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1568" w:type="dxa"/>
                        <w:vMerge/>
                        <w:tcBorders>
                          <w:left w:val="single" w:sz="10" w:space="0" w:color="C7EDCC"/>
                          <w:right w:val="single" w:sz="9" w:space="0" w:color="C7EDCC"/>
                        </w:tcBorders>
                      </w:tcPr>
                      <w:p>
                        <w:pPr/>
                      </w:p>
                    </w:tc>
                    <w:tc>
                      <w:tcPr>
                        <w:tcW w:w="14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23604417-3</w:t>
                        </w:r>
                      </w:p>
                    </w:tc>
                    <w:tc>
                      <w:tcPr>
                        <w:tcW w:w="13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right="275"/>
                          <w:jc w:val="right"/>
                          <w:rPr>
                            <w:rFonts w:ascii="宋体" w:hAnsi="宋体" w:cs="宋体" w:eastAsia="宋体" w:hint="default"/>
                            <w:sz w:val="18"/>
                            <w:szCs w:val="18"/>
                          </w:rPr>
                        </w:pPr>
                        <w:r>
                          <w:rPr>
                            <w:rFonts w:ascii="Times New Roman" w:hAnsi="Times New Roman" w:cs="Times New Roman" w:eastAsia="Times New Roman" w:hint="default"/>
                            <w:sz w:val="18"/>
                            <w:szCs w:val="18"/>
                          </w:rPr>
                          <w:t>125,354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52" w:type="dxa"/>
                        <w:vMerge/>
                        <w:tcBorders>
                          <w:left w:val="single" w:sz="4" w:space="0" w:color="000000"/>
                          <w:right w:val="single" w:sz="4" w:space="0" w:color="000000"/>
                        </w:tcBorders>
                        <w:shd w:val="clear" w:color="auto" w:fill="C7EDCC"/>
                      </w:tcPr>
                      <w:p>
                        <w:pPr/>
                      </w:p>
                    </w:tc>
                  </w:tr>
                  <w:tr>
                    <w:trPr>
                      <w:trHeight w:val="161" w:hRule="exact"/>
                    </w:trPr>
                    <w:tc>
                      <w:tcPr>
                        <w:tcW w:w="1979" w:type="dxa"/>
                        <w:vMerge/>
                        <w:tcBorders>
                          <w:left w:val="single" w:sz="4" w:space="0" w:color="000000"/>
                          <w:bottom w:val="single" w:sz="4" w:space="0" w:color="000000"/>
                          <w:right w:val="single" w:sz="4" w:space="0" w:color="000000"/>
                        </w:tcBorders>
                        <w:shd w:val="clear" w:color="auto" w:fill="C7EDCC"/>
                      </w:tcPr>
                      <w:p>
                        <w:pPr/>
                      </w:p>
                    </w:tc>
                    <w:tc>
                      <w:tcPr>
                        <w:tcW w:w="1081" w:type="dxa"/>
                        <w:tcBorders>
                          <w:top w:val="nil" w:sz="6" w:space="0" w:color="auto"/>
                          <w:left w:val="single" w:sz="4" w:space="0" w:color="000000"/>
                          <w:bottom w:val="single" w:sz="4" w:space="0" w:color="000000"/>
                          <w:right w:val="single" w:sz="4" w:space="0" w:color="000000"/>
                        </w:tcBorders>
                        <w:shd w:val="clear" w:color="auto" w:fill="C7EDCC"/>
                      </w:tcPr>
                      <w:p>
                        <w:pPr/>
                      </w:p>
                    </w:tc>
                    <w:tc>
                      <w:tcPr>
                        <w:tcW w:w="1568" w:type="dxa"/>
                        <w:vMerge/>
                        <w:tcBorders>
                          <w:left w:val="single" w:sz="10" w:space="0" w:color="C7EDCC"/>
                          <w:bottom w:val="single" w:sz="4" w:space="0" w:color="000000"/>
                          <w:right w:val="single" w:sz="9" w:space="0" w:color="C7EDCC"/>
                        </w:tcBorders>
                      </w:tcPr>
                      <w:p>
                        <w:pPr/>
                      </w:p>
                    </w:tc>
                    <w:tc>
                      <w:tcPr>
                        <w:tcW w:w="1459" w:type="dxa"/>
                        <w:tcBorders>
                          <w:top w:val="nil" w:sz="6" w:space="0" w:color="auto"/>
                          <w:left w:val="single" w:sz="4" w:space="0" w:color="000000"/>
                          <w:bottom w:val="single" w:sz="4" w:space="0" w:color="000000"/>
                          <w:right w:val="single" w:sz="4" w:space="0" w:color="000000"/>
                        </w:tcBorders>
                        <w:shd w:val="clear" w:color="auto" w:fill="C7EDCC"/>
                      </w:tcPr>
                      <w:p>
                        <w:pPr/>
                      </w:p>
                    </w:tc>
                    <w:tc>
                      <w:tcPr>
                        <w:tcW w:w="1301" w:type="dxa"/>
                        <w:tcBorders>
                          <w:top w:val="nil" w:sz="6" w:space="0" w:color="auto"/>
                          <w:left w:val="single" w:sz="4" w:space="0" w:color="000000"/>
                          <w:bottom w:val="single" w:sz="4" w:space="0" w:color="000000"/>
                          <w:right w:val="single" w:sz="4" w:space="0" w:color="000000"/>
                        </w:tcBorders>
                        <w:shd w:val="clear" w:color="auto" w:fill="C7EDCC"/>
                      </w:tcPr>
                      <w:p>
                        <w:pPr/>
                      </w:p>
                    </w:tc>
                    <w:tc>
                      <w:tcPr>
                        <w:tcW w:w="2152" w:type="dxa"/>
                        <w:vMerge/>
                        <w:tcBorders>
                          <w:left w:val="single" w:sz="4" w:space="0" w:color="000000"/>
                          <w:bottom w:val="single" w:sz="4" w:space="0" w:color="000000"/>
                          <w:right w:val="single" w:sz="4" w:space="0" w:color="000000"/>
                        </w:tcBorders>
                        <w:shd w:val="clear" w:color="auto" w:fill="C7EDCC"/>
                      </w:tcPr>
                      <w:p>
                        <w:pPr/>
                      </w:p>
                    </w:tc>
                  </w:tr>
                  <w:tr>
                    <w:trPr>
                      <w:trHeight w:val="358" w:hRule="exact"/>
                    </w:trPr>
                    <w:tc>
                      <w:tcPr>
                        <w:tcW w:w="1979" w:type="dxa"/>
                        <w:tcBorders>
                          <w:top w:val="single" w:sz="4" w:space="0" w:color="000000"/>
                          <w:left w:val="single" w:sz="4" w:space="0" w:color="000000"/>
                          <w:bottom w:val="nil" w:sz="6" w:space="0" w:color="auto"/>
                          <w:right w:val="single" w:sz="13" w:space="0" w:color="C7EDCC"/>
                        </w:tcBorders>
                        <w:shd w:val="clear" w:color="auto" w:fill="D3D3D3"/>
                      </w:tcPr>
                      <w:p>
                        <w:pPr/>
                      </w:p>
                    </w:tc>
                    <w:tc>
                      <w:tcPr>
                        <w:tcW w:w="7561" w:type="dxa"/>
                        <w:gridSpan w:val="5"/>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2"/>
                            <w:sz w:val="18"/>
                            <w:szCs w:val="18"/>
                          </w:rPr>
                          <w:t>常山集团要借深化国企改革的契机，抓住城市发展和自身搬迁改造的机遇，谋划新的发展途</w:t>
                        </w:r>
                      </w:p>
                    </w:tc>
                  </w:tr>
                  <w:tr>
                    <w:trPr>
                      <w:trHeight w:val="313" w:hRule="exact"/>
                    </w:trPr>
                    <w:tc>
                      <w:tcPr>
                        <w:tcW w:w="1979" w:type="dxa"/>
                        <w:tcBorders>
                          <w:top w:val="nil" w:sz="6" w:space="0" w:color="auto"/>
                          <w:left w:val="single" w:sz="4" w:space="0" w:color="000000"/>
                          <w:bottom w:val="nil" w:sz="6" w:space="0" w:color="auto"/>
                          <w:right w:val="single" w:sz="13" w:space="0" w:color="C7EDCC"/>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561"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径，加大资产运营、资本运作的力度，盘活资产、搞活融资、多元支撑，转型升级。积极探索混</w:t>
                        </w:r>
                      </w:p>
                    </w:tc>
                  </w:tr>
                  <w:tr>
                    <w:trPr>
                      <w:trHeight w:val="356" w:hRule="exact"/>
                    </w:trPr>
                    <w:tc>
                      <w:tcPr>
                        <w:tcW w:w="1979" w:type="dxa"/>
                        <w:tcBorders>
                          <w:top w:val="nil" w:sz="6" w:space="0" w:color="auto"/>
                          <w:left w:val="single" w:sz="4" w:space="0" w:color="000000"/>
                          <w:bottom w:val="single" w:sz="4" w:space="0" w:color="000000"/>
                          <w:right w:val="single" w:sz="13" w:space="0" w:color="C7EDCC"/>
                        </w:tcBorders>
                        <w:shd w:val="clear" w:color="auto" w:fill="D3D3D3"/>
                      </w:tcPr>
                      <w:p>
                        <w:pPr/>
                      </w:p>
                    </w:tc>
                    <w:tc>
                      <w:tcPr>
                        <w:tcW w:w="7561" w:type="dxa"/>
                        <w:gridSpan w:val="5"/>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合所有制改革，深化企业内部改革，转换经营机制，提高整体运营水平。</w:t>
                        </w:r>
                      </w:p>
                    </w:tc>
                  </w:tr>
                  <w:tr>
                    <w:trPr>
                      <w:trHeight w:val="160" w:hRule="exact"/>
                    </w:trPr>
                    <w:tc>
                      <w:tcPr>
                        <w:tcW w:w="1979" w:type="dxa"/>
                        <w:vMerge w:val="restart"/>
                        <w:tcBorders>
                          <w:top w:val="single" w:sz="4" w:space="0" w:color="000000"/>
                          <w:left w:val="single" w:sz="4" w:space="0" w:color="000000"/>
                          <w:right w:val="single" w:sz="13" w:space="0" w:color="C7EDCC"/>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经营成果、财务状况、现</w:t>
                        </w:r>
                      </w:p>
                    </w:tc>
                    <w:tc>
                      <w:tcPr>
                        <w:tcW w:w="7561"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98" w:hRule="exact"/>
                    </w:trPr>
                    <w:tc>
                      <w:tcPr>
                        <w:tcW w:w="1979" w:type="dxa"/>
                        <w:vMerge/>
                        <w:tcBorders>
                          <w:left w:val="single" w:sz="4" w:space="0" w:color="000000"/>
                          <w:bottom w:val="nil" w:sz="6" w:space="0" w:color="auto"/>
                          <w:right w:val="single" w:sz="13" w:space="0" w:color="C7EDCC"/>
                        </w:tcBorders>
                        <w:shd w:val="clear" w:color="auto" w:fill="D3D3D3"/>
                      </w:tcPr>
                      <w:p>
                        <w:pPr/>
                      </w:p>
                    </w:tc>
                    <w:tc>
                      <w:tcPr>
                        <w:tcW w:w="7561" w:type="dxa"/>
                        <w:gridSpan w:val="5"/>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年度常山集团实现营业收入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794,215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万元，该数据未经审计。</w:t>
                        </w:r>
                      </w:p>
                    </w:tc>
                  </w:tr>
                  <w:tr>
                    <w:trPr>
                      <w:trHeight w:val="194" w:hRule="exact"/>
                    </w:trPr>
                    <w:tc>
                      <w:tcPr>
                        <w:tcW w:w="1979" w:type="dxa"/>
                        <w:vMerge w:val="restart"/>
                        <w:tcBorders>
                          <w:top w:val="nil" w:sz="6" w:space="0" w:color="auto"/>
                          <w:left w:val="single" w:sz="4" w:space="0" w:color="000000"/>
                          <w:right w:val="single" w:sz="9" w:space="0" w:color="C7EDCC"/>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金流等</w:t>
                        </w:r>
                      </w:p>
                    </w:tc>
                    <w:tc>
                      <w:tcPr>
                        <w:tcW w:w="7561" w:type="dxa"/>
                        <w:gridSpan w:val="5"/>
                        <w:vMerge/>
                        <w:tcBorders>
                          <w:left w:val="single" w:sz="4" w:space="0" w:color="000000"/>
                          <w:bottom w:val="nil" w:sz="6" w:space="0" w:color="auto"/>
                          <w:right w:val="single" w:sz="4" w:space="0" w:color="000000"/>
                        </w:tcBorders>
                        <w:shd w:val="clear" w:color="auto" w:fill="C7EDCC"/>
                      </w:tcPr>
                      <w:p>
                        <w:pPr/>
                      </w:p>
                    </w:tc>
                  </w:tr>
                  <w:tr>
                    <w:trPr>
                      <w:trHeight w:val="162" w:hRule="exact"/>
                    </w:trPr>
                    <w:tc>
                      <w:tcPr>
                        <w:tcW w:w="1979" w:type="dxa"/>
                        <w:vMerge/>
                        <w:tcBorders>
                          <w:left w:val="single" w:sz="4" w:space="0" w:color="000000"/>
                          <w:bottom w:val="single" w:sz="4" w:space="0" w:color="000000"/>
                          <w:right w:val="single" w:sz="9" w:space="0" w:color="C7EDCC"/>
                        </w:tcBorders>
                        <w:shd w:val="clear" w:color="auto" w:fill="D3D3D3"/>
                      </w:tcPr>
                      <w:p>
                        <w:pPr/>
                      </w:p>
                    </w:tc>
                    <w:tc>
                      <w:tcPr>
                        <w:tcW w:w="7561"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16" w:hRule="exact"/>
                    </w:trPr>
                    <w:tc>
                      <w:tcPr>
                        <w:tcW w:w="197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tc>
                    <w:tc>
                      <w:tcPr>
                        <w:tcW w:w="7561"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979" w:type="dxa"/>
                        <w:tcBorders>
                          <w:top w:val="nil" w:sz="6" w:space="0" w:color="auto"/>
                          <w:left w:val="single" w:sz="4" w:space="0" w:color="000000"/>
                          <w:bottom w:val="nil" w:sz="6" w:space="0" w:color="auto"/>
                          <w:right w:val="single" w:sz="13"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和参股的其他境内外上</w:t>
                        </w:r>
                      </w:p>
                    </w:tc>
                    <w:tc>
                      <w:tcPr>
                        <w:tcW w:w="7561"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报告期内，控股股东无控股和参股其他境内外上市公司股权的情况。</w:t>
                        </w:r>
                      </w:p>
                    </w:tc>
                  </w:tr>
                  <w:tr>
                    <w:trPr>
                      <w:trHeight w:val="317" w:hRule="exact"/>
                    </w:trPr>
                    <w:tc>
                      <w:tcPr>
                        <w:tcW w:w="197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7561"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right="0"/>
        <w:jc w:val="left"/>
      </w:pPr>
      <w:r>
        <w:rPr/>
        <w:t>控股股东报告期内变更</w:t>
      </w:r>
    </w:p>
    <w:p>
      <w:pPr>
        <w:pStyle w:val="BodyText"/>
        <w:spacing w:line="360" w:lineRule="auto" w:before="116"/>
        <w:ind w:left="153" w:right="7071"/>
        <w:jc w:val="left"/>
      </w:pPr>
      <w:r>
        <w:rPr/>
        <w:t>□ 适用 √ 不适用 公司报告期控股股东未发生变更。</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35"/>
        <w:gridCol w:w="1493"/>
        <w:gridCol w:w="1195"/>
        <w:gridCol w:w="1326"/>
        <w:gridCol w:w="1594"/>
        <w:gridCol w:w="2114"/>
      </w:tblGrid>
      <w:tr>
        <w:trPr>
          <w:trHeight w:val="714"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71"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1" w:hRule="exact"/>
        </w:trPr>
        <w:tc>
          <w:tcPr>
            <w:tcW w:w="1835"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石家庄国有资产监督 管理委员会</w:t>
            </w:r>
          </w:p>
        </w:tc>
        <w:tc>
          <w:tcPr>
            <w:tcW w:w="1493" w:type="dxa"/>
            <w:tcBorders>
              <w:top w:val="single" w:sz="4" w:space="0" w:color="000000"/>
              <w:left w:val="single" w:sz="4" w:space="0" w:color="000000"/>
              <w:bottom w:val="nil" w:sz="6" w:space="0" w:color="auto"/>
              <w:right w:val="single" w:sz="4" w:space="0" w:color="000000"/>
            </w:tcBorders>
            <w:shd w:val="clear" w:color="auto" w:fill="C7EDCC"/>
          </w:tcPr>
          <w:p>
            <w:pPr/>
          </w:p>
        </w:tc>
        <w:tc>
          <w:tcPr>
            <w:tcW w:w="1195" w:type="dxa"/>
            <w:vMerge w:val="restart"/>
            <w:tcBorders>
              <w:top w:val="single" w:sz="4" w:space="0" w:color="000000"/>
              <w:left w:val="single" w:sz="9" w:space="0" w:color="C7EDCC"/>
              <w:right w:val="single" w:sz="10" w:space="0" w:color="C7EDCC"/>
            </w:tcBorders>
          </w:tcPr>
          <w:p>
            <w:pPr/>
          </w:p>
        </w:tc>
        <w:tc>
          <w:tcPr>
            <w:tcW w:w="1326"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
        </w:tc>
        <w:tc>
          <w:tcPr>
            <w:tcW w:w="2114"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835" w:type="dxa"/>
            <w:vMerge/>
            <w:tcBorders>
              <w:left w:val="single" w:sz="4" w:space="0" w:color="000000"/>
              <w:right w:val="single" w:sz="4" w:space="0" w:color="000000"/>
            </w:tcBorders>
            <w:shd w:val="clear" w:color="auto" w:fill="C7EDCC"/>
          </w:tcPr>
          <w:p>
            <w:pPr/>
          </w:p>
        </w:tc>
        <w:tc>
          <w:tcPr>
            <w:tcW w:w="149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毕拉祥</w:t>
            </w:r>
          </w:p>
        </w:tc>
        <w:tc>
          <w:tcPr>
            <w:tcW w:w="1195" w:type="dxa"/>
            <w:vMerge/>
            <w:tcBorders>
              <w:left w:val="single" w:sz="9" w:space="0" w:color="C7EDCC"/>
              <w:right w:val="single" w:sz="10" w:space="0" w:color="C7EDCC"/>
            </w:tcBorders>
          </w:tcPr>
          <w:p>
            <w:pPr/>
          </w:p>
        </w:tc>
        <w:tc>
          <w:tcPr>
            <w:tcW w:w="13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76205558-5</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211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161" w:hRule="exact"/>
        </w:trPr>
        <w:tc>
          <w:tcPr>
            <w:tcW w:w="1835" w:type="dxa"/>
            <w:vMerge/>
            <w:tcBorders>
              <w:left w:val="single" w:sz="4" w:space="0" w:color="000000"/>
              <w:bottom w:val="single" w:sz="4" w:space="0" w:color="000000"/>
              <w:right w:val="single" w:sz="4" w:space="0" w:color="000000"/>
            </w:tcBorders>
            <w:shd w:val="clear" w:color="auto" w:fill="C7EDCC"/>
          </w:tcPr>
          <w:p>
            <w:pPr/>
          </w:p>
        </w:tc>
        <w:tc>
          <w:tcPr>
            <w:tcW w:w="1493" w:type="dxa"/>
            <w:tcBorders>
              <w:top w:val="nil" w:sz="6" w:space="0" w:color="auto"/>
              <w:left w:val="single" w:sz="4" w:space="0" w:color="000000"/>
              <w:bottom w:val="single" w:sz="4" w:space="0" w:color="000000"/>
              <w:right w:val="single" w:sz="4" w:space="0" w:color="000000"/>
            </w:tcBorders>
            <w:shd w:val="clear" w:color="auto" w:fill="C7EDCC"/>
          </w:tcPr>
          <w:p>
            <w:pPr/>
          </w:p>
        </w:tc>
        <w:tc>
          <w:tcPr>
            <w:tcW w:w="1195" w:type="dxa"/>
            <w:vMerge/>
            <w:tcBorders>
              <w:left w:val="single" w:sz="9" w:space="0" w:color="C7EDCC"/>
              <w:bottom w:val="single" w:sz="4" w:space="0" w:color="000000"/>
              <w:right w:val="single" w:sz="10" w:space="0" w:color="C7EDCC"/>
            </w:tcBorders>
          </w:tcPr>
          <w:p>
            <w:pPr/>
          </w:p>
        </w:tc>
        <w:tc>
          <w:tcPr>
            <w:tcW w:w="1326"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
        </w:tc>
        <w:tc>
          <w:tcPr>
            <w:tcW w:w="2114"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02" w:hRule="exact"/>
        </w:trPr>
        <w:tc>
          <w:tcPr>
            <w:tcW w:w="1835" w:type="dxa"/>
            <w:tcBorders>
              <w:top w:val="single" w:sz="4" w:space="0" w:color="000000"/>
              <w:left w:val="single" w:sz="4" w:space="0" w:color="000000"/>
              <w:bottom w:val="single" w:sz="4" w:space="0" w:color="000000"/>
              <w:right w:val="single" w:sz="10"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21" w:type="dxa"/>
            <w:gridSpan w:val="5"/>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835" w:type="dxa"/>
            <w:vMerge w:val="restart"/>
            <w:tcBorders>
              <w:top w:val="single" w:sz="4" w:space="0" w:color="000000"/>
              <w:left w:val="single" w:sz="4" w:space="0" w:color="000000"/>
              <w:right w:val="single" w:sz="10" w:space="0" w:color="C7EDCC"/>
            </w:tcBorders>
            <w:shd w:val="clear" w:color="auto" w:fill="D3D3D3"/>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21"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835" w:type="dxa"/>
            <w:vMerge/>
            <w:tcBorders>
              <w:left w:val="single" w:sz="4" w:space="0" w:color="000000"/>
              <w:right w:val="single" w:sz="10" w:space="0" w:color="C7EDCC"/>
            </w:tcBorders>
            <w:shd w:val="clear" w:color="auto" w:fill="D3D3D3"/>
          </w:tcPr>
          <w:p>
            <w:pPr/>
          </w:p>
        </w:tc>
        <w:tc>
          <w:tcPr>
            <w:tcW w:w="7721"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835" w:type="dxa"/>
            <w:vMerge/>
            <w:tcBorders>
              <w:left w:val="single" w:sz="4" w:space="0" w:color="000000"/>
              <w:bottom w:val="single" w:sz="4" w:space="0" w:color="000000"/>
              <w:right w:val="single" w:sz="10" w:space="0" w:color="C7EDCC"/>
            </w:tcBorders>
            <w:shd w:val="clear" w:color="auto" w:fill="D3D3D3"/>
          </w:tcPr>
          <w:p>
            <w:pPr/>
          </w:p>
        </w:tc>
        <w:tc>
          <w:tcPr>
            <w:tcW w:w="7721"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17" w:hRule="exact"/>
        </w:trPr>
        <w:tc>
          <w:tcPr>
            <w:tcW w:w="1835" w:type="dxa"/>
            <w:vMerge w:val="restart"/>
            <w:tcBorders>
              <w:top w:val="single" w:sz="4" w:space="0" w:color="000000"/>
              <w:left w:val="single" w:sz="4" w:space="0" w:color="000000"/>
              <w:right w:val="single" w:sz="10" w:space="0" w:color="C7EDCC"/>
            </w:tcBorders>
            <w:shd w:val="clear" w:color="auto" w:fill="D3D3D3"/>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7721"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835" w:type="dxa"/>
            <w:vMerge/>
            <w:tcBorders>
              <w:left w:val="single" w:sz="4" w:space="0" w:color="000000"/>
              <w:right w:val="single" w:sz="10" w:space="0" w:color="C7EDCC"/>
            </w:tcBorders>
            <w:shd w:val="clear" w:color="auto" w:fill="D3D3D3"/>
          </w:tcPr>
          <w:p>
            <w:pPr/>
          </w:p>
        </w:tc>
        <w:tc>
          <w:tcPr>
            <w:tcW w:w="7721"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1835" w:type="dxa"/>
            <w:vMerge/>
            <w:tcBorders>
              <w:left w:val="single" w:sz="4" w:space="0" w:color="000000"/>
              <w:bottom w:val="single" w:sz="4" w:space="0" w:color="000000"/>
              <w:right w:val="single" w:sz="10" w:space="0" w:color="C7EDCC"/>
            </w:tcBorders>
            <w:shd w:val="clear" w:color="auto" w:fill="D3D3D3"/>
          </w:tcPr>
          <w:p>
            <w:pPr/>
          </w:p>
        </w:tc>
        <w:tc>
          <w:tcPr>
            <w:tcW w:w="7721"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right="0"/>
        <w:jc w:val="left"/>
      </w:pPr>
      <w:r>
        <w:rPr/>
        <w:t>实际控制人报告期内变更</w:t>
      </w:r>
    </w:p>
    <w:p>
      <w:pPr>
        <w:pStyle w:val="BodyText"/>
        <w:spacing w:line="360" w:lineRule="auto" w:before="117"/>
        <w:ind w:left="153" w:right="5811"/>
        <w:jc w:val="left"/>
      </w:pPr>
      <w:r>
        <w:rPr/>
        <w:t>□ 适用 √ 不适用 公司报告期实际控制人未发生变更。 公司与实际控制人之间的产权及控制关系的方框图</w:t>
      </w:r>
    </w:p>
    <w:p>
      <w:pPr>
        <w:spacing w:after="0" w:line="36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2220" w:lineRule="exact"/>
        <w:ind w:left="1356"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4590854" cy="14097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4590854" cy="1409700"/>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5"/>
        <w:rPr>
          <w:rFonts w:ascii="宋体" w:hAnsi="宋体" w:cs="宋体" w:eastAsia="宋体" w:hint="default"/>
          <w:sz w:val="23"/>
          <w:szCs w:val="23"/>
        </w:rPr>
      </w:pPr>
    </w:p>
    <w:p>
      <w:pPr>
        <w:pStyle w:val="BodyText"/>
        <w:spacing w:line="240" w:lineRule="auto" w:before="44"/>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2751"/>
        <w:jc w:val="left"/>
      </w:pPr>
      <w:r>
        <w:rPr/>
        <w:t>□ 适用 √ 不适用 在公司所知的范围内，没有公司股东及其一致行动人在报告期提出或实施股份增持计划。</w:t>
      </w:r>
    </w:p>
    <w:p>
      <w:pPr>
        <w:spacing w:after="0" w:line="36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57" w:lineRule="auto" w:before="44"/>
        <w:ind w:left="153" w:right="7611"/>
        <w:jc w:val="left"/>
      </w:pPr>
      <w:r>
        <w:rPr/>
        <w:t>□ 适用 √ 不适用 报告期公司不存在优先股。</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1116"/>
        <w:gridCol w:w="870"/>
        <w:gridCol w:w="750"/>
        <w:gridCol w:w="720"/>
        <w:gridCol w:w="869"/>
        <w:gridCol w:w="870"/>
        <w:gridCol w:w="870"/>
        <w:gridCol w:w="870"/>
        <w:gridCol w:w="870"/>
        <w:gridCol w:w="870"/>
      </w:tblGrid>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姓名</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汤彰明</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李京朝</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肖荣智</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副董事长、总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薛建昌</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理、总工程师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马晓峰</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王惠君</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贾路桥</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李万军</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朱北娜</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史静敏</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李  量</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邵光毅</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高俊岐</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邓中斌</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胡海清</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1116"/>
        <w:gridCol w:w="870"/>
        <w:gridCol w:w="750"/>
        <w:gridCol w:w="72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马韵杰</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袁立峰</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11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r>
    </w:tbl>
    <w:p>
      <w:pPr>
        <w:spacing w:line="240" w:lineRule="auto" w:before="2"/>
        <w:rPr>
          <w:rFonts w:ascii="宋体" w:hAnsi="宋体" w:cs="宋体" w:eastAsia="宋体" w:hint="default"/>
          <w:b/>
          <w:bCs/>
          <w:sz w:val="18"/>
          <w:szCs w:val="18"/>
        </w:rPr>
      </w:pPr>
    </w:p>
    <w:p>
      <w:pPr>
        <w:pStyle w:val="Heading2"/>
        <w:spacing w:line="240" w:lineRule="auto" w:before="26"/>
        <w:ind w:right="418"/>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18"/>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38" w:lineRule="auto" w:before="103"/>
        <w:ind w:left="514" w:right="91"/>
        <w:jc w:val="left"/>
      </w:pPr>
      <w:r>
        <w:rPr>
          <w:rFonts w:ascii="Times New Roman" w:hAnsi="Times New Roman" w:cs="Times New Roman" w:eastAsia="Times New Roman" w:hint="default"/>
        </w:rPr>
        <w:t>1</w:t>
      </w:r>
      <w:r>
        <w:rPr/>
        <w:t>、董事情况 </w:t>
      </w:r>
      <w:r>
        <w:rPr>
          <w:spacing w:val="-2"/>
        </w:rPr>
        <w:t>汤彰明先生，</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1</w:t>
      </w:r>
      <w:r>
        <w:rPr>
          <w:spacing w:val="-2"/>
        </w:rPr>
        <w:t>月出生，中共党员，研究生学历，正高级经济师。现任石家庄常山纺织集团有限责任公司董事长，</w:t>
      </w:r>
    </w:p>
    <w:p>
      <w:pPr>
        <w:pStyle w:val="BodyText"/>
        <w:spacing w:line="218" w:lineRule="exact"/>
        <w:ind w:right="418"/>
        <w:jc w:val="left"/>
      </w:pPr>
      <w:r>
        <w:rPr/>
        <w:t>本公司董事长，石家庄常山恒新纺织有限公司董事长。</w:t>
      </w:r>
    </w:p>
    <w:p>
      <w:pPr>
        <w:pStyle w:val="BodyText"/>
        <w:spacing w:line="302" w:lineRule="auto" w:before="115"/>
        <w:ind w:right="188" w:firstLine="360"/>
        <w:jc w:val="both"/>
      </w:pPr>
      <w:r>
        <w:rPr/>
        <w:t>李京朝先生，</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1</w:t>
      </w:r>
      <w:r>
        <w:rPr/>
        <w:t>月出生，中共党员，大专文化，经济师。曾任本公司董事会秘书、副董事长。现任本公司副董事 长，石家庄常山恒新纺织有限公司董事。</w:t>
      </w:r>
    </w:p>
    <w:p>
      <w:pPr>
        <w:pStyle w:val="BodyText"/>
        <w:spacing w:line="309" w:lineRule="auto" w:before="69"/>
        <w:ind w:right="188" w:firstLine="360"/>
        <w:jc w:val="both"/>
      </w:pPr>
      <w:r>
        <w:rPr/>
        <w:t>肖荣智先生，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月出生，中共党员，研究生学历，正高级会计师，正高级经济师。曾任石家庄纺织集团有限责任 </w:t>
      </w:r>
      <w:r>
        <w:rPr>
          <w:spacing w:val="-2"/>
        </w:rPr>
        <w:t>公司董事，本公司董事、总经理。现任石家庄纺织集团有限责任公司董事，本公司副董事长、总经理，石家庄常山恒新纺织</w:t>
      </w:r>
      <w:r>
        <w:rPr>
          <w:spacing w:val="-68"/>
        </w:rPr>
        <w:t> </w:t>
      </w:r>
      <w:r>
        <w:rPr>
          <w:spacing w:val="-68"/>
        </w:rPr>
      </w:r>
      <w:r>
        <w:rPr/>
        <w:t>有限公司董事，上海常纺恒友国际贸易有限公司、石家庄常山恒荣进出口贸易有限公司执行董事。</w:t>
      </w:r>
    </w:p>
    <w:p>
      <w:pPr>
        <w:pStyle w:val="BodyText"/>
        <w:spacing w:line="302" w:lineRule="auto" w:before="62"/>
        <w:ind w:right="191" w:firstLine="360"/>
        <w:jc w:val="both"/>
      </w:pPr>
      <w:r>
        <w:rPr>
          <w:spacing w:val="-2"/>
        </w:rPr>
        <w:t>薛建昌先生，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10</w:t>
      </w:r>
      <w:r>
        <w:rPr>
          <w:spacing w:val="-2"/>
        </w:rPr>
        <w:t>月出生，中共党员，大学文化，正高级工程师。现任本公司董事、副总经理、总工程师，石家庄</w:t>
      </w:r>
      <w:r>
        <w:rPr/>
        <w:t> 常山恒新纺织有限公司董事、总经理。</w:t>
      </w:r>
    </w:p>
    <w:p>
      <w:pPr>
        <w:pStyle w:val="BodyText"/>
        <w:spacing w:line="302" w:lineRule="auto" w:before="68"/>
        <w:ind w:right="191" w:firstLine="360"/>
        <w:jc w:val="both"/>
      </w:pPr>
      <w:r>
        <w:rPr>
          <w:spacing w:val="-2"/>
        </w:rPr>
        <w:t>马晓峰先生，</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10</w:t>
      </w:r>
      <w:r>
        <w:rPr>
          <w:spacing w:val="-2"/>
        </w:rPr>
        <w:t>月出生，中共党员，大学文化，高级工程师。曾任本公司董事、棉二分公司经理，现任本公司董</w:t>
      </w:r>
      <w:r>
        <w:rPr/>
        <w:t> 事、副总经理、棉二分公司经理。</w:t>
      </w:r>
    </w:p>
    <w:p>
      <w:pPr>
        <w:pStyle w:val="BodyText"/>
        <w:spacing w:line="309" w:lineRule="auto" w:before="69"/>
        <w:ind w:right="189" w:firstLine="360"/>
        <w:jc w:val="both"/>
      </w:pPr>
      <w:r>
        <w:rPr>
          <w:spacing w:val="-2"/>
        </w:rPr>
        <w:t>王惠君先生，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月出生，中共党员，本科学历。曾任石家庄常山纺织集团有限责任公司董事、副总裁，石家庄常</w:t>
      </w:r>
      <w:r>
        <w:rPr/>
        <w:t> </w:t>
      </w:r>
      <w:r>
        <w:rPr>
          <w:spacing w:val="-2"/>
        </w:rPr>
        <w:t>山纺织集团经编实业有限公司董事长，现任石家庄常山纺织集团有限责任公司副董事长、副总裁，本公司董事，石家庄常山</w:t>
      </w:r>
      <w:r>
        <w:rPr>
          <w:spacing w:val="-66"/>
        </w:rPr>
        <w:t> </w:t>
      </w:r>
      <w:r>
        <w:rPr>
          <w:spacing w:val="-66"/>
        </w:rPr>
      </w:r>
      <w:r>
        <w:rPr/>
        <w:t>纺织集团经编实业有限公司董事长。</w:t>
      </w:r>
    </w:p>
    <w:p>
      <w:pPr>
        <w:pStyle w:val="BodyText"/>
        <w:spacing w:line="302" w:lineRule="auto" w:before="62"/>
        <w:ind w:right="188" w:firstLine="360"/>
        <w:jc w:val="both"/>
      </w:pPr>
      <w:r>
        <w:rPr/>
        <w:t>贾路桥先生，</w:t>
      </w:r>
      <w:r>
        <w:rPr>
          <w:rFonts w:ascii="Times New Roman" w:hAnsi="Times New Roman" w:cs="Times New Roman" w:eastAsia="Times New Roman" w:hint="default"/>
        </w:rPr>
        <w:t>1939</w:t>
      </w:r>
      <w:r>
        <w:rPr/>
        <w:t>年</w:t>
      </w:r>
      <w:r>
        <w:rPr>
          <w:rFonts w:ascii="Times New Roman" w:hAnsi="Times New Roman" w:cs="Times New Roman" w:eastAsia="Times New Roman" w:hint="default"/>
        </w:rPr>
        <w:t>9</w:t>
      </w:r>
      <w:r>
        <w:rPr/>
        <w:t>月出生，中共党员，本科学历，经济学教授。现任际华集团股份有限公司和黑牡丹（集团）股份 有限公司独立非执行董事，本公司独立董事。</w:t>
      </w:r>
    </w:p>
    <w:p>
      <w:pPr>
        <w:pStyle w:val="BodyText"/>
        <w:spacing w:line="309" w:lineRule="auto" w:before="68"/>
        <w:ind w:right="191" w:firstLine="362"/>
        <w:jc w:val="both"/>
      </w:pPr>
      <w:r>
        <w:rPr>
          <w:spacing w:val="-2"/>
        </w:rPr>
        <w:t>史静敏女士，</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12</w:t>
      </w:r>
      <w:r>
        <w:rPr>
          <w:spacing w:val="-2"/>
        </w:rPr>
        <w:t>月出生，注册会计师，注册税务师，企业高级管理咨询顾问，曾任中国化学工程总公司第十二建</w:t>
      </w:r>
      <w:r>
        <w:rPr/>
        <w:t> </w:t>
      </w:r>
      <w:r>
        <w:rPr>
          <w:spacing w:val="-2"/>
        </w:rPr>
        <w:t>设公司核算主任，河北天华会计师事务所有限公司审计部主任，河北航空集团有限公司世贸广场酒店总会计师，石家庄东方</w:t>
      </w:r>
      <w:r>
        <w:rPr>
          <w:spacing w:val="-66"/>
        </w:rPr>
        <w:t> </w:t>
      </w:r>
      <w:r>
        <w:rPr>
          <w:spacing w:val="-66"/>
        </w:rPr>
      </w:r>
      <w:r>
        <w:rPr/>
        <w:t>热电股份有限公司独立董事，现任河北航空集团有限公司财务部长，本公司董事。</w:t>
      </w:r>
    </w:p>
    <w:p>
      <w:pPr>
        <w:pStyle w:val="BodyText"/>
        <w:spacing w:line="309" w:lineRule="auto" w:before="64"/>
        <w:ind w:right="191" w:firstLine="360"/>
        <w:jc w:val="both"/>
      </w:pPr>
      <w:r>
        <w:rPr/>
        <w:t>李量先生，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4</w:t>
      </w:r>
      <w:r>
        <w:rPr/>
        <w:t>月生，法学硕士，工商行政管理学硕士，律师，曾任吉林省土畜产品进出口总公司业务经理，吉林 </w:t>
      </w:r>
      <w:r>
        <w:rPr>
          <w:spacing w:val="-2"/>
        </w:rPr>
        <w:t>省外经贸委驻南非代表处代表，北京市中银、德恒、金杜律师事务所律师，现任北京市龙朔律师事务所主任，本公司独立董</w:t>
      </w:r>
      <w:r>
        <w:rPr>
          <w:spacing w:val="-66"/>
        </w:rPr>
        <w:t> </w:t>
      </w:r>
      <w:r>
        <w:rPr>
          <w:spacing w:val="-66"/>
        </w:rPr>
      </w:r>
      <w:r>
        <w:rPr/>
        <w:t>事。</w:t>
      </w:r>
    </w:p>
    <w:p>
      <w:pPr>
        <w:pStyle w:val="BodyText"/>
        <w:spacing w:line="302" w:lineRule="auto" w:before="62"/>
        <w:ind w:right="188" w:firstLine="360"/>
        <w:jc w:val="both"/>
      </w:pPr>
      <w:r>
        <w:rPr/>
        <w:t>李万军先生，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2</w:t>
      </w:r>
      <w:r>
        <w:rPr/>
        <w:t>月出生，中共党员，管理学硕士，高级会计师、注册会计师、注册税务师。曾先后就职于工商银 行石家庄桥西办会计科，中共河北省委党史办，河北财达证券财务科。曾任本公司独立董事。</w:t>
      </w:r>
    </w:p>
    <w:p>
      <w:pPr>
        <w:pStyle w:val="BodyText"/>
        <w:spacing w:line="240" w:lineRule="auto" w:before="68"/>
        <w:ind w:left="514" w:right="91"/>
        <w:jc w:val="left"/>
      </w:pPr>
      <w:r>
        <w:rPr/>
        <w:t>朱北娜女士，</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6</w:t>
      </w:r>
      <w:r>
        <w:rPr/>
        <w:t>月出生，中共党员，本科学历，教授级高级工程师。曾任纺织工业部、纺织总会教育司（部）主</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418"/>
        <w:jc w:val="left"/>
      </w:pPr>
      <w:r>
        <w:rPr/>
        <w:t>任科员、副处长，中国棉纺织行业协会副秘书长、秘书长、副会长。曾任本公司独立董事。</w:t>
      </w:r>
    </w:p>
    <w:p>
      <w:pPr>
        <w:pStyle w:val="BodyText"/>
        <w:spacing w:line="338" w:lineRule="auto" w:before="116"/>
        <w:ind w:left="513" w:right="91"/>
        <w:jc w:val="left"/>
      </w:pPr>
      <w:r>
        <w:rPr>
          <w:rFonts w:ascii="Times New Roman" w:hAnsi="Times New Roman" w:cs="Times New Roman" w:eastAsia="Times New Roman" w:hint="default"/>
        </w:rPr>
        <w:t>2</w:t>
      </w:r>
      <w:r>
        <w:rPr/>
        <w:t>、监事 </w:t>
      </w:r>
      <w:r>
        <w:rPr>
          <w:spacing w:val="-2"/>
        </w:rPr>
        <w:t>邵光毅先生，</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12</w:t>
      </w:r>
      <w:r>
        <w:rPr>
          <w:spacing w:val="-2"/>
        </w:rPr>
        <w:t>月出生，中共党员，大学文化，高级政工师。曾任本公司监事、党委工作部部长，现任本公司监</w:t>
      </w:r>
    </w:p>
    <w:p>
      <w:pPr>
        <w:pStyle w:val="BodyText"/>
        <w:spacing w:line="218" w:lineRule="exact"/>
        <w:ind w:left="153" w:right="418"/>
        <w:jc w:val="left"/>
      </w:pPr>
      <w:r>
        <w:rPr/>
        <w:t>事会主席、党委工作部部长、石家庄常山赵州纺织有限公司监事会主席。</w:t>
      </w:r>
    </w:p>
    <w:p>
      <w:pPr>
        <w:pStyle w:val="BodyText"/>
        <w:spacing w:line="302" w:lineRule="auto" w:before="115"/>
        <w:ind w:left="153" w:right="181" w:firstLine="360"/>
        <w:jc w:val="left"/>
      </w:pPr>
      <w:r>
        <w:rPr/>
        <w:t>高俊岐先生，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月出生，中共党员，大学文化，高级会计师。曾任本公司总会计师，现任石家庄常山纺织集团有 限责任公司总会计师、本公司监事。</w:t>
      </w:r>
    </w:p>
    <w:p>
      <w:pPr>
        <w:pStyle w:val="BodyText"/>
        <w:spacing w:line="302" w:lineRule="auto" w:before="68"/>
        <w:ind w:left="153" w:right="91" w:firstLine="360"/>
        <w:jc w:val="left"/>
      </w:pPr>
      <w:r>
        <w:rPr>
          <w:spacing w:val="-2"/>
        </w:rPr>
        <w:t>邓中斌先生，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4</w:t>
      </w:r>
      <w:r>
        <w:rPr>
          <w:spacing w:val="-2"/>
        </w:rPr>
        <w:t>月出生，本科学历，助理工程师，中共党员。曾任棉四分公司经理助理、经理，现任本公司监事、</w:t>
      </w:r>
      <w:r>
        <w:rPr/>
        <w:t> 棉四分公司经理。</w:t>
      </w:r>
    </w:p>
    <w:p>
      <w:pPr>
        <w:pStyle w:val="BodyText"/>
        <w:spacing w:line="338" w:lineRule="auto" w:before="70"/>
        <w:ind w:left="513" w:right="181" w:firstLine="146"/>
        <w:jc w:val="left"/>
      </w:pPr>
      <w:r>
        <w:rPr>
          <w:rFonts w:ascii="Times New Roman" w:hAnsi="Times New Roman" w:cs="Times New Roman" w:eastAsia="Times New Roman" w:hint="default"/>
        </w:rPr>
        <w:t>3</w:t>
      </w:r>
      <w:r>
        <w:rPr/>
        <w:t>、高级管理人员 胡海清先生，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3</w:t>
      </w:r>
      <w:r>
        <w:rPr/>
        <w:t>月出生，中共党员，大专文化，经济师。任本公司副总经理，棉一分公司经理。 马韵杰先生，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9</w:t>
      </w:r>
      <w:r>
        <w:rPr/>
        <w:t>月出生，中共党员，大学文化，经济师。任本公司副总经理。 刘辉先生，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月出生，中共党员，本科学历，高级工程师。曾任本公司总经理助理，现任本公司副总经理。 袁立峰先生，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w:t>
      </w:r>
      <w:r>
        <w:rPr/>
        <w:t>月出生，中共党员，本科学历，高级工程师。曾任本公司总经理助理，现任本公司副总经理，生</w:t>
      </w:r>
    </w:p>
    <w:p>
      <w:pPr>
        <w:pStyle w:val="BodyText"/>
        <w:spacing w:line="218" w:lineRule="exact"/>
        <w:ind w:left="153" w:right="418"/>
        <w:jc w:val="left"/>
      </w:pPr>
      <w:r>
        <w:rPr/>
        <w:t>产技术部部长。</w:t>
      </w:r>
    </w:p>
    <w:p>
      <w:pPr>
        <w:pStyle w:val="BodyText"/>
        <w:spacing w:line="302" w:lineRule="auto" w:before="115"/>
        <w:ind w:left="153" w:right="91" w:firstLine="360"/>
        <w:jc w:val="left"/>
      </w:pPr>
      <w:r>
        <w:rPr>
          <w:spacing w:val="-2"/>
        </w:rPr>
        <w:t>赵英涛先生，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10</w:t>
      </w:r>
      <w:r>
        <w:rPr>
          <w:spacing w:val="-2"/>
        </w:rPr>
        <w:t>月出生，中共党员，本科学历，会计师。曾任本公司财务部经理，副总会计师，现任本公司总会</w:t>
      </w:r>
      <w:r>
        <w:rPr/>
        <w:t> 计师。</w:t>
      </w:r>
    </w:p>
    <w:p>
      <w:pPr>
        <w:pStyle w:val="BodyText"/>
        <w:spacing w:line="302" w:lineRule="auto" w:before="69"/>
        <w:ind w:left="153" w:right="181" w:firstLine="360"/>
        <w:jc w:val="left"/>
      </w:pPr>
      <w:r>
        <w:rPr/>
        <w:t>池俊平先生，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月出生，中共党员，本科学历。曾任本公司证券事务代表，现任本公司董事会秘书，投资发展部 部长。</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left="153" w:right="418"/>
        <w:jc w:val="left"/>
      </w:pPr>
      <w:r>
        <w:rPr/>
        <w:t>在股东单位任职情况</w:t>
      </w:r>
    </w:p>
    <w:p>
      <w:pPr>
        <w:pStyle w:val="BodyText"/>
        <w:spacing w:line="240" w:lineRule="auto" w:before="117"/>
        <w:ind w:left="153"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83"/>
        <w:gridCol w:w="3190"/>
        <w:gridCol w:w="1069"/>
        <w:gridCol w:w="1699"/>
        <w:gridCol w:w="1260"/>
        <w:gridCol w:w="1440"/>
      </w:tblGrid>
      <w:tr>
        <w:trPr>
          <w:trHeight w:val="714" w:hRule="exact"/>
        </w:trPr>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67"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6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8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6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7" w:hRule="exact"/>
        </w:trPr>
        <w:tc>
          <w:tcPr>
            <w:tcW w:w="883"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122"/>
              <w:jc w:val="both"/>
              <w:rPr>
                <w:rFonts w:ascii="宋体" w:hAnsi="宋体" w:cs="宋体" w:eastAsia="宋体" w:hint="default"/>
                <w:sz w:val="18"/>
                <w:szCs w:val="18"/>
              </w:rPr>
            </w:pPr>
            <w:r>
              <w:rPr>
                <w:rFonts w:ascii="宋体" w:hAnsi="宋体" w:cs="宋体" w:eastAsia="宋体" w:hint="default"/>
                <w:sz w:val="18"/>
                <w:szCs w:val="18"/>
              </w:rPr>
              <w:t>在股东单 位任职情 况的说明</w:t>
            </w:r>
          </w:p>
        </w:tc>
        <w:tc>
          <w:tcPr>
            <w:tcW w:w="8657"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883" w:type="dxa"/>
            <w:vMerge/>
            <w:tcBorders>
              <w:left w:val="single" w:sz="4" w:space="0" w:color="000000"/>
              <w:right w:val="single" w:sz="9" w:space="0" w:color="C7EDCC"/>
            </w:tcBorders>
            <w:shd w:val="clear" w:color="auto" w:fill="D3D3D3"/>
          </w:tcPr>
          <w:p>
            <w:pPr/>
          </w:p>
        </w:tc>
        <w:tc>
          <w:tcPr>
            <w:tcW w:w="8657"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883" w:type="dxa"/>
            <w:vMerge/>
            <w:tcBorders>
              <w:left w:val="single" w:sz="4" w:space="0" w:color="000000"/>
              <w:bottom w:val="single" w:sz="4" w:space="0" w:color="000000"/>
              <w:right w:val="single" w:sz="9" w:space="0" w:color="C7EDCC"/>
            </w:tcBorders>
            <w:shd w:val="clear" w:color="auto" w:fill="D3D3D3"/>
          </w:tcPr>
          <w:p>
            <w:pPr/>
          </w:p>
        </w:tc>
        <w:tc>
          <w:tcPr>
            <w:tcW w:w="8657"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right="418"/>
        <w:jc w:val="left"/>
      </w:pPr>
      <w:r>
        <w:rPr/>
        <w:t>在其他单位任职情况</w:t>
      </w:r>
    </w:p>
    <w:p>
      <w:pPr>
        <w:pStyle w:val="BodyText"/>
        <w:spacing w:line="240" w:lineRule="auto" w:before="117"/>
        <w:ind w:left="153" w:right="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2759"/>
        <w:gridCol w:w="1063"/>
        <w:gridCol w:w="1637"/>
        <w:gridCol w:w="1324"/>
        <w:gridCol w:w="1595"/>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3"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李京朝</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73"/>
        <w:gridCol w:w="2759"/>
        <w:gridCol w:w="1068"/>
        <w:gridCol w:w="1649"/>
        <w:gridCol w:w="1324"/>
        <w:gridCol w:w="1595"/>
      </w:tblGrid>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4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C7EDCC"/>
          </w:tcPr>
          <w:p>
            <w:pPr/>
          </w:p>
        </w:tc>
        <w:tc>
          <w:tcPr>
            <w:tcW w:w="2759"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39" w:right="7"/>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 司</w:t>
            </w:r>
          </w:p>
        </w:tc>
        <w:tc>
          <w:tcPr>
            <w:tcW w:w="1068" w:type="dxa"/>
            <w:tcBorders>
              <w:top w:val="single" w:sz="4" w:space="0" w:color="000000"/>
              <w:left w:val="single" w:sz="4" w:space="0" w:color="000000"/>
              <w:bottom w:val="nil" w:sz="6" w:space="0" w:color="auto"/>
              <w:right w:val="single" w:sz="4" w:space="0" w:color="000000"/>
            </w:tcBorders>
            <w:shd w:val="clear" w:color="auto" w:fill="C7EDCC"/>
          </w:tcPr>
          <w:p>
            <w:pPr/>
          </w:p>
        </w:tc>
        <w:tc>
          <w:tcPr>
            <w:tcW w:w="1649" w:type="dxa"/>
            <w:vMerge w:val="restart"/>
            <w:tcBorders>
              <w:top w:val="single" w:sz="4" w:space="0" w:color="000000"/>
              <w:left w:val="single" w:sz="10" w:space="0" w:color="C7ED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1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759" w:type="dxa"/>
            <w:vMerge/>
            <w:tcBorders>
              <w:left w:val="single" w:sz="4" w:space="0" w:color="000000"/>
              <w:right w:val="single" w:sz="4" w:space="0" w:color="000000"/>
            </w:tcBorders>
            <w:shd w:val="clear" w:color="auto" w:fill="C7EDCC"/>
          </w:tcPr>
          <w:p>
            <w:pPr/>
          </w:p>
        </w:tc>
        <w:tc>
          <w:tcPr>
            <w:tcW w:w="106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49" w:type="dxa"/>
            <w:vMerge/>
            <w:tcBorders>
              <w:left w:val="single" w:sz="10" w:space="0" w:color="C7EDCC"/>
              <w:right w:val="single" w:sz="4" w:space="0" w:color="000000"/>
            </w:tcBorders>
          </w:tcPr>
          <w:p>
            <w:pPr/>
          </w:p>
        </w:tc>
        <w:tc>
          <w:tcPr>
            <w:tcW w:w="132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C7EDCC"/>
          </w:tcPr>
          <w:p>
            <w:pPr/>
          </w:p>
        </w:tc>
        <w:tc>
          <w:tcPr>
            <w:tcW w:w="2759" w:type="dxa"/>
            <w:vMerge/>
            <w:tcBorders>
              <w:left w:val="single" w:sz="4" w:space="0" w:color="000000"/>
              <w:bottom w:val="single" w:sz="4" w:space="0" w:color="000000"/>
              <w:right w:val="single" w:sz="4" w:space="0" w:color="000000"/>
            </w:tcBorders>
            <w:shd w:val="clear" w:color="auto" w:fill="C7EDCC"/>
          </w:tcPr>
          <w:p>
            <w:pPr/>
          </w:p>
        </w:tc>
        <w:tc>
          <w:tcPr>
            <w:tcW w:w="1068" w:type="dxa"/>
            <w:tcBorders>
              <w:top w:val="nil" w:sz="6" w:space="0" w:color="auto"/>
              <w:left w:val="single" w:sz="4" w:space="0" w:color="000000"/>
              <w:bottom w:val="single" w:sz="4" w:space="0" w:color="000000"/>
              <w:right w:val="single" w:sz="4" w:space="0" w:color="000000"/>
            </w:tcBorders>
            <w:shd w:val="clear" w:color="auto" w:fill="C7EDCC"/>
          </w:tcPr>
          <w:p>
            <w:pPr/>
          </w:p>
        </w:tc>
        <w:tc>
          <w:tcPr>
            <w:tcW w:w="1649" w:type="dxa"/>
            <w:vMerge/>
            <w:tcBorders>
              <w:left w:val="single" w:sz="10" w:space="0" w:color="C7EDCC"/>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64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际华集团股份有限公司</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黑牡丹（集团）股份有限公司</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河北航空集团有限公司</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财务部长</w:t>
            </w:r>
          </w:p>
        </w:tc>
        <w:tc>
          <w:tcPr>
            <w:tcW w:w="164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北京龙朔律师事务所</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64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4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2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173"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11" w:right="63"/>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94"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173" w:type="dxa"/>
            <w:vMerge/>
            <w:tcBorders>
              <w:left w:val="single" w:sz="4" w:space="0" w:color="000000"/>
              <w:right w:val="single" w:sz="9" w:space="0" w:color="C7EDCC"/>
            </w:tcBorders>
            <w:shd w:val="clear" w:color="auto" w:fill="D3D3D3"/>
          </w:tcPr>
          <w:p>
            <w:pPr/>
          </w:p>
        </w:tc>
        <w:tc>
          <w:tcPr>
            <w:tcW w:w="8394"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173" w:type="dxa"/>
            <w:vMerge/>
            <w:tcBorders>
              <w:left w:val="single" w:sz="4" w:space="0" w:color="000000"/>
              <w:bottom w:val="single" w:sz="4" w:space="0" w:color="000000"/>
              <w:right w:val="single" w:sz="9" w:space="0" w:color="C7EDCC"/>
            </w:tcBorders>
            <w:shd w:val="clear" w:color="auto" w:fill="D3D3D3"/>
          </w:tcPr>
          <w:p>
            <w:pPr/>
          </w:p>
        </w:tc>
        <w:tc>
          <w:tcPr>
            <w:tcW w:w="8394"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8"/>
          <w:szCs w:val="18"/>
        </w:rPr>
      </w:pPr>
    </w:p>
    <w:p>
      <w:pPr>
        <w:pStyle w:val="Heading2"/>
        <w:spacing w:line="240" w:lineRule="auto" w:before="26"/>
        <w:ind w:right="418"/>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91" w:hanging="360"/>
        <w:jc w:val="left"/>
      </w:pPr>
      <w:r>
        <w:rPr/>
        <w:t>董事、监事、高级管理人员报酬的决策程序、确定依据、实际支付情况 </w:t>
      </w:r>
      <w:r>
        <w:rPr>
          <w:spacing w:val="-2"/>
        </w:rPr>
        <w:t>公司独立董事的津贴由董事会审议后，经股东大会批准执行；公司非独立董事、监事、高级管理人员报酬按《岗位绩效</w:t>
      </w:r>
    </w:p>
    <w:p>
      <w:pPr>
        <w:pStyle w:val="BodyText"/>
        <w:spacing w:line="224" w:lineRule="exact"/>
        <w:ind w:left="153" w:right="0"/>
        <w:jc w:val="left"/>
      </w:pPr>
      <w:r>
        <w:rPr/>
        <w:t>公司制度实施细则》执行；公司非独立董事、监事、高级管理人员报酬按《岗位绩效公司制度实施细则》执行，按月发放，</w:t>
      </w:r>
    </w:p>
    <w:p>
      <w:pPr>
        <w:pStyle w:val="BodyText"/>
        <w:spacing w:line="360" w:lineRule="auto" w:before="76"/>
        <w:ind w:right="91"/>
        <w:jc w:val="left"/>
      </w:pPr>
      <w:r>
        <w:rPr>
          <w:spacing w:val="-4"/>
        </w:rPr>
        <w:t>经年度考核后发放年度薪酬。未在本公司任职的董事、监事未在本公司领取报酬，公司独立董事在本公司领取独立董事津贴。</w:t>
      </w:r>
      <w:r>
        <w:rPr>
          <w:spacing w:val="-44"/>
        </w:rPr>
        <w:t> </w:t>
      </w:r>
      <w:r>
        <w:rPr>
          <w:spacing w:val="-44"/>
        </w:rPr>
      </w:r>
      <w:r>
        <w:rPr/>
        <w:t>公司报告期内董事、监事和高级管理人员报酬情况</w:t>
      </w:r>
    </w:p>
    <w:p>
      <w:pPr>
        <w:pStyle w:val="BodyText"/>
        <w:spacing w:line="240" w:lineRule="auto" w:before="26"/>
        <w:ind w:left="0" w:right="19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2223"/>
        <w:gridCol w:w="720"/>
        <w:gridCol w:w="720"/>
        <w:gridCol w:w="1196"/>
        <w:gridCol w:w="1195"/>
        <w:gridCol w:w="1196"/>
        <w:gridCol w:w="1196"/>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李京朝</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22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2195"/>
        <w:gridCol w:w="748"/>
        <w:gridCol w:w="720"/>
        <w:gridCol w:w="1196"/>
        <w:gridCol w:w="1195"/>
        <w:gridCol w:w="1196"/>
        <w:gridCol w:w="1196"/>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胡海清</w:t>
            </w:r>
          </w:p>
        </w:tc>
        <w:tc>
          <w:tcPr>
            <w:tcW w:w="2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马韵杰</w:t>
            </w:r>
          </w:p>
        </w:tc>
        <w:tc>
          <w:tcPr>
            <w:tcW w:w="2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2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4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11.1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11.1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2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袁立峰</w:t>
            </w:r>
          </w:p>
        </w:tc>
        <w:tc>
          <w:tcPr>
            <w:tcW w:w="2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4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2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4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24.54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208.31</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590"/>
        <w:gridCol w:w="3320"/>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3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13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79" w:right="1884"/>
        <w:jc w:val="center"/>
      </w:pPr>
      <w:r>
        <w:rPr/>
        <w:t>报告期内，公司核心技术团队和关键技术人员等对公司核心竞争力有重大影响的人员未发生变动。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44" w:right="0"/>
        <w:jc w:val="left"/>
      </w:pPr>
      <w:r>
        <w:rPr/>
        <w:t>截止报告期末，本公司共有员工</w:t>
      </w:r>
      <w:r>
        <w:rPr>
          <w:rFonts w:ascii="Times New Roman" w:hAnsi="Times New Roman" w:cs="Times New Roman" w:eastAsia="Times New Roman" w:hint="default"/>
        </w:rPr>
        <w:t>5,826</w:t>
      </w:r>
      <w:r>
        <w:rPr/>
        <w:t>人。其中：</w:t>
      </w:r>
    </w:p>
    <w:p>
      <w:pPr>
        <w:pStyle w:val="BodyText"/>
        <w:spacing w:line="240" w:lineRule="auto" w:before="101"/>
        <w:ind w:left="444" w:right="0"/>
        <w:jc w:val="left"/>
      </w:pPr>
      <w:r>
        <w:rPr>
          <w:rFonts w:ascii="Times New Roman" w:hAnsi="Times New Roman" w:cs="Times New Roman" w:eastAsia="Times New Roman" w:hint="default"/>
        </w:rPr>
        <w:t>1</w:t>
      </w:r>
      <w:r>
        <w:rPr/>
        <w:t>、专业构成情况：生产人员</w:t>
      </w:r>
      <w:r>
        <w:rPr>
          <w:rFonts w:ascii="Times New Roman" w:hAnsi="Times New Roman" w:cs="Times New Roman" w:eastAsia="Times New Roman" w:hint="default"/>
        </w:rPr>
        <w:t>4,992</w:t>
      </w:r>
      <w:r>
        <w:rPr/>
        <w:t>人，销售人员</w:t>
      </w:r>
      <w:r>
        <w:rPr>
          <w:rFonts w:ascii="Times New Roman" w:hAnsi="Times New Roman" w:cs="Times New Roman" w:eastAsia="Times New Roman" w:hint="default"/>
        </w:rPr>
        <w:t>59</w:t>
      </w:r>
      <w:r>
        <w:rPr/>
        <w:t>人，技术人员</w:t>
      </w:r>
      <w:r>
        <w:rPr>
          <w:rFonts w:ascii="Times New Roman" w:hAnsi="Times New Roman" w:cs="Times New Roman" w:eastAsia="Times New Roman" w:hint="default"/>
        </w:rPr>
        <w:t>608</w:t>
      </w:r>
      <w:r>
        <w:rPr/>
        <w:t>人，财务人员</w:t>
      </w:r>
      <w:r>
        <w:rPr>
          <w:rFonts w:ascii="Times New Roman" w:hAnsi="Times New Roman" w:cs="Times New Roman" w:eastAsia="Times New Roman" w:hint="default"/>
        </w:rPr>
        <w:t>45</w:t>
      </w:r>
      <w:r>
        <w:rPr/>
        <w:t>人，行政人员</w:t>
      </w:r>
      <w:r>
        <w:rPr>
          <w:rFonts w:ascii="Times New Roman" w:hAnsi="Times New Roman" w:cs="Times New Roman" w:eastAsia="Times New Roman" w:hint="default"/>
        </w:rPr>
        <w:t>122</w:t>
      </w:r>
      <w:r>
        <w:rPr/>
        <w:t>人。</w:t>
      </w:r>
    </w:p>
    <w:p>
      <w:pPr>
        <w:spacing w:line="240" w:lineRule="auto" w:before="11"/>
        <w:rPr>
          <w:rFonts w:ascii="宋体" w:hAnsi="宋体" w:cs="宋体" w:eastAsia="宋体" w:hint="default"/>
          <w:sz w:val="14"/>
          <w:szCs w:val="14"/>
        </w:rPr>
      </w:pPr>
    </w:p>
    <w:p>
      <w:pPr>
        <w:spacing w:line="3150" w:lineRule="exact"/>
        <w:ind w:left="15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5276850" cy="20002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76850" cy="2000250"/>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7"/>
        <w:rPr>
          <w:rFonts w:ascii="宋体" w:hAnsi="宋体" w:cs="宋体" w:eastAsia="宋体" w:hint="default"/>
          <w:sz w:val="14"/>
          <w:szCs w:val="14"/>
        </w:rPr>
      </w:pPr>
    </w:p>
    <w:p>
      <w:pPr>
        <w:pStyle w:val="BodyText"/>
        <w:spacing w:line="240" w:lineRule="auto"/>
        <w:ind w:left="513" w:right="0"/>
        <w:jc w:val="left"/>
      </w:pPr>
      <w:r>
        <w:rPr>
          <w:rFonts w:ascii="Times New Roman" w:hAnsi="Times New Roman" w:cs="Times New Roman" w:eastAsia="Times New Roman" w:hint="default"/>
        </w:rPr>
        <w:t>2</w:t>
      </w:r>
      <w:r>
        <w:rPr/>
        <w:t>、教育程度情况：大专以上学历</w:t>
      </w:r>
      <w:r>
        <w:rPr>
          <w:rFonts w:ascii="Times New Roman" w:hAnsi="Times New Roman" w:cs="Times New Roman" w:eastAsia="Times New Roman" w:hint="default"/>
        </w:rPr>
        <w:t>836</w:t>
      </w:r>
      <w:r>
        <w:rPr/>
        <w:t>人，中专、中技和高中学历</w:t>
      </w:r>
      <w:r>
        <w:rPr>
          <w:rFonts w:ascii="Times New Roman" w:hAnsi="Times New Roman" w:cs="Times New Roman" w:eastAsia="Times New Roman" w:hint="default"/>
        </w:rPr>
        <w:t>1,985</w:t>
      </w:r>
      <w:r>
        <w:rPr/>
        <w:t>人，初中及以下</w:t>
      </w:r>
      <w:r>
        <w:rPr>
          <w:rFonts w:ascii="Times New Roman" w:hAnsi="Times New Roman" w:cs="Times New Roman" w:eastAsia="Times New Roman" w:hint="default"/>
        </w:rPr>
        <w:t>3,005</w:t>
      </w:r>
      <w:r>
        <w:rPr/>
        <w:t>人。</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3600" w:lineRule="exact"/>
        <w:ind w:left="154"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5257800" cy="22860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7800" cy="2286000"/>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12"/>
        <w:rPr>
          <w:rFonts w:ascii="宋体" w:hAnsi="宋体" w:cs="宋体" w:eastAsia="宋体" w:hint="default"/>
          <w:sz w:val="5"/>
          <w:szCs w:val="5"/>
        </w:rPr>
      </w:pPr>
    </w:p>
    <w:p>
      <w:pPr>
        <w:pStyle w:val="BodyText"/>
        <w:spacing w:line="338" w:lineRule="auto" w:before="44"/>
        <w:ind w:left="513" w:right="0" w:firstLine="146"/>
        <w:jc w:val="left"/>
      </w:pPr>
      <w:r>
        <w:rPr>
          <w:rFonts w:ascii="Times New Roman" w:hAnsi="Times New Roman" w:cs="Times New Roman" w:eastAsia="Times New Roman" w:hint="default"/>
        </w:rPr>
        <w:t>3</w:t>
      </w:r>
      <w:r>
        <w:rPr/>
        <w:t>、员工薪酬政策及培训情况： </w:t>
      </w:r>
      <w:r>
        <w:rPr>
          <w:spacing w:val="-2"/>
        </w:rPr>
        <w:t>公司向员工提供稳定而具有竞争力的薪酬，员工的薪酬由岗位工资与绩效工资构成。自</w:t>
      </w:r>
      <w:r>
        <w:rPr>
          <w:rFonts w:ascii="Times New Roman" w:hAnsi="Times New Roman" w:cs="Times New Roman" w:eastAsia="Times New Roman" w:hint="default"/>
          <w:spacing w:val="-2"/>
        </w:rPr>
        <w:t>2011</w:t>
      </w:r>
      <w:r>
        <w:rPr>
          <w:spacing w:val="-2"/>
        </w:rPr>
        <w:t>年以来，公司不断提高生产</w:t>
      </w:r>
    </w:p>
    <w:p>
      <w:pPr>
        <w:pStyle w:val="BodyText"/>
        <w:spacing w:line="218" w:lineRule="exact"/>
        <w:ind w:left="153" w:right="0"/>
        <w:jc w:val="left"/>
      </w:pPr>
      <w:r>
        <w:rPr/>
        <w:t>一线员工的薪资水平，以充分调动广大员工参与生产的积极性和工作的创新性，不断提高员工的满意度和忠诚度。</w:t>
      </w:r>
    </w:p>
    <w:p>
      <w:pPr>
        <w:pStyle w:val="BodyText"/>
        <w:spacing w:line="319" w:lineRule="auto" w:before="115"/>
        <w:ind w:left="153" w:right="151" w:firstLine="360"/>
        <w:jc w:val="both"/>
      </w:pPr>
      <w:r>
        <w:rPr>
          <w:spacing w:val="-2"/>
        </w:rPr>
        <w:t>公司持续开展员工的培训工作，通过积极寻求各种培训资源及培训渠道，搭建完善的培训体系，主要包括新员工的入职</w:t>
      </w:r>
      <w:r>
        <w:rPr/>
        <w:t> </w:t>
      </w:r>
      <w:r>
        <w:rPr>
          <w:spacing w:val="-2"/>
        </w:rPr>
        <w:t>导向培训、在职员工的业务培训、各级管理者的提升培训等，培训形式多种多样，能充分调动员工工作和学习的积极性。同</w:t>
      </w:r>
      <w:r>
        <w:rPr>
          <w:spacing w:val="-66"/>
        </w:rPr>
        <w:t> </w:t>
      </w:r>
      <w:r>
        <w:rPr>
          <w:spacing w:val="-66"/>
        </w:rPr>
      </w:r>
      <w:r>
        <w:rPr/>
        <w:t>时，公司不断对优秀员工进行有计划、有步骤、分层次的重点培训，以培养骨干、储备人才。</w:t>
      </w:r>
    </w:p>
    <w:p>
      <w:pPr>
        <w:pStyle w:val="BodyText"/>
        <w:spacing w:line="338" w:lineRule="auto" w:before="56"/>
        <w:ind w:left="513" w:right="0"/>
        <w:jc w:val="left"/>
      </w:pPr>
      <w:r>
        <w:rPr>
          <w:rFonts w:ascii="Times New Roman" w:hAnsi="Times New Roman" w:cs="Times New Roman" w:eastAsia="Times New Roman" w:hint="default"/>
        </w:rPr>
        <w:t>4</w:t>
      </w:r>
      <w:r>
        <w:rPr/>
        <w:t>、公司员工保险事项： </w:t>
      </w:r>
      <w:r>
        <w:rPr>
          <w:spacing w:val="-2"/>
        </w:rPr>
        <w:t>公司实行劳动合同制，按照《劳动合同法》和有关法律法规的规定，严格执行国家用工制度、劳动保护制度、社会保障</w:t>
      </w:r>
    </w:p>
    <w:p>
      <w:pPr>
        <w:pStyle w:val="BodyText"/>
        <w:spacing w:line="240" w:lineRule="auto" w:before="4"/>
        <w:ind w:left="153" w:right="0"/>
        <w:jc w:val="left"/>
      </w:pPr>
      <w:r>
        <w:rPr/>
        <w:t>制度和医疗保险制度，为入职员工缴纳五险一金。公司退休职工费用由社会统筹，无需公司承担。</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2" w:right="3628"/>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18"/>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1" w:firstLine="360"/>
        <w:jc w:val="both"/>
      </w:pPr>
      <w:r>
        <w:rPr>
          <w:spacing w:val="-2"/>
        </w:rPr>
        <w:t>报告期内，公司严格按照《公司法》、《证券法》、《上市公司治理准则》等法律法规及有关上市公司治理规范性文件</w:t>
      </w:r>
      <w:r>
        <w:rPr/>
        <w:t> 的要求，建立了完善的法人治理结构，公司运作规范。</w:t>
      </w:r>
    </w:p>
    <w:p>
      <w:pPr>
        <w:pStyle w:val="BodyText"/>
        <w:spacing w:line="307" w:lineRule="auto" w:before="55"/>
        <w:ind w:left="153" w:right="189" w:firstLine="360"/>
        <w:jc w:val="both"/>
      </w:pPr>
      <w:r>
        <w:rPr/>
        <w:t>根据中国证监会《上市公司监管指引第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上市公司募集资金管理和使用的监管要求》、《深圳证券交易所股票上 市规则（</w:t>
      </w:r>
      <w:r>
        <w:rPr>
          <w:rFonts w:ascii="Times New Roman" w:hAnsi="Times New Roman" w:cs="Times New Roman" w:eastAsia="Times New Roman" w:hint="default"/>
        </w:rPr>
        <w:t>2014</w:t>
      </w:r>
      <w:r>
        <w:rPr/>
        <w:t>年修订）》、《深圳证券交易所主板上市公司规范运作指引》、《上市公司监管指引第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 </w:t>
      </w:r>
      <w:r>
        <w:rPr>
          <w:spacing w:val="-2"/>
        </w:rPr>
        <w:t>分红》、《上市公司股东大会规则》、《关于进一步落实上市公司现金分红有关事项的通知》等相关规定，为了完善公司管</w:t>
      </w:r>
      <w:r>
        <w:rPr>
          <w:spacing w:val="-67"/>
        </w:rPr>
        <w:t> </w:t>
      </w:r>
      <w:r>
        <w:rPr>
          <w:spacing w:val="-67"/>
        </w:rPr>
      </w:r>
      <w:r>
        <w:rPr>
          <w:spacing w:val="-2"/>
        </w:rPr>
        <w:t>理制度，更好地保护投资者的合法权益，结合公司实际情况，经公司董事会五届十六次会议审议同意修订和制定《募集资金</w:t>
      </w:r>
      <w:r>
        <w:rPr>
          <w:spacing w:val="-66"/>
        </w:rPr>
        <w:t> </w:t>
      </w:r>
      <w:r>
        <w:rPr>
          <w:spacing w:val="-66"/>
        </w:rPr>
      </w:r>
      <w:r>
        <w:rPr>
          <w:spacing w:val="-2"/>
        </w:rPr>
        <w:t>管理办法》、《公司章程》、《股东大会议事规则》和《未来三年（</w:t>
      </w:r>
      <w:r>
        <w:rPr>
          <w:rFonts w:ascii="Times New Roman" w:hAnsi="Times New Roman" w:cs="Times New Roman" w:eastAsia="Times New Roman" w:hint="default"/>
          <w:spacing w:val="-2"/>
        </w:rPr>
        <w:t>2014—2016</w:t>
      </w:r>
      <w:r>
        <w:rPr>
          <w:spacing w:val="-2"/>
        </w:rPr>
        <w:t>）股东分红回报规划》等相关文件，经公司</w:t>
      </w:r>
      <w:r>
        <w:rPr>
          <w:spacing w:val="-63"/>
        </w:rPr>
        <w:t> </w:t>
      </w:r>
      <w:r>
        <w:rPr>
          <w:spacing w:val="-63"/>
        </w:rPr>
      </w:r>
      <w:r>
        <w:rPr>
          <w:rFonts w:ascii="Times New Roman" w:hAnsi="Times New Roman" w:cs="Times New Roman" w:eastAsia="Times New Roman" w:hint="default"/>
        </w:rPr>
        <w:t>2014</w:t>
      </w:r>
      <w:r>
        <w:rPr/>
        <w:t>年第二次临时股东大会审议通过。</w:t>
      </w:r>
    </w:p>
    <w:p>
      <w:pPr>
        <w:pStyle w:val="BodyText"/>
        <w:spacing w:line="240" w:lineRule="auto" w:before="46"/>
        <w:ind w:left="153" w:right="418"/>
        <w:jc w:val="left"/>
      </w:pPr>
      <w:r>
        <w:rPr/>
        <w:t>公司治理与《公司法》和中国证监会相关规定的要求是否存在差异</w:t>
      </w:r>
    </w:p>
    <w:p>
      <w:pPr>
        <w:pStyle w:val="BodyText"/>
        <w:spacing w:line="357" w:lineRule="auto" w:before="117"/>
        <w:ind w:left="153" w:right="4591"/>
        <w:jc w:val="left"/>
      </w:pPr>
      <w:r>
        <w:rPr/>
        <w:t>□ 是 √ 否 公司治理与《公司法》和中国证监会相关规定的要求不存在差异。</w:t>
      </w:r>
    </w:p>
    <w:p>
      <w:pPr>
        <w:pStyle w:val="BodyText"/>
        <w:spacing w:line="357" w:lineRule="auto" w:before="28"/>
        <w:ind w:left="513" w:right="175" w:hanging="360"/>
        <w:jc w:val="left"/>
      </w:pPr>
      <w:r>
        <w:rPr/>
        <w:t>公司治理专项活动开展情况以及内幕信息知情人登记管理制度的制定、实施情况 </w:t>
      </w:r>
      <w:r>
        <w:rPr>
          <w:spacing w:val="-3"/>
        </w:rPr>
        <w:t>根据中国证监会《关于上市公司建立内幕信息知情人登记管理制度的规定》（证监会公告［</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0"/>
        </w:rPr>
        <w:t> </w:t>
      </w:r>
      <w:r>
        <w:rPr>
          <w:spacing w:val="-1"/>
        </w:rPr>
        <w:t>号）和河北证监局</w:t>
      </w:r>
    </w:p>
    <w:p>
      <w:pPr>
        <w:pStyle w:val="BodyText"/>
        <w:spacing w:line="214" w:lineRule="exact"/>
        <w:ind w:left="153" w:right="0"/>
        <w:jc w:val="left"/>
      </w:pPr>
      <w:r>
        <w:rPr/>
        <w:t>《关于做好内幕信息知情人登记管理有关工作的通知</w:t>
      </w:r>
      <w:r>
        <w:rPr>
          <w:spacing w:val="-95"/>
        </w:rPr>
        <w:t>》</w:t>
      </w:r>
      <w:r>
        <w:rPr/>
        <w:t>（冀证监</w:t>
      </w:r>
      <w:r>
        <w:rPr>
          <w:spacing w:val="-5"/>
        </w:rPr>
        <w:t>发</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spacing w:val="-5"/>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号</w:t>
      </w:r>
      <w:r>
        <w:rPr>
          <w:spacing w:val="-5"/>
        </w:rPr>
        <w:t>）</w:t>
      </w:r>
      <w:r>
        <w:rPr>
          <w:spacing w:val="1"/>
        </w:rPr>
        <w:t>等</w:t>
      </w:r>
      <w:r>
        <w:rPr/>
        <w:t>文件要求</w:t>
      </w:r>
      <w:r>
        <w:rPr>
          <w:spacing w:val="-5"/>
        </w:rPr>
        <w:t>，</w:t>
      </w:r>
      <w:r>
        <w:rPr/>
        <w:t>为规范公司内幕信息管理，</w:t>
      </w:r>
    </w:p>
    <w:p>
      <w:pPr>
        <w:pStyle w:val="BodyText"/>
        <w:spacing w:line="319" w:lineRule="auto" w:before="63"/>
        <w:ind w:left="153" w:right="91"/>
        <w:jc w:val="left"/>
      </w:pPr>
      <w:r>
        <w:rPr>
          <w:spacing w:val="-2"/>
        </w:rPr>
        <w:t>加强内幕信息保密工作，维护公司信息披露的公开、公平、公正原则，保护广大投资者的合法权益，公司制定了《内幕信息</w:t>
      </w:r>
      <w:r>
        <w:rPr>
          <w:spacing w:val="-68"/>
        </w:rPr>
        <w:t> </w:t>
      </w:r>
      <w:r>
        <w:rPr>
          <w:spacing w:val="-68"/>
        </w:rPr>
      </w:r>
      <w:r>
        <w:rPr>
          <w:spacing w:val="-3"/>
        </w:rPr>
        <w:t>知情人登记管理制度》，并经公司董事会四届二十三次会议审议通过。</w:t>
      </w:r>
    </w:p>
    <w:p>
      <w:pPr>
        <w:pStyle w:val="BodyText"/>
        <w:spacing w:line="319" w:lineRule="auto" w:before="55"/>
        <w:ind w:left="153" w:right="190" w:firstLine="360"/>
        <w:jc w:val="both"/>
      </w:pPr>
      <w:r>
        <w:rPr>
          <w:spacing w:val="-2"/>
        </w:rPr>
        <w:t>报告期内，公司在定期报告数据报送、内部审议和重大资产重组事项过程中均要求信息知情人填写《内幕信息知情人登</w:t>
      </w:r>
      <w:r>
        <w:rPr/>
        <w:t> </w:t>
      </w:r>
      <w:r>
        <w:rPr>
          <w:spacing w:val="-2"/>
        </w:rPr>
        <w:t>记表》和《重大资产重组交易进程备忘录》，公司未发现相关人员利用内幕信息从事内幕交易的事项，不存在内幕信息对外</w:t>
      </w:r>
      <w:r>
        <w:rPr>
          <w:spacing w:val="-72"/>
        </w:rPr>
        <w:t> </w:t>
      </w:r>
      <w:r>
        <w:rPr>
          <w:spacing w:val="-72"/>
        </w:rPr>
      </w:r>
      <w:r>
        <w:rPr>
          <w:spacing w:val="-2"/>
        </w:rPr>
        <w:t>泄露的情况，不存在内幕信息知情人利用内幕信息进行内幕交易或者建议他人利用内幕信息进行交易，给公司和投资者造成</w:t>
      </w:r>
      <w:r>
        <w:rPr>
          <w:spacing w:val="-64"/>
        </w:rPr>
        <w:t> </w:t>
      </w:r>
      <w:r>
        <w:rPr>
          <w:spacing w:val="-64"/>
        </w:rPr>
      </w:r>
      <w:r>
        <w:rPr/>
        <w:t>严重影响或损失的情形。</w:t>
      </w:r>
    </w:p>
    <w:p>
      <w:pPr>
        <w:spacing w:line="240" w:lineRule="auto" w:before="6"/>
        <w:rPr>
          <w:rFonts w:ascii="宋体" w:hAnsi="宋体" w:cs="宋体" w:eastAsia="宋体" w:hint="default"/>
          <w:sz w:val="20"/>
          <w:szCs w:val="20"/>
        </w:rPr>
      </w:pPr>
    </w:p>
    <w:p>
      <w:pPr>
        <w:pStyle w:val="Heading2"/>
        <w:spacing w:line="240" w:lineRule="auto"/>
        <w:ind w:right="418"/>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18"/>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2030"/>
        <w:gridCol w:w="1080"/>
        <w:gridCol w:w="1594"/>
        <w:gridCol w:w="1826"/>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203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w:t>
            </w:r>
          </w:p>
        </w:tc>
        <w:tc>
          <w:tcPr>
            <w:tcW w:w="10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82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90"/>
                <w:sz w:val="18"/>
                <w:szCs w:val="18"/>
              </w:rPr>
              <w:t>》</w:t>
            </w:r>
            <w:r>
              <w:rPr>
                <w:rFonts w:ascii="宋体" w:hAnsi="宋体" w:cs="宋体" w:eastAsia="宋体" w:hint="default"/>
                <w:spacing w:val="-14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w:t>
            </w:r>
          </w:p>
        </w:tc>
        <w:tc>
          <w:tcPr>
            <w:tcW w:w="1080"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82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pacing w:val="-14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c>
          <w:tcPr>
            <w:tcW w:w="1080"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8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20"/>
                <w:sz w:val="18"/>
                <w:szCs w:val="18"/>
              </w:rPr>
              <w:t>、</w:t>
            </w:r>
            <w:r>
              <w:rPr>
                <w:rFonts w:ascii="宋体" w:hAnsi="宋体" w:cs="宋体" w:eastAsia="宋体" w:hint="default"/>
                <w:sz w:val="18"/>
                <w:szCs w:val="18"/>
              </w:rPr>
              <w:t>《证券</w:t>
            </w:r>
          </w:p>
        </w:tc>
      </w:tr>
      <w:tr>
        <w:trPr>
          <w:trHeight w:val="1243"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3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7" w:lineRule="auto" w:before="5"/>
              <w:ind w:left="23" w:right="20"/>
              <w:jc w:val="both"/>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90"/>
                <w:sz w:val="18"/>
                <w:szCs w:val="18"/>
              </w:rPr>
              <w:t>》</w:t>
            </w:r>
            <w:r>
              <w:rPr>
                <w:rFonts w:ascii="宋体" w:hAnsi="宋体" w:cs="宋体" w:eastAsia="宋体" w:hint="default"/>
                <w:spacing w:val="-14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年财务决算 方案</w:t>
            </w:r>
            <w:r>
              <w:rPr>
                <w:rFonts w:ascii="宋体" w:hAnsi="宋体" w:cs="宋体" w:eastAsia="宋体" w:hint="default"/>
                <w:spacing w:val="-90"/>
                <w:sz w:val="18"/>
                <w:szCs w:val="18"/>
              </w:rPr>
              <w:t>》</w:t>
            </w:r>
            <w:r>
              <w:rPr>
                <w:rFonts w:ascii="宋体" w:hAnsi="宋体" w:cs="宋体" w:eastAsia="宋体" w:hint="default"/>
                <w:spacing w:val="-14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 方案</w:t>
            </w:r>
            <w:r>
              <w:rPr>
                <w:rFonts w:ascii="宋体" w:hAnsi="宋体" w:cs="宋体" w:eastAsia="宋体" w:hint="default"/>
                <w:spacing w:val="-90"/>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《聘任会计师事务</w:t>
            </w:r>
            <w:r>
              <w:rPr>
                <w:rFonts w:ascii="宋体" w:hAnsi="宋体" w:cs="宋体" w:eastAsia="宋体" w:hint="default"/>
                <w:sz w:val="18"/>
                <w:szCs w:val="18"/>
              </w:rPr>
              <w:t> 所的议案</w:t>
            </w:r>
            <w:r>
              <w:rPr>
                <w:rFonts w:ascii="宋体" w:hAnsi="宋体" w:cs="宋体" w:eastAsia="宋体" w:hint="default"/>
                <w:spacing w:val="-90"/>
                <w:sz w:val="18"/>
                <w:szCs w:val="18"/>
              </w:rPr>
              <w:t>》</w:t>
            </w:r>
            <w:r>
              <w:rPr>
                <w:rFonts w:ascii="宋体" w:hAnsi="宋体" w:cs="宋体" w:eastAsia="宋体" w:hint="default"/>
                <w:spacing w:val="-96"/>
                <w:sz w:val="18"/>
                <w:szCs w:val="18"/>
              </w:rPr>
              <w:t>、</w:t>
            </w:r>
            <w:r>
              <w:rPr>
                <w:rFonts w:ascii="宋体" w:hAnsi="宋体" w:cs="宋体" w:eastAsia="宋体" w:hint="default"/>
                <w:sz w:val="18"/>
                <w:szCs w:val="18"/>
              </w:rPr>
              <w:t>《公司与常山</w:t>
            </w:r>
          </w:p>
        </w:tc>
        <w:tc>
          <w:tcPr>
            <w:tcW w:w="10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审议通过了 该次股东大 会全部议案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时报》和巨潮资讯网</w:t>
            </w:r>
          </w:p>
          <w:p>
            <w:pPr>
              <w:pStyle w:val="TableParagraph"/>
              <w:spacing w:line="300" w:lineRule="auto" w:before="76"/>
              <w:ind w:left="23" w:right="20"/>
              <w:jc w:val="both"/>
              <w:rPr>
                <w:rFonts w:ascii="宋体" w:hAnsi="宋体" w:cs="宋体" w:eastAsia="宋体" w:hint="default"/>
                <w:sz w:val="18"/>
                <w:szCs w:val="18"/>
              </w:rPr>
            </w:pPr>
            <w:r>
              <w:rPr>
                <w:rFonts w:ascii="宋体" w:hAnsi="宋体" w:cs="宋体" w:eastAsia="宋体" w:hint="default"/>
                <w:sz w:val="18"/>
                <w:szCs w:val="18"/>
              </w:rPr>
              <w:t>（</w:t>
            </w:r>
            <w:hyperlink r:id="rId18">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m.cn/</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年股东大 </w:t>
            </w:r>
            <w:r>
              <w:rPr>
                <w:rFonts w:ascii="宋体" w:hAnsi="宋体" w:cs="宋体" w:eastAsia="宋体" w:hint="default"/>
                <w:spacing w:val="-9"/>
                <w:sz w:val="18"/>
                <w:szCs w:val="18"/>
              </w:rPr>
              <w:t>会决议公告》（公告编</w:t>
            </w:r>
          </w:p>
        </w:tc>
      </w:tr>
      <w:tr>
        <w:trPr>
          <w:trHeight w:val="318"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集团签署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年度日常</w:t>
            </w:r>
          </w:p>
        </w:tc>
        <w:tc>
          <w:tcPr>
            <w:tcW w:w="1080"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8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2014-013</w:t>
            </w:r>
            <w:r>
              <w:rPr>
                <w:rFonts w:ascii="宋体" w:hAnsi="宋体" w:cs="宋体" w:eastAsia="宋体" w:hint="default"/>
                <w:sz w:val="18"/>
                <w:szCs w:val="18"/>
              </w:rPr>
              <w:t>）</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生产经营购销框架协议</w:t>
            </w:r>
          </w:p>
        </w:tc>
        <w:tc>
          <w:tcPr>
            <w:tcW w:w="1080"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82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203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0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826"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4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券时报</w:t>
            </w:r>
            <w:r>
              <w:rPr>
                <w:rFonts w:ascii="宋体" w:hAnsi="宋体" w:cs="宋体" w:eastAsia="宋体" w:hint="default"/>
                <w:spacing w:val="-82"/>
                <w:sz w:val="18"/>
                <w:szCs w:val="18"/>
              </w:rPr>
              <w:t>》</w:t>
            </w:r>
            <w:r>
              <w:rPr>
                <w:rFonts w:ascii="宋体" w:hAnsi="宋体" w:cs="宋体" w:eastAsia="宋体" w:hint="default"/>
                <w:sz w:val="18"/>
                <w:szCs w:val="18"/>
              </w:rPr>
              <w:t>和巨潮资讯</w:t>
            </w:r>
          </w:p>
        </w:tc>
      </w:tr>
      <w:tr>
        <w:trPr>
          <w:trHeight w:val="1248"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《关于为全资子公 司常山恒荣增加贷 款担保额度的议案</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10" w:lineRule="atLeast"/>
              <w:ind w:left="22" w:right="119"/>
              <w:jc w:val="left"/>
              <w:rPr>
                <w:rFonts w:ascii="宋体" w:hAnsi="宋体" w:cs="宋体" w:eastAsia="宋体" w:hint="default"/>
                <w:sz w:val="18"/>
                <w:szCs w:val="18"/>
              </w:rPr>
            </w:pPr>
            <w:r>
              <w:rPr>
                <w:rFonts w:ascii="宋体" w:hAnsi="宋体" w:cs="宋体" w:eastAsia="宋体" w:hint="default"/>
                <w:sz w:val="18"/>
                <w:szCs w:val="18"/>
              </w:rPr>
              <w:t>审议通过了该次临 时股东大会的议案</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8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第一次临时股东大</w:t>
            </w:r>
          </w:p>
        </w:tc>
      </w:tr>
      <w:tr>
        <w:trPr>
          <w:trHeight w:val="313"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90"/>
                <w:sz w:val="18"/>
                <w:szCs w:val="18"/>
              </w:rPr>
              <w:t>》</w:t>
            </w:r>
            <w:r>
              <w:rPr>
                <w:rFonts w:ascii="宋体" w:hAnsi="宋体" w:cs="宋体" w:eastAsia="宋体" w:hint="default"/>
                <w:sz w:val="18"/>
                <w:szCs w:val="18"/>
              </w:rPr>
              <w:t>（公告</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2014-020</w:t>
            </w:r>
            <w:r>
              <w:rPr>
                <w:rFonts w:ascii="宋体" w:hAnsi="宋体" w:cs="宋体" w:eastAsia="宋体" w:hint="default"/>
                <w:sz w:val="18"/>
                <w:szCs w:val="18"/>
              </w:rPr>
              <w:t>）</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《关于公司符合发</w:t>
            </w: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行股份购买资产并</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募集配套资金条件</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《关于本次</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发行股份购买资产</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并募集配套资金构</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成关联交易的议</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《关于公司发行</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股份购买资产并募</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集配套资金暨关联</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交易的方案的议</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石家庄</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8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3" w:right="119"/>
              <w:jc w:val="left"/>
              <w:rPr>
                <w:rFonts w:ascii="宋体" w:hAnsi="宋体" w:cs="宋体" w:eastAsia="宋体" w:hint="default"/>
                <w:sz w:val="18"/>
                <w:szCs w:val="18"/>
              </w:rPr>
            </w:pPr>
            <w:r>
              <w:rPr>
                <w:rFonts w:ascii="宋体" w:hAnsi="宋体" w:cs="宋体" w:eastAsia="宋体" w:hint="default"/>
                <w:sz w:val="18"/>
                <w:szCs w:val="18"/>
              </w:rPr>
              <w:t>常山纺织股份有限 公司发行股份购买</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0" w:lineRule="atLeast" w:before="68"/>
              <w:ind w:left="23" w:right="2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w:t>
            </w:r>
            <w:r>
              <w:rPr>
                <w:rFonts w:ascii="宋体" w:hAnsi="宋体" w:cs="宋体" w:eastAsia="宋体" w:hint="default"/>
                <w:sz w:val="18"/>
                <w:szCs w:val="18"/>
              </w:rPr>
              <w:t> 券时报</w:t>
            </w:r>
            <w:r>
              <w:rPr>
                <w:rFonts w:ascii="宋体" w:hAnsi="宋体" w:cs="宋体" w:eastAsia="宋体" w:hint="default"/>
                <w:spacing w:val="-82"/>
                <w:sz w:val="18"/>
                <w:szCs w:val="18"/>
              </w:rPr>
              <w:t>》</w:t>
            </w:r>
            <w:r>
              <w:rPr>
                <w:rFonts w:ascii="宋体" w:hAnsi="宋体" w:cs="宋体" w:eastAsia="宋体" w:hint="default"/>
                <w:sz w:val="18"/>
                <w:szCs w:val="18"/>
              </w:rPr>
              <w:t>和巨潮资讯</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sz w:val="18"/>
                <w:szCs w:val="18"/>
              </w:rPr>
              <w:t>资产并募集配套资</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936"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7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sz w:val="18"/>
                <w:szCs w:val="18"/>
              </w:rPr>
              <w:t>金暨关联交易报告</w:t>
            </w:r>
          </w:p>
          <w:p>
            <w:pPr>
              <w:pStyle w:val="TableParagraph"/>
              <w:spacing w:line="300"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书（草案）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 </w:t>
            </w:r>
            <w:r>
              <w:rPr>
                <w:rFonts w:ascii="宋体" w:hAnsi="宋体" w:cs="宋体" w:eastAsia="宋体" w:hint="default"/>
                <w:spacing w:val="-27"/>
                <w:sz w:val="18"/>
                <w:szCs w:val="18"/>
              </w:rPr>
              <w:t>要的议案》、《关于签</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79"/>
              <w:ind w:left="22" w:right="119"/>
              <w:jc w:val="left"/>
              <w:rPr>
                <w:rFonts w:ascii="宋体" w:hAnsi="宋体" w:cs="宋体" w:eastAsia="宋体" w:hint="default"/>
                <w:sz w:val="18"/>
                <w:szCs w:val="18"/>
              </w:rPr>
            </w:pPr>
            <w:r>
              <w:rPr>
                <w:rFonts w:ascii="宋体" w:hAnsi="宋体" w:cs="宋体" w:eastAsia="宋体" w:hint="default"/>
                <w:sz w:val="18"/>
                <w:szCs w:val="18"/>
              </w:rPr>
              <w:t>审议通过了该次临 时股东大会的议案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8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第二次临时股东大</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19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订附生效条件的</w:t>
            </w:r>
            <w:r>
              <w:rPr>
                <w:rFonts w:ascii="Times New Roman" w:hAnsi="Times New Roman" w:cs="Times New Roman" w:eastAsia="Times New Roman" w:hint="default"/>
                <w:sz w:val="18"/>
                <w:szCs w:val="18"/>
              </w:rPr>
              <w:t>&lt;</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90"/>
                <w:sz w:val="18"/>
                <w:szCs w:val="18"/>
              </w:rPr>
              <w:t>》</w:t>
            </w:r>
            <w:r>
              <w:rPr>
                <w:rFonts w:ascii="宋体" w:hAnsi="宋体" w:cs="宋体" w:eastAsia="宋体" w:hint="default"/>
                <w:sz w:val="18"/>
                <w:szCs w:val="18"/>
              </w:rPr>
              <w:t>（公告</w:t>
            </w:r>
          </w:p>
        </w:tc>
      </w:tr>
      <w:tr>
        <w:trPr>
          <w:trHeight w:val="561"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sz w:val="18"/>
                <w:szCs w:val="18"/>
              </w:rPr>
              <w:t>发行股份购买资产</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暨利润补偿协议</w:t>
            </w:r>
            <w:r>
              <w:rPr>
                <w:rFonts w:ascii="Times New Roman" w:hAnsi="Times New Roman" w:cs="Times New Roman" w:eastAsia="Times New Roman" w:hint="default"/>
                <w:sz w:val="18"/>
                <w:szCs w:val="18"/>
              </w:rPr>
              <w:t>&gt;</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9"/>
              <w:ind w:left="2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2014-059</w:t>
            </w:r>
            <w:r>
              <w:rPr>
                <w:rFonts w:ascii="宋体" w:hAnsi="宋体" w:cs="宋体" w:eastAsia="宋体" w:hint="default"/>
                <w:sz w:val="18"/>
                <w:szCs w:val="18"/>
              </w:rPr>
              <w:t>）</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发行股份购买</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资产暨利润补偿协</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议之补充协议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《关于签订附</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生效条件的</w:t>
            </w:r>
            <w:r>
              <w:rPr>
                <w:rFonts w:ascii="Times New Roman" w:hAnsi="Times New Roman" w:cs="Times New Roman" w:eastAsia="Times New Roman" w:hint="default"/>
                <w:sz w:val="18"/>
                <w:szCs w:val="18"/>
              </w:rPr>
              <w:t>&lt;</w:t>
            </w:r>
            <w:r>
              <w:rPr>
                <w:rFonts w:ascii="宋体" w:hAnsi="宋体" w:cs="宋体" w:eastAsia="宋体" w:hint="default"/>
                <w:sz w:val="18"/>
                <w:szCs w:val="18"/>
              </w:rPr>
              <w:t>股份</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认购协议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w:t>
            </w:r>
            <w:r>
              <w:rPr>
                <w:rFonts w:ascii="Times New Roman" w:hAnsi="Times New Roman" w:cs="Times New Roman" w:eastAsia="Times New Roman" w:hint="default"/>
                <w:sz w:val="18"/>
                <w:szCs w:val="18"/>
              </w:rPr>
              <w:t>&lt;</w:t>
            </w:r>
            <w:r>
              <w:rPr>
                <w:rFonts w:ascii="宋体" w:hAnsi="宋体" w:cs="宋体" w:eastAsia="宋体" w:hint="default"/>
                <w:sz w:val="18"/>
                <w:szCs w:val="18"/>
              </w:rPr>
              <w:t>股份</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认购协议之补充协</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公司发行股份购买</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资产并募集配套资</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金暨关联交易符合</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8"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关于规范上市公</w:t>
            </w: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C7EDCC"/>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司重大资产重组若</w:t>
            </w:r>
          </w:p>
        </w:tc>
        <w:tc>
          <w:tcPr>
            <w:tcW w:w="1594" w:type="dxa"/>
            <w:vMerge w:val="restart"/>
            <w:tcBorders>
              <w:top w:val="single" w:sz="4" w:space="0" w:color="000000"/>
              <w:left w:val="single" w:sz="4" w:space="0" w:color="000000"/>
              <w:right w:val="single" w:sz="4" w:space="0" w:color="000000"/>
            </w:tcBorders>
            <w:shd w:val="clear" w:color="auto" w:fill="C7EDCC"/>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shd w:val="clear" w:color="auto" w:fill="C7EDCC"/>
          </w:tcPr>
          <w:p>
            <w:pPr/>
          </w:p>
        </w:tc>
      </w:tr>
      <w:tr>
        <w:trPr>
          <w:trHeight w:val="31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干问题的规定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第</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0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四条相关规定的说</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明的议案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《关于公</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司发行股份购买资</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产并募集配套资金</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暨关联交易符合</w:t>
            </w:r>
            <w:r>
              <w:rPr>
                <w:rFonts w:ascii="Times New Roman" w:hAnsi="Times New Roman" w:cs="Times New Roman" w:eastAsia="Times New Roman" w:hint="default"/>
                <w:sz w:val="18"/>
                <w:szCs w:val="18"/>
              </w:rPr>
              <w:t>&lt;</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0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上市公司重大资产</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重组管理办法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0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四十三条的规定的</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《关于批准本</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次发行股份购买资</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产并募集配套资金</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暨关联交易有关的</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82"/>
                <w:sz w:val="18"/>
                <w:szCs w:val="18"/>
              </w:rPr>
              <w:t>、</w:t>
            </w:r>
            <w:r>
              <w:rPr>
                <w:rFonts w:ascii="宋体" w:hAnsi="宋体" w:cs="宋体" w:eastAsia="宋体" w:hint="default"/>
                <w:sz w:val="18"/>
                <w:szCs w:val="18"/>
              </w:rPr>
              <w:t>评估报告</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和盈利预测报告的</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《关于股东大</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会授权董事会全权</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办理公司本次发行</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股份购买资产并募</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集配套资金暨关联</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交易有关事宜的议</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募</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集资金管理办法</w:t>
            </w:r>
            <w:r>
              <w:rPr>
                <w:rFonts w:ascii="Times New Roman" w:hAnsi="Times New Roman" w:cs="Times New Roman" w:eastAsia="Times New Roman" w:hint="default"/>
                <w:sz w:val="18"/>
                <w:szCs w:val="18"/>
              </w:rPr>
              <w:t>&gt;</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0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《关于修改</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股</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东大会议事规则</w:t>
            </w:r>
            <w:r>
              <w:rPr>
                <w:rFonts w:ascii="Times New Roman" w:hAnsi="Times New Roman" w:cs="Times New Roman" w:eastAsia="Times New Roman" w:hint="default"/>
                <w:sz w:val="18"/>
                <w:szCs w:val="18"/>
              </w:rPr>
              <w:t>&gt;</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0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《关于制定</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7"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未来三年</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2014-2016</w:t>
            </w:r>
            <w:r>
              <w:rPr>
                <w:rFonts w:ascii="宋体" w:hAnsi="宋体" w:cs="宋体" w:eastAsia="宋体" w:hint="default"/>
                <w:sz w:val="18"/>
                <w:szCs w:val="18"/>
              </w:rPr>
              <w:t>）股东</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12"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分红回报规划</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08" w:hRule="exact"/>
        </w:trPr>
        <w:tc>
          <w:tcPr>
            <w:tcW w:w="1596"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《关于选举独</w:t>
            </w: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r>
      <w:tr>
        <w:trPr>
          <w:trHeight w:val="357" w:hRule="exact"/>
        </w:trPr>
        <w:tc>
          <w:tcPr>
            <w:tcW w:w="1596"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立董事的议案》</w:t>
            </w: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7EDCC"/>
          </w:tcPr>
          <w:p>
            <w:pP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券时报</w:t>
            </w:r>
            <w:r>
              <w:rPr>
                <w:rFonts w:ascii="宋体" w:hAnsi="宋体" w:cs="宋体" w:eastAsia="宋体" w:hint="default"/>
                <w:spacing w:val="-82"/>
                <w:sz w:val="18"/>
                <w:szCs w:val="18"/>
              </w:rPr>
              <w:t>》</w:t>
            </w:r>
            <w:r>
              <w:rPr>
                <w:rFonts w:ascii="宋体" w:hAnsi="宋体" w:cs="宋体" w:eastAsia="宋体" w:hint="default"/>
                <w:sz w:val="18"/>
                <w:szCs w:val="18"/>
              </w:rPr>
              <w:t>和巨潮资讯</w:t>
            </w:r>
          </w:p>
        </w:tc>
      </w:tr>
      <w:tr>
        <w:trPr>
          <w:trHeight w:val="1248"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《关于为全资子公 司常山恒新提供融 资租赁担保的议案</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0" w:lineRule="atLeast"/>
              <w:ind w:left="22" w:right="119"/>
              <w:jc w:val="left"/>
              <w:rPr>
                <w:rFonts w:ascii="宋体" w:hAnsi="宋体" w:cs="宋体" w:eastAsia="宋体" w:hint="default"/>
                <w:sz w:val="18"/>
                <w:szCs w:val="18"/>
              </w:rPr>
            </w:pPr>
            <w:r>
              <w:rPr>
                <w:rFonts w:ascii="宋体" w:hAnsi="宋体" w:cs="宋体" w:eastAsia="宋体" w:hint="default"/>
                <w:sz w:val="18"/>
                <w:szCs w:val="18"/>
              </w:rPr>
              <w:t>审议通过了该次临 时股东大会的议案</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8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.com.cn/</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第三次临时股东大</w:t>
            </w:r>
          </w:p>
        </w:tc>
      </w:tr>
      <w:tr>
        <w:trPr>
          <w:trHeight w:val="313"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90"/>
                <w:sz w:val="18"/>
                <w:szCs w:val="18"/>
              </w:rPr>
              <w:t>》</w:t>
            </w:r>
            <w:r>
              <w:rPr>
                <w:rFonts w:ascii="宋体" w:hAnsi="宋体" w:cs="宋体" w:eastAsia="宋体" w:hint="default"/>
                <w:sz w:val="18"/>
                <w:szCs w:val="18"/>
              </w:rPr>
              <w:t>（公告</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2014-067</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60" w:lineRule="auto" w:before="116"/>
        <w:ind w:left="153" w:right="5991"/>
        <w:jc w:val="left"/>
      </w:pPr>
      <w:r>
        <w:rPr/>
        <w:t>□ 是 √ 否 报告期内独立董事对公司有关事项未提出异议。</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6"/>
        <w:ind w:left="153" w:right="5811"/>
        <w:jc w:val="left"/>
      </w:pPr>
      <w:r>
        <w:rPr/>
        <w:t>√ 是 □ 否 独立董事对公司有关建议被采纳或未被采纳的说明 独立董事未提出有关建议。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0"/>
        <w:jc w:val="left"/>
      </w:pPr>
      <w:r>
        <w:rPr>
          <w:rFonts w:ascii="Times New Roman" w:hAnsi="Times New Roman" w:cs="Times New Roman" w:eastAsia="Times New Roman" w:hint="default"/>
        </w:rPr>
        <w:t>1</w:t>
      </w:r>
      <w:r>
        <w:rPr/>
        <w:t>、董事会下设审计委员会工作情况 </w:t>
      </w:r>
      <w:r>
        <w:rPr>
          <w:spacing w:val="-1"/>
        </w:rPr>
        <w:t>报告期内，公司董事会审计委员会根据《公司法》、《上市公司治理准则》、《公司章程》、《董事会审计委员会工作</w:t>
      </w:r>
    </w:p>
    <w:p>
      <w:pPr>
        <w:pStyle w:val="BodyText"/>
        <w:spacing w:line="319" w:lineRule="auto" w:before="2"/>
        <w:ind w:right="149"/>
        <w:jc w:val="both"/>
      </w:pPr>
      <w:r>
        <w:rPr>
          <w:spacing w:val="-2"/>
        </w:rPr>
        <w:t>条例》及有关其他规定，认真做好本职工作，积极履行岗位职责。审计委员会主要负责公司内外部审计的沟通、监督和核查</w:t>
      </w:r>
      <w:r>
        <w:rPr>
          <w:spacing w:val="-66"/>
        </w:rPr>
        <w:t> </w:t>
      </w:r>
      <w:r>
        <w:rPr>
          <w:spacing w:val="-66"/>
        </w:rPr>
      </w:r>
      <w:r>
        <w:rPr>
          <w:spacing w:val="-2"/>
        </w:rPr>
        <w:t>工作。报告期内，重点围绕公司年度审计相关工作、定期报告的编制、内部控制规范实施情况等事项开展工作。在公司财务</w:t>
      </w:r>
      <w:r>
        <w:rPr>
          <w:spacing w:val="-66"/>
        </w:rPr>
        <w:t> </w:t>
      </w:r>
      <w:r>
        <w:rPr>
          <w:spacing w:val="-66"/>
        </w:rPr>
      </w:r>
      <w:r>
        <w:rPr>
          <w:spacing w:val="-2"/>
        </w:rPr>
        <w:t>报告的编制和审计期间，审阅财务报表，多次与会计师事务所进行有效的沟通，督促会计师事务所审计工作，确保公司定期</w:t>
      </w:r>
      <w:r>
        <w:rPr>
          <w:spacing w:val="-66"/>
        </w:rPr>
        <w:t> </w:t>
      </w:r>
      <w:r>
        <w:rPr>
          <w:spacing w:val="-66"/>
        </w:rPr>
      </w:r>
      <w:r>
        <w:rPr/>
        <w:t>报告的真实、准确和完整。</w:t>
      </w:r>
    </w:p>
    <w:p>
      <w:pPr>
        <w:pStyle w:val="BodyText"/>
        <w:spacing w:line="240" w:lineRule="auto" w:before="56"/>
        <w:ind w:left="514" w:right="0"/>
        <w:jc w:val="left"/>
      </w:pPr>
      <w:r>
        <w:rPr>
          <w:rFonts w:ascii="Times New Roman" w:hAnsi="Times New Roman" w:cs="Times New Roman" w:eastAsia="Times New Roman" w:hint="default"/>
        </w:rPr>
        <w:t>2</w:t>
      </w:r>
      <w:r>
        <w:rPr/>
        <w:t>、董事会下设提名委员会工作情况</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513" w:right="136"/>
        <w:jc w:val="left"/>
      </w:pPr>
      <w:r>
        <w:rPr/>
        <w:t>五届董事会提名委员会于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日召开了</w:t>
      </w:r>
      <w:r>
        <w:rPr>
          <w:rFonts w:ascii="Times New Roman" w:hAnsi="Times New Roman" w:cs="Times New Roman" w:eastAsia="Times New Roman" w:hint="default"/>
        </w:rPr>
        <w:t>2014</w:t>
      </w:r>
      <w:r>
        <w:rPr/>
        <w:t>年第一次会议，审议通过了提名两名独立董事为候选人的议案。 </w:t>
      </w:r>
      <w:r>
        <w:rPr>
          <w:spacing w:val="-5"/>
        </w:rPr>
        <w:t>鉴于公司独立董事李万军先生和朱北娜女士已向公司董事会提出辞职，申请辞去公司独立董事及公司其他职务。根据《公</w:t>
      </w:r>
    </w:p>
    <w:p>
      <w:pPr>
        <w:pStyle w:val="BodyText"/>
        <w:spacing w:line="309" w:lineRule="auto" w:before="2"/>
        <w:ind w:left="153" w:right="151"/>
        <w:jc w:val="both"/>
      </w:pPr>
      <w:r>
        <w:rPr>
          <w:spacing w:val="-2"/>
        </w:rPr>
        <w:t>司法》和《公司章程》的有关规定及公司实际情况，董事会提名委员会提出史静敏女士和李量先生为独立董事候选人。提名</w:t>
      </w:r>
      <w:r>
        <w:rPr>
          <w:spacing w:val="-66"/>
        </w:rPr>
        <w:t> </w:t>
      </w:r>
      <w:r>
        <w:rPr>
          <w:spacing w:val="-66"/>
        </w:rPr>
      </w:r>
      <w:r>
        <w:rPr/>
        <w:t>委员会认为</w:t>
      </w:r>
      <w:r>
        <w:rPr>
          <w:rFonts w:ascii="Times New Roman" w:hAnsi="Times New Roman" w:cs="Times New Roman" w:eastAsia="Times New Roman" w:hint="default"/>
        </w:rPr>
        <w:t>2</w:t>
      </w:r>
      <w:r>
        <w:rPr/>
        <w:t>名被提名人符合《公司法》、《公司章程》中关于独立董事任职的条件和资格。该项提名经董事会五届十八次 会议审议通过并提交公司</w:t>
      </w:r>
      <w:r>
        <w:rPr>
          <w:rFonts w:ascii="Times New Roman" w:hAnsi="Times New Roman" w:cs="Times New Roman" w:eastAsia="Times New Roman" w:hint="default"/>
        </w:rPr>
        <w:t>2014</w:t>
      </w:r>
      <w:r>
        <w:rPr/>
        <w:t>年第二次临时股东大会审议通过。</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38" w:lineRule="auto" w:before="117"/>
        <w:ind w:right="67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48" w:firstLine="360"/>
        <w:jc w:val="both"/>
      </w:pPr>
      <w:r>
        <w:rPr>
          <w:spacing w:val="-2"/>
        </w:rPr>
        <w:t>公司与控股股东在业务、人员、资产、机构、财务等方面做到了</w:t>
      </w:r>
      <w:r>
        <w:rPr>
          <w:rFonts w:ascii="Times New Roman" w:hAnsi="Times New Roman" w:cs="Times New Roman" w:eastAsia="Times New Roman" w:hint="default"/>
          <w:spacing w:val="-2"/>
        </w:rPr>
        <w:t>“</w:t>
      </w:r>
      <w:r>
        <w:rPr>
          <w:spacing w:val="-2"/>
        </w:rPr>
        <w:t>五分开</w:t>
      </w:r>
      <w:r>
        <w:rPr>
          <w:rFonts w:ascii="Times New Roman" w:hAnsi="Times New Roman" w:cs="Times New Roman" w:eastAsia="Times New Roman" w:hint="default"/>
          <w:spacing w:val="-2"/>
        </w:rPr>
        <w:t>”</w:t>
      </w:r>
      <w:r>
        <w:rPr>
          <w:spacing w:val="-2"/>
        </w:rPr>
        <w:t>，公司独立核算、独立纳税、独立承担责任和</w:t>
      </w:r>
      <w:r>
        <w:rPr/>
        <w:t> 风险，具有独立完整的业务与自主经营能力。</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50" w:firstLine="360"/>
        <w:jc w:val="both"/>
      </w:pPr>
      <w:r>
        <w:rPr>
          <w:spacing w:val="-2"/>
        </w:rPr>
        <w:t>公司十分重视对高级管理人员的绩效考评工作，逐步完善高级管理人员的考评与激励机制。公司董事会根据下达的年度</w:t>
      </w:r>
      <w:r>
        <w:rPr/>
        <w:t> </w:t>
      </w:r>
      <w:r>
        <w:rPr>
          <w:spacing w:val="-2"/>
        </w:rPr>
        <w:t>经营业绩指标，对高级管理人员实行年收入与完成经营业绩指标和职工收入双挂钩办法，并按一定比例交纳风险抵押金，按</w:t>
      </w:r>
      <w:r>
        <w:rPr>
          <w:spacing w:val="-66"/>
        </w:rPr>
        <w:t> </w:t>
      </w:r>
      <w:r>
        <w:rPr>
          <w:spacing w:val="-66"/>
        </w:rPr>
      </w:r>
      <w:r>
        <w:rPr>
          <w:spacing w:val="-2"/>
        </w:rPr>
        <w:t>年度进行考核。公司制定了奖励基金提取办法，按照提取奖励基金的有关规定提取专项奖励基金用于公司董事、监事及高级</w:t>
      </w:r>
      <w:r>
        <w:rPr>
          <w:spacing w:val="-66"/>
        </w:rPr>
        <w:t> </w:t>
      </w:r>
      <w:r>
        <w:rPr>
          <w:spacing w:val="-66"/>
        </w:rPr>
      </w:r>
      <w:r>
        <w:rPr/>
        <w:t>管理人员的激励。</w:t>
      </w:r>
    </w:p>
    <w:p>
      <w:pPr>
        <w:spacing w:after="0" w:line="319"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2" w:right="3628"/>
        <w:jc w:val="center"/>
        <w:rPr>
          <w:b w:val="0"/>
          <w:bCs w:val="0"/>
        </w:rPr>
      </w:pPr>
      <w:bookmarkStart w:name="_TOC_250002" w:id="10"/>
      <w:r>
        <w:rPr/>
        <w:t>第十节</w:t>
      </w:r>
      <w:r>
        <w:rPr>
          <w:spacing w:val="-5"/>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18"/>
        <w:jc w:val="left"/>
        <w:rPr>
          <w:b w:val="0"/>
          <w:bCs w:val="0"/>
        </w:rPr>
      </w:pP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1" w:firstLine="380"/>
        <w:jc w:val="left"/>
      </w:pPr>
      <w:r>
        <w:rPr/>
        <w:t>公司根据《企业内部控制基本规范》及其配套指引的规定，结合外部环境的变化和公司目前经营业务的实际情况，在 </w:t>
      </w:r>
      <w:r>
        <w:rPr>
          <w:spacing w:val="-2"/>
        </w:rPr>
        <w:t>所有重大方面建立了较为健全的内部控制制度，并得到了及时、有效的执行。公司将根据外部经营环境的变化、相关部门和</w:t>
      </w:r>
      <w:r>
        <w:rPr>
          <w:spacing w:val="-66"/>
        </w:rPr>
        <w:t> </w:t>
      </w:r>
      <w:r>
        <w:rPr>
          <w:spacing w:val="-66"/>
        </w:rPr>
      </w:r>
      <w:r>
        <w:rPr>
          <w:spacing w:val="-4"/>
        </w:rPr>
        <w:t>政策新规定的要求，持续不断地完善公司的内部控制制度，提高内部控制的效率和效益，保证经营合法合规，促进公司稳定、</w:t>
      </w:r>
      <w:r>
        <w:rPr>
          <w:spacing w:val="-46"/>
        </w:rPr>
        <w:t> </w:t>
      </w:r>
      <w:r>
        <w:rPr>
          <w:spacing w:val="-46"/>
        </w:rPr>
      </w:r>
      <w:r>
        <w:rPr/>
        <w:t>持续、健康发展，努力实现战略目标。</w:t>
      </w:r>
    </w:p>
    <w:p>
      <w:pPr>
        <w:spacing w:line="240" w:lineRule="auto" w:before="6"/>
        <w:rPr>
          <w:rFonts w:ascii="宋体" w:hAnsi="宋体" w:cs="宋体" w:eastAsia="宋体" w:hint="default"/>
          <w:sz w:val="20"/>
          <w:szCs w:val="20"/>
        </w:rPr>
      </w:pPr>
    </w:p>
    <w:p>
      <w:pPr>
        <w:pStyle w:val="Heading2"/>
        <w:spacing w:line="240" w:lineRule="auto"/>
        <w:ind w:right="418"/>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1" w:firstLine="362"/>
        <w:jc w:val="both"/>
      </w:pPr>
      <w:r>
        <w:rPr>
          <w:spacing w:val="-2"/>
        </w:rPr>
        <w:t>按照企业内部控制规范体系的规定，建立健全和有效实施内部控制，评价其有效性，并如实披露内部控制评价报告是公</w:t>
      </w:r>
      <w:r>
        <w:rPr/>
        <w:t> </w:t>
      </w:r>
      <w:r>
        <w:rPr>
          <w:spacing w:val="-2"/>
        </w:rPr>
        <w:t>司董事会的责任。监事会对董事会建立和实施内部控制进行监督。经理层负责组织领导企业内部控制的日常运行。公司董事</w:t>
      </w:r>
      <w:r>
        <w:rPr>
          <w:spacing w:val="-66"/>
        </w:rPr>
        <w:t> </w:t>
      </w:r>
      <w:r>
        <w:rPr>
          <w:spacing w:val="-66"/>
        </w:rPr>
      </w:r>
      <w:r>
        <w:rPr>
          <w:spacing w:val="-2"/>
        </w:rPr>
        <w:t>会、监事会及董事、监事、高级管理人员保证本报告内容不存在任何虚假记载、误导性陈述或重大遗漏，并对报告内容的真</w:t>
      </w:r>
      <w:r>
        <w:rPr>
          <w:spacing w:val="-66"/>
        </w:rPr>
        <w:t> </w:t>
      </w:r>
      <w:r>
        <w:rPr>
          <w:spacing w:val="-66"/>
        </w:rPr>
      </w:r>
      <w:r>
        <w:rPr/>
        <w:t>实性、准确性和完整性承担个别及连带法律责任。</w:t>
      </w:r>
    </w:p>
    <w:p>
      <w:pPr>
        <w:pStyle w:val="BodyText"/>
        <w:spacing w:line="319" w:lineRule="auto" w:before="55"/>
        <w:ind w:right="90" w:firstLine="360"/>
        <w:jc w:val="left"/>
      </w:pPr>
      <w:r>
        <w:rPr/>
        <w:t>公司内部控制的目标是合理保证经营管理合法合规、资产安全、财务报告及相关信息真实完整，提高经营效率和效果， </w:t>
      </w:r>
      <w:r>
        <w:rPr>
          <w:spacing w:val="-2"/>
        </w:rPr>
        <w:t>促进实现发展战略。由于内部控制存在的固有局限性，故仅能为实现上述目标提供合理保证。此外，由于情况的变化可能导</w:t>
      </w:r>
      <w:r>
        <w:rPr>
          <w:spacing w:val="-66"/>
        </w:rPr>
        <w:t> </w:t>
      </w:r>
      <w:r>
        <w:rPr>
          <w:spacing w:val="-66"/>
        </w:rPr>
      </w:r>
      <w:r>
        <w:rPr>
          <w:spacing w:val="-2"/>
        </w:rPr>
        <w:t>致内部控制变得不恰当，或对控制政策和程序遵循的程度降低，根据内部控制评价结果推测未来内部控制的有效性具有一定</w:t>
      </w:r>
      <w:r>
        <w:rPr>
          <w:spacing w:val="-64"/>
        </w:rPr>
        <w:t> </w:t>
      </w:r>
      <w:r>
        <w:rPr>
          <w:spacing w:val="-64"/>
        </w:rPr>
      </w:r>
      <w:r>
        <w:rPr/>
        <w:t>的风险。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418"/>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250" w:firstLine="380"/>
        <w:jc w:val="left"/>
      </w:pPr>
      <w:r>
        <w:rPr/>
        <w:t>公司依据《公司法》、《会计法》、《企业会计准则》、《企业内部控制基本规范》和《深圳证券交易所上市公司内 部控制指引》等法规性文件的要求，建立了财务报告内部控制。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418"/>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45"/>
        <w:gridCol w:w="6922"/>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8"/>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8"/>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2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年度内部控制评价报告》详见巨潮资讯网（</w:t>
            </w:r>
            <w:r>
              <w:rPr>
                <w:rFonts w:ascii="Times New Roman" w:hAnsi="Times New Roman" w:cs="Times New Roman" w:eastAsia="Times New Roman" w:hint="default"/>
                <w:sz w:val="18"/>
                <w:szCs w:val="18"/>
              </w:rPr>
              <w:t>www.cninfo.com.cn)</w:t>
            </w:r>
          </w:p>
        </w:tc>
      </w:tr>
    </w:tbl>
    <w:p>
      <w:pPr>
        <w:spacing w:line="240" w:lineRule="auto" w:before="2"/>
        <w:rPr>
          <w:rFonts w:ascii="宋体" w:hAnsi="宋体" w:cs="宋体" w:eastAsia="宋体" w:hint="default"/>
          <w:b/>
          <w:bCs/>
          <w:sz w:val="18"/>
          <w:szCs w:val="18"/>
        </w:rPr>
      </w:pPr>
    </w:p>
    <w:p>
      <w:pPr>
        <w:pStyle w:val="Heading2"/>
        <w:spacing w:line="240" w:lineRule="auto" w:before="26"/>
        <w:ind w:right="418"/>
        <w:jc w:val="left"/>
        <w:rPr>
          <w:b w:val="0"/>
          <w:bCs w:val="0"/>
        </w:rPr>
      </w:pP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18"/>
        <w:jc w:val="left"/>
      </w:pPr>
      <w:r>
        <w:rPr/>
        <w:t>内部控制审计报告</w:t>
      </w:r>
    </w:p>
    <w:p>
      <w:pPr>
        <w:spacing w:line="240" w:lineRule="auto" w:before="9"/>
        <w:rPr>
          <w:rFonts w:ascii="宋体" w:hAnsi="宋体" w:cs="宋体" w:eastAsia="宋体" w:hint="default"/>
          <w:sz w:val="7"/>
          <w:szCs w:val="7"/>
        </w:rPr>
      </w:pPr>
    </w:p>
    <w:p>
      <w:pPr>
        <w:spacing w:line="1135" w:lineRule="exact"/>
        <w:ind w:left="144"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79.35pt;height:56.8pt;mso-position-horizontal-relative:char;mso-position-vertical-relative:line" coordorigin="0,0" coordsize="9587,1136">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37;top:14;width:9513;height:392" coordorigin="37,14" coordsize="9513,392">
              <v:shape style="position:absolute;left:37;top:14;width:9513;height:392" coordorigin="37,14" coordsize="9513,392" path="m37,406l9550,406,9550,14,37,14,37,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26;top:416;width:2;height:704" coordorigin="26,416" coordsize="2,704">
              <v:shape style="position:absolute;left:26;top:416;width:2;height:704" coordorigin="26,416" coordsize="0,704" path="m26,416l26,1120e" filled="false" stroked="true" strokeweight="1.140pt" strokecolor="#c7edcc">
                <v:path arrowok="t"/>
              </v:shape>
            </v:group>
            <v:group style="position:absolute;left:9561;top:416;width:2;height:704" coordorigin="9561,416" coordsize="2,704">
              <v:shape style="position:absolute;left:9561;top:416;width:2;height:704" coordorigin="9561,416" coordsize="0,704" path="m9561,416l9561,1120e" filled="false" stroked="true" strokeweight="1.140pt" strokecolor="#c7edcc">
                <v:path arrowok="t"/>
              </v:shape>
            </v:group>
            <v:group style="position:absolute;left:37;top:416;width:9513;height:352" coordorigin="37,416" coordsize="9513,352">
              <v:shape style="position:absolute;left:37;top:416;width:9513;height:352" coordorigin="37,416" coordsize="9513,352" path="m37,768l9550,768,9550,416,37,416,37,768xe" filled="true" fillcolor="#c7edcc" stroked="false">
                <v:path arrowok="t"/>
                <v:fill type="solid"/>
              </v:shape>
            </v:group>
            <v:group style="position:absolute;left:37;top:768;width:9513;height:352" coordorigin="37,768" coordsize="9513,352">
              <v:shape style="position:absolute;left:37;top:768;width:9513;height:352" coordorigin="37,768" coordsize="9513,352" path="m37,1120l9550,1120,9550,768,37,768,37,1120xe" filled="true" fillcolor="#c7edcc"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714" coordorigin="10,416" coordsize="2,714">
              <v:shape style="position:absolute;left:10;top:416;width:2;height:714" coordorigin="10,416" coordsize="0,714" path="m10,416l10,1130e" filled="false" stroked="true" strokeweight=".48001pt" strokecolor="#000000">
                <v:path arrowok="t"/>
              </v:shape>
            </v:group>
            <v:group style="position:absolute;left:5;top:1126;width:9568;height:2" coordorigin="5,1126" coordsize="9568,2">
              <v:shape style="position:absolute;left:5;top:1126;width:9568;height:2" coordorigin="5,1126" coordsize="9568,0" path="m5,1126l9572,1126e" filled="false" stroked="true" strokeweight=".47998pt" strokecolor="#000000">
                <v:path arrowok="t"/>
              </v:shape>
            </v:group>
            <v:group style="position:absolute;left:9577;top:416;width:2;height:714" coordorigin="9577,416" coordsize="2,714">
              <v:shape style="position:absolute;left:9577;top:416;width:2;height:714" coordorigin="9577,416" coordsize="0,714" path="m9577,416l9577,1130e" filled="false" stroked="true" strokeweight=".47998pt" strokecolor="#000000">
                <v:path arrowok="t"/>
              </v:shape>
              <v:shape style="position:absolute;left:21;top:10;width:9557;height:402"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xbxContent>
                </v:textbox>
                <w10:wrap type="none"/>
              </v:shape>
              <v:shape style="position:absolute;left:21;top:411;width:9557;height:714" type="#_x0000_t202" filled="false" stroked="false">
                <v:textbox inset="0,0,0,0">
                  <w:txbxContent>
                    <w:p>
                      <w:pPr>
                        <w:spacing w:line="300" w:lineRule="auto" w:before="56"/>
                        <w:ind w:left="16" w:right="89" w:firstLine="0"/>
                        <w:jc w:val="left"/>
                        <w:rPr>
                          <w:rFonts w:ascii="宋体" w:hAnsi="宋体" w:cs="宋体" w:eastAsia="宋体" w:hint="default"/>
                          <w:sz w:val="18"/>
                          <w:szCs w:val="18"/>
                        </w:rPr>
                      </w:pPr>
                      <w:r>
                        <w:rPr>
                          <w:rFonts w:ascii="宋体" w:hAnsi="宋体" w:cs="宋体" w:eastAsia="宋体" w:hint="default"/>
                          <w:sz w:val="18"/>
                          <w:szCs w:val="18"/>
                        </w:rPr>
                        <w:t>我们认为，常山纺织公司于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 财务报告内部控制。</w:t>
                      </w:r>
                    </w:p>
                  </w:txbxContent>
                </v:textbox>
                <w10:wrap type="none"/>
              </v:shape>
            </v:group>
          </v:group>
        </w:pict>
      </w:r>
      <w:r>
        <w:rPr>
          <w:rFonts w:ascii="宋体" w:hAnsi="宋体" w:cs="宋体" w:eastAsia="宋体" w:hint="default"/>
          <w:position w:val="-22"/>
          <w:sz w:val="20"/>
          <w:szCs w:val="20"/>
        </w:rPr>
      </w:r>
    </w:p>
    <w:p>
      <w:pPr>
        <w:spacing w:after="0" w:line="1135"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年度内部控制审计报告》详见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Style w:val="BodyText"/>
        <w:spacing w:line="240" w:lineRule="auto" w:before="51"/>
        <w:ind w:right="418"/>
        <w:jc w:val="left"/>
      </w:pPr>
      <w:r>
        <w:rPr/>
        <w:t>会计师事务所是否出具非标准意见的内部控制审计报告</w:t>
      </w:r>
    </w:p>
    <w:p>
      <w:pPr>
        <w:pStyle w:val="BodyText"/>
        <w:spacing w:line="338" w:lineRule="auto" w:before="117"/>
        <w:ind w:right="3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4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418"/>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87" w:firstLine="300"/>
        <w:jc w:val="left"/>
      </w:pPr>
      <w:r>
        <w:rPr/>
        <w:t>根据中国证监会《关于做好上市公司</w:t>
      </w:r>
      <w:r>
        <w:rPr>
          <w:rFonts w:ascii="Times New Roman" w:hAnsi="Times New Roman" w:cs="Times New Roman" w:eastAsia="Times New Roman" w:hint="default"/>
        </w:rPr>
        <w:t>2009</w:t>
      </w:r>
      <w:r>
        <w:rPr/>
        <w:t>年年度报告及相关工作的公告》（证监会公告［</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34</w:t>
      </w:r>
      <w:r>
        <w:rPr/>
        <w:t>号）、深圳证券交易 </w:t>
      </w:r>
      <w:r>
        <w:rPr>
          <w:spacing w:val="-3"/>
        </w:rPr>
        <w:t>所《关于做好上市公司</w:t>
      </w:r>
      <w:r>
        <w:rPr>
          <w:rFonts w:ascii="Times New Roman" w:hAnsi="Times New Roman" w:cs="Times New Roman" w:eastAsia="Times New Roman" w:hint="default"/>
          <w:spacing w:val="-3"/>
        </w:rPr>
        <w:t>2009</w:t>
      </w:r>
      <w:r>
        <w:rPr>
          <w:spacing w:val="-3"/>
        </w:rPr>
        <w:t>年年度报告工作的通知》和河北证监局《关于做好辖区上市公司</w:t>
      </w:r>
      <w:r>
        <w:rPr>
          <w:rFonts w:ascii="Times New Roman" w:hAnsi="Times New Roman" w:cs="Times New Roman" w:eastAsia="Times New Roman" w:hint="default"/>
          <w:spacing w:val="-3"/>
        </w:rPr>
        <w:t>2009</w:t>
      </w:r>
      <w:r>
        <w:rPr>
          <w:spacing w:val="-3"/>
        </w:rPr>
        <w:t>年年度报告相关工作的通知》</w:t>
      </w:r>
    </w:p>
    <w:p>
      <w:pPr>
        <w:pStyle w:val="BodyText"/>
        <w:spacing w:line="300" w:lineRule="auto" w:before="13"/>
        <w:ind w:right="180"/>
        <w:jc w:val="left"/>
      </w:pPr>
      <w:r>
        <w:rPr/>
        <w:t>（冀证监发［</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4</w:t>
      </w:r>
      <w:r>
        <w:rPr/>
        <w:t>号）等文件要求，为进一步完善信息披露管理制度，加大对年报信息披露责任人的问责力度，提高年 报信息披露质量和透明度，公司结合自身实际情况，制定了《年报信息披露重大差错责任追究制度》。</w:t>
      </w:r>
    </w:p>
    <w:p>
      <w:pPr>
        <w:pStyle w:val="BodyText"/>
        <w:spacing w:line="240" w:lineRule="auto" w:before="31"/>
        <w:ind w:left="454" w:right="418"/>
        <w:jc w:val="left"/>
      </w:pPr>
      <w:r>
        <w:rPr/>
        <w:t>报告期内，公司在披露</w:t>
      </w:r>
      <w:r>
        <w:rPr>
          <w:rFonts w:ascii="Times New Roman" w:hAnsi="Times New Roman" w:cs="Times New Roman" w:eastAsia="Times New Roman" w:hint="default"/>
        </w:rPr>
        <w:t>2013</w:t>
      </w:r>
      <w:r>
        <w:rPr/>
        <w:t>年年度报告过程中未发生虚假记载、误导性陈述或者重大遗漏事项。</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2" w:right="3628"/>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418"/>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王凤岐、杨海龙</w:t>
            </w:r>
          </w:p>
        </w:tc>
      </w:tr>
    </w:tbl>
    <w:p>
      <w:pPr>
        <w:pStyle w:val="BodyText"/>
        <w:spacing w:line="240" w:lineRule="auto" w:before="52"/>
        <w:ind w:left="3591" w:right="3628"/>
        <w:jc w:val="center"/>
      </w:pPr>
      <w:r>
        <w:rPr/>
        <w:t>审计报告正文</w:t>
      </w:r>
    </w:p>
    <w:p>
      <w:pPr>
        <w:pStyle w:val="BodyText"/>
        <w:spacing w:line="240" w:lineRule="auto" w:before="116"/>
        <w:ind w:right="418"/>
        <w:jc w:val="left"/>
      </w:pPr>
      <w:r>
        <w:rPr/>
        <w:t>石家庄常山纺织股份有限公司全体股东：</w:t>
      </w:r>
    </w:p>
    <w:p>
      <w:pPr>
        <w:pStyle w:val="BodyText"/>
        <w:spacing w:line="316" w:lineRule="auto" w:before="76"/>
        <w:ind w:right="191" w:firstLine="362"/>
        <w:jc w:val="both"/>
      </w:pPr>
      <w:r>
        <w:rPr>
          <w:spacing w:val="-2"/>
        </w:rPr>
        <w:t>我们审计了后附的石家庄常山纺织股份有限公司（以下简称常山纺织公司）财务报表，包括2014年12月31日的合并及母</w:t>
      </w:r>
      <w:r>
        <w:rPr/>
        <w:t> </w:t>
      </w:r>
      <w:r>
        <w:rPr>
          <w:spacing w:val="-2"/>
        </w:rPr>
        <w:t>公司资产负债表，2014年度的合并及母公司利润表、合并及母公司现金流量表、合并及母公司股东权益变动表以及财务报表</w:t>
      </w:r>
      <w:r>
        <w:rPr>
          <w:spacing w:val="-62"/>
        </w:rPr>
        <w:t> </w:t>
      </w:r>
      <w:r>
        <w:rPr>
          <w:spacing w:val="-62"/>
        </w:rPr>
      </w:r>
      <w:r>
        <w:rPr/>
        <w:t>附注。</w:t>
      </w:r>
    </w:p>
    <w:p>
      <w:pPr>
        <w:spacing w:line="316" w:lineRule="auto" w:before="19"/>
        <w:ind w:left="516" w:right="91" w:hanging="363"/>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编制和公允列报财务报表是常山纺织公司管理层的责任，这种责任包括：（1）按照企业会计准则的规定编制财务报表，</w:t>
      </w:r>
    </w:p>
    <w:p>
      <w:pPr>
        <w:pStyle w:val="BodyText"/>
        <w:spacing w:line="316" w:lineRule="auto" w:before="19"/>
        <w:ind w:right="360"/>
        <w:jc w:val="left"/>
        <w:rPr>
          <w:rFonts w:ascii="宋体" w:hAnsi="宋体" w:cs="宋体" w:eastAsia="宋体" w:hint="default"/>
        </w:rPr>
      </w:pPr>
      <w:r>
        <w:rPr/>
        <w:t>并使其实现公允反映；（2）设计、执行和维护必要的内部控制，以使财务报表不存在由于舞弊或错误导致的重大错报。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19"/>
        <w:ind w:left="153" w:right="190" w:firstLine="362"/>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工作。中国注册会计师审计准则要求我们遵守职业道德守则，计划和执行审计工作以对财务报表是否不存在重大错报获取合</w:t>
      </w:r>
      <w:r>
        <w:rPr>
          <w:spacing w:val="-64"/>
        </w:rPr>
        <w:t> </w:t>
      </w:r>
      <w:r>
        <w:rPr>
          <w:spacing w:val="-64"/>
        </w:rPr>
      </w:r>
      <w:r>
        <w:rPr/>
        <w:t>理保证。</w:t>
      </w:r>
    </w:p>
    <w:p>
      <w:pPr>
        <w:pStyle w:val="BodyText"/>
        <w:spacing w:line="316" w:lineRule="auto" w:before="19"/>
        <w:ind w:left="153" w:right="89" w:firstLine="362"/>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153" w:right="3149" w:firstLine="36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6" w:lineRule="auto" w:before="19"/>
        <w:ind w:left="153" w:right="190" w:firstLine="290"/>
        <w:jc w:val="both"/>
      </w:pPr>
      <w:r>
        <w:rPr>
          <w:spacing w:val="-1"/>
        </w:rPr>
        <w:t>我们认为，常山纺织公司财务报表在所有重大方面按照企业会计准则的规定编制，公允反映了常山纺织公司2014年12月</w:t>
      </w:r>
      <w:r>
        <w:rPr/>
        <w:t> 31日合并及母公司的财务状况以及2014 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spacing w:line="240" w:lineRule="auto"/>
        <w:ind w:left="903" w:right="418"/>
        <w:jc w:val="left"/>
      </w:pPr>
      <w:r>
        <w:rPr/>
        <w:t>中兴财光华会计师事务所</w:t>
      </w:r>
    </w:p>
    <w:p>
      <w:pPr>
        <w:pStyle w:val="BodyText"/>
        <w:tabs>
          <w:tab w:pos="6529" w:val="left" w:leader="none"/>
        </w:tabs>
        <w:spacing w:line="240" w:lineRule="auto" w:before="75"/>
        <w:ind w:left="977" w:right="418"/>
        <w:jc w:val="left"/>
      </w:pPr>
      <w:r>
        <w:rPr>
          <w:spacing w:val="-1"/>
        </w:rPr>
        <w:t>（特殊普通合伙）</w:t>
        <w:tab/>
        <w:t>中国注册会计师：王凤岐</w:t>
      </w:r>
    </w:p>
    <w:p>
      <w:pPr>
        <w:pStyle w:val="BodyText"/>
        <w:spacing w:line="240" w:lineRule="auto" w:before="76"/>
        <w:ind w:left="6528" w:right="418"/>
        <w:jc w:val="left"/>
      </w:pPr>
      <w:r>
        <w:rPr/>
        <w:t>中国注册会计师：杨海龙</w:t>
      </w:r>
    </w:p>
    <w:p>
      <w:pPr>
        <w:pStyle w:val="BodyText"/>
        <w:spacing w:line="240" w:lineRule="auto" w:before="76"/>
        <w:ind w:left="1597" w:right="418"/>
        <w:jc w:val="left"/>
      </w:pPr>
      <w:r>
        <w:rPr/>
        <w:t>中国</w:t>
      </w:r>
      <w:r>
        <w:rPr>
          <w:rFonts w:ascii="Times New Roman" w:hAnsi="Times New Roman" w:cs="Times New Roman" w:eastAsia="Times New Roman" w:hint="default"/>
        </w:rPr>
        <w:t>·</w:t>
      </w:r>
      <w:r>
        <w:rPr/>
        <w:t>北京</w:t>
      </w:r>
    </w:p>
    <w:p>
      <w:pPr>
        <w:spacing w:line="240" w:lineRule="auto" w:before="3"/>
        <w:rPr>
          <w:rFonts w:ascii="宋体" w:hAnsi="宋体" w:cs="宋体" w:eastAsia="宋体" w:hint="default"/>
          <w:sz w:val="25"/>
          <w:szCs w:val="25"/>
        </w:rPr>
      </w:pPr>
    </w:p>
    <w:p>
      <w:pPr>
        <w:pStyle w:val="BodyText"/>
        <w:spacing w:line="240" w:lineRule="auto" w:before="44"/>
        <w:ind w:left="6456" w:right="418"/>
        <w:jc w:val="left"/>
      </w:pPr>
      <w:r>
        <w:rPr/>
        <w:t>二</w:t>
      </w:r>
      <w:r>
        <w:rPr>
          <w:rFonts w:ascii="Times New Roman" w:hAnsi="Times New Roman" w:cs="Times New Roman" w:eastAsia="Times New Roman" w:hint="default"/>
        </w:rPr>
        <w:t>○</w:t>
      </w:r>
      <w:r>
        <w:rPr/>
        <w:t>一五年二月五日</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t>编制单位：石家庄常山纺织股份有限公司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3" w:equalWidth="0">
            <w:col w:w="3395" w:space="682"/>
            <w:col w:w="1639" w:space="3203"/>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275,198,603.36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407,651,547.61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40,095,086.83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45,792,670.02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41,258,208.01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110,571,518.66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865,551,594.80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983,475,694.64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16,286.11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75,510,198.06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26,647,205.62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1,423,268,411.75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1,505,407,219.20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9,716,485.96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2,118,880.13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2,730,598,588.77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3,081,681,021.99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59,138,252.84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50,617,444.57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176,499,270.93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1,162,594,197.37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1,501,057,931.47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1,029,089,641.27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712,858,753.15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219,559.81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255,603.02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183,799,290.90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37,842,905.32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194,202,791.86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198,766,694.67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1,310,634.04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1,729,915.28</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15,577,052.02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9,289,942.23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134,101.21</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2,822,564,792.25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2,691,558,208.76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5,553,163,381.02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5,773,239,230.75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1,504,567,200.00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1,589,452,373.42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30,060,000.00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180,532,870.57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259,219,400.63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498,699,649.58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667,077,582.63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8,896,978.67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14,148,769.59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6,451,522.85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-37,933,121.86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41,583,500.00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41,604,273.89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468,422.13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468,422.13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35,054,482.69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86,929,618.63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2"/>
        <w:gridCol w:w="2177"/>
        <w:gridCol w:w="2160"/>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629,380,966.27</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2,937,105,084.84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2,652,376,811.14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82,726,000.00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625,666,766.47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55,399,866.90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41,527,971.71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4,151,664.13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1,785,184.83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142,277,531.03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678,444,923.01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3,079,382,615.87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3,330,821,734.15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1,111,154,184.34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1,111,154,184.34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12,454,992.37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5,355,554.47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188,521,382.02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184,924,069.84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442,361,065.54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421,673,641.36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2,473,352,624.27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2,441,968,450.01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220"/>
        <w:gridCol w:w="2160"/>
        <w:gridCol w:w="2160"/>
      </w:tblGrid>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428,140.88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449,046.59</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2,473,780,765.15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2,442,417,496.60</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5,553,163,381.02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5,773,239,230.75</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248"/>
        <w:jc w:val="right"/>
      </w:pPr>
      <w:r>
        <w:rPr/>
        <w:t>法定代表人：汤彰明</w:t>
        <w:tab/>
        <w:t>主管会计工作负责人：赵英涛</w:t>
        <w:tab/>
        <w:t>会计机构负责人：曹金霞</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192"/>
        <w:gridCol w:w="2177"/>
        <w:gridCol w:w="2160"/>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210,432,643.43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352,078,434.15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119,496,176.83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44,062,670.02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135,388,011.99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50,872,747.60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970,468,099.25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1,166,526,805.17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16,286.11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842,996.72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842,996.72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33,383,584.48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120,426,861.92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1,160,700,405.00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1,173,557,886.39</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5,624,093.15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1,786,365.87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2,636,336,010.85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2,910,171,053.95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59,138,252.84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50,617,444.57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436,841,474.39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270,254,476.14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176,499,270.93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672,296,449.61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1,131,035,638.38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917,103,862.00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628,575,611.25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219,559.81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255,603.02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171,673,885.01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17,395,233.05</w:t>
            </w:r>
          </w:p>
        </w:tc>
      </w:tr>
      <w:tr>
        <w:trPr>
          <w:trHeight w:val="401"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2"/>
        <w:gridCol w:w="2177"/>
        <w:gridCol w:w="2160"/>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149,327,127.55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152,701,683.43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75,216.36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114,459.72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14,741,945.41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7,926,366.90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2,597,917,043.91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2,438,015,535.51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5,234,253,054.76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5,348,186,589.46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1,263,200,000.00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1,419,513,466.41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71,389,930.00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159,818,255.44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214,417,390.02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448,752,608.04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535,152,073.36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7,642,628.92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13,031,270.01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4,996,192.66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-28,430,575.23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41,583,500.00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41,475,682.10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107,137.82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107,137.82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41,497,088.70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81,964,025.21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629,380,966.27</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1,394,992.08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1,394,992.08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2,669,763,299.93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2,278,625,461.78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82,726,000.00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625,666,766.47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55,283,866.90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41,397,471.71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4,151,664.13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1,785,184.83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142,161,531.03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678,314,423.01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2,811,924,830.96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2,956,939,884.79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1,111,193,042.80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1,111,193,042.80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12,454,992.37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5,355,554.47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182,278,428.76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178,681,116.58</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397,540,759.87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377,155,990.82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2,422,328,223.80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2,391,246,704.67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5,234,253,054.76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5,348,186,589.46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6,568,519,360.29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5,857,395,314.00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6,568,519,360.29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5,857,395,314.00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6,895,485,640.04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6,107,241,953.85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6,490,007,038.20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5,654,241,572.19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220"/>
        <w:gridCol w:w="2160"/>
        <w:gridCol w:w="2160"/>
      </w:tblGrid>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6,215,012.64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5,618,460.58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25,275,978.84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38,370,171.41</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214,073,943.18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282,271,964.49</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127,812,860.32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112,523,157.25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32,100,806.86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14,216,627.93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2,240,012.70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5,132,486.42</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-324,726,267.05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-244,714,153.43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371,651,179.55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267,692,673.92</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16,409,287.24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21,887,039.43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24,904,813.57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1,403,351.81</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24,768,163.52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1,345,572.94</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22,020,098.93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21,575,168.68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-2,243,731.72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4,032,545.04</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24,263,830.65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17,542,623.64</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24,284,736.36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17,565,895.35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-20,905.71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-23,271.71</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r>
      <w:tr>
        <w:trPr>
          <w:trHeight w:val="714"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31,363,268.55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14,904,319.01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31,384,174.26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14,927,590.72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-20,905.71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-23,271.71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0.0244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0.0244</w:t>
            </w:r>
          </w:p>
        </w:tc>
      </w:tr>
    </w:tbl>
    <w:p>
      <w:pPr>
        <w:pStyle w:val="BodyText"/>
        <w:tabs>
          <w:tab w:pos="3573" w:val="left" w:leader="none"/>
          <w:tab w:pos="7713" w:val="left" w:leader="none"/>
        </w:tabs>
        <w:spacing w:line="624" w:lineRule="auto" w:before="51"/>
        <w:ind w:left="153" w:right="248"/>
        <w:jc w:val="left"/>
      </w:pPr>
      <w:r>
        <w:rPr/>
        <w:t>本期发生同一控制下企业合并的，被合并方在合并前实现的净利润为：元，上期被合并方实现的净利润为：元。 法定代表人：汤彰明</w:t>
        <w:tab/>
        <w:t>主管会计工作负责人：赵英涛</w:t>
        <w:tab/>
        <w:t>会计机构负责人：曹金霞</w:t>
      </w:r>
    </w:p>
    <w:p>
      <w:pPr>
        <w:pStyle w:val="Heading3"/>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5,185,838,697.57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4,841,926,470.83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5,163,574,574.43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4,699,494,023.65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5,696,647.53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4,534,265.18</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14,246,485.30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20,976,245.86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183,525,802.08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251,030,347.52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119,786,625.35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107,911,525.54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34,389,626.52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11,815,538.44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2,240,012.70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4,586,533.97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-333,141,050.94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-249,248,941.39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369,829,136.56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264,199,120.16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15,579,525.80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21,761,579.46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19,521,582.90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1,353,488.43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19,385,797.85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1,345,572.94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17,166,502.72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13,596,690.34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-6,815,578.51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-1,070,134.48</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23,982,081.23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14,666,824.82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714"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7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r>
      <w:tr>
        <w:trPr>
          <w:trHeight w:val="714"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7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31,081,519.13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12,028,520.19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57"/>
        <w:gridCol w:w="1992"/>
        <w:gridCol w:w="1980"/>
      </w:tblGrid>
      <w:tr>
        <w:trPr>
          <w:trHeight w:val="401"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7,376,245,487.56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7,111,663,111.09</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20,026,971.75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60,910,487.37</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328,172,359.30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118,310,714.33</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7,724,444,818.61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7,290,884,312.79</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7,130,015,266.12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6,734,503,604.03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52"/>
        <w:gridCol w:w="1997"/>
        <w:gridCol w:w="1980"/>
      </w:tblGrid>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377,290,020.29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522,719,892.50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66,875,674.25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53,560,273.67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30,868,086.03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35,188,314.15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7,605,049,046.69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7,345,972,084.35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119,395,771.92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-55,087,771.56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2,240,012.70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4,993,147.80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46,391,764.32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45,273,157.22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52,161,777.02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50,266,305.02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164,510,678.66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253,686,315.12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164,510,678.66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253,686,315.12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-112,348,901.64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-203,420,010.10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1,743,730,149.26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1,675,986,286.56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174,720,000.71</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1,755,020,149.26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1,850,706,287.27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1,755,354,322.68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1,607,721,611.09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130,541,517.83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132,182,074.09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80"/>
        <w:gridCol w:w="1980"/>
        <w:gridCol w:w="1980"/>
      </w:tblGrid>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1,895,145,840.51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2,009,903,685.18</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-140,125,691.25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-159,197,397.91</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-133,078,820.97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-417,705,179.57</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316,168,795.84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733,873,975.41</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183,089,974.87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316,168,795.84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52"/>
        <w:gridCol w:w="1997"/>
        <w:gridCol w:w="1980"/>
      </w:tblGrid>
      <w:tr>
        <w:trPr>
          <w:trHeight w:val="401"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5,751,709,856.21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5,546,817,503.05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19,688,538.53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130,872.79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341,424,247.12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137,840,694.73</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6,112,822,641.86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5,684,789,070.57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5,479,133,189.74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5,251,446,246.96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322,236,684.20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461,302,350.62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51,166,752.61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32,869,245.06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24,115,126.23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23,844,988.76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5,876,651,752.78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5,769,462,831.40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236,170,889.08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-84,673,760.83</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2,240,012.70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4,993,147.80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42,596,867.77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44,516,490.54</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3,530,000.00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48,366,880.47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49,509,638.34</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164,432,088.94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252,664,720.60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164,432,088.94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252,664,720.60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57"/>
        <w:gridCol w:w="1992"/>
        <w:gridCol w:w="1980"/>
      </w:tblGrid>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-116,065,208.47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-203,155,082.26</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1,337,700,056.27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1,441,505,271.22</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174,720,000.71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1,348,990,056.27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1,616,225,271.93</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1,491,252,522.68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1,345,461,804.81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114,818,771.75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124,386,856.43</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1,606,071,294.43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1,739,848,661.24</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-257,081,238.16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-123,623,389.31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-136,975,557.55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-411,452,232.40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298,464,138.03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709,916,370.43</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161,488,580.48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298,464,138.03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6"/>
        <w:gridCol w:w="563"/>
        <w:gridCol w:w="530"/>
        <w:gridCol w:w="532"/>
        <w:gridCol w:w="530"/>
        <w:gridCol w:w="665"/>
        <w:gridCol w:w="665"/>
        <w:gridCol w:w="665"/>
        <w:gridCol w:w="665"/>
        <w:gridCol w:w="664"/>
        <w:gridCol w:w="666"/>
        <w:gridCol w:w="665"/>
        <w:gridCol w:w="665"/>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6" w:hRule="exact"/>
        </w:trPr>
        <w:tc>
          <w:tcPr>
            <w:tcW w:w="1426" w:type="dxa"/>
            <w:vMerge/>
            <w:tcBorders>
              <w:left w:val="single" w:sz="4" w:space="0" w:color="000000"/>
              <w:right w:val="single" w:sz="4" w:space="0" w:color="000000"/>
            </w:tcBorders>
            <w:shd w:val="clear" w:color="auto" w:fill="D3D3D3"/>
          </w:tcPr>
          <w:p>
            <w:pPr/>
          </w:p>
        </w:tc>
        <w:tc>
          <w:tcPr>
            <w:tcW w:w="6809"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09" w:type="dxa"/>
            <w:gridSpan w:val="11"/>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0"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6"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7"/>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7"/>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4" w:hRule="exact"/>
        </w:trPr>
        <w:tc>
          <w:tcPr>
            <w:tcW w:w="1426" w:type="dxa"/>
            <w:vMerge/>
            <w:tcBorders>
              <w:left w:val="single" w:sz="4" w:space="0" w:color="000000"/>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4" w:type="dxa"/>
            <w:vMerge/>
            <w:tcBorders>
              <w:left w:val="single" w:sz="4" w:space="0" w:color="000000"/>
              <w:bottom w:val="nil" w:sz="6" w:space="0" w:color="auto"/>
              <w:right w:val="single" w:sz="4" w:space="0" w:color="000000"/>
            </w:tcBorders>
            <w:shd w:val="clear" w:color="auto" w:fill="D3D3D3"/>
          </w:tcPr>
          <w:p>
            <w:pPr/>
          </w:p>
        </w:tc>
        <w:tc>
          <w:tcPr>
            <w:tcW w:w="666"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4"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6"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5,355,5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54.47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184,924</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,069.84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421,673</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,641.36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449,046</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17,496.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60</w:t>
            </w:r>
          </w:p>
        </w:tc>
      </w:tr>
      <w:tr>
        <w:trPr>
          <w:trHeight w:val="393"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6"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5,355,5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54.47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184,924</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,069.84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421,673</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,641.36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449,046</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17,496.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7,099,4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37.90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12.18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20,687,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424.18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-20,905.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31,363,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268.55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7,099,4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37.90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24,284,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736.36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-20,905.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31,363,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268.55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12.18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12.18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12.18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12.18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12,454,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992.37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188,521</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,382.02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442,361</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,065.54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428,140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80,765.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6" w:hRule="exact"/>
        </w:trPr>
        <w:tc>
          <w:tcPr>
            <w:tcW w:w="1426" w:type="dxa"/>
            <w:vMerge/>
            <w:tcBorders>
              <w:left w:val="single" w:sz="4" w:space="0" w:color="000000"/>
              <w:right w:val="single" w:sz="4" w:space="0" w:color="000000"/>
            </w:tcBorders>
            <w:shd w:val="clear" w:color="auto" w:fill="D3D3D3"/>
          </w:tcPr>
          <w:p>
            <w:pPr/>
          </w:p>
        </w:tc>
        <w:tc>
          <w:tcPr>
            <w:tcW w:w="6821"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7"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21" w:type="dxa"/>
            <w:gridSpan w:val="11"/>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99"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8"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6"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0"/>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3" w:hRule="exact"/>
        </w:trPr>
        <w:tc>
          <w:tcPr>
            <w:tcW w:w="1426" w:type="dxa"/>
            <w:vMerge/>
            <w:tcBorders>
              <w:left w:val="single" w:sz="4" w:space="0" w:color="000000"/>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3"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10" w:space="0" w:color="D3D3D3"/>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7,993,8</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59.10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182,724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,046.12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406,307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,769.73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611,656</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.92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52,516.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10" w:space="0" w:color="D3D3D3"/>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7,993,8</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59.10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182,724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,046.12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406,307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,769.73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611,656</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.92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52,516.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-2,638,3</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04.63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23.72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15,365,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871.63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-162,61</w:t>
            </w:r>
          </w:p>
          <w:p>
            <w:pPr>
              <w:pStyle w:val="TableParagraph"/>
              <w:spacing w:line="240" w:lineRule="auto" w:before="106"/>
              <w:ind w:left="303" w:right="0"/>
              <w:jc w:val="left"/>
              <w:rPr>
                <w:rFonts w:ascii="Times New Roman" w:hAnsi="Times New Roman" w:cs="Times New Roman" w:eastAsia="Times New Roman" w:hint="default"/>
                <w:sz w:val="18"/>
                <w:szCs w:val="18"/>
              </w:rPr>
            </w:pPr>
            <w:r>
              <w:rPr>
                <w:rFonts w:ascii="Times New Roman"/>
                <w:sz w:val="18"/>
              </w:rPr>
              <w:t>0.33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14,764,</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980.39</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-2,638,3</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04.63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17,565,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895.35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-23,271</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14,904,</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319.01</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-139,33</w:t>
            </w:r>
          </w:p>
          <w:p>
            <w:pPr>
              <w:pStyle w:val="TableParagraph"/>
              <w:spacing w:line="240" w:lineRule="auto" w:before="106"/>
              <w:ind w:left="303" w:right="0"/>
              <w:jc w:val="left"/>
              <w:rPr>
                <w:rFonts w:ascii="Times New Roman" w:hAnsi="Times New Roman" w:cs="Times New Roman" w:eastAsia="Times New Roman" w:hint="default"/>
                <w:sz w:val="18"/>
                <w:szCs w:val="18"/>
              </w:rPr>
            </w:pPr>
            <w:r>
              <w:rPr>
                <w:rFonts w:ascii="Times New Roman"/>
                <w:sz w:val="18"/>
              </w:rPr>
              <w:t>8.62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-139,33</w:t>
            </w:r>
          </w:p>
          <w:p>
            <w:pPr>
              <w:pStyle w:val="TableParagraph"/>
              <w:spacing w:line="240" w:lineRule="auto" w:before="106"/>
              <w:ind w:left="309" w:right="0"/>
              <w:jc w:val="left"/>
              <w:rPr>
                <w:rFonts w:ascii="Times New Roman" w:hAnsi="Times New Roman" w:cs="Times New Roman" w:eastAsia="Times New Roman" w:hint="default"/>
                <w:sz w:val="18"/>
                <w:szCs w:val="18"/>
              </w:rPr>
            </w:pPr>
            <w:r>
              <w:rPr>
                <w:rFonts w:ascii="Times New Roman"/>
                <w:sz w:val="18"/>
              </w:rPr>
              <w:t>8.62</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-139,33</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8.62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-139,33</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8.62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23.72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23.72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5,355,5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54.47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184,924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,069.84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421,673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,641.36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449,046</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17,496.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53"/>
        <w:gridCol w:w="810"/>
        <w:gridCol w:w="797"/>
        <w:gridCol w:w="798"/>
        <w:gridCol w:w="798"/>
        <w:gridCol w:w="797"/>
        <w:gridCol w:w="676"/>
        <w:gridCol w:w="781"/>
      </w:tblGrid>
      <w:tr>
        <w:trPr>
          <w:trHeight w:val="40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1" w:hRule="exact"/>
        </w:trPr>
        <w:tc>
          <w:tcPr>
            <w:tcW w:w="14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03"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418" w:type="dxa"/>
            <w:vMerge/>
            <w:tcBorders>
              <w:left w:val="single" w:sz="4" w:space="0" w:color="000000"/>
              <w:bottom w:val="nil" w:sz="6" w:space="0" w:color="auto"/>
              <w:right w:val="single" w:sz="4" w:space="0" w:color="000000"/>
            </w:tcBorders>
            <w:shd w:val="clear" w:color="auto" w:fill="D3D3D3"/>
          </w:tcPr>
          <w:p>
            <w:pPr/>
          </w:p>
        </w:tc>
        <w:tc>
          <w:tcPr>
            <w:tcW w:w="7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3" w:type="dxa"/>
            <w:gridSpan w:val="3"/>
            <w:vMerge/>
            <w:tcBorders>
              <w:left w:val="single" w:sz="4" w:space="0" w:color="000000"/>
              <w:bottom w:val="single" w:sz="4" w:space="0" w:color="000000"/>
              <w:right w:val="single" w:sz="4" w:space="0" w:color="000000"/>
            </w:tcBorders>
            <w:shd w:val="clear" w:color="auto" w:fill="D3D3D3"/>
          </w:tcPr>
          <w:p>
            <w:pPr/>
          </w:p>
        </w:tc>
        <w:tc>
          <w:tcPr>
            <w:tcW w:w="8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5" w:hRule="exact"/>
        </w:trPr>
        <w:tc>
          <w:tcPr>
            <w:tcW w:w="1418" w:type="dxa"/>
            <w:vMerge w:val="restart"/>
            <w:tcBorders>
              <w:top w:val="nil" w:sz="6" w:space="0" w:color="auto"/>
              <w:left w:val="single" w:sz="4" w:space="0" w:color="000000"/>
              <w:right w:val="single" w:sz="4" w:space="0" w:color="000000"/>
            </w:tcBorders>
            <w:shd w:val="clear" w:color="auto" w:fill="D3D3D3"/>
          </w:tcPr>
          <w:p>
            <w:pPr/>
          </w:p>
        </w:tc>
        <w:tc>
          <w:tcPr>
            <w:tcW w:w="703"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2"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70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,042.80</w:t>
            </w:r>
          </w:p>
        </w:tc>
        <w:tc>
          <w:tcPr>
            <w:tcW w:w="797" w:type="dxa"/>
            <w:vMerge w:val="restart"/>
            <w:tcBorders>
              <w:top w:val="single" w:sz="21" w:space="0" w:color="D3D3D3"/>
              <w:left w:val="single" w:sz="4" w:space="0" w:color="000000"/>
              <w:right w:val="single" w:sz="4" w:space="0" w:color="000000"/>
            </w:tcBorders>
          </w:tcPr>
          <w:p>
            <w:pPr/>
          </w:p>
        </w:tc>
        <w:tc>
          <w:tcPr>
            <w:tcW w:w="798" w:type="dxa"/>
            <w:vMerge w:val="restart"/>
            <w:tcBorders>
              <w:top w:val="single" w:sz="21" w:space="0" w:color="D3D3D3"/>
              <w:left w:val="single" w:sz="4"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18"/>
                <w:szCs w:val="18"/>
              </w:rPr>
            </w:pPr>
            <w:r>
              <w:rPr>
                <w:rFonts w:ascii="Times New Roman"/>
                <w:sz w:val="18"/>
              </w:rPr>
              <w:t>5,355,554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178,681,1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16.58</w:t>
            </w:r>
          </w:p>
        </w:tc>
        <w:tc>
          <w:tcPr>
            <w:tcW w:w="676" w:type="dxa"/>
            <w:vMerge w:val="restart"/>
            <w:tcBorders>
              <w:top w:val="single" w:sz="21" w:space="0" w:color="D3D3D3"/>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377,155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,990.82</w:t>
            </w:r>
          </w:p>
        </w:tc>
        <w:tc>
          <w:tcPr>
            <w:tcW w:w="781" w:type="dxa"/>
            <w:vMerge w:val="restart"/>
            <w:tcBorders>
              <w:top w:val="single" w:sz="21" w:space="0" w:color="D3D3D3"/>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2,391,246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,704.67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,042.80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5,355,554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178,681,1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16.58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377,155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,990.82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2,391,246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,704.67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7,099,437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3,597,312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20,384,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769.05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31,081,51</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9.13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7,099,437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23,982,</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081.23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31,081,51</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9.13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3,597,312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12.18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3,597,312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12.18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,042.80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12,454,99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182,278,4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28.76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397,540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,759.87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2,422,328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,223.80</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7" w:hRule="exact"/>
        </w:trPr>
        <w:tc>
          <w:tcPr>
            <w:tcW w:w="1418" w:type="dxa"/>
            <w:vMerge/>
            <w:tcBorders>
              <w:left w:val="single" w:sz="4" w:space="0" w:color="000000"/>
              <w:bottom w:val="nil" w:sz="6" w:space="0" w:color="auto"/>
              <w:right w:val="single" w:sz="4" w:space="0" w:color="000000"/>
            </w:tcBorders>
            <w:shd w:val="clear" w:color="auto" w:fill="D3D3D3"/>
          </w:tcPr>
          <w:p>
            <w:pPr/>
          </w:p>
        </w:tc>
        <w:tc>
          <w:tcPr>
            <w:tcW w:w="7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6" w:hRule="exact"/>
        </w:trPr>
        <w:tc>
          <w:tcPr>
            <w:tcW w:w="1418" w:type="dxa"/>
            <w:vMerge w:val="restart"/>
            <w:tcBorders>
              <w:top w:val="nil" w:sz="6" w:space="0" w:color="auto"/>
              <w:left w:val="single" w:sz="4" w:space="0" w:color="000000"/>
              <w:right w:val="single" w:sz="4" w:space="0" w:color="000000"/>
            </w:tcBorders>
            <w:shd w:val="clear" w:color="auto" w:fill="D3D3D3"/>
          </w:tcPr>
          <w:p>
            <w:pPr/>
          </w:p>
        </w:tc>
        <w:tc>
          <w:tcPr>
            <w:tcW w:w="703"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1"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70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6"/>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,042.80</w:t>
            </w:r>
          </w:p>
        </w:tc>
        <w:tc>
          <w:tcPr>
            <w:tcW w:w="798" w:type="dxa"/>
            <w:vMerge w:val="restart"/>
            <w:tcBorders>
              <w:top w:val="single" w:sz="20" w:space="0" w:color="D3D3D3"/>
              <w:left w:val="single" w:sz="4" w:space="0" w:color="000000"/>
              <w:right w:val="single" w:sz="4" w:space="0" w:color="000000"/>
            </w:tcBorders>
          </w:tcPr>
          <w:p>
            <w:pPr/>
          </w:p>
        </w:tc>
        <w:tc>
          <w:tcPr>
            <w:tcW w:w="798" w:type="dxa"/>
            <w:vMerge w:val="restart"/>
            <w:tcBorders>
              <w:top w:val="single" w:sz="20" w:space="0" w:color="D3D3D3"/>
              <w:left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8"/>
                <w:szCs w:val="18"/>
              </w:rPr>
            </w:pPr>
            <w:r>
              <w:rPr>
                <w:rFonts w:ascii="Times New Roman"/>
                <w:sz w:val="18"/>
              </w:rPr>
              <w:t>7,993,859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176,481,0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92.86</w:t>
            </w:r>
          </w:p>
        </w:tc>
        <w:tc>
          <w:tcPr>
            <w:tcW w:w="676" w:type="dxa"/>
            <w:vMerge w:val="restart"/>
            <w:tcBorders>
              <w:top w:val="single" w:sz="20" w:space="0" w:color="D3D3D3"/>
              <w:left w:val="single" w:sz="4" w:space="0" w:color="000000"/>
              <w:right w:val="single" w:sz="4" w:space="0" w:color="000000"/>
            </w:tcBorders>
          </w:tcPr>
          <w:p>
            <w:pPr>
              <w:pStyle w:val="TableParagraph"/>
              <w:spacing w:line="240" w:lineRule="auto" w:before="71"/>
              <w:ind w:left="58" w:right="0"/>
              <w:jc w:val="left"/>
              <w:rPr>
                <w:rFonts w:ascii="Times New Roman" w:hAnsi="Times New Roman" w:cs="Times New Roman" w:eastAsia="Times New Roman" w:hint="default"/>
                <w:sz w:val="18"/>
                <w:szCs w:val="18"/>
              </w:rPr>
            </w:pPr>
            <w:r>
              <w:rPr>
                <w:rFonts w:ascii="Times New Roman"/>
                <w:sz w:val="18"/>
              </w:rPr>
              <w:t>364,689</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,189.72</w:t>
            </w:r>
          </w:p>
        </w:tc>
        <w:tc>
          <w:tcPr>
            <w:tcW w:w="781" w:type="dxa"/>
            <w:vMerge w:val="restart"/>
            <w:tcBorders>
              <w:top w:val="single" w:sz="20" w:space="0" w:color="D3D3D3"/>
              <w:left w:val="single" w:sz="4" w:space="0" w:color="000000"/>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18"/>
                <w:szCs w:val="18"/>
              </w:rPr>
            </w:pPr>
            <w:r>
              <w:rPr>
                <w:rFonts w:ascii="Times New Roman"/>
                <w:sz w:val="18"/>
              </w:rPr>
              <w:t>2,379,218</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,184.48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6"/>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,042.80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7,993,859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176,481,0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92.86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364,689</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,189.72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2,379,218</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,184.48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-2,638,30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12,466,</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801.10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12,028,52</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0.19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-2,638,30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14,666,</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824.82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12,028,52</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0.19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23.72</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23.72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,042.80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5,355,554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178,681,1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16.58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377,155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,990.82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2,391,246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,704.67</w:t>
            </w:r>
          </w:p>
        </w:tc>
      </w:tr>
    </w:tbl>
    <w:p>
      <w:pPr>
        <w:spacing w:line="240" w:lineRule="auto" w:before="2"/>
        <w:rPr>
          <w:rFonts w:ascii="宋体" w:hAnsi="宋体" w:cs="宋体" w:eastAsia="宋体" w:hint="default"/>
          <w:sz w:val="18"/>
          <w:szCs w:val="18"/>
        </w:rPr>
      </w:pPr>
    </w:p>
    <w:p>
      <w:pPr>
        <w:pStyle w:val="Heading2"/>
        <w:spacing w:line="240" w:lineRule="auto" w:before="26"/>
        <w:ind w:right="418"/>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88" w:firstLine="433"/>
        <w:jc w:val="both"/>
      </w:pPr>
      <w:r>
        <w:rPr>
          <w:spacing w:val="6"/>
        </w:rPr>
        <w:t>石家庄常山纺织股份有限公司（以下简称</w:t>
      </w:r>
      <w:r>
        <w:rPr>
          <w:rFonts w:ascii="Times New Roman" w:hAnsi="Times New Roman" w:cs="Times New Roman" w:eastAsia="Times New Roman" w:hint="default"/>
          <w:spacing w:val="6"/>
        </w:rPr>
        <w:t>“</w:t>
      </w:r>
      <w:r>
        <w:rPr>
          <w:spacing w:val="6"/>
        </w:rPr>
        <w:t>公司</w:t>
      </w:r>
      <w:r>
        <w:rPr>
          <w:rFonts w:ascii="Times New Roman" w:hAnsi="Times New Roman" w:cs="Times New Roman" w:eastAsia="Times New Roman" w:hint="default"/>
          <w:spacing w:val="6"/>
        </w:rPr>
        <w:t>”</w:t>
      </w:r>
      <w:r>
        <w:rPr>
          <w:spacing w:val="6"/>
        </w:rPr>
        <w:t>或</w:t>
      </w:r>
      <w:r>
        <w:rPr>
          <w:rFonts w:ascii="Times New Roman" w:hAnsi="Times New Roman" w:cs="Times New Roman" w:eastAsia="Times New Roman" w:hint="default"/>
          <w:spacing w:val="6"/>
        </w:rPr>
        <w:t>“</w:t>
      </w:r>
      <w:r>
        <w:rPr>
          <w:spacing w:val="6"/>
        </w:rPr>
        <w:t>本公司</w:t>
      </w:r>
      <w:r>
        <w:rPr>
          <w:rFonts w:ascii="Times New Roman" w:hAnsi="Times New Roman" w:cs="Times New Roman" w:eastAsia="Times New Roman" w:hint="default"/>
          <w:spacing w:val="6"/>
        </w:rPr>
        <w:t>”</w:t>
      </w:r>
      <w:r>
        <w:rPr>
          <w:spacing w:val="6"/>
        </w:rPr>
        <w:t>）系经河北省人民政府股份制领导小组办公室</w:t>
      </w:r>
      <w:r>
        <w:rPr>
          <w:rFonts w:ascii="Times New Roman" w:hAnsi="Times New Roman" w:cs="Times New Roman" w:eastAsia="Times New Roman" w:hint="default"/>
          <w:spacing w:val="6"/>
        </w:rPr>
        <w:t>“</w:t>
      </w:r>
      <w:r>
        <w:rPr>
          <w:spacing w:val="6"/>
        </w:rPr>
        <w:t>冀股办</w:t>
      </w:r>
      <w:r>
        <w:rPr/>
        <w:t> </w:t>
      </w:r>
      <w:r>
        <w:rPr>
          <w:rFonts w:ascii="Times New Roman" w:hAnsi="Times New Roman" w:cs="Times New Roman" w:eastAsia="Times New Roman" w:hint="default"/>
        </w:rPr>
        <w:t>[1998]64</w:t>
      </w:r>
      <w:r>
        <w:rPr/>
        <w:t>号</w:t>
      </w:r>
      <w:r>
        <w:rPr>
          <w:rFonts w:ascii="Times New Roman" w:hAnsi="Times New Roman" w:cs="Times New Roman" w:eastAsia="Times New Roman" w:hint="default"/>
        </w:rPr>
        <w:t>”</w:t>
      </w:r>
      <w:r>
        <w:rPr/>
        <w:t>文件批准，由石家庄常山纺织集团有限责任公司作为主发起人，联合河北省宏远国际经贸集团公司、河北华鑫</w:t>
      </w:r>
      <w:r>
        <w:rPr>
          <w:spacing w:val="-26"/>
        </w:rPr>
        <w:t> </w:t>
      </w:r>
      <w:r>
        <w:rPr>
          <w:spacing w:val="-26"/>
        </w:rPr>
      </w:r>
      <w:r>
        <w:rPr>
          <w:spacing w:val="-5"/>
        </w:rPr>
        <w:t>集团公司、河北宁纺集团有限责任公司和石家庄市星球服装鞋帽联合（集团）公司共同发起设立的股份有限公司。公司于</w:t>
      </w:r>
      <w:r>
        <w:rPr>
          <w:rFonts w:ascii="Times New Roman" w:hAnsi="Times New Roman" w:cs="Times New Roman" w:eastAsia="Times New Roman" w:hint="default"/>
          <w:spacing w:val="-5"/>
        </w:rPr>
        <w:t>1998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日在河北省工商行政管理局注册登记正式成立，注册资本</w:t>
      </w:r>
      <w:r>
        <w:rPr>
          <w:rFonts w:ascii="Times New Roman" w:hAnsi="Times New Roman" w:cs="Times New Roman" w:eastAsia="Times New Roman" w:hint="default"/>
        </w:rPr>
        <w:t>3</w:t>
      </w:r>
      <w:r>
        <w:rPr/>
        <w:t>亿元。</w:t>
      </w:r>
    </w:p>
    <w:p>
      <w:pPr>
        <w:spacing w:line="240" w:lineRule="auto" w:before="7"/>
        <w:rPr>
          <w:rFonts w:ascii="宋体" w:hAnsi="宋体" w:cs="宋体" w:eastAsia="宋体" w:hint="default"/>
          <w:sz w:val="17"/>
          <w:szCs w:val="17"/>
        </w:rPr>
      </w:pPr>
    </w:p>
    <w:p>
      <w:pPr>
        <w:pStyle w:val="BodyText"/>
        <w:spacing w:line="300" w:lineRule="auto"/>
        <w:ind w:left="153" w:right="101" w:firstLine="434"/>
        <w:jc w:val="both"/>
      </w:pPr>
      <w:r>
        <w:rPr>
          <w:spacing w:val="-2"/>
        </w:rPr>
        <w:t>经中国证监会</w:t>
      </w:r>
      <w:r>
        <w:rPr>
          <w:rFonts w:ascii="Times New Roman" w:hAnsi="Times New Roman" w:cs="Times New Roman" w:eastAsia="Times New Roman" w:hint="default"/>
          <w:spacing w:val="-2"/>
        </w:rPr>
        <w:t>“</w:t>
      </w:r>
      <w:r>
        <w:rPr>
          <w:spacing w:val="-2"/>
        </w:rPr>
        <w:t>证监发行字</w:t>
      </w:r>
      <w:r>
        <w:rPr>
          <w:rFonts w:ascii="Times New Roman" w:hAnsi="Times New Roman" w:cs="Times New Roman" w:eastAsia="Times New Roman" w:hint="default"/>
          <w:spacing w:val="-2"/>
        </w:rPr>
        <w:t>[2000]91</w:t>
      </w:r>
      <w:r>
        <w:rPr>
          <w:spacing w:val="-2"/>
        </w:rPr>
        <w:t>号</w:t>
      </w:r>
      <w:r>
        <w:rPr>
          <w:rFonts w:ascii="Times New Roman" w:hAnsi="Times New Roman" w:cs="Times New Roman" w:eastAsia="Times New Roman" w:hint="default"/>
          <w:spacing w:val="-2"/>
        </w:rPr>
        <w:t>”</w:t>
      </w:r>
      <w:r>
        <w:rPr>
          <w:spacing w:val="-2"/>
        </w:rPr>
        <w:t>文件批准，公司于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日通过深圳证券交易所交易系统，采用上网定价的</w:t>
      </w:r>
      <w:r>
        <w:rPr/>
        <w:t> 发行方式向社会公开发行人民币普通股（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w:t>
      </w:r>
      <w:r>
        <w:rPr/>
        <w:t>亿股，发行价为每股</w:t>
      </w:r>
      <w:r>
        <w:rPr>
          <w:rFonts w:ascii="Times New Roman" w:hAnsi="Times New Roman" w:cs="Times New Roman" w:eastAsia="Times New Roman" w:hint="default"/>
        </w:rPr>
        <w:t>6.18</w:t>
      </w:r>
      <w:r>
        <w:rPr/>
        <w:t>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106</w:t>
      </w:r>
      <w:r>
        <w:rPr/>
        <w:t>］号</w:t>
      </w:r>
      <w:r>
        <w:rPr>
          <w:rFonts w:ascii="Times New Roman" w:hAnsi="Times New Roman" w:cs="Times New Roman" w:eastAsia="Times New Roman" w:hint="default"/>
        </w:rPr>
        <w:t>”</w:t>
      </w:r>
      <w:r>
        <w:rPr/>
        <w:t>文</w:t>
      </w:r>
      <w:r>
        <w:rPr>
          <w:spacing w:val="-66"/>
        </w:rPr>
        <w:t> </w:t>
      </w:r>
      <w:r>
        <w:rPr>
          <w:spacing w:val="-5"/>
        </w:rPr>
        <w:t>批准，本公司的</w:t>
      </w:r>
      <w:r>
        <w:rPr>
          <w:rFonts w:ascii="Times New Roman" w:hAnsi="Times New Roman" w:cs="Times New Roman" w:eastAsia="Times New Roman" w:hint="default"/>
          <w:spacing w:val="-5"/>
        </w:rPr>
        <w:t>1</w:t>
      </w:r>
      <w:r>
        <w:rPr>
          <w:spacing w:val="-5"/>
        </w:rPr>
        <w:t>亿股</w:t>
      </w:r>
      <w:r>
        <w:rPr>
          <w:rFonts w:ascii="Times New Roman" w:hAnsi="Times New Roman" w:cs="Times New Roman" w:eastAsia="Times New Roman" w:hint="default"/>
          <w:spacing w:val="-5"/>
        </w:rPr>
        <w:t>A</w:t>
      </w:r>
      <w:r>
        <w:rPr>
          <w:spacing w:val="-5"/>
        </w:rPr>
        <w:t>股股票已于</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24</w:t>
      </w:r>
      <w:r>
        <w:rPr>
          <w:spacing w:val="-5"/>
        </w:rPr>
        <w:t>日在深圳证券交易所上市挂牌交易。股票简称</w:t>
      </w:r>
      <w:r>
        <w:rPr>
          <w:rFonts w:ascii="Times New Roman" w:hAnsi="Times New Roman" w:cs="Times New Roman" w:eastAsia="Times New Roman" w:hint="default"/>
          <w:spacing w:val="-5"/>
        </w:rPr>
        <w:t>“</w:t>
      </w:r>
      <w:r>
        <w:rPr>
          <w:spacing w:val="-5"/>
        </w:rPr>
        <w:t>常山股份</w:t>
      </w:r>
      <w:r>
        <w:rPr>
          <w:rFonts w:ascii="Times New Roman" w:hAnsi="Times New Roman" w:cs="Times New Roman" w:eastAsia="Times New Roman" w:hint="default"/>
          <w:spacing w:val="-5"/>
        </w:rPr>
        <w:t>”</w:t>
      </w:r>
      <w:r>
        <w:rPr>
          <w:spacing w:val="-5"/>
        </w:rPr>
        <w:t>，股票代码</w:t>
      </w:r>
      <w:r>
        <w:rPr>
          <w:rFonts w:ascii="Times New Roman" w:hAnsi="Times New Roman" w:cs="Times New Roman" w:eastAsia="Times New Roman" w:hint="default"/>
          <w:spacing w:val="-5"/>
        </w:rPr>
        <w:t>“000158”</w:t>
      </w:r>
      <w:r>
        <w:rPr>
          <w:spacing w:val="-5"/>
        </w:rPr>
        <w:t>。</w:t>
      </w:r>
    </w:p>
    <w:p>
      <w:pPr>
        <w:spacing w:line="240" w:lineRule="auto" w:before="7"/>
        <w:rPr>
          <w:rFonts w:ascii="宋体" w:hAnsi="宋体" w:cs="宋体" w:eastAsia="宋体" w:hint="default"/>
          <w:sz w:val="17"/>
          <w:szCs w:val="17"/>
        </w:rPr>
      </w:pPr>
    </w:p>
    <w:p>
      <w:pPr>
        <w:pStyle w:val="BodyText"/>
        <w:spacing w:line="300" w:lineRule="auto"/>
        <w:ind w:right="188" w:firstLine="434"/>
        <w:jc w:val="right"/>
      </w:pPr>
      <w:r>
        <w:rPr/>
        <w:t>根据公司股东大会决议通过的配股方案，并经中国证监会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[2003]91</w:t>
      </w:r>
      <w:r>
        <w:rPr/>
        <w:t>号</w:t>
      </w:r>
      <w:r>
        <w:rPr>
          <w:rFonts w:ascii="Times New Roman" w:hAnsi="Times New Roman" w:cs="Times New Roman" w:eastAsia="Times New Roman" w:hint="default"/>
        </w:rPr>
        <w:t>”</w:t>
      </w:r>
      <w:r>
        <w:rPr/>
        <w:t>文核准，本公司于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月向社会 公众股股东配售普通股</w:t>
      </w:r>
      <w:r>
        <w:rPr>
          <w:rFonts w:ascii="Times New Roman" w:hAnsi="Times New Roman" w:cs="Times New Roman" w:eastAsia="Times New Roman" w:hint="default"/>
        </w:rPr>
        <w:t>30,000,000</w:t>
      </w:r>
      <w:r>
        <w:rPr/>
        <w:t>股，每股发行价格为</w:t>
      </w:r>
      <w:r>
        <w:rPr>
          <w:rFonts w:ascii="Times New Roman" w:hAnsi="Times New Roman" w:cs="Times New Roman" w:eastAsia="Times New Roman" w:hint="default"/>
        </w:rPr>
        <w:t>5.07</w:t>
      </w:r>
      <w:r>
        <w:rPr/>
        <w:t>元人民币</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募集资金净额为</w:t>
      </w:r>
      <w:r>
        <w:rPr>
          <w:rFonts w:ascii="Times New Roman" w:hAnsi="Times New Roman" w:cs="Times New Roman" w:eastAsia="Times New Roman" w:hint="default"/>
        </w:rPr>
        <w:t>140,968,464.08</w:t>
      </w:r>
      <w:r>
        <w:rPr/>
        <w:t>元。此次配售社会公众 股后，公司股本总额为</w:t>
      </w:r>
      <w:r>
        <w:rPr>
          <w:rFonts w:ascii="Times New Roman" w:hAnsi="Times New Roman" w:cs="Times New Roman" w:eastAsia="Times New Roman" w:hint="default"/>
        </w:rPr>
        <w:t>43,000</w:t>
      </w:r>
      <w:r>
        <w:rPr/>
        <w:t>万元人民币，已经河北华安会计师事务所有限公司</w:t>
      </w:r>
      <w:r>
        <w:rPr>
          <w:rFonts w:ascii="Times New Roman" w:hAnsi="Times New Roman" w:cs="Times New Roman" w:eastAsia="Times New Roman" w:hint="default"/>
        </w:rPr>
        <w:t>“</w:t>
      </w:r>
      <w:r>
        <w:rPr/>
        <w:t>冀华会验字</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rFonts w:ascii="Times New Roman" w:hAnsi="Times New Roman" w:cs="Times New Roman" w:eastAsia="Times New Roman" w:hint="default"/>
        </w:rPr>
        <w:t>3004</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300" w:lineRule="auto"/>
        <w:ind w:left="153" w:right="190" w:firstLine="434"/>
        <w:jc w:val="both"/>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日召开的股权分置改革相关股东会议表决通过了公司对价方案即以股权登记日（</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日）登记在</w:t>
      </w:r>
      <w:r>
        <w:rPr/>
        <w:t> 册的全体流通股股东每持有</w:t>
      </w:r>
      <w:r>
        <w:rPr>
          <w:rFonts w:ascii="Times New Roman" w:hAnsi="Times New Roman" w:cs="Times New Roman" w:eastAsia="Times New Roman" w:hint="default"/>
        </w:rPr>
        <w:t>10</w:t>
      </w:r>
      <w:r>
        <w:rPr/>
        <w:t>股流通股获得非流通股股东支付</w:t>
      </w:r>
      <w:r>
        <w:rPr>
          <w:rFonts w:ascii="Times New Roman" w:hAnsi="Times New Roman" w:cs="Times New Roman" w:eastAsia="Times New Roman" w:hint="default"/>
        </w:rPr>
        <w:t>3.5</w:t>
      </w:r>
      <w:r>
        <w:rPr/>
        <w:t>股对价股股份，该方案于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日正式实施完毕。</w:t>
      </w:r>
    </w:p>
    <w:p>
      <w:pPr>
        <w:spacing w:line="240" w:lineRule="auto" w:before="7"/>
        <w:rPr>
          <w:rFonts w:ascii="宋体" w:hAnsi="宋体" w:cs="宋体" w:eastAsia="宋体" w:hint="default"/>
          <w:sz w:val="17"/>
          <w:szCs w:val="17"/>
        </w:rPr>
      </w:pPr>
    </w:p>
    <w:p>
      <w:pPr>
        <w:pStyle w:val="BodyText"/>
        <w:spacing w:line="300" w:lineRule="auto"/>
        <w:ind w:left="153" w:right="108" w:firstLine="434"/>
        <w:jc w:val="both"/>
      </w:pPr>
      <w:r>
        <w:rPr>
          <w:spacing w:val="-2"/>
        </w:rPr>
        <w:t>公司根据</w:t>
      </w:r>
      <w:r>
        <w:rPr>
          <w:rFonts w:ascii="Times New Roman" w:hAnsi="Times New Roman" w:cs="Times New Roman" w:eastAsia="Times New Roman" w:hint="default"/>
          <w:spacing w:val="-2"/>
        </w:rPr>
        <w:t>2007</w:t>
      </w:r>
      <w:r>
        <w:rPr>
          <w:spacing w:val="-2"/>
        </w:rPr>
        <w:t>年第一次临时股东大会决议和修改后章程的规定，申请新增注册资本人民币</w:t>
      </w:r>
      <w:r>
        <w:rPr>
          <w:rFonts w:ascii="Times New Roman" w:hAnsi="Times New Roman" w:cs="Times New Roman" w:eastAsia="Times New Roman" w:hint="default"/>
          <w:spacing w:val="-2"/>
        </w:rPr>
        <w:t>72,700,000</w:t>
      </w:r>
      <w:r>
        <w:rPr>
          <w:spacing w:val="-2"/>
        </w:rPr>
        <w:t>元。经中国证券监</w:t>
      </w:r>
      <w:r>
        <w:rPr/>
        <w:t> 督管理委员会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384</w:t>
      </w:r>
      <w:r>
        <w:rPr/>
        <w:t>号</w:t>
      </w:r>
      <w:r>
        <w:rPr>
          <w:rFonts w:ascii="Times New Roman" w:hAnsi="Times New Roman" w:cs="Times New Roman" w:eastAsia="Times New Roman" w:hint="default"/>
        </w:rPr>
        <w:t>”</w:t>
      </w:r>
      <w:r>
        <w:rPr/>
        <w:t>文核准，公司向江苏开元国际集团轻工业品进出口股份有限公司、中原证券股份</w:t>
      </w:r>
      <w:r>
        <w:rPr>
          <w:spacing w:val="-68"/>
        </w:rPr>
        <w:t> </w:t>
      </w:r>
      <w:r>
        <w:rPr>
          <w:spacing w:val="-68"/>
        </w:rPr>
      </w:r>
      <w:r>
        <w:rPr/>
        <w:t>有限公司、长江证券有限责任公司、尹太阳、上海合邦投资有限公司、上海景贤投资有限公司、珠海市华粤投资有限公司、</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91"/>
        <w:jc w:val="left"/>
      </w:pPr>
      <w:r>
        <w:rPr/>
        <w:t>邱梅芳、东吴证券有限责任公司和安徽安粮国际发展股份有限公司非公开发行人民币普通股（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72,700,000</w:t>
      </w:r>
      <w:r>
        <w:rPr/>
        <w:t>股，每股面</w:t>
      </w:r>
      <w:r>
        <w:rPr>
          <w:spacing w:val="-44"/>
        </w:rPr>
        <w:t> </w:t>
      </w:r>
      <w:r>
        <w:rPr>
          <w:spacing w:val="-44"/>
        </w:rPr>
      </w:r>
      <w:r>
        <w:rPr/>
        <w:t>值</w:t>
      </w:r>
      <w:r>
        <w:rPr>
          <w:rFonts w:ascii="Times New Roman" w:hAnsi="Times New Roman" w:cs="Times New Roman" w:eastAsia="Times New Roman" w:hint="default"/>
        </w:rPr>
        <w:t>1.00</w:t>
      </w:r>
      <w:r>
        <w:rPr/>
        <w:t>元，每股定向增发价</w:t>
      </w:r>
      <w:r>
        <w:rPr>
          <w:rFonts w:ascii="Times New Roman" w:hAnsi="Times New Roman" w:cs="Times New Roman" w:eastAsia="Times New Roman" w:hint="default"/>
        </w:rPr>
        <w:t>8.35</w:t>
      </w:r>
      <w:r>
        <w:rPr/>
        <w:t>元，变更后的注册资本为人民币</w:t>
      </w:r>
      <w:r>
        <w:rPr>
          <w:rFonts w:ascii="Times New Roman" w:hAnsi="Times New Roman" w:cs="Times New Roman" w:eastAsia="Times New Roman" w:hint="default"/>
        </w:rPr>
        <w:t>502,700,000</w:t>
      </w:r>
      <w:r>
        <w:rPr/>
        <w:t>元。</w:t>
      </w:r>
    </w:p>
    <w:p>
      <w:pPr>
        <w:spacing w:line="240" w:lineRule="auto" w:before="7"/>
        <w:rPr>
          <w:rFonts w:ascii="宋体" w:hAnsi="宋体" w:cs="宋体" w:eastAsia="宋体" w:hint="default"/>
          <w:sz w:val="17"/>
          <w:szCs w:val="17"/>
        </w:rPr>
      </w:pPr>
    </w:p>
    <w:p>
      <w:pPr>
        <w:pStyle w:val="BodyText"/>
        <w:spacing w:line="300" w:lineRule="auto"/>
        <w:ind w:left="153" w:right="190" w:firstLine="434"/>
        <w:jc w:val="both"/>
      </w:pPr>
      <w:r>
        <w:rPr/>
        <w:t>公司根据</w:t>
      </w:r>
      <w:r>
        <w:rPr>
          <w:rFonts w:ascii="Times New Roman" w:hAnsi="Times New Roman" w:cs="Times New Roman" w:eastAsia="Times New Roman" w:hint="default"/>
        </w:rPr>
        <w:t>2007</w:t>
      </w:r>
      <w:r>
        <w:rPr/>
        <w:t>年度股东大会决议和修改后章程的规定，申请新增的注册资本为人民币</w:t>
      </w:r>
      <w:r>
        <w:rPr>
          <w:rFonts w:ascii="Times New Roman" w:hAnsi="Times New Roman" w:cs="Times New Roman" w:eastAsia="Times New Roman" w:hint="default"/>
        </w:rPr>
        <w:t>216,161,000</w:t>
      </w:r>
      <w:r>
        <w:rPr/>
        <w:t>元，公司以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1</w:t>
      </w:r>
      <w:r>
        <w:rPr/>
        <w:t>日非公开发行后的总股本</w:t>
      </w:r>
      <w:r>
        <w:rPr>
          <w:rFonts w:ascii="Times New Roman" w:hAnsi="Times New Roman" w:cs="Times New Roman" w:eastAsia="Times New Roman" w:hint="default"/>
        </w:rPr>
        <w:t>50,270</w:t>
      </w:r>
      <w:r>
        <w:rPr/>
        <w:t>万股计算，按每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4.3</w:t>
      </w:r>
      <w:r>
        <w:rPr/>
        <w:t>股的比例，以资本公积向全体股东转增股份总额</w:t>
      </w:r>
      <w:r>
        <w:rPr>
          <w:rFonts w:ascii="Times New Roman" w:hAnsi="Times New Roman" w:cs="Times New Roman" w:eastAsia="Times New Roman" w:hint="default"/>
        </w:rPr>
        <w:t>216,161,000</w:t>
      </w:r>
      <w:r>
        <w:rPr>
          <w:rFonts w:ascii="Times New Roman" w:hAnsi="Times New Roman" w:cs="Times New Roman" w:eastAsia="Times New Roman" w:hint="default"/>
          <w:spacing w:val="-40"/>
        </w:rPr>
        <w:t> </w:t>
      </w:r>
      <w:r>
        <w:rPr/>
        <w:t>股，每股面值</w:t>
      </w:r>
      <w:r>
        <w:rPr>
          <w:rFonts w:ascii="Times New Roman" w:hAnsi="Times New Roman" w:cs="Times New Roman" w:eastAsia="Times New Roman" w:hint="default"/>
        </w:rPr>
        <w:t>1</w:t>
      </w:r>
      <w:r>
        <w:rPr/>
        <w:t>元，共计增加股本</w:t>
      </w:r>
      <w:r>
        <w:rPr>
          <w:rFonts w:ascii="Times New Roman" w:hAnsi="Times New Roman" w:cs="Times New Roman" w:eastAsia="Times New Roman" w:hint="default"/>
        </w:rPr>
        <w:t>216,161,000</w:t>
      </w:r>
      <w:r>
        <w:rPr/>
        <w:t>元。变更后注册资本为人民币</w:t>
      </w:r>
      <w:r>
        <w:rPr>
          <w:rFonts w:ascii="Times New Roman" w:hAnsi="Times New Roman" w:cs="Times New Roman" w:eastAsia="Times New Roman" w:hint="default"/>
        </w:rPr>
        <w:t>718,861,000</w:t>
      </w:r>
      <w:r>
        <w:rPr/>
        <w:t>元。</w:t>
      </w:r>
    </w:p>
    <w:p>
      <w:pPr>
        <w:spacing w:line="240" w:lineRule="auto" w:before="7"/>
        <w:rPr>
          <w:rFonts w:ascii="宋体" w:hAnsi="宋体" w:cs="宋体" w:eastAsia="宋体" w:hint="default"/>
          <w:sz w:val="17"/>
          <w:szCs w:val="17"/>
        </w:rPr>
      </w:pPr>
    </w:p>
    <w:p>
      <w:pPr>
        <w:pStyle w:val="BodyText"/>
        <w:spacing w:line="518" w:lineRule="auto"/>
        <w:ind w:left="588" w:right="1081"/>
        <w:jc w:val="left"/>
      </w:pPr>
      <w:r>
        <w:rPr/>
        <w:t>本公司控股股东为石家庄常山纺织集团有限责任公司，目前持有本公司</w:t>
      </w:r>
      <w:r>
        <w:rPr>
          <w:rFonts w:ascii="Times New Roman" w:hAnsi="Times New Roman" w:cs="Times New Roman" w:eastAsia="Times New Roman" w:hint="default"/>
        </w:rPr>
        <w:t>345,514,011</w:t>
      </w:r>
      <w:r>
        <w:rPr/>
        <w:t>股，持股比例</w:t>
      </w:r>
      <w:r>
        <w:rPr>
          <w:rFonts w:ascii="Times New Roman" w:hAnsi="Times New Roman" w:cs="Times New Roman" w:eastAsia="Times New Roman" w:hint="default"/>
        </w:rPr>
        <w:t>48.06%</w:t>
      </w:r>
      <w:r>
        <w:rPr/>
        <w:t>。 本公司最终控制方为石家庄市国有资产监督管理委员会。 公司在石家庄市工商行政管理局领取注册号</w:t>
      </w:r>
      <w:r>
        <w:rPr>
          <w:rFonts w:ascii="Times New Roman" w:hAnsi="Times New Roman" w:cs="Times New Roman" w:eastAsia="Times New Roman" w:hint="default"/>
        </w:rPr>
        <w:t>130100000545465</w:t>
      </w:r>
      <w:r>
        <w:rPr/>
        <w:t>的企业法人营业执照。 公司注册地：石家庄市长安区和平东路</w:t>
      </w:r>
      <w:r>
        <w:rPr>
          <w:rFonts w:ascii="Times New Roman" w:hAnsi="Times New Roman" w:cs="Times New Roman" w:eastAsia="Times New Roman" w:hint="default"/>
        </w:rPr>
        <w:t>183</w:t>
      </w:r>
      <w:r>
        <w:rPr/>
        <w:t>号。</w:t>
      </w:r>
    </w:p>
    <w:p>
      <w:pPr>
        <w:pStyle w:val="BodyText"/>
        <w:spacing w:line="528" w:lineRule="auto" w:before="47"/>
        <w:ind w:left="516" w:right="4591"/>
        <w:jc w:val="left"/>
      </w:pPr>
      <w:r>
        <w:rPr/>
        <w:t>公司总部地址：石家庄市长安区和平东路</w:t>
      </w:r>
      <w:r>
        <w:rPr>
          <w:rFonts w:ascii="Times New Roman" w:hAnsi="Times New Roman" w:cs="Times New Roman" w:eastAsia="Times New Roman" w:hint="default"/>
        </w:rPr>
        <w:t>183</w:t>
      </w:r>
      <w:r>
        <w:rPr/>
        <w:t>号。 法定代表人：汤彰明。 注册资本：（人民币）柒亿壹仟捌佰捌拾陆万圆整。 公司业务性质：纺织品生产及销售。</w:t>
      </w:r>
    </w:p>
    <w:p>
      <w:pPr>
        <w:pStyle w:val="BodyText"/>
        <w:spacing w:line="314" w:lineRule="auto" w:before="76"/>
        <w:ind w:left="153" w:right="91" w:firstLine="362"/>
        <w:jc w:val="left"/>
      </w:pPr>
      <w:r>
        <w:rPr>
          <w:spacing w:val="-4"/>
        </w:rPr>
        <w:t>公司经营范围：天然纤维和人造纤维的纺织产品、针织品、服装加工；家用服饰、纺织品、产业用纺织品的设计、开发、</w:t>
      </w:r>
      <w:r>
        <w:rPr/>
        <w:t> </w:t>
      </w:r>
      <w:r>
        <w:rPr>
          <w:spacing w:val="-2"/>
        </w:rPr>
        <w:t>制造（限分支机构经营）、销售；本企业和本企业成员企业自产产品及相关技术的出口业务（国家限定公司经营或禁止出口</w:t>
      </w:r>
      <w:r>
        <w:rPr>
          <w:spacing w:val="-66"/>
        </w:rPr>
        <w:t> </w:t>
      </w:r>
      <w:r>
        <w:rPr>
          <w:spacing w:val="-66"/>
        </w:rPr>
      </w:r>
      <w:r>
        <w:rPr/>
        <w:t>的商品除外）；经营本企业和本企业成员企业生产、科研所需的原辅材料、机械设备、仪器仪表</w:t>
      </w:r>
      <w:r>
        <w:rPr>
          <w:spacing w:val="-9"/>
        </w:rPr>
        <w:t> </w:t>
      </w:r>
      <w:r>
        <w:rPr/>
        <w:t>、零配件及相关技术的进</w:t>
      </w:r>
      <w:r>
        <w:rPr>
          <w:spacing w:val="-80"/>
        </w:rPr>
        <w:t> </w:t>
      </w:r>
      <w:r>
        <w:rPr>
          <w:spacing w:val="-80"/>
        </w:rPr>
      </w:r>
      <w:r>
        <w:rPr/>
        <w:t>口业务（国家限定公司经营或禁止进口的商品除外）；经营本企业的进料加工和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业务；棉花的批发、零售；房屋 租赁。</w:t>
      </w:r>
    </w:p>
    <w:p>
      <w:pPr>
        <w:pStyle w:val="BodyText"/>
        <w:spacing w:line="528" w:lineRule="exact" w:before="24"/>
        <w:ind w:left="516" w:right="91" w:firstLine="34"/>
        <w:jc w:val="left"/>
      </w:pPr>
      <w:r>
        <w:rPr/>
        <w:t>本财务报表及财务报表附注业经本公司第五届董事会二十一次会议于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日批准。 本公司</w:t>
      </w:r>
      <w:r>
        <w:rPr>
          <w:rFonts w:ascii="Times New Roman" w:hAnsi="Times New Roman" w:cs="Times New Roman" w:eastAsia="Times New Roman" w:hint="default"/>
        </w:rPr>
        <w:t>2014</w:t>
      </w:r>
      <w:r>
        <w:rPr/>
        <w:t>年度纳入合并范围的子公司共</w:t>
      </w:r>
      <w:r>
        <w:rPr>
          <w:rFonts w:ascii="Times New Roman" w:hAnsi="Times New Roman" w:cs="Times New Roman" w:eastAsia="Times New Roman" w:hint="default"/>
        </w:rPr>
        <w:t>8</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。本公司本年度合并范围与上年</w:t>
      </w:r>
    </w:p>
    <w:p>
      <w:pPr>
        <w:pStyle w:val="BodyText"/>
        <w:spacing w:line="232" w:lineRule="exact"/>
        <w:ind w:left="153" w:right="0"/>
        <w:jc w:val="both"/>
      </w:pPr>
      <w:r>
        <w:rPr/>
        <w:t>度相比未发生变化。</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1"/>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88"/>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2"/>
        </w:rPr>
        <w:t> </w:t>
      </w:r>
      <w:r>
        <w:rPr>
          <w:spacing w:val="-42"/>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spacing w:line="240" w:lineRule="auto" w:before="7"/>
        <w:rPr>
          <w:rFonts w:ascii="宋体" w:hAnsi="宋体" w:cs="宋体" w:eastAsia="宋体" w:hint="default"/>
          <w:sz w:val="17"/>
          <w:szCs w:val="17"/>
        </w:rPr>
      </w:pPr>
    </w:p>
    <w:p>
      <w:pPr>
        <w:pStyle w:val="BodyText"/>
        <w:spacing w:line="316" w:lineRule="auto"/>
        <w:ind w:right="91" w:firstLine="360"/>
        <w:jc w:val="left"/>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18"/>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418"/>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4951"/>
        <w:jc w:val="left"/>
      </w:pPr>
      <w:r>
        <w:rPr/>
        <w:t>具体会计政策和会计估计提示： 本公司会计政策和会计估计均按照会计准则的要求执行。</w:t>
      </w:r>
    </w:p>
    <w:p>
      <w:pPr>
        <w:spacing w:line="240" w:lineRule="auto" w:before="2"/>
        <w:rPr>
          <w:rFonts w:ascii="宋体" w:hAnsi="宋体" w:cs="宋体" w:eastAsia="宋体" w:hint="default"/>
          <w:sz w:val="20"/>
          <w:szCs w:val="20"/>
        </w:rPr>
      </w:pPr>
    </w:p>
    <w:p>
      <w:pPr>
        <w:pStyle w:val="Heading3"/>
        <w:spacing w:line="240" w:lineRule="auto"/>
        <w:ind w:right="418"/>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91" w:firstLine="360"/>
        <w:jc w:val="left"/>
      </w:pPr>
      <w:r>
        <w:rPr>
          <w:spacing w:val="-2"/>
        </w:rPr>
        <w:t>本财务报表符合企业会计准则的要求，真实、完整地反映了本公司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2014</w:t>
      </w:r>
      <w:r>
        <w:rPr>
          <w:spacing w:val="-2"/>
        </w:rPr>
        <w:t>年度的经营成果</w:t>
      </w:r>
      <w:r>
        <w:rPr/>
        <w:t> 和现金流量。</w:t>
      </w:r>
    </w:p>
    <w:p>
      <w:pPr>
        <w:spacing w:line="240" w:lineRule="auto" w:before="6"/>
        <w:rPr>
          <w:rFonts w:ascii="宋体" w:hAnsi="宋体" w:cs="宋体" w:eastAsia="宋体" w:hint="default"/>
          <w:sz w:val="23"/>
          <w:szCs w:val="23"/>
        </w:rPr>
      </w:pPr>
    </w:p>
    <w:p>
      <w:pPr>
        <w:pStyle w:val="Heading3"/>
        <w:spacing w:line="240" w:lineRule="auto"/>
        <w:ind w:right="418"/>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0" w:firstLine="360"/>
        <w:jc w:val="left"/>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3"/>
        <w:spacing w:line="240" w:lineRule="auto"/>
        <w:ind w:right="418"/>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91" w:firstLine="36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r>
        <w:rPr>
          <w:spacing w:val="2"/>
        </w:rPr>
        <w:t> </w:t>
      </w:r>
      <w:r>
        <w:rPr/>
        <w:t>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418"/>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418"/>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418"/>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528" w:lineRule="exact" w:before="22"/>
        <w:ind w:left="513" w:right="91"/>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ind w:left="153" w:right="91"/>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spacing w:line="240" w:lineRule="auto" w:before="12"/>
        <w:rPr>
          <w:rFonts w:ascii="宋体" w:hAnsi="宋体" w:cs="宋体" w:eastAsia="宋体" w:hint="default"/>
          <w:sz w:val="17"/>
          <w:szCs w:val="17"/>
        </w:rPr>
      </w:pPr>
    </w:p>
    <w:p>
      <w:pPr>
        <w:pStyle w:val="BodyText"/>
        <w:spacing w:line="316" w:lineRule="auto"/>
        <w:ind w:left="153" w:right="91" w:firstLine="360"/>
        <w:jc w:val="left"/>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spacing w:line="240" w:lineRule="auto" w:before="12"/>
        <w:rPr>
          <w:rFonts w:ascii="宋体" w:hAnsi="宋体" w:cs="宋体" w:eastAsia="宋体" w:hint="default"/>
          <w:sz w:val="17"/>
          <w:szCs w:val="17"/>
        </w:rPr>
      </w:pPr>
    </w:p>
    <w:p>
      <w:pPr>
        <w:pStyle w:val="BodyText"/>
        <w:spacing w:line="240" w:lineRule="auto"/>
        <w:ind w:left="514" w:right="418"/>
        <w:jc w:val="left"/>
      </w:pPr>
      <w:r>
        <w:rPr/>
        <w:t>合并方为进行企业合并发生的各项直接费用，于发生时计入当期损益。</w:t>
      </w:r>
    </w:p>
    <w:p>
      <w:pPr>
        <w:pStyle w:val="BodyText"/>
        <w:spacing w:line="510" w:lineRule="atLeast" w:before="31"/>
        <w:ind w:left="514" w:right="91"/>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76"/>
        <w:ind w:right="91"/>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spacing w:line="240" w:lineRule="auto" w:before="12"/>
        <w:rPr>
          <w:rFonts w:ascii="宋体" w:hAnsi="宋体" w:cs="宋体" w:eastAsia="宋体" w:hint="default"/>
          <w:sz w:val="17"/>
          <w:szCs w:val="17"/>
        </w:rPr>
      </w:pPr>
    </w:p>
    <w:p>
      <w:pPr>
        <w:pStyle w:val="BodyText"/>
        <w:spacing w:line="240" w:lineRule="auto"/>
        <w:ind w:left="514" w:right="0"/>
        <w:jc w:val="left"/>
      </w:pPr>
      <w:r>
        <w:rPr/>
        <w:t>对于非同一控制下的企业合并，合并成本包含购买日购买方为取得对被购买方的控制权而付出的资产、发生或承担的负</w:t>
      </w:r>
    </w:p>
    <w:p>
      <w:pPr>
        <w:spacing w:after="0" w:line="240" w:lineRule="auto"/>
        <w:jc w:val="left"/>
        <w:sectPr>
          <w:footerReference w:type="default" r:id="rId19"/>
          <w:pgSz w:w="11910" w:h="16840"/>
          <w:pgMar w:footer="982" w:header="747" w:top="1060" w:bottom="1180" w:left="980" w:right="940"/>
          <w:pgNumType w:start="70"/>
        </w:sectPr>
      </w:pPr>
    </w:p>
    <w:p>
      <w:pPr>
        <w:spacing w:line="240" w:lineRule="auto" w:before="12"/>
        <w:rPr>
          <w:rFonts w:ascii="宋体" w:hAnsi="宋体" w:cs="宋体" w:eastAsia="宋体" w:hint="default"/>
          <w:sz w:val="25"/>
          <w:szCs w:val="25"/>
        </w:rPr>
      </w:pPr>
    </w:p>
    <w:p>
      <w:pPr>
        <w:pStyle w:val="BodyText"/>
        <w:spacing w:line="314" w:lineRule="auto" w:before="44"/>
        <w:ind w:left="153" w:right="190"/>
        <w:jc w:val="both"/>
      </w:pP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spacing w:line="240" w:lineRule="auto" w:before="1"/>
        <w:rPr>
          <w:rFonts w:ascii="宋体" w:hAnsi="宋体" w:cs="宋体" w:eastAsia="宋体" w:hint="default"/>
          <w:sz w:val="18"/>
          <w:szCs w:val="18"/>
        </w:rPr>
      </w:pPr>
    </w:p>
    <w:p>
      <w:pPr>
        <w:pStyle w:val="BodyText"/>
        <w:spacing w:line="312" w:lineRule="auto"/>
        <w:ind w:left="153" w:right="187"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t>利益能够实现的，则确认相关的递延所得税资产，同时减少商誉，商誉不足冲减的，差额部分确认为 当期损益；除上述情</w:t>
      </w:r>
      <w:r>
        <w:rPr>
          <w:spacing w:val="-89"/>
        </w:rPr>
        <w:t> </w:t>
      </w:r>
      <w:r>
        <w:rPr>
          <w:spacing w:val="-89"/>
        </w:rPr>
      </w:r>
      <w:r>
        <w:rPr/>
        <w:t>况以外，确认与企业合并相关的递延所得税资产的，计入当期损益。</w:t>
      </w:r>
    </w:p>
    <w:p>
      <w:pPr>
        <w:spacing w:line="240" w:lineRule="auto" w:before="3"/>
        <w:rPr>
          <w:rFonts w:ascii="宋体" w:hAnsi="宋体" w:cs="宋体" w:eastAsia="宋体" w:hint="default"/>
          <w:sz w:val="18"/>
          <w:szCs w:val="18"/>
        </w:rPr>
      </w:pPr>
    </w:p>
    <w:p>
      <w:pPr>
        <w:pStyle w:val="BodyText"/>
        <w:spacing w:line="300" w:lineRule="auto"/>
        <w:ind w:right="10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60"/>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的，区分个别财务报表和合并财务报表进行相关会计处理：</w:t>
      </w:r>
    </w:p>
    <w:p>
      <w:pPr>
        <w:spacing w:line="240" w:lineRule="auto" w:before="7"/>
        <w:rPr>
          <w:rFonts w:ascii="宋体" w:hAnsi="宋体" w:cs="宋体" w:eastAsia="宋体" w:hint="default"/>
          <w:sz w:val="17"/>
          <w:szCs w:val="17"/>
        </w:rPr>
      </w:pPr>
    </w:p>
    <w:p>
      <w:pPr>
        <w:pStyle w:val="BodyText"/>
        <w:spacing w:line="316" w:lineRule="auto"/>
        <w:ind w:right="189"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spacing w:line="240" w:lineRule="auto" w:before="12"/>
        <w:rPr>
          <w:rFonts w:ascii="宋体" w:hAnsi="宋体" w:cs="宋体" w:eastAsia="宋体" w:hint="default"/>
          <w:sz w:val="17"/>
          <w:szCs w:val="17"/>
        </w:rPr>
      </w:pPr>
    </w:p>
    <w:p>
      <w:pPr>
        <w:pStyle w:val="BodyText"/>
        <w:spacing w:line="316" w:lineRule="auto"/>
        <w:ind w:right="189"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418"/>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510" w:lineRule="atLeast" w:before="86"/>
        <w:ind w:left="513" w:right="91"/>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76"/>
        <w:ind w:left="153" w:right="91"/>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spacing w:line="240" w:lineRule="auto" w:before="12"/>
        <w:rPr>
          <w:rFonts w:ascii="宋体" w:hAnsi="宋体" w:cs="宋体" w:eastAsia="宋体" w:hint="default"/>
          <w:sz w:val="17"/>
          <w:szCs w:val="17"/>
        </w:rPr>
      </w:pPr>
    </w:p>
    <w:p>
      <w:pPr>
        <w:pStyle w:val="BodyText"/>
        <w:spacing w:line="240" w:lineRule="auto"/>
        <w:ind w:left="587" w:right="418"/>
        <w:jc w:val="left"/>
      </w:pPr>
      <w:r>
        <w:rPr/>
        <w:t>一旦相关事实和情况的变化导致上述控制定义涉及的相关要素发生了变化，本公司将进行重新评估。</w:t>
      </w:r>
    </w:p>
    <w:p>
      <w:pPr>
        <w:pStyle w:val="BodyText"/>
        <w:spacing w:line="510" w:lineRule="atLeast" w:before="31"/>
        <w:ind w:left="513" w:right="91"/>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76"/>
        <w:ind w:right="91"/>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528" w:lineRule="exact" w:before="22"/>
        <w:ind w:left="513" w:right="91"/>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ind w:left="153" w:right="18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9"/>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spacing w:line="240" w:lineRule="auto" w:before="12"/>
        <w:rPr>
          <w:rFonts w:ascii="宋体" w:hAnsi="宋体" w:cs="宋体" w:eastAsia="宋体" w:hint="default"/>
          <w:sz w:val="18"/>
          <w:szCs w:val="18"/>
        </w:rPr>
      </w:pPr>
    </w:p>
    <w:p>
      <w:pPr>
        <w:pStyle w:val="BodyText"/>
        <w:spacing w:line="312" w:lineRule="auto"/>
        <w:ind w:left="153" w:right="188"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13“</w:t>
      </w:r>
      <w:r>
        <w:rPr/>
        <w:t>长期股</w:t>
      </w:r>
      <w:r>
        <w:rPr>
          <w:spacing w:val="-77"/>
        </w:rPr>
        <w:t> </w:t>
      </w:r>
      <w:r>
        <w:rPr>
          <w:spacing w:val="-77"/>
        </w:rPr>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6"/>
          <w:szCs w:val="16"/>
        </w:rPr>
      </w:pPr>
    </w:p>
    <w:p>
      <w:pPr>
        <w:pStyle w:val="BodyText"/>
        <w:spacing w:line="312" w:lineRule="auto"/>
        <w:ind w:right="90"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8"/>
        </w:rPr>
        <w:t> </w:t>
      </w:r>
      <w:r>
        <w:rPr>
          <w:spacing w:val="-78"/>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70"/>
        </w:rPr>
        <w:t> </w:t>
      </w:r>
      <w:r>
        <w:rPr>
          <w:spacing w:val="-70"/>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510" w:lineRule="atLeast" w:before="86"/>
        <w:ind w:left="513" w:right="91"/>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76"/>
        <w:ind w:left="153" w:right="190"/>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528" w:lineRule="exact" w:before="22"/>
        <w:ind w:left="513" w:right="91"/>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232" w:lineRule="exact"/>
        <w:ind w:left="153" w:right="0"/>
        <w:jc w:val="both"/>
      </w:pPr>
      <w:r>
        <w:rPr/>
        <w:t>本化条件的资产相关的外币专门借款产生的汇兑差额按照借款费用资本化的原则处理</w:t>
      </w:r>
      <w:r>
        <w:rPr>
          <w:spacing w:val="-82"/>
        </w:rPr>
        <w:t>；</w:t>
      </w:r>
      <w:r>
        <w:rPr/>
        <w:t>②可供出售的外币货币性项目除摊余</w:t>
      </w:r>
    </w:p>
    <w:p>
      <w:pPr>
        <w:spacing w:after="0" w:line="232" w:lineRule="exact"/>
        <w:jc w:val="both"/>
        <w:sectPr>
          <w:footerReference w:type="default" r:id="rId20"/>
          <w:pgSz w:w="11910" w:h="16840"/>
          <w:pgMar w:footer="982" w:header="747" w:top="1060" w:bottom="1180" w:left="980" w:right="940"/>
          <w:pgNumType w:start="72"/>
        </w:sectPr>
      </w:pPr>
    </w:p>
    <w:p>
      <w:pPr>
        <w:spacing w:line="240" w:lineRule="auto" w:before="12"/>
        <w:rPr>
          <w:rFonts w:ascii="宋体" w:hAnsi="宋体" w:cs="宋体" w:eastAsia="宋体" w:hint="default"/>
          <w:sz w:val="25"/>
          <w:szCs w:val="25"/>
        </w:rPr>
      </w:pPr>
    </w:p>
    <w:p>
      <w:pPr>
        <w:pStyle w:val="BodyText"/>
        <w:spacing w:line="240" w:lineRule="auto" w:before="44"/>
        <w:ind w:left="153" w:right="418"/>
        <w:jc w:val="left"/>
      </w:pPr>
      <w:r>
        <w:rPr/>
        <w:t>成本之外的其他账面余额变动产生的汇兑差额计入其他综合收益之外，均计入当期损益。</w:t>
      </w:r>
    </w:p>
    <w:p>
      <w:pPr>
        <w:spacing w:line="240" w:lineRule="auto" w:before="5"/>
        <w:rPr>
          <w:rFonts w:ascii="宋体" w:hAnsi="宋体" w:cs="宋体" w:eastAsia="宋体" w:hint="default"/>
          <w:sz w:val="22"/>
          <w:szCs w:val="22"/>
        </w:rPr>
      </w:pPr>
    </w:p>
    <w:p>
      <w:pPr>
        <w:pStyle w:val="BodyText"/>
        <w:spacing w:line="316" w:lineRule="auto"/>
        <w:ind w:left="153" w:right="1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528" w:lineRule="exact" w:before="22"/>
        <w:ind w:left="513" w:right="91"/>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245" w:lineRule="exact"/>
        <w:ind w:left="153" w:right="418"/>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w:t>
      </w:r>
    </w:p>
    <w:p>
      <w:pPr>
        <w:spacing w:line="240" w:lineRule="auto" w:before="4"/>
        <w:rPr>
          <w:rFonts w:ascii="宋体" w:hAnsi="宋体" w:cs="宋体" w:eastAsia="宋体" w:hint="default"/>
          <w:sz w:val="21"/>
          <w:szCs w:val="21"/>
        </w:rPr>
      </w:pPr>
    </w:p>
    <w:p>
      <w:pPr>
        <w:pStyle w:val="BodyText"/>
        <w:spacing w:line="314" w:lineRule="auto"/>
        <w:ind w:right="189" w:firstLine="360"/>
        <w:jc w:val="both"/>
      </w:pPr>
      <w:r>
        <w:rPr>
          <w:spacing w:val="-2"/>
        </w:rPr>
        <w:t>境外经营的外币财务报表按以下方法折算为人民币报表：资产负债表中的资产和负债项目，采用资产负债表日的即期汇</w:t>
      </w:r>
      <w:r>
        <w:rPr/>
        <w:t> </w:t>
      </w: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spacing w:line="240" w:lineRule="auto" w:before="1"/>
        <w:rPr>
          <w:rFonts w:ascii="宋体" w:hAnsi="宋体" w:cs="宋体" w:eastAsia="宋体" w:hint="default"/>
          <w:sz w:val="18"/>
          <w:szCs w:val="18"/>
        </w:rPr>
      </w:pPr>
    </w:p>
    <w:p>
      <w:pPr>
        <w:pStyle w:val="BodyText"/>
        <w:spacing w:line="316" w:lineRule="auto"/>
        <w:ind w:right="190"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528" w:lineRule="exact" w:before="22"/>
        <w:ind w:left="514" w:right="91"/>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232" w:lineRule="exact"/>
        <w:ind w:right="0"/>
        <w:jc w:val="left"/>
      </w:pPr>
      <w:r>
        <w:rPr/>
        <w:t>表中股东权益项目下列示的、与该境外经营相关的归属于母公司所有者权益的外币报表折算差额，全部转入处置当期损益。</w:t>
      </w:r>
    </w:p>
    <w:p>
      <w:pPr>
        <w:spacing w:line="240" w:lineRule="auto" w:before="5"/>
        <w:rPr>
          <w:rFonts w:ascii="宋体" w:hAnsi="宋体" w:cs="宋体" w:eastAsia="宋体" w:hint="default"/>
          <w:sz w:val="22"/>
          <w:szCs w:val="22"/>
        </w:rPr>
      </w:pPr>
    </w:p>
    <w:p>
      <w:pPr>
        <w:pStyle w:val="BodyText"/>
        <w:spacing w:line="316" w:lineRule="auto"/>
        <w:ind w:right="90" w:firstLine="360"/>
        <w:jc w:val="left"/>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418"/>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5" w:firstLine="360"/>
        <w:jc w:val="both"/>
      </w:pPr>
      <w:r>
        <w:rPr/>
        <w:t>在本公司成为金融工具合同的一方时确认一项金融资产或金融负债。金融资产和金融负债在初始确认时以公允价值计</w:t>
      </w:r>
      <w:r>
        <w:rPr>
          <w:spacing w:val="2"/>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528" w:lineRule="exact" w:before="22"/>
        <w:ind w:left="513" w:right="91"/>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ind w:left="153" w:right="91"/>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528" w:lineRule="exact" w:before="22"/>
        <w:ind w:left="513" w:right="91"/>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32" w:lineRule="exact"/>
        <w:ind w:left="153" w:right="418"/>
        <w:jc w:val="left"/>
      </w:pPr>
      <w:r>
        <w:rPr/>
        <w:t>计入当期损益的金融资产、持有至到期投资、贷款和应收款项以及可供出售金融资产。</w:t>
      </w:r>
    </w:p>
    <w:p>
      <w:pPr>
        <w:spacing w:after="0" w:line="232" w:lineRule="exact"/>
        <w:jc w:val="left"/>
        <w:sectPr>
          <w:footerReference w:type="default" r:id="rId21"/>
          <w:pgSz w:w="11910" w:h="16840"/>
          <w:pgMar w:footer="982" w:header="747" w:top="1060" w:bottom="1180" w:left="980" w:right="940"/>
          <w:pgNumType w:start="73"/>
        </w:sectPr>
      </w:pPr>
    </w:p>
    <w:p>
      <w:pPr>
        <w:spacing w:line="240" w:lineRule="auto" w:before="12"/>
        <w:rPr>
          <w:rFonts w:ascii="宋体" w:hAnsi="宋体" w:cs="宋体" w:eastAsia="宋体" w:hint="default"/>
          <w:sz w:val="25"/>
          <w:szCs w:val="25"/>
        </w:rPr>
      </w:pPr>
    </w:p>
    <w:p>
      <w:pPr>
        <w:pStyle w:val="BodyText"/>
        <w:spacing w:line="240" w:lineRule="auto" w:before="44"/>
        <w:ind w:left="513" w:right="418"/>
        <w:jc w:val="left"/>
      </w:pPr>
      <w:r>
        <w:rPr/>
        <w:t>①以公允价值计量且其变动计入当期损益的金融资产</w:t>
      </w:r>
    </w:p>
    <w:p>
      <w:pPr>
        <w:pStyle w:val="BodyText"/>
        <w:spacing w:line="528" w:lineRule="exact" w:before="80"/>
        <w:ind w:left="513" w:right="91"/>
        <w:jc w:val="left"/>
      </w:pPr>
      <w:r>
        <w:rPr/>
        <w:t>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left="153" w:right="191"/>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spacing w:line="240" w:lineRule="auto" w:before="5"/>
        <w:rPr>
          <w:rFonts w:ascii="宋体" w:hAnsi="宋体" w:cs="宋体" w:eastAsia="宋体" w:hint="default"/>
          <w:sz w:val="18"/>
          <w:szCs w:val="18"/>
        </w:rPr>
      </w:pPr>
    </w:p>
    <w:p>
      <w:pPr>
        <w:pStyle w:val="BodyText"/>
        <w:spacing w:line="307" w:lineRule="auto"/>
        <w:ind w:left="153" w:right="19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9"/>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spacing w:line="240" w:lineRule="auto" w:before="7"/>
        <w:rPr>
          <w:rFonts w:ascii="宋体" w:hAnsi="宋体" w:cs="宋体" w:eastAsia="宋体" w:hint="default"/>
          <w:sz w:val="18"/>
          <w:szCs w:val="18"/>
        </w:rPr>
      </w:pPr>
    </w:p>
    <w:p>
      <w:pPr>
        <w:pStyle w:val="BodyText"/>
        <w:spacing w:line="316" w:lineRule="auto"/>
        <w:ind w:left="153" w:right="190"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528" w:lineRule="exact" w:before="22"/>
        <w:ind w:left="513" w:right="91"/>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32" w:lineRule="exact"/>
        <w:ind w:left="153" w:right="0"/>
        <w:jc w:val="both"/>
      </w:pPr>
      <w:r>
        <w:rPr/>
        <w:t>当期损益。</w:t>
      </w:r>
    </w:p>
    <w:p>
      <w:pPr>
        <w:spacing w:line="240" w:lineRule="auto" w:before="5"/>
        <w:rPr>
          <w:rFonts w:ascii="宋体" w:hAnsi="宋体" w:cs="宋体" w:eastAsia="宋体" w:hint="default"/>
          <w:sz w:val="22"/>
          <w:szCs w:val="22"/>
        </w:rPr>
      </w:pPr>
    </w:p>
    <w:p>
      <w:pPr>
        <w:pStyle w:val="BodyText"/>
        <w:spacing w:line="316" w:lineRule="auto"/>
        <w:ind w:left="153" w:right="190"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spacing w:line="240" w:lineRule="auto" w:before="12"/>
        <w:rPr>
          <w:rFonts w:ascii="宋体" w:hAnsi="宋体" w:cs="宋体" w:eastAsia="宋体" w:hint="default"/>
          <w:sz w:val="17"/>
          <w:szCs w:val="17"/>
        </w:rPr>
      </w:pPr>
    </w:p>
    <w:p>
      <w:pPr>
        <w:pStyle w:val="BodyText"/>
        <w:spacing w:line="316" w:lineRule="auto"/>
        <w:ind w:left="153" w:right="190"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528" w:lineRule="exact" w:before="22"/>
        <w:ind w:left="513" w:right="91"/>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232" w:lineRule="exact"/>
        <w:ind w:left="153" w:right="0"/>
        <w:jc w:val="both"/>
      </w:pPr>
      <w:r>
        <w:rPr/>
        <w:t>收票据、应收账款、应收利息、应收股利及其他应收款等。</w:t>
      </w:r>
    </w:p>
    <w:p>
      <w:pPr>
        <w:spacing w:line="240" w:lineRule="auto" w:before="5"/>
        <w:rPr>
          <w:rFonts w:ascii="宋体" w:hAnsi="宋体" w:cs="宋体" w:eastAsia="宋体" w:hint="default"/>
          <w:sz w:val="22"/>
          <w:szCs w:val="22"/>
        </w:rPr>
      </w:pPr>
    </w:p>
    <w:p>
      <w:pPr>
        <w:pStyle w:val="BodyText"/>
        <w:spacing w:line="316" w:lineRule="auto"/>
        <w:ind w:left="153" w:right="190" w:firstLine="360"/>
        <w:jc w:val="both"/>
      </w:pPr>
      <w:r>
        <w:rPr>
          <w:spacing w:val="-2"/>
        </w:rPr>
        <w:t>贷款和应收款项采用实际利率法，按摊余成本进行后续计量，在终止确认、发生减值或摊销时产生的利得或损失，计入</w:t>
      </w:r>
      <w:r>
        <w:rPr/>
        <w:t> 当期损益。</w:t>
      </w:r>
    </w:p>
    <w:p>
      <w:pPr>
        <w:pStyle w:val="BodyText"/>
        <w:spacing w:line="528" w:lineRule="exact" w:before="22"/>
        <w:ind w:left="513" w:right="91"/>
        <w:jc w:val="left"/>
      </w:pPr>
      <w:r>
        <w:rPr/>
        <w:t>④可供出售金融资产 包括初始确认时即被指定为可供出售的非衍生金融资产，以及除了以公允价值计量且其变动计入当期损益的金融资产、</w:t>
      </w:r>
    </w:p>
    <w:p>
      <w:pPr>
        <w:pStyle w:val="BodyText"/>
        <w:spacing w:line="232" w:lineRule="exact"/>
        <w:ind w:left="153" w:right="0"/>
        <w:jc w:val="both"/>
      </w:pPr>
      <w:r>
        <w:rPr/>
        <w:t>贷款和应收款项、持有至到期投资以外的金融资产。</w:t>
      </w:r>
    </w:p>
    <w:p>
      <w:pPr>
        <w:spacing w:line="240" w:lineRule="auto" w:before="5"/>
        <w:rPr>
          <w:rFonts w:ascii="宋体" w:hAnsi="宋体" w:cs="宋体" w:eastAsia="宋体" w:hint="default"/>
          <w:sz w:val="22"/>
          <w:szCs w:val="22"/>
        </w:rPr>
      </w:pPr>
    </w:p>
    <w:p>
      <w:pPr>
        <w:pStyle w:val="BodyText"/>
        <w:spacing w:line="316" w:lineRule="auto"/>
        <w:ind w:left="153" w:right="190" w:firstLine="360"/>
        <w:jc w:val="both"/>
      </w:pPr>
      <w:r>
        <w:rPr>
          <w:spacing w:val="-2"/>
        </w:rPr>
        <w:t>可供出售债务工具投资的期末成本按照其摊余成本法确定，即初始确认金额扣除已偿还的本金，加上或减去采用实际利</w:t>
      </w:r>
      <w:r>
        <w:rPr/>
        <w:t> </w:t>
      </w: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spacing w:line="240" w:lineRule="auto" w:before="12"/>
        <w:rPr>
          <w:rFonts w:ascii="宋体" w:hAnsi="宋体" w:cs="宋体" w:eastAsia="宋体" w:hint="default"/>
          <w:sz w:val="17"/>
          <w:szCs w:val="17"/>
        </w:rPr>
      </w:pPr>
    </w:p>
    <w:p>
      <w:pPr>
        <w:pStyle w:val="BodyText"/>
        <w:spacing w:line="240" w:lineRule="auto"/>
        <w:ind w:left="513" w:right="418"/>
        <w:jc w:val="left"/>
      </w:pPr>
      <w:r>
        <w:rPr/>
        <w:t>可供出售金融资产持有期间取得的利息及被投资单位宣告发放的现金股利，计入投资收益。</w:t>
      </w:r>
    </w:p>
    <w:p>
      <w:pPr>
        <w:pStyle w:val="BodyText"/>
        <w:spacing w:line="510" w:lineRule="atLeast" w:before="31"/>
        <w:ind w:left="513" w:right="91"/>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240" w:lineRule="auto" w:before="76"/>
        <w:ind w:left="153" w:right="0"/>
        <w:jc w:val="both"/>
      </w:pPr>
      <w:r>
        <w:rPr/>
        <w:t>检查，有客观证据表明金融资产发生减值的，计提减值准备。</w:t>
      </w:r>
    </w:p>
    <w:p>
      <w:pPr>
        <w:spacing w:line="240" w:lineRule="auto" w:before="5"/>
        <w:rPr>
          <w:rFonts w:ascii="宋体" w:hAnsi="宋体" w:cs="宋体" w:eastAsia="宋体" w:hint="default"/>
          <w:sz w:val="22"/>
          <w:szCs w:val="22"/>
        </w:rPr>
      </w:pPr>
    </w:p>
    <w:p>
      <w:pPr>
        <w:pStyle w:val="BodyText"/>
        <w:spacing w:line="316" w:lineRule="auto"/>
        <w:ind w:left="153" w:right="191"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528" w:lineRule="exact" w:before="22"/>
        <w:ind w:left="513" w:right="91"/>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ind w:left="153" w:right="19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528" w:lineRule="exact" w:before="22"/>
        <w:ind w:left="513" w:right="91"/>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245" w:lineRule="exact"/>
        <w:ind w:left="153" w:right="0"/>
        <w:jc w:val="both"/>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w:t>
      </w:r>
    </w:p>
    <w:p>
      <w:pPr>
        <w:spacing w:line="240" w:lineRule="auto" w:before="4"/>
        <w:rPr>
          <w:rFonts w:ascii="宋体" w:hAnsi="宋体" w:cs="宋体" w:eastAsia="宋体" w:hint="default"/>
          <w:sz w:val="21"/>
          <w:szCs w:val="21"/>
        </w:rPr>
      </w:pPr>
    </w:p>
    <w:p>
      <w:pPr>
        <w:pStyle w:val="BodyText"/>
        <w:spacing w:line="316" w:lineRule="auto"/>
        <w:ind w:right="108"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spacing w:line="240" w:lineRule="auto" w:before="12"/>
        <w:rPr>
          <w:rFonts w:ascii="宋体" w:hAnsi="宋体" w:cs="宋体" w:eastAsia="宋体" w:hint="default"/>
          <w:sz w:val="17"/>
          <w:szCs w:val="17"/>
        </w:rPr>
      </w:pPr>
    </w:p>
    <w:p>
      <w:pPr>
        <w:pStyle w:val="BodyText"/>
        <w:spacing w:line="316" w:lineRule="auto"/>
        <w:ind w:right="19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spacing w:line="240" w:lineRule="auto" w:before="12"/>
        <w:rPr>
          <w:rFonts w:ascii="宋体" w:hAnsi="宋体" w:cs="宋体" w:eastAsia="宋体" w:hint="default"/>
          <w:sz w:val="17"/>
          <w:szCs w:val="17"/>
        </w:rPr>
      </w:pPr>
    </w:p>
    <w:p>
      <w:pPr>
        <w:pStyle w:val="BodyText"/>
        <w:spacing w:line="316" w:lineRule="auto"/>
        <w:ind w:right="19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528" w:lineRule="exact" w:before="22"/>
        <w:ind w:left="514" w:right="91"/>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ind w:right="190"/>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spacing w:line="240" w:lineRule="auto" w:before="12"/>
        <w:rPr>
          <w:rFonts w:ascii="宋体" w:hAnsi="宋体" w:cs="宋体" w:eastAsia="宋体" w:hint="default"/>
          <w:sz w:val="17"/>
          <w:szCs w:val="17"/>
        </w:rPr>
      </w:pPr>
    </w:p>
    <w:p>
      <w:pPr>
        <w:pStyle w:val="BodyText"/>
        <w:spacing w:line="316" w:lineRule="auto"/>
        <w:ind w:right="19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spacing w:line="240" w:lineRule="auto" w:before="12"/>
        <w:rPr>
          <w:rFonts w:ascii="宋体" w:hAnsi="宋体" w:cs="宋体" w:eastAsia="宋体" w:hint="default"/>
          <w:sz w:val="17"/>
          <w:szCs w:val="17"/>
        </w:rPr>
      </w:pPr>
    </w:p>
    <w:p>
      <w:pPr>
        <w:pStyle w:val="BodyText"/>
        <w:spacing w:line="316" w:lineRule="auto"/>
        <w:ind w:left="153" w:right="190"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spacing w:line="240" w:lineRule="auto" w:before="12"/>
        <w:rPr>
          <w:rFonts w:ascii="宋体" w:hAnsi="宋体" w:cs="宋体" w:eastAsia="宋体" w:hint="default"/>
          <w:sz w:val="17"/>
          <w:szCs w:val="17"/>
        </w:rPr>
      </w:pPr>
    </w:p>
    <w:p>
      <w:pPr>
        <w:pStyle w:val="BodyText"/>
        <w:spacing w:line="316" w:lineRule="auto"/>
        <w:ind w:left="153" w:right="190"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528" w:lineRule="exact" w:before="22"/>
        <w:ind w:left="513" w:right="91"/>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ind w:left="153" w:right="91"/>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528" w:lineRule="exact" w:before="22"/>
        <w:ind w:left="513" w:right="271"/>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232" w:lineRule="exact"/>
        <w:ind w:left="153" w:right="418"/>
        <w:jc w:val="left"/>
      </w:pPr>
      <w:r>
        <w:rPr/>
        <w:t>性金融资产和在初始确认时指定为以公允价值计量且其变动计入当期损益的金融资产的条件一致。</w:t>
      </w:r>
    </w:p>
    <w:p>
      <w:pPr>
        <w:spacing w:line="240" w:lineRule="auto" w:before="5"/>
        <w:rPr>
          <w:rFonts w:ascii="宋体" w:hAnsi="宋体" w:cs="宋体" w:eastAsia="宋体" w:hint="default"/>
          <w:sz w:val="22"/>
          <w:szCs w:val="22"/>
        </w:rPr>
      </w:pPr>
    </w:p>
    <w:p>
      <w:pPr>
        <w:pStyle w:val="BodyText"/>
        <w:spacing w:line="316" w:lineRule="auto"/>
        <w:ind w:left="153" w:right="190" w:firstLine="360"/>
        <w:jc w:val="both"/>
      </w:pPr>
      <w:r>
        <w:rPr>
          <w:spacing w:val="-2"/>
        </w:rPr>
        <w:t>以公允价值计量且其变动计入当期损益的金融负债采用公允价值进行后续计量，公允价值的变动形成的利得或损失以及</w:t>
      </w:r>
      <w:r>
        <w:rPr/>
        <w:t> 与该等金融负债相关的股利和利息支出计入当期损益。</w:t>
      </w:r>
    </w:p>
    <w:p>
      <w:pPr>
        <w:pStyle w:val="BodyText"/>
        <w:spacing w:line="528" w:lineRule="exact" w:before="22"/>
        <w:ind w:left="513" w:right="91"/>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ind w:left="153" w:right="91"/>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528" w:lineRule="exact" w:before="22"/>
        <w:ind w:left="513" w:right="91"/>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ind w:left="153" w:right="91"/>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spacing w:line="240" w:lineRule="auto" w:before="12"/>
        <w:rPr>
          <w:rFonts w:ascii="宋体" w:hAnsi="宋体" w:cs="宋体" w:eastAsia="宋体" w:hint="default"/>
          <w:sz w:val="17"/>
          <w:szCs w:val="17"/>
        </w:rPr>
      </w:pPr>
    </w:p>
    <w:p>
      <w:pPr>
        <w:pStyle w:val="BodyText"/>
        <w:spacing w:line="316" w:lineRule="auto"/>
        <w:ind w:left="153" w:right="190"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528" w:lineRule="exact" w:before="22"/>
        <w:ind w:left="513" w:right="91"/>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ind w:left="153" w:right="91"/>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spacing w:line="240" w:lineRule="auto" w:before="12"/>
        <w:rPr>
          <w:rFonts w:ascii="宋体" w:hAnsi="宋体" w:cs="宋体" w:eastAsia="宋体" w:hint="default"/>
          <w:sz w:val="17"/>
          <w:szCs w:val="17"/>
        </w:rPr>
      </w:pPr>
    </w:p>
    <w:p>
      <w:pPr>
        <w:pStyle w:val="BodyText"/>
        <w:spacing w:line="240" w:lineRule="auto"/>
        <w:ind w:left="513" w:right="418"/>
        <w:jc w:val="left"/>
      </w:pPr>
      <w:r>
        <w:rPr/>
        <w:t>（</w:t>
      </w:r>
      <w:r>
        <w:rPr>
          <w:rFonts w:ascii="Times New Roman" w:hAnsi="Times New Roman" w:cs="Times New Roman" w:eastAsia="Times New Roman" w:hint="default"/>
        </w:rPr>
        <w:t>8</w:t>
      </w:r>
      <w:r>
        <w:rPr/>
        <w:t>）权益工具</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91" w:firstLine="360"/>
        <w:jc w:val="left"/>
      </w:pPr>
      <w:r>
        <w:rPr>
          <w:spacing w:val="-2"/>
        </w:rPr>
        <w:t>权益工具是指能证明拥有本公司在扣除所有负债后的资产中的剩余权益的合同。本公司发行（含再融资）、回购、出售</w:t>
      </w:r>
      <w:r>
        <w:rPr/>
        <w:t> </w:t>
      </w:r>
      <w:r>
        <w:rPr>
          <w:spacing w:val="-4"/>
        </w:rPr>
        <w:t>或注销权益工具作为权益的变动处理。本公司不确认权益工具的公允价值变动。与权益性交易相关的交易费用从权益中扣减。</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t>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6"/>
          <w:szCs w:val="26"/>
        </w:rPr>
      </w:pPr>
    </w:p>
    <w:p>
      <w:pPr>
        <w:pStyle w:val="Heading3"/>
        <w:spacing w:line="240" w:lineRule="auto"/>
        <w:ind w:right="418"/>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418"/>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万元）以上的应收账款、余额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万元）以上的其他应收款。</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w:t>
            </w:r>
          </w:p>
        </w:tc>
      </w:tr>
      <w:tr>
        <w:trPr>
          <w:trHeight w:val="311"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单独测试未发生减值的金融资产，包括在具有类似信用风险</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特征的金融资产组合中进行减值测试。单项测试已确认减值</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损失的应收款项，不再包括在具有类似信用风险特征的应收</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418"/>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73"/>
        <w:gridCol w:w="4783"/>
      </w:tblGrid>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418"/>
        <w:jc w:val="left"/>
      </w:pPr>
      <w:r>
        <w:rPr/>
        <w:t>组合中，采用账龄分析法计提坏账准备的：</w:t>
      </w:r>
    </w:p>
    <w:p>
      <w:pPr>
        <w:pStyle w:val="BodyText"/>
        <w:spacing w:line="240" w:lineRule="auto" w:before="117"/>
        <w:ind w:left="153" w:right="418"/>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bl>
    <w:p>
      <w:pPr>
        <w:pStyle w:val="BodyText"/>
        <w:spacing w:line="240" w:lineRule="auto" w:before="51"/>
        <w:ind w:right="418"/>
        <w:jc w:val="left"/>
      </w:pPr>
      <w:r>
        <w:rPr/>
        <w:t>组合中，采用余额百分比法计提坏账准备的：</w:t>
      </w:r>
    </w:p>
    <w:p>
      <w:pPr>
        <w:pStyle w:val="BodyText"/>
        <w:spacing w:line="357" w:lineRule="auto" w:before="117"/>
        <w:ind w:left="153" w:right="6571"/>
        <w:jc w:val="left"/>
      </w:pPr>
      <w:r>
        <w:rPr/>
        <w:t>□ 适用 √ 不适用 组合中，采用其他方法计提坏账准备的：</w:t>
      </w:r>
    </w:p>
    <w:p>
      <w:pPr>
        <w:pStyle w:val="BodyText"/>
        <w:spacing w:line="240" w:lineRule="auto" w:before="29"/>
        <w:ind w:left="153" w:right="418"/>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418"/>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25"/>
          <w:szCs w:val="25"/>
        </w:rPr>
      </w:pPr>
    </w:p>
    <w:p>
      <w:pPr>
        <w:spacing w:line="693" w:lineRule="exact"/>
        <w:ind w:left="14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81.95pt;height:34.7pt;mso-position-horizontal-relative:char;mso-position-vertical-relative:line" coordorigin="0,0" coordsize="9639,694">
            <v:group style="position:absolute;left:14;top:541;width:4775;height:136" coordorigin="14,541" coordsize="4775,136">
              <v:shape style="position:absolute;left:14;top:541;width:4775;height:136" coordorigin="14,541" coordsize="4775,136" path="m14,677l4789,677,4789,541,14,541,14,677xe" filled="true" fillcolor="#d3d3d3" stroked="false">
                <v:path arrowok="t"/>
                <v:fill type="solid"/>
              </v:shape>
            </v:group>
            <v:group style="position:absolute;left:26;top:149;width:2;height:392" coordorigin="26,149" coordsize="2,392">
              <v:shape style="position:absolute;left:26;top:149;width:2;height:392" coordorigin="26,149" coordsize="0,392" path="m26,149l26,541e" filled="false" stroked="true" strokeweight="1.140pt" strokecolor="#d3d3d3">
                <v:path arrowok="t"/>
              </v:shape>
            </v:group>
            <v:group style="position:absolute;left:14;top:15;width:4775;height:134" coordorigin="14,15" coordsize="4775,134">
              <v:shape style="position:absolute;left:14;top:15;width:4775;height:134" coordorigin="14,15" coordsize="4775,134" path="m14,149l4789,149,4789,15,14,15,14,149xe" filled="true" fillcolor="#d3d3d3" stroked="false">
                <v:path arrowok="t"/>
                <v:fill type="solid"/>
              </v:shape>
            </v:group>
            <v:group style="position:absolute;left:4777;top:150;width:2;height:392" coordorigin="4777,150" coordsize="2,392">
              <v:shape style="position:absolute;left:4777;top:150;width:2;height:392" coordorigin="4777,150" coordsize="0,392" path="m4777,150l4777,541e" filled="false" stroked="true" strokeweight="1.2pt" strokecolor="#d3d3d3">
                <v:path arrowok="t"/>
              </v:shape>
            </v:group>
            <v:group style="position:absolute;left:37;top:150;width:4728;height:392" coordorigin="37,150" coordsize="4728,392">
              <v:shape style="position:absolute;left:37;top:150;width:4728;height:392" coordorigin="37,150" coordsize="4728,392" path="m37,541l4765,541,4765,150,37,150,37,541xe" filled="true" fillcolor="#d3d3d3" stroked="false">
                <v:path arrowok="t"/>
                <v:fill type="solid"/>
              </v:shape>
            </v:group>
            <v:group style="position:absolute;left:4810;top:14;width:2;height:664" coordorigin="4810,14" coordsize="2,664">
              <v:shape style="position:absolute;left:4810;top:14;width:2;height:664" coordorigin="4810,14" coordsize="0,664" path="m4810,14l4810,678e" filled="false" stroked="true" strokeweight="1.140pt" strokecolor="#c7edcc">
                <v:path arrowok="t"/>
              </v:shape>
            </v:group>
            <v:group style="position:absolute;left:9561;top:14;width:2;height:664" coordorigin="9561,14" coordsize="2,664">
              <v:shape style="position:absolute;left:9561;top:14;width:2;height:664" coordorigin="9561,14" coordsize="0,664" path="m9561,14l9561,678e" filled="false" stroked="true" strokeweight="1.140pt" strokecolor="#c7edcc">
                <v:path arrowok="t"/>
              </v:shape>
            </v:group>
            <v:group style="position:absolute;left:4822;top:14;width:4728;height:352" coordorigin="4822,14" coordsize="4728,352">
              <v:shape style="position:absolute;left:4822;top:14;width:4728;height:352" coordorigin="4822,14" coordsize="4728,352" path="m4822,366l9550,366,9550,14,4822,14,4822,366xe" filled="true" fillcolor="#c7edcc" stroked="false">
                <v:path arrowok="t"/>
                <v:fill type="solid"/>
              </v:shape>
            </v:group>
            <v:group style="position:absolute;left:4822;top:366;width:4728;height:312" coordorigin="4822,366" coordsize="4728,312">
              <v:shape style="position:absolute;left:4822;top:366;width:4728;height:312" coordorigin="4822,366" coordsize="4728,312" path="m4822,678l9550,678,9550,366,4822,366,4822,678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684" coordorigin="10,5" coordsize="2,684">
              <v:shape style="position:absolute;left:10;top:5;width:2;height:684" coordorigin="10,5" coordsize="0,684" path="m10,5l10,689e" filled="false" stroked="true" strokeweight=".48001pt" strokecolor="#000000">
                <v:path arrowok="t"/>
              </v:shape>
            </v:group>
            <v:group style="position:absolute;left:5;top:684;width:4785;height:2" coordorigin="5,684" coordsize="4785,2">
              <v:shape style="position:absolute;left:5;top:684;width:4785;height:2" coordorigin="5,684" coordsize="4785,0" path="m5,684l4789,684e" filled="false" stroked="true" strokeweight=".48001pt" strokecolor="#000000">
                <v:path arrowok="t"/>
              </v:shape>
            </v:group>
            <v:group style="position:absolute;left:4794;top:14;width:2;height:675" coordorigin="4794,14" coordsize="2,675">
              <v:shape style="position:absolute;left:4794;top:14;width:2;height:675" coordorigin="4794,14" coordsize="0,675" path="m4794,14l4794,689e" filled="false" stroked="true" strokeweight=".48001pt" strokecolor="#000000">
                <v:path arrowok="t"/>
              </v:shape>
            </v:group>
            <v:group style="position:absolute;left:4799;top:684;width:4774;height:2" coordorigin="4799,684" coordsize="4774,2">
              <v:shape style="position:absolute;left:4799;top:684;width:4774;height:2" coordorigin="4799,684" coordsize="4774,0" path="m4799,684l9572,684e" filled="false" stroked="true" strokeweight=".48001pt" strokecolor="#000000">
                <v:path arrowok="t"/>
              </v:shape>
            </v:group>
            <v:group style="position:absolute;left:9577;top:5;width:2;height:684" coordorigin="9577,5" coordsize="2,684">
              <v:shape style="position:absolute;left:9577;top:5;width:2;height:684" coordorigin="9577,5" coordsize="0,684" path="m9577,5l9577,689e" filled="false" stroked="true" strokeweight=".47998pt" strokecolor="#000000">
                <v:path arrowok="t"/>
              </v:shape>
              <v:shape style="position:absolute;left:10;top:10;width:4785;height:675" type="#_x0000_t202" filled="false" stroked="false">
                <v:textbox inset="0,0,0,0">
                  <w:txbxContent>
                    <w:p>
                      <w:pPr>
                        <w:spacing w:line="240" w:lineRule="auto" w:before="9"/>
                        <w:rPr>
                          <w:rFonts w:ascii="宋体" w:hAnsi="宋体" w:cs="宋体" w:eastAsia="宋体" w:hint="default"/>
                          <w:b/>
                          <w:bCs/>
                          <w:sz w:val="14"/>
                          <w:szCs w:val="14"/>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4794;top:10;width:4784;height:675" type="#_x0000_t202" filled="false" stroked="false">
                <v:textbox inset="0,0,0,0">
                  <w:txbxContent>
                    <w:p>
                      <w:pPr>
                        <w:spacing w:line="316" w:lineRule="auto" w:before="56"/>
                        <w:ind w:left="27" w:right="73" w:firstLine="36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本公司对于单项金额虽不重大但具备以下特征如：应收 </w:t>
                      </w:r>
                      <w:r>
                        <w:rPr>
                          <w:rFonts w:ascii="宋体" w:hAnsi="宋体" w:cs="宋体" w:eastAsia="宋体" w:hint="default"/>
                          <w:spacing w:val="-2"/>
                          <w:sz w:val="18"/>
                          <w:szCs w:val="18"/>
                        </w:rPr>
                        <w:t>关联方款项；与对方存在争议或涉及诉讼、仲裁的应收款项</w:t>
                      </w:r>
                    </w:p>
                  </w:txbxContent>
                </v:textbox>
                <w10:wrap type="none"/>
              </v:shape>
              <v:shape style="position:absolute;left:9458;top:43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3"/>
          <w:sz w:val="20"/>
          <w:szCs w:val="20"/>
        </w:rPr>
      </w:r>
    </w:p>
    <w:p>
      <w:pPr>
        <w:spacing w:after="0" w:line="693"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spacing w:line="240" w:lineRule="auto" w:before="44"/>
        <w:ind w:left="0" w:right="198"/>
        <w:jc w:val="right"/>
      </w:pPr>
      <w:r>
        <w:rPr/>
        <w:pict>
          <v:shape style="position:absolute;margin-left:56.459999pt;margin-top:-30.008047pt;width:479.1pt;height:116.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317" w:hRule="exact"/>
                    </w:trPr>
                    <w:tc>
                      <w:tcPr>
                        <w:tcW w:w="4784" w:type="dxa"/>
                        <w:vMerge w:val="restart"/>
                        <w:tcBorders>
                          <w:top w:val="single" w:sz="4" w:space="0" w:color="000000"/>
                          <w:left w:val="single" w:sz="4" w:space="0" w:color="000000"/>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已有明显迹象表明债务人很可能无法履行还款义务的应收款</w:t>
                        </w:r>
                      </w:p>
                    </w:tc>
                  </w:tr>
                  <w:tr>
                    <w:trPr>
                      <w:trHeight w:val="312" w:hRule="exact"/>
                    </w:trPr>
                    <w:tc>
                      <w:tcPr>
                        <w:tcW w:w="4784" w:type="dxa"/>
                        <w:vMerge/>
                        <w:tcBorders>
                          <w:left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项的应收款项，单独进行减值测试，有客观证据表明其发生</w:t>
                        </w:r>
                      </w:p>
                    </w:tc>
                  </w:tr>
                  <w:tr>
                    <w:trPr>
                      <w:trHeight w:val="313" w:hRule="exact"/>
                    </w:trPr>
                    <w:tc>
                      <w:tcPr>
                        <w:tcW w:w="4784" w:type="dxa"/>
                        <w:vMerge/>
                        <w:tcBorders>
                          <w:left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了减值的，根据其未来现金流量现值低于其账面价值的差额</w:t>
                        </w:r>
                      </w:p>
                    </w:tc>
                  </w:tr>
                  <w:tr>
                    <w:trPr>
                      <w:trHeight w:val="356" w:hRule="exact"/>
                    </w:trPr>
                    <w:tc>
                      <w:tcPr>
                        <w:tcW w:w="4784" w:type="dxa"/>
                        <w:vMerge/>
                        <w:tcBorders>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确认减值损失，计提坏账准备。</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0"/>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508" w:lineRule="auto"/>
        <w:ind w:left="513" w:right="2971"/>
        <w:jc w:val="left"/>
      </w:pPr>
      <w:r>
        <w:rPr/>
        <w:t>（</w:t>
      </w:r>
      <w:r>
        <w:rPr>
          <w:rFonts w:ascii="Times New Roman" w:hAnsi="Times New Roman" w:cs="Times New Roman" w:eastAsia="Times New Roman" w:hint="default"/>
        </w:rPr>
        <w:t>1</w:t>
      </w:r>
      <w:r>
        <w:rPr/>
        <w:t>）存货的分类 本公司存货分原材料、在产品、包装物、库存商品、委托加工材料、物资采购等。</w:t>
      </w:r>
    </w:p>
    <w:p>
      <w:pPr>
        <w:pStyle w:val="BodyText"/>
        <w:spacing w:line="240" w:lineRule="auto" w:before="91"/>
        <w:ind w:left="513" w:right="418"/>
        <w:jc w:val="left"/>
      </w:pPr>
      <w:r>
        <w:rPr/>
        <w:t>（</w:t>
      </w:r>
      <w:r>
        <w:rPr>
          <w:rFonts w:ascii="Times New Roman" w:hAnsi="Times New Roman" w:cs="Times New Roman" w:eastAsia="Times New Roman" w:hint="default"/>
        </w:rPr>
        <w:t>2</w:t>
      </w:r>
      <w:r>
        <w:rPr/>
        <w:t>）存货取得和发出的计价方法</w:t>
      </w:r>
    </w:p>
    <w:p>
      <w:pPr>
        <w:spacing w:line="240" w:lineRule="auto" w:before="4"/>
        <w:rPr>
          <w:rFonts w:ascii="宋体" w:hAnsi="宋体" w:cs="宋体" w:eastAsia="宋体" w:hint="default"/>
          <w:sz w:val="21"/>
          <w:szCs w:val="21"/>
        </w:rPr>
      </w:pPr>
    </w:p>
    <w:p>
      <w:pPr>
        <w:pStyle w:val="BodyText"/>
        <w:spacing w:line="316" w:lineRule="auto"/>
        <w:ind w:left="153" w:right="91" w:firstLine="360"/>
        <w:jc w:val="left"/>
      </w:pPr>
      <w:r>
        <w:rPr>
          <w:spacing w:val="-2"/>
        </w:rPr>
        <w:t>本公司存货取得时按实际成本计价。原料、在产品、库存商品、发出商品等发出时采用加权平均法计价，材料按计划成</w:t>
      </w:r>
      <w:r>
        <w:rPr/>
        <w:t> 本计价，材料成本差异按上月余额法计算结转。</w:t>
      </w:r>
    </w:p>
    <w:p>
      <w:pPr>
        <w:pStyle w:val="BodyText"/>
        <w:spacing w:line="528" w:lineRule="exact" w:before="22"/>
        <w:ind w:left="513" w:right="91"/>
        <w:jc w:val="left"/>
      </w:pPr>
      <w:r>
        <w:rPr/>
        <w:t>（</w:t>
      </w:r>
      <w:r>
        <w:rPr>
          <w:rFonts w:ascii="Times New Roman" w:hAnsi="Times New Roman" w:cs="Times New Roman" w:eastAsia="Times New Roman" w:hint="default"/>
        </w:rPr>
        <w:t>3</w:t>
      </w:r>
      <w:r>
        <w:rPr/>
        <w:t>）存货跌价准备计提方法 </w:t>
      </w:r>
      <w:r>
        <w:rPr>
          <w:spacing w:val="-2"/>
        </w:rPr>
        <w:t>在资产负债表日，存货按照成本与可变现净值孰低计量。当其可变现净值低于成本时，提取存货跌价准备。存货跌价准</w:t>
      </w:r>
    </w:p>
    <w:p>
      <w:pPr>
        <w:pStyle w:val="BodyText"/>
        <w:spacing w:line="316" w:lineRule="auto"/>
        <w:ind w:left="153" w:right="189"/>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6"/>
        </w:rPr>
        <w:t> </w:t>
      </w:r>
      <w:r>
        <w:rPr>
          <w:spacing w:val="-66"/>
        </w:rPr>
      </w:r>
      <w:r>
        <w:rPr/>
        <w:t>并计提存货跌价准备。</w:t>
      </w:r>
    </w:p>
    <w:p>
      <w:pPr>
        <w:spacing w:line="240" w:lineRule="auto" w:before="12"/>
        <w:rPr>
          <w:rFonts w:ascii="宋体" w:hAnsi="宋体" w:cs="宋体" w:eastAsia="宋体" w:hint="default"/>
          <w:sz w:val="17"/>
          <w:szCs w:val="17"/>
        </w:rPr>
      </w:pPr>
    </w:p>
    <w:p>
      <w:pPr>
        <w:pStyle w:val="BodyText"/>
        <w:spacing w:line="316" w:lineRule="auto"/>
        <w:ind w:left="153" w:right="91" w:firstLine="360"/>
        <w:jc w:val="left"/>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528" w:lineRule="exact" w:before="22"/>
        <w:ind w:left="513" w:right="189"/>
        <w:jc w:val="left"/>
      </w:pPr>
      <w:r>
        <w:rPr/>
        <w:t>（</w:t>
      </w:r>
      <w:r>
        <w:rPr>
          <w:rFonts w:ascii="Times New Roman" w:hAnsi="Times New Roman" w:cs="Times New Roman" w:eastAsia="Times New Roman" w:hint="default"/>
        </w:rPr>
        <w:t>4</w:t>
      </w:r>
      <w:r>
        <w:rPr/>
        <w:t>）存货可变现净值的确认方法 可变现净值是指在日常活动中，存货的估计售价减去至完工时估计将要发生的成本、</w:t>
      </w:r>
      <w:r>
        <w:rPr>
          <w:spacing w:val="2"/>
        </w:rPr>
        <w:t> </w:t>
      </w:r>
      <w:r>
        <w:rPr/>
        <w:t>估计的销售费用以及相关税费后</w:t>
      </w:r>
    </w:p>
    <w:p>
      <w:pPr>
        <w:pStyle w:val="BodyText"/>
        <w:spacing w:line="232" w:lineRule="exact"/>
        <w:ind w:left="153" w:right="0"/>
        <w:jc w:val="both"/>
      </w:pPr>
      <w:r>
        <w:rPr>
          <w:spacing w:val="-4"/>
        </w:rPr>
        <w:t>的金额。在确定存货的可变现净值时，以取得的确凿证据为基础，同时考虑持有存货的目的以及资产负债表日后事项的影响。</w:t>
      </w:r>
    </w:p>
    <w:p>
      <w:pPr>
        <w:spacing w:line="240" w:lineRule="auto" w:before="5"/>
        <w:rPr>
          <w:rFonts w:ascii="宋体" w:hAnsi="宋体" w:cs="宋体" w:eastAsia="宋体" w:hint="default"/>
          <w:sz w:val="22"/>
          <w:szCs w:val="22"/>
        </w:rPr>
      </w:pPr>
    </w:p>
    <w:p>
      <w:pPr>
        <w:pStyle w:val="BodyText"/>
        <w:spacing w:line="240" w:lineRule="auto"/>
        <w:ind w:left="514" w:right="418"/>
        <w:jc w:val="left"/>
      </w:pPr>
      <w:r>
        <w:rPr/>
        <w:t>（</w:t>
      </w:r>
      <w:r>
        <w:rPr>
          <w:rFonts w:ascii="Times New Roman" w:hAnsi="Times New Roman" w:cs="Times New Roman" w:eastAsia="Times New Roman" w:hint="default"/>
        </w:rPr>
        <w:t>5</w:t>
      </w:r>
      <w:r>
        <w:rPr/>
        <w:t>）本公司存货盘存制度采用永续盘存制</w:t>
      </w:r>
    </w:p>
    <w:p>
      <w:pPr>
        <w:spacing w:line="240" w:lineRule="auto" w:before="4"/>
        <w:rPr>
          <w:rFonts w:ascii="宋体" w:hAnsi="宋体" w:cs="宋体" w:eastAsia="宋体" w:hint="default"/>
          <w:sz w:val="21"/>
          <w:szCs w:val="21"/>
        </w:rPr>
      </w:pPr>
    </w:p>
    <w:p>
      <w:pPr>
        <w:pStyle w:val="BodyText"/>
        <w:spacing w:line="240" w:lineRule="auto"/>
        <w:ind w:left="514" w:right="418"/>
        <w:jc w:val="left"/>
      </w:pPr>
      <w:r>
        <w:rPr/>
        <w:t>（</w:t>
      </w:r>
      <w:r>
        <w:rPr>
          <w:rFonts w:ascii="Times New Roman" w:hAnsi="Times New Roman" w:cs="Times New Roman" w:eastAsia="Times New Roman" w:hint="default"/>
        </w:rPr>
        <w:t>6</w:t>
      </w:r>
      <w:r>
        <w:rPr/>
        <w:t>）低值易耗品和包装物的摊销方法</w:t>
      </w:r>
    </w:p>
    <w:p>
      <w:pPr>
        <w:spacing w:line="240" w:lineRule="auto" w:before="4"/>
        <w:rPr>
          <w:rFonts w:ascii="宋体" w:hAnsi="宋体" w:cs="宋体" w:eastAsia="宋体" w:hint="default"/>
          <w:sz w:val="21"/>
          <w:szCs w:val="21"/>
        </w:rPr>
      </w:pPr>
    </w:p>
    <w:p>
      <w:pPr>
        <w:pStyle w:val="BodyText"/>
        <w:spacing w:line="240" w:lineRule="auto"/>
        <w:ind w:left="694" w:right="418"/>
        <w:jc w:val="left"/>
      </w:pPr>
      <w:r>
        <w:rPr/>
        <w:t>低值易耗品在领用时采用一次摊销法摊销；</w:t>
      </w:r>
      <w:r>
        <w:rPr>
          <w:spacing w:val="-19"/>
        </w:rPr>
        <w:t> </w:t>
      </w:r>
      <w:r>
        <w:rPr/>
        <w:t>包装物在领用时采用一次摊销法摊销。</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12</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188"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6"/>
        </w:rPr>
        <w:t> </w:t>
      </w:r>
      <w:r>
        <w:rPr>
          <w:spacing w:val="-66"/>
        </w:rPr>
      </w:r>
      <w:r>
        <w:rPr>
          <w:spacing w:val="-2"/>
        </w:rPr>
        <w:t>算，自划分为持有待售之日起不计提折旧或进行摊销，按照账面价值与公允价值减去处置费用后的净额孰低计量。持有待售</w:t>
      </w:r>
      <w:r>
        <w:rPr>
          <w:spacing w:val="-66"/>
        </w:rPr>
        <w:t> </w:t>
      </w:r>
      <w:r>
        <w:rPr>
          <w:spacing w:val="-66"/>
        </w:rPr>
      </w:r>
      <w:r>
        <w:rPr/>
        <w:t>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w:t>
      </w:r>
      <w:r>
        <w:rPr>
          <w:spacing w:val="-84"/>
        </w:rPr>
        <w:t> </w:t>
      </w:r>
      <w:r>
        <w:rPr>
          <w:spacing w:val="-84"/>
        </w:rPr>
      </w:r>
      <w:r>
        <w:rPr>
          <w:spacing w:val="-2"/>
        </w:rPr>
        <w:t>该准则的规定将企业合并中取得的商誉分摊至该资产组，或者该处置组是资产组中的一项经营，则该处置组包括企业合并中</w:t>
      </w:r>
    </w:p>
    <w:p>
      <w:pPr>
        <w:spacing w:after="0" w:line="314"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418"/>
        <w:jc w:val="left"/>
      </w:pPr>
      <w:r>
        <w:rPr/>
        <w:t>所形成的商誉。</w:t>
      </w:r>
    </w:p>
    <w:p>
      <w:pPr>
        <w:spacing w:line="240" w:lineRule="auto" w:before="5"/>
        <w:rPr>
          <w:rFonts w:ascii="宋体" w:hAnsi="宋体" w:cs="宋体" w:eastAsia="宋体" w:hint="default"/>
          <w:sz w:val="22"/>
          <w:szCs w:val="22"/>
        </w:rPr>
      </w:pPr>
    </w:p>
    <w:p>
      <w:pPr>
        <w:pStyle w:val="BodyText"/>
        <w:spacing w:line="316" w:lineRule="auto"/>
        <w:ind w:left="153" w:right="190" w:firstLine="360"/>
        <w:jc w:val="both"/>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spacing w:line="240" w:lineRule="auto" w:before="12"/>
        <w:rPr>
          <w:rFonts w:ascii="宋体" w:hAnsi="宋体" w:cs="宋体" w:eastAsia="宋体" w:hint="default"/>
          <w:sz w:val="17"/>
          <w:szCs w:val="17"/>
        </w:rPr>
      </w:pPr>
    </w:p>
    <w:p>
      <w:pPr>
        <w:pStyle w:val="BodyText"/>
        <w:spacing w:line="309" w:lineRule="auto"/>
        <w:ind w:left="153" w:right="188" w:firstLine="360"/>
        <w:jc w:val="both"/>
      </w:pPr>
      <w:r>
        <w:rPr>
          <w:spacing w:val="-2"/>
        </w:rPr>
        <w:t>某项资产或处置组被划归为持有待售，但后来不再满足持有待售的非流动资产的确认条件，本公司停止将其划归为持有</w:t>
      </w:r>
      <w:r>
        <w:rPr/>
        <w:t> 待售，并按照下列两项金额中较低者进行计量：（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w:t>
      </w:r>
      <w:r>
        <w:rPr>
          <w:spacing w:val="-83"/>
        </w:rPr>
        <w:t> </w:t>
      </w:r>
      <w:r>
        <w:rPr>
          <w:spacing w:val="-83"/>
        </w:rPr>
      </w:r>
      <w:r>
        <w:rPr/>
        <w:t>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6"/>
        <w:rPr>
          <w:rFonts w:ascii="宋体" w:hAnsi="宋体" w:cs="宋体" w:eastAsia="宋体" w:hint="default"/>
          <w:sz w:val="21"/>
          <w:szCs w:val="21"/>
        </w:rPr>
      </w:pPr>
    </w:p>
    <w:p>
      <w:pPr>
        <w:pStyle w:val="Heading3"/>
        <w:spacing w:line="240" w:lineRule="auto"/>
        <w:ind w:right="418"/>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6"/>
          <w:szCs w:val="16"/>
        </w:rPr>
      </w:pPr>
    </w:p>
    <w:p>
      <w:pPr>
        <w:pStyle w:val="BodyText"/>
        <w:spacing w:line="316" w:lineRule="auto"/>
        <w:ind w:left="153" w:right="19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528" w:lineRule="exact" w:before="22"/>
        <w:ind w:left="513" w:right="91"/>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4" w:lineRule="auto"/>
        <w:ind w:left="153" w:right="91"/>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spacing w:line="240" w:lineRule="auto" w:before="1"/>
        <w:rPr>
          <w:rFonts w:ascii="宋体" w:hAnsi="宋体" w:cs="宋体" w:eastAsia="宋体" w:hint="default"/>
          <w:sz w:val="18"/>
          <w:szCs w:val="18"/>
        </w:rPr>
      </w:pPr>
    </w:p>
    <w:p>
      <w:pPr>
        <w:pStyle w:val="BodyText"/>
        <w:spacing w:line="312" w:lineRule="auto"/>
        <w:ind w:right="189"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spacing w:line="240" w:lineRule="auto" w:before="3"/>
        <w:rPr>
          <w:rFonts w:ascii="宋体" w:hAnsi="宋体" w:cs="宋体" w:eastAsia="宋体" w:hint="default"/>
          <w:sz w:val="18"/>
          <w:szCs w:val="18"/>
        </w:rPr>
      </w:pPr>
    </w:p>
    <w:p>
      <w:pPr>
        <w:pStyle w:val="BodyText"/>
        <w:spacing w:line="316" w:lineRule="auto"/>
        <w:ind w:right="191" w:firstLine="360"/>
        <w:jc w:val="both"/>
      </w:pPr>
      <w:r>
        <w:rPr>
          <w:spacing w:val="-2"/>
        </w:rPr>
        <w:t>合并方或购买方为企业合并发生的审计、法律服务、评估咨询等中介费用以及其他相关管理费用，于发生时计入当期损</w:t>
      </w:r>
      <w:r>
        <w:rPr/>
        <w:t> 益。</w:t>
      </w:r>
    </w:p>
    <w:p>
      <w:pPr>
        <w:spacing w:line="240" w:lineRule="auto" w:before="12"/>
        <w:rPr>
          <w:rFonts w:ascii="宋体" w:hAnsi="宋体" w:cs="宋体" w:eastAsia="宋体" w:hint="default"/>
          <w:sz w:val="17"/>
          <w:szCs w:val="17"/>
        </w:rPr>
      </w:pPr>
    </w:p>
    <w:p>
      <w:pPr>
        <w:pStyle w:val="BodyText"/>
        <w:spacing w:line="316" w:lineRule="auto"/>
        <w:ind w:right="189"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153" w:right="190"/>
        <w:jc w:val="both"/>
      </w:pP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528" w:lineRule="exact" w:before="28"/>
        <w:ind w:left="513" w:right="91"/>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32" w:lineRule="exact"/>
        <w:ind w:left="153" w:right="0"/>
        <w:jc w:val="both"/>
      </w:pPr>
      <w:r>
        <w:rPr/>
        <w:t>表采用成本法核算能够对被投资单位实施控制的长期股权投资。</w:t>
      </w:r>
    </w:p>
    <w:p>
      <w:pPr>
        <w:pStyle w:val="BodyText"/>
        <w:spacing w:line="520" w:lineRule="atLeast" w:before="8"/>
        <w:ind w:left="513" w:right="91"/>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76"/>
        <w:ind w:left="153" w:right="190"/>
        <w:jc w:val="both"/>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528" w:lineRule="exact" w:before="22"/>
        <w:ind w:left="513" w:right="91"/>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ind w:left="153" w:right="190"/>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spacing w:line="240" w:lineRule="auto" w:before="12"/>
        <w:rPr>
          <w:rFonts w:ascii="宋体" w:hAnsi="宋体" w:cs="宋体" w:eastAsia="宋体" w:hint="default"/>
          <w:sz w:val="17"/>
          <w:szCs w:val="17"/>
        </w:rPr>
      </w:pPr>
    </w:p>
    <w:p>
      <w:pPr>
        <w:pStyle w:val="BodyText"/>
        <w:spacing w:line="316" w:lineRule="auto"/>
        <w:ind w:left="153" w:right="91"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spacing w:line="240" w:lineRule="auto" w:before="12"/>
        <w:rPr>
          <w:rFonts w:ascii="宋体" w:hAnsi="宋体" w:cs="宋体" w:eastAsia="宋体" w:hint="default"/>
          <w:sz w:val="17"/>
          <w:szCs w:val="17"/>
        </w:rPr>
      </w:pPr>
    </w:p>
    <w:p>
      <w:pPr>
        <w:pStyle w:val="BodyText"/>
        <w:spacing w:line="316" w:lineRule="auto"/>
        <w:ind w:left="153" w:right="19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528" w:lineRule="exact" w:before="22"/>
        <w:ind w:left="513" w:right="91"/>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32" w:lineRule="exact"/>
        <w:ind w:left="153" w:right="0"/>
        <w:jc w:val="both"/>
      </w:pPr>
      <w:r>
        <w:rPr/>
        <w:t>日）开始持续计算的净资产份额之间的差额，调整资本公积，资本公积不足冲减的，调整留存收益。</w:t>
      </w:r>
    </w:p>
    <w:p>
      <w:pPr>
        <w:pStyle w:val="BodyText"/>
        <w:spacing w:line="520" w:lineRule="atLeast" w:before="8"/>
        <w:ind w:left="513" w:right="91"/>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240" w:lineRule="auto" w:before="76"/>
        <w:ind w:left="153" w:right="0"/>
        <w:jc w:val="both"/>
      </w:pPr>
      <w:r>
        <w:rPr/>
        <w:t>相对应享有子公司净资产的差额计入股东权益；母公司部分处置对子公司的长期股权投资导致丧失对子公司控制权的，按本</w:t>
      </w:r>
    </w:p>
    <w:p>
      <w:pPr>
        <w:spacing w:after="0" w:line="24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418"/>
        <w:jc w:val="left"/>
      </w:pPr>
      <w:r>
        <w:rPr/>
        <w:t>附注五、</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528" w:lineRule="exact" w:before="66"/>
        <w:ind w:left="514" w:right="91"/>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ind w:right="91"/>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spacing w:line="240" w:lineRule="auto" w:before="12"/>
        <w:rPr>
          <w:rFonts w:ascii="宋体" w:hAnsi="宋体" w:cs="宋体" w:eastAsia="宋体" w:hint="default"/>
          <w:sz w:val="17"/>
          <w:szCs w:val="17"/>
        </w:rPr>
      </w:pPr>
    </w:p>
    <w:p>
      <w:pPr>
        <w:pStyle w:val="BodyText"/>
        <w:spacing w:line="316" w:lineRule="auto"/>
        <w:ind w:right="19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spacing w:line="240" w:lineRule="auto" w:before="12"/>
        <w:rPr>
          <w:rFonts w:ascii="宋体" w:hAnsi="宋体" w:cs="宋体" w:eastAsia="宋体" w:hint="default"/>
          <w:sz w:val="17"/>
          <w:szCs w:val="17"/>
        </w:rPr>
      </w:pPr>
    </w:p>
    <w:p>
      <w:pPr>
        <w:pStyle w:val="BodyText"/>
        <w:spacing w:line="316" w:lineRule="auto"/>
        <w:ind w:right="19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spacing w:line="240" w:lineRule="auto" w:before="12"/>
        <w:rPr>
          <w:rFonts w:ascii="宋体" w:hAnsi="宋体" w:cs="宋体" w:eastAsia="宋体" w:hint="default"/>
          <w:sz w:val="17"/>
          <w:szCs w:val="17"/>
        </w:rPr>
      </w:pPr>
    </w:p>
    <w:p>
      <w:pPr>
        <w:pStyle w:val="BodyText"/>
        <w:spacing w:line="316" w:lineRule="auto"/>
        <w:ind w:right="90"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spacing w:line="240" w:lineRule="auto" w:before="12"/>
        <w:rPr>
          <w:rFonts w:ascii="宋体" w:hAnsi="宋体" w:cs="宋体" w:eastAsia="宋体" w:hint="default"/>
          <w:sz w:val="17"/>
          <w:szCs w:val="17"/>
        </w:rPr>
      </w:pPr>
    </w:p>
    <w:p>
      <w:pPr>
        <w:pStyle w:val="BodyText"/>
        <w:spacing w:line="316" w:lineRule="auto"/>
        <w:ind w:right="19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418"/>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13" w:right="7651"/>
        <w:jc w:val="left"/>
      </w:pPr>
      <w:r>
        <w:rPr/>
        <w:t>投资性房地产计量模式 成本法计量 折旧或摊销方法</w:t>
      </w:r>
    </w:p>
    <w:p>
      <w:pPr>
        <w:pStyle w:val="BodyText"/>
        <w:spacing w:line="316" w:lineRule="auto" w:before="25"/>
        <w:ind w:left="153" w:right="189" w:firstLine="433"/>
        <w:jc w:val="both"/>
      </w:pPr>
      <w:r>
        <w:rPr/>
        <w:t>投资性房地产是指为赚取租金或资本增值，或两者兼有而持有的房地产。本公司投资性房地产包括已出租的土地使用 权、持有并准备增值后转让的土地使用权、已出租的建筑物。</w:t>
      </w:r>
    </w:p>
    <w:p>
      <w:pPr>
        <w:spacing w:line="240" w:lineRule="auto" w:before="12"/>
        <w:rPr>
          <w:rFonts w:ascii="宋体" w:hAnsi="宋体" w:cs="宋体" w:eastAsia="宋体" w:hint="default"/>
          <w:sz w:val="17"/>
          <w:szCs w:val="17"/>
        </w:rPr>
      </w:pPr>
    </w:p>
    <w:p>
      <w:pPr>
        <w:pStyle w:val="BodyText"/>
        <w:spacing w:line="316" w:lineRule="auto"/>
        <w:ind w:left="153" w:right="189" w:firstLine="290"/>
        <w:jc w:val="both"/>
      </w:pPr>
      <w:r>
        <w:rPr>
          <w:spacing w:val="-1"/>
        </w:rPr>
        <w:t>本公司投资性房地产按照取得时的成本进行初始计量，与投资性房地产有关的后续支出，如果与该资产有关的经济利益</w:t>
      </w:r>
      <w:r>
        <w:rPr/>
        <w:t> </w:t>
      </w:r>
      <w:r>
        <w:rPr>
          <w:spacing w:val="-2"/>
        </w:rPr>
        <w:t>很可能流入且其成本能可靠地计量，则计入投资性房地产成本，其他后续支出，在发生时计入当期损益。并按照固定资产或</w:t>
      </w:r>
      <w:r>
        <w:rPr>
          <w:spacing w:val="-66"/>
        </w:rPr>
        <w:t> </w:t>
      </w:r>
      <w:r>
        <w:rPr>
          <w:spacing w:val="-66"/>
        </w:rPr>
      </w:r>
      <w:r>
        <w:rPr/>
        <w:t>无形资产的有关规定，按期计提折旧或摊销。</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418"/>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418"/>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0" w:firstLine="450"/>
        <w:jc w:val="left"/>
      </w:pPr>
      <w:r>
        <w:rPr/>
        <w:t>本公司固定资产是指为生产商品、提供劳务、出租或经营管理而持有的，使用寿命超过一个会计年度的有形资产。与 该固定资产有关的经济利益很可能流入企业，并且该固定资产的成本能够可靠地计量时，固定资产才能予以确认。</w:t>
      </w:r>
    </w:p>
    <w:p>
      <w:pPr>
        <w:pStyle w:val="BodyText"/>
        <w:spacing w:line="240" w:lineRule="auto" w:before="56"/>
        <w:ind w:left="603" w:right="418"/>
        <w:jc w:val="left"/>
      </w:pPr>
      <w:r>
        <w:rPr/>
        <w:t>本公司固定资产按照取得时的实际成本进行初始计量。</w:t>
      </w:r>
    </w:p>
    <w:p>
      <w:pPr>
        <w:spacing w:line="240" w:lineRule="auto" w:before="11"/>
        <w:rPr>
          <w:rFonts w:ascii="宋体" w:hAnsi="宋体" w:cs="宋体" w:eastAsia="宋体" w:hint="default"/>
          <w:sz w:val="26"/>
          <w:szCs w:val="26"/>
        </w:rPr>
      </w:pPr>
    </w:p>
    <w:p>
      <w:pPr>
        <w:pStyle w:val="Heading3"/>
        <w:spacing w:line="240" w:lineRule="auto"/>
        <w:ind w:right="418"/>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6.47-2.43</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11.88-3.39</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11.88-7.92</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bl>
    <w:p>
      <w:pPr>
        <w:spacing w:line="240" w:lineRule="auto" w:before="2"/>
        <w:rPr>
          <w:rFonts w:ascii="宋体" w:hAnsi="宋体" w:cs="宋体" w:eastAsia="宋体" w:hint="default"/>
          <w:b/>
          <w:bCs/>
          <w:sz w:val="19"/>
          <w:szCs w:val="19"/>
        </w:rPr>
      </w:pPr>
    </w:p>
    <w:p>
      <w:pPr>
        <w:pStyle w:val="Heading3"/>
        <w:spacing w:line="240" w:lineRule="auto" w:before="35"/>
        <w:ind w:right="418"/>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01" w:firstLine="540"/>
        <w:jc w:val="both"/>
      </w:pPr>
      <w:r>
        <w:rPr>
          <w:spacing w:val="-4"/>
        </w:rPr>
        <w:t>融资租入的固定资产，能够合理确定租赁期届满时将会取得租赁资产所有权的，在租赁资产尚可使用年限内计提折旧；</w:t>
      </w:r>
      <w:r>
        <w:rPr/>
        <w:t> 无法合理确定租赁期届满时能够取得租赁资产所有权的，在租赁期与租赁资产尚可使用年限两者中较短的期间内计提折旧。 每年年度终了，本公司对固定资产的使用寿命、预计净残值和折旧方法进行复核。使用寿命预计数与原先估计数有差异的， 调整固定资产使用寿命；预计净残值预计数与原先估计数有差异的，调整预计净残值。</w:t>
      </w:r>
    </w:p>
    <w:p>
      <w:pPr>
        <w:spacing w:line="240" w:lineRule="auto" w:before="3"/>
        <w:rPr>
          <w:rFonts w:ascii="宋体" w:hAnsi="宋体" w:cs="宋体" w:eastAsia="宋体" w:hint="default"/>
          <w:sz w:val="22"/>
          <w:szCs w:val="22"/>
        </w:rPr>
      </w:pPr>
    </w:p>
    <w:p>
      <w:pPr>
        <w:pStyle w:val="Heading3"/>
        <w:spacing w:line="240" w:lineRule="auto"/>
        <w:ind w:right="418"/>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91" w:firstLine="360"/>
        <w:jc w:val="both"/>
      </w:pPr>
      <w:r>
        <w:rPr>
          <w:spacing w:val="-2"/>
        </w:rPr>
        <w:t>本公司在建工程成本按实际工程支出确定﹐包括在建期间发生的各项必要工程支出、工程达到预定可使用状态前的应予</w:t>
      </w:r>
      <w:r>
        <w:rPr/>
        <w:t> 资本化的借款费用以及其他相关费用等。</w:t>
      </w:r>
    </w:p>
    <w:p>
      <w:pPr>
        <w:spacing w:line="240" w:lineRule="auto" w:before="12"/>
        <w:rPr>
          <w:rFonts w:ascii="宋体" w:hAnsi="宋体" w:cs="宋体" w:eastAsia="宋体" w:hint="default"/>
          <w:sz w:val="17"/>
          <w:szCs w:val="17"/>
        </w:rPr>
      </w:pPr>
    </w:p>
    <w:p>
      <w:pPr>
        <w:pStyle w:val="BodyText"/>
        <w:spacing w:line="240" w:lineRule="auto"/>
        <w:ind w:left="513" w:right="418"/>
        <w:jc w:val="left"/>
      </w:pPr>
      <w:r>
        <w:rPr/>
        <w:t>在建工程在达到预定可使用状态时转入固定资产。</w:t>
      </w:r>
    </w:p>
    <w:p>
      <w:pPr>
        <w:spacing w:line="240" w:lineRule="auto" w:before="12"/>
        <w:rPr>
          <w:rFonts w:ascii="宋体" w:hAnsi="宋体" w:cs="宋体" w:eastAsia="宋体" w:hint="default"/>
          <w:sz w:val="26"/>
          <w:szCs w:val="26"/>
        </w:rPr>
      </w:pPr>
    </w:p>
    <w:p>
      <w:pPr>
        <w:pStyle w:val="Heading3"/>
        <w:spacing w:line="240" w:lineRule="auto"/>
        <w:ind w:right="418"/>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left="153" w:right="19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91"/>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240" w:lineRule="auto" w:before="19"/>
        <w:ind w:right="418"/>
        <w:jc w:val="left"/>
      </w:pPr>
      <w:r>
        <w:rPr/>
        <w:t>性房地产和存货等资产。</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98" w:firstLine="360"/>
        <w:jc w:val="both"/>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 本化，直至资产的购建或生产活动重新开始。</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本公司无形资产按照成本进行初始计量，并于取得无形资产时分析判断其使用寿命。使用寿命为有限的，自无形资产可</w:t>
      </w:r>
      <w:r>
        <w:rPr/>
        <w:t> </w:t>
      </w:r>
      <w:r>
        <w:rPr>
          <w:spacing w:val="-2"/>
        </w:rPr>
        <w:t>供使用时起，采用能反映与该资产有关的经济利益的预期实现方式的摊销方法，在预计使用年限内摊销；无法可靠确定预期</w:t>
      </w:r>
      <w:r>
        <w:rPr>
          <w:spacing w:val="-66"/>
        </w:rPr>
        <w:t> </w:t>
      </w:r>
      <w:r>
        <w:rPr>
          <w:spacing w:val="-66"/>
        </w:rPr>
      </w:r>
      <w:r>
        <w:rPr/>
        <w:t>实现方式的，采用直线法摊销；使用寿命不确定的无形资产，不作摊销。</w:t>
      </w:r>
    </w:p>
    <w:p>
      <w:pPr>
        <w:pStyle w:val="BodyText"/>
        <w:spacing w:line="316" w:lineRule="auto" w:before="19"/>
        <w:ind w:left="153" w:right="191" w:firstLine="360"/>
        <w:jc w:val="both"/>
      </w:pPr>
      <w:r>
        <w:rPr>
          <w:spacing w:val="-2"/>
        </w:rPr>
        <w:t>本公司于每年年度终了，对使用寿命有限的无形资产的使用寿命及摊销方法进行复核，与以前估计不同的，调整原先估</w:t>
      </w:r>
      <w:r>
        <w:rPr/>
        <w:t> 计数，并按会计估计变更处理。</w:t>
      </w:r>
    </w:p>
    <w:p>
      <w:pPr>
        <w:pStyle w:val="BodyText"/>
        <w:spacing w:line="240" w:lineRule="auto" w:before="19"/>
        <w:ind w:left="513" w:right="91"/>
        <w:jc w:val="left"/>
      </w:pPr>
      <w:r>
        <w:rPr/>
        <w:t>本公司期末预计某项无形资产已经不能给企业带来未来经济利益的，将该项无形资产的账面价值全部转入当期损益。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77"/>
        <w:jc w:val="left"/>
      </w:pPr>
      <w:r>
        <w:rPr/>
        <w:t>本公司将内部研究开发项目的支出，区分为研究阶段支出和开发阶段支出。 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316" w:lineRule="auto" w:before="19"/>
        <w:ind w:left="153" w:right="189"/>
        <w:jc w:val="both"/>
      </w:pPr>
      <w:r>
        <w:rPr>
          <w:spacing w:val="-2"/>
        </w:rPr>
        <w:t>行性；具有完成该无形资产并使用或出售的意图；无形资产产生经济利益的方式，包括能够证明运用该无形资产生产的产品</w:t>
      </w:r>
      <w:r>
        <w:rPr>
          <w:spacing w:val="-66"/>
        </w:rPr>
        <w:t> </w:t>
      </w:r>
      <w:r>
        <w:rPr>
          <w:spacing w:val="-66"/>
        </w:rPr>
      </w:r>
      <w:r>
        <w:rPr>
          <w:spacing w:val="-2"/>
        </w:rPr>
        <w:t>存在市场或无形资产自身存在市场，无形资产将在内部使用的，能够证明其有用性；有足够的技术、财务资源和其他资源支</w:t>
      </w:r>
      <w:r>
        <w:rPr>
          <w:spacing w:val="-66"/>
        </w:rPr>
        <w:t> </w:t>
      </w:r>
      <w:r>
        <w:rPr>
          <w:spacing w:val="-66"/>
        </w:rPr>
      </w:r>
      <w:r>
        <w:rPr>
          <w:spacing w:val="-2"/>
        </w:rPr>
        <w:t>持，以完成该无形资产的开发，并有能力使用或出售该无形资产；归属于该无形资产开发阶段的支出能够可靠地计量。不满</w:t>
      </w:r>
      <w:r>
        <w:rPr>
          <w:spacing w:val="-66"/>
        </w:rPr>
        <w:t> </w:t>
      </w:r>
      <w:r>
        <w:rPr>
          <w:spacing w:val="-66"/>
        </w:rPr>
      </w:r>
      <w:r>
        <w:rPr/>
        <w:t>足上述条件的开发支出计入当期损益。</w:t>
      </w:r>
    </w:p>
    <w:p>
      <w:pPr>
        <w:pStyle w:val="BodyText"/>
        <w:spacing w:line="240" w:lineRule="auto" w:before="19"/>
        <w:ind w:left="513" w:right="418"/>
        <w:jc w:val="left"/>
      </w:pPr>
      <w:r>
        <w:rPr/>
        <w:t>本公司相应项目在满足上述条件，通过技术可行性及经济可行性研究，形成项目立项后，进入开发阶段。</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434"/>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spacing w:line="240" w:lineRule="auto" w:before="12"/>
        <w:rPr>
          <w:rFonts w:ascii="宋体" w:hAnsi="宋体" w:cs="宋体" w:eastAsia="宋体" w:hint="default"/>
          <w:sz w:val="17"/>
          <w:szCs w:val="17"/>
        </w:rPr>
      </w:pPr>
    </w:p>
    <w:p>
      <w:pPr>
        <w:pStyle w:val="BodyText"/>
        <w:spacing w:line="316" w:lineRule="auto"/>
        <w:ind w:left="153" w:right="189" w:firstLine="434"/>
        <w:jc w:val="both"/>
      </w:pPr>
      <w:r>
        <w:rPr/>
        <w:t>减值测试结果表明资产的可收回金额低于其账面价值的，按其差额计提减值准备并计入减值损失。可收回金额为资产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spacing w:line="240" w:lineRule="auto" w:before="12"/>
        <w:rPr>
          <w:rFonts w:ascii="宋体" w:hAnsi="宋体" w:cs="宋体" w:eastAsia="宋体" w:hint="default"/>
          <w:sz w:val="17"/>
          <w:szCs w:val="17"/>
        </w:rPr>
      </w:pPr>
    </w:p>
    <w:p>
      <w:pPr>
        <w:pStyle w:val="BodyText"/>
        <w:spacing w:line="316" w:lineRule="auto"/>
        <w:ind w:left="153" w:right="190" w:firstLine="434"/>
        <w:jc w:val="both"/>
      </w:pPr>
      <w:r>
        <w:rPr/>
        <w:t>在财务报表中单独列示的商誉，在进行减值测试时，将商誉的账面价值分摊至预期从企业合并的协同效应中受益的资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660" w:right="418"/>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418"/>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 w:firstLine="360"/>
        <w:jc w:val="left"/>
      </w:pPr>
      <w:r>
        <w:rPr>
          <w:spacing w:val="-2"/>
        </w:rPr>
        <w:t>本公司发生的长期待摊费用按实际成本计价，并按预计受益期限平均摊销。对不能使以后会计期间受益的长期待摊费用</w:t>
      </w:r>
      <w:r>
        <w:rPr/>
        <w:t> 项目，其摊余价值全部计入当期损益。</w:t>
      </w:r>
    </w:p>
    <w:p>
      <w:pPr>
        <w:spacing w:line="240" w:lineRule="auto" w:before="7"/>
        <w:rPr>
          <w:rFonts w:ascii="宋体" w:hAnsi="宋体" w:cs="宋体" w:eastAsia="宋体" w:hint="default"/>
          <w:sz w:val="22"/>
          <w:szCs w:val="22"/>
        </w:rPr>
      </w:pPr>
    </w:p>
    <w:p>
      <w:pPr>
        <w:pStyle w:val="Heading3"/>
        <w:spacing w:line="240" w:lineRule="auto"/>
        <w:ind w:right="418"/>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418"/>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418"/>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 w:firstLine="360"/>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418"/>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12"/>
        <w:rPr>
          <w:rFonts w:ascii="宋体" w:hAnsi="宋体" w:cs="宋体" w:eastAsia="宋体" w:hint="default"/>
          <w:sz w:val="17"/>
          <w:szCs w:val="17"/>
        </w:rPr>
      </w:pPr>
    </w:p>
    <w:p>
      <w:pPr>
        <w:pStyle w:val="BodyText"/>
        <w:spacing w:line="316" w:lineRule="auto"/>
        <w:ind w:right="91" w:firstLine="433"/>
        <w:jc w:val="left"/>
      </w:pPr>
      <w:r>
        <w:rPr/>
        <w:t>职工内部退休计划采用上述辞退福利相同的原则处理。本公司将自职工停止提供服务日至正常退休日的期间拟支付的 内退人员工资和缴纳的社会保险费等，在符合预计负债确认条件时，计入当期损益（辞退福利）。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418"/>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418"/>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18"/>
        <w:jc w:val="left"/>
      </w:pPr>
      <w:r>
        <w:rPr/>
        <w:t>如果与或有事项相关的义务同时符合以下条件，本公司将其确认为预计负债：</w:t>
      </w:r>
    </w:p>
    <w:p>
      <w:pPr>
        <w:spacing w:line="240" w:lineRule="auto" w:before="5"/>
        <w:rPr>
          <w:rFonts w:ascii="宋体" w:hAnsi="宋体" w:cs="宋体" w:eastAsia="宋体" w:hint="default"/>
          <w:sz w:val="22"/>
          <w:szCs w:val="22"/>
        </w:rPr>
      </w:pPr>
    </w:p>
    <w:p>
      <w:pPr>
        <w:pStyle w:val="BodyText"/>
        <w:spacing w:line="240" w:lineRule="auto"/>
        <w:ind w:left="513" w:right="418"/>
        <w:jc w:val="left"/>
      </w:pPr>
      <w:r>
        <w:rPr/>
        <w:t>（</w:t>
      </w:r>
      <w:r>
        <w:rPr>
          <w:rFonts w:ascii="Times New Roman" w:hAnsi="Times New Roman" w:cs="Times New Roman" w:eastAsia="Times New Roman" w:hint="default"/>
        </w:rPr>
        <w:t>1</w:t>
      </w:r>
      <w:r>
        <w:rPr/>
        <w:t>）该义务是本公司承担的现时义务；</w:t>
      </w:r>
    </w:p>
    <w:p>
      <w:pPr>
        <w:spacing w:line="240" w:lineRule="auto" w:before="4"/>
        <w:rPr>
          <w:rFonts w:ascii="宋体" w:hAnsi="宋体" w:cs="宋体" w:eastAsia="宋体" w:hint="default"/>
          <w:sz w:val="21"/>
          <w:szCs w:val="21"/>
        </w:rPr>
      </w:pPr>
    </w:p>
    <w:p>
      <w:pPr>
        <w:pStyle w:val="BodyText"/>
        <w:spacing w:line="240" w:lineRule="auto"/>
        <w:ind w:left="513" w:right="418"/>
        <w:jc w:val="left"/>
      </w:pPr>
      <w:r>
        <w:rPr/>
        <w:t>（</w:t>
      </w:r>
      <w:r>
        <w:rPr>
          <w:rFonts w:ascii="Times New Roman" w:hAnsi="Times New Roman" w:cs="Times New Roman" w:eastAsia="Times New Roman" w:hint="default"/>
        </w:rPr>
        <w:t>2</w:t>
      </w:r>
      <w:r>
        <w:rPr/>
        <w:t>）该义务的履行很可能导致经济利益流出本公司；</w:t>
      </w:r>
    </w:p>
    <w:p>
      <w:pPr>
        <w:spacing w:line="240" w:lineRule="auto" w:before="4"/>
        <w:rPr>
          <w:rFonts w:ascii="宋体" w:hAnsi="宋体" w:cs="宋体" w:eastAsia="宋体" w:hint="default"/>
          <w:sz w:val="21"/>
          <w:szCs w:val="21"/>
        </w:rPr>
      </w:pPr>
    </w:p>
    <w:p>
      <w:pPr>
        <w:pStyle w:val="BodyText"/>
        <w:spacing w:line="508" w:lineRule="auto"/>
        <w:ind w:left="513" w:right="91"/>
        <w:jc w:val="left"/>
      </w:pPr>
      <w:r>
        <w:rPr/>
        <w:t>（</w:t>
      </w:r>
      <w:r>
        <w:rPr>
          <w:rFonts w:ascii="Times New Roman" w:hAnsi="Times New Roman" w:cs="Times New Roman" w:eastAsia="Times New Roman" w:hint="default"/>
        </w:rPr>
        <w:t>3</w:t>
      </w:r>
      <w:r>
        <w:rPr/>
        <w:t>）该义务的金额能够可靠地计量。 </w:t>
      </w:r>
      <w:r>
        <w:rPr>
          <w:spacing w:val="-2"/>
        </w:rPr>
        <w:t>如果清偿已确认预计负债所需支出全部或部分预期由第三方或其他方补偿，则补偿金额只能在基本确定能收到时，作为</w:t>
      </w:r>
    </w:p>
    <w:p>
      <w:pPr>
        <w:spacing w:after="0" w:line="508"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418"/>
        <w:jc w:val="left"/>
      </w:pPr>
      <w:r>
        <w:rPr/>
        <w:t>资产单独确认。确认的补偿金额不超过所确认负债的账面价值。</w:t>
      </w:r>
    </w:p>
    <w:p>
      <w:pPr>
        <w:spacing w:line="240" w:lineRule="auto" w:before="12"/>
        <w:rPr>
          <w:rFonts w:ascii="宋体" w:hAnsi="宋体" w:cs="宋体" w:eastAsia="宋体" w:hint="default"/>
          <w:sz w:val="26"/>
          <w:szCs w:val="26"/>
        </w:rPr>
      </w:pPr>
    </w:p>
    <w:p>
      <w:pPr>
        <w:pStyle w:val="Heading3"/>
        <w:spacing w:line="240" w:lineRule="auto"/>
        <w:ind w:right="418"/>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508" w:lineRule="auto"/>
        <w:ind w:left="513" w:right="3871"/>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240" w:lineRule="auto" w:before="91"/>
        <w:ind w:left="513" w:right="418"/>
        <w:jc w:val="left"/>
      </w:pPr>
      <w:r>
        <w:rPr/>
        <w:t>（</w:t>
      </w:r>
      <w:r>
        <w:rPr>
          <w:rFonts w:ascii="Times New Roman" w:hAnsi="Times New Roman" w:cs="Times New Roman" w:eastAsia="Times New Roman" w:hint="default"/>
        </w:rPr>
        <w:t>2</w:t>
      </w:r>
      <w:r>
        <w:rPr/>
        <w:t>）权益工具公允价值的确定方法</w:t>
      </w:r>
    </w:p>
    <w:p>
      <w:pPr>
        <w:spacing w:line="240" w:lineRule="auto" w:before="4"/>
        <w:rPr>
          <w:rFonts w:ascii="宋体" w:hAnsi="宋体" w:cs="宋体" w:eastAsia="宋体" w:hint="default"/>
          <w:sz w:val="21"/>
          <w:szCs w:val="21"/>
        </w:rPr>
      </w:pPr>
    </w:p>
    <w:p>
      <w:pPr>
        <w:pStyle w:val="BodyText"/>
        <w:spacing w:line="316" w:lineRule="auto"/>
        <w:ind w:left="153" w:right="91" w:firstLine="360"/>
        <w:jc w:val="left"/>
      </w:pPr>
      <w:r>
        <w:rPr>
          <w:spacing w:val="-2"/>
        </w:rPr>
        <w:t>本公司对于授予的存在活跃市场的期权等权益工具，按照活跃市场中的报价确定其公允价值。对于授予的不存在活跃市</w:t>
      </w:r>
      <w:r>
        <w:rPr/>
        <w:t> 场的期权等权益工具，采用期权定价模型等确定其公允价值。</w:t>
      </w:r>
    </w:p>
    <w:p>
      <w:pPr>
        <w:pStyle w:val="BodyText"/>
        <w:spacing w:line="528" w:lineRule="exact" w:before="22"/>
        <w:ind w:left="513" w:right="91"/>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等待期内每个资产负债表日，本公司根据最新取得的可行权职工人数变动等后续信息作出最佳估计，修正预计可行权的</w:t>
      </w:r>
    </w:p>
    <w:p>
      <w:pPr>
        <w:pStyle w:val="BodyText"/>
        <w:spacing w:line="232" w:lineRule="exact"/>
        <w:ind w:left="153" w:right="418"/>
        <w:jc w:val="left"/>
      </w:pPr>
      <w:r>
        <w:rPr/>
        <w:t>权益工具数量。在可行权日，最终预计可行权权益工具的数量应当与实际可行权数量一致。</w:t>
      </w:r>
    </w:p>
    <w:p>
      <w:pPr>
        <w:spacing w:line="240" w:lineRule="auto" w:before="12"/>
        <w:rPr>
          <w:rFonts w:ascii="宋体" w:hAnsi="宋体" w:cs="宋体" w:eastAsia="宋体" w:hint="default"/>
          <w:sz w:val="26"/>
          <w:szCs w:val="26"/>
        </w:rPr>
      </w:pPr>
    </w:p>
    <w:p>
      <w:pPr>
        <w:pStyle w:val="Heading3"/>
        <w:spacing w:line="240" w:lineRule="auto"/>
        <w:ind w:right="418"/>
        <w:jc w:val="left"/>
        <w:rPr>
          <w:b w:val="0"/>
          <w:bCs w:val="0"/>
        </w:rPr>
      </w:pPr>
      <w:r>
        <w:rPr>
          <w:rFonts w:ascii="Times New Roman" w:hAnsi="Times New Roman" w:cs="Times New Roman" w:eastAsia="Times New Roman" w:hint="default"/>
        </w:rPr>
        <w:t>24</w:t>
      </w:r>
      <w:r>
        <w:rPr/>
        <w:t>、收入</w:t>
      </w:r>
      <w:r>
        <w:rPr>
          <w:b w:val="0"/>
          <w:bCs w:val="0"/>
        </w:rPr>
      </w:r>
    </w:p>
    <w:p>
      <w:pPr>
        <w:pStyle w:val="BodyText"/>
        <w:spacing w:line="510" w:lineRule="atLeast" w:before="86"/>
        <w:ind w:left="444" w:right="91" w:hanging="57"/>
        <w:jc w:val="left"/>
      </w:pPr>
      <w:r>
        <w:rPr/>
        <w:t>（</w:t>
      </w:r>
      <w:r>
        <w:rPr>
          <w:rFonts w:ascii="Times New Roman" w:hAnsi="Times New Roman" w:cs="Times New Roman" w:eastAsia="Times New Roman" w:hint="default"/>
        </w:rPr>
        <w:t>1</w:t>
      </w:r>
      <w:r>
        <w:rPr/>
        <w:t>）销售商品 </w:t>
      </w:r>
      <w:r>
        <w:rPr>
          <w:spacing w:val="-1"/>
        </w:rPr>
        <w:t>对已将商品所有权上的主要风险或报酬转移给购货方，不再对该商品实施继续管理权和实际控制权，相关的收入已经取</w:t>
      </w:r>
    </w:p>
    <w:p>
      <w:pPr>
        <w:pStyle w:val="BodyText"/>
        <w:spacing w:line="240" w:lineRule="auto" w:before="76"/>
        <w:ind w:right="418"/>
        <w:jc w:val="left"/>
      </w:pPr>
      <w:r>
        <w:rPr/>
        <w:t>得或取得了收款的凭据，且与销售该商品有关的成本能够可靠地计量时，本公司确认商品销售收入的实现。</w:t>
      </w:r>
    </w:p>
    <w:p>
      <w:pPr>
        <w:spacing w:line="240" w:lineRule="auto" w:before="5"/>
        <w:rPr>
          <w:rFonts w:ascii="宋体" w:hAnsi="宋体" w:cs="宋体" w:eastAsia="宋体" w:hint="default"/>
          <w:sz w:val="22"/>
          <w:szCs w:val="22"/>
        </w:rPr>
      </w:pPr>
    </w:p>
    <w:p>
      <w:pPr>
        <w:pStyle w:val="BodyText"/>
        <w:spacing w:line="316" w:lineRule="auto"/>
        <w:ind w:left="153" w:right="91" w:firstLine="290"/>
        <w:jc w:val="left"/>
      </w:pPr>
      <w:r>
        <w:rPr/>
        <w:t>公司商品销售收入分为内销销售收入和外销销售收入，内销销售收入确认的具体原则为：商品已发出，并取得货权转移 </w:t>
      </w:r>
      <w:r>
        <w:rPr>
          <w:spacing w:val="-4"/>
        </w:rPr>
        <w:t>的凭证，发票账单已交付，已收讫全部或部分货款或预计可收回货款，成本能够可靠计量；外销销售收入确认的具体原则为：</w:t>
      </w:r>
      <w:r>
        <w:rPr>
          <w:spacing w:val="-46"/>
        </w:rPr>
        <w:t> </w:t>
      </w:r>
      <w:r>
        <w:rPr>
          <w:spacing w:val="-46"/>
        </w:rPr>
      </w:r>
      <w:r>
        <w:rPr/>
        <w:t>取得商品出运运单，并向银行办理完毕交单手续。</w:t>
      </w:r>
    </w:p>
    <w:p>
      <w:pPr>
        <w:spacing w:line="240" w:lineRule="auto" w:before="12"/>
        <w:rPr>
          <w:rFonts w:ascii="宋体" w:hAnsi="宋体" w:cs="宋体" w:eastAsia="宋体" w:hint="default"/>
          <w:sz w:val="17"/>
          <w:szCs w:val="17"/>
        </w:rPr>
      </w:pPr>
    </w:p>
    <w:p>
      <w:pPr>
        <w:pStyle w:val="BodyText"/>
        <w:spacing w:line="508" w:lineRule="auto"/>
        <w:ind w:left="444" w:right="2320" w:hanging="291"/>
        <w:jc w:val="left"/>
      </w:pPr>
      <w:r>
        <w:rPr/>
        <w:t>（</w:t>
      </w:r>
      <w:r>
        <w:rPr>
          <w:rFonts w:ascii="Times New Roman" w:hAnsi="Times New Roman" w:cs="Times New Roman" w:eastAsia="Times New Roman" w:hint="default"/>
        </w:rPr>
        <w:t>2</w:t>
      </w:r>
      <w:r>
        <w:rPr/>
        <w:t>）提供劳务 对在提供劳务交易的结果能够可靠估计的情况下，本公司在期末按完工百分比法确认收入。</w:t>
      </w:r>
    </w:p>
    <w:p>
      <w:pPr>
        <w:pStyle w:val="BodyText"/>
        <w:spacing w:line="316" w:lineRule="auto" w:before="91"/>
        <w:ind w:left="153" w:right="91" w:firstLine="290"/>
        <w:jc w:val="left"/>
      </w:pPr>
      <w:r>
        <w:rPr>
          <w:spacing w:val="-1"/>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spacing w:line="240" w:lineRule="auto" w:before="12"/>
        <w:rPr>
          <w:rFonts w:ascii="宋体" w:hAnsi="宋体" w:cs="宋体" w:eastAsia="宋体" w:hint="default"/>
          <w:sz w:val="17"/>
          <w:szCs w:val="17"/>
        </w:rPr>
      </w:pPr>
    </w:p>
    <w:p>
      <w:pPr>
        <w:pStyle w:val="BodyText"/>
        <w:spacing w:line="316" w:lineRule="auto"/>
        <w:ind w:left="153" w:right="191" w:firstLine="290"/>
        <w:jc w:val="both"/>
      </w:pPr>
      <w:r>
        <w:rPr>
          <w:spacing w:val="-1"/>
        </w:rPr>
        <w:t>本公司与其他企业签订的合同或协议包括销售商品和提供劳务时，如销售商品部分和提供劳务部分能够区分并单独计量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spacing w:line="240" w:lineRule="auto" w:before="12"/>
        <w:rPr>
          <w:rFonts w:ascii="宋体" w:hAnsi="宋体" w:cs="宋体" w:eastAsia="宋体" w:hint="default"/>
          <w:sz w:val="17"/>
          <w:szCs w:val="17"/>
        </w:rPr>
      </w:pPr>
    </w:p>
    <w:p>
      <w:pPr>
        <w:pStyle w:val="BodyText"/>
        <w:spacing w:line="508" w:lineRule="auto"/>
        <w:ind w:left="444" w:right="1960" w:hanging="57"/>
        <w:jc w:val="left"/>
      </w:pPr>
      <w:r>
        <w:rPr/>
        <w:t>（</w:t>
      </w:r>
      <w:r>
        <w:rPr>
          <w:rFonts w:ascii="Times New Roman" w:hAnsi="Times New Roman" w:cs="Times New Roman" w:eastAsia="Times New Roman" w:hint="default"/>
        </w:rPr>
        <w:t>3</w:t>
      </w:r>
      <w:r>
        <w:rPr/>
        <w:t>）让渡资产使用权 与资产使用权让渡相关的经济利益能够流入及收入的金额能够可靠地计量时，本公司确认收入。</w:t>
      </w:r>
    </w:p>
    <w:p>
      <w:pPr>
        <w:pStyle w:val="Heading3"/>
        <w:spacing w:line="240" w:lineRule="auto" w:before="150"/>
        <w:ind w:right="418"/>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418"/>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对于货币性资产的政府补助，按照收到或应收的金额计量。其中，存在确凿证据表明该项补助是按照固定的定额标准拨</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付的，可以按照应收的金额计量，否则按照实际收到的金额计量。对于非货币性资产的政府补助，按照公允价值计量；公允</w:t>
      </w:r>
      <w:r>
        <w:rPr>
          <w:spacing w:val="-66"/>
        </w:rPr>
        <w:t> </w:t>
      </w:r>
      <w:r>
        <w:rPr>
          <w:spacing w:val="-66"/>
        </w:rPr>
      </w:r>
      <w:r>
        <w:rPr/>
        <w:t>价值不能够可靠取得的，按照名义金额</w:t>
      </w:r>
      <w:r>
        <w:rPr>
          <w:rFonts w:ascii="Times New Roman" w:hAnsi="Times New Roman" w:cs="Times New Roman" w:eastAsia="Times New Roman" w:hint="default"/>
        </w:rPr>
        <w:t>1</w:t>
      </w:r>
      <w:r>
        <w:rPr/>
        <w:t>元计量。</w:t>
      </w:r>
    </w:p>
    <w:p>
      <w:pPr>
        <w:pStyle w:val="BodyText"/>
        <w:spacing w:line="240" w:lineRule="auto" w:before="40"/>
        <w:ind w:left="513" w:right="0"/>
        <w:jc w:val="left"/>
      </w:pPr>
      <w:r>
        <w:rPr/>
        <w:t>与资产相关的政府补助，确认为递延收益，并在相关资产使用期限内平均分配，计入当期损益。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spacing w:val="-2"/>
        </w:rPr>
        <w:t>与收益相关的政府补助，如果用于补偿已发生的相关费用或损失，则计入当期损益，如果用于补偿以后期间的相关费用</w:t>
      </w:r>
      <w:r>
        <w:rPr/>
        <w:t> </w:t>
      </w:r>
      <w:r>
        <w:rPr>
          <w:spacing w:val="-2"/>
        </w:rPr>
        <w:t>或损失，则计入递延收益，于费用确认期间计入当期损益。按照名义金额计量的政府补助，直接计入当期损益。若政府文件</w:t>
      </w:r>
      <w:r>
        <w:rPr>
          <w:spacing w:val="-66"/>
        </w:rPr>
        <w:t> </w:t>
      </w:r>
      <w:r>
        <w:rPr>
          <w:spacing w:val="-66"/>
        </w:rPr>
      </w:r>
      <w:r>
        <w:rPr/>
        <w:t>未明确规定补助对象，还需说明将该政府补助划分为与资产相关或与收益相关的判断依据。</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51" w:firstLine="360"/>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line="240" w:lineRule="auto" w:before="12"/>
        <w:rPr>
          <w:rFonts w:ascii="宋体" w:hAnsi="宋体" w:cs="宋体" w:eastAsia="宋体" w:hint="default"/>
          <w:sz w:val="17"/>
          <w:szCs w:val="17"/>
        </w:rPr>
      </w:pPr>
    </w:p>
    <w:p>
      <w:pPr>
        <w:pStyle w:val="BodyText"/>
        <w:spacing w:line="316" w:lineRule="auto"/>
        <w:ind w:left="153" w:right="149" w:firstLine="290"/>
        <w:jc w:val="both"/>
      </w:pPr>
      <w:r>
        <w:rPr>
          <w:spacing w:val="-1"/>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spacing w:line="240" w:lineRule="auto" w:before="12"/>
        <w:rPr>
          <w:rFonts w:ascii="宋体" w:hAnsi="宋体" w:cs="宋体" w:eastAsia="宋体" w:hint="default"/>
          <w:sz w:val="17"/>
          <w:szCs w:val="17"/>
        </w:rPr>
      </w:pPr>
    </w:p>
    <w:p>
      <w:pPr>
        <w:pStyle w:val="BodyText"/>
        <w:spacing w:line="316" w:lineRule="auto"/>
        <w:ind w:left="153" w:right="149" w:firstLine="290"/>
        <w:jc w:val="both"/>
      </w:pPr>
      <w:r>
        <w:rPr>
          <w:spacing w:val="-1"/>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spacing w:line="240" w:lineRule="auto" w:before="12"/>
        <w:rPr>
          <w:rFonts w:ascii="宋体" w:hAnsi="宋体" w:cs="宋体" w:eastAsia="宋体" w:hint="default"/>
          <w:sz w:val="17"/>
          <w:szCs w:val="17"/>
        </w:rPr>
      </w:pPr>
    </w:p>
    <w:p>
      <w:pPr>
        <w:pStyle w:val="BodyText"/>
        <w:spacing w:line="316" w:lineRule="auto"/>
        <w:ind w:left="153" w:right="151" w:firstLine="290"/>
        <w:jc w:val="both"/>
      </w:pPr>
      <w:r>
        <w:rPr>
          <w:spacing w:val="-1"/>
        </w:rPr>
        <w:t>对于能够结转以后年度的可抵扣亏损和税款抵减，以很可能获得用来抵扣可抵扣亏损和税款抵减的未来应纳税所得额为</w:t>
      </w:r>
      <w:r>
        <w:rPr/>
        <w:t> 限，确认相应的递延所得税资产。</w:t>
      </w:r>
    </w:p>
    <w:p>
      <w:pPr>
        <w:spacing w:line="240" w:lineRule="auto" w:before="12"/>
        <w:rPr>
          <w:rFonts w:ascii="宋体" w:hAnsi="宋体" w:cs="宋体" w:eastAsia="宋体" w:hint="default"/>
          <w:sz w:val="17"/>
          <w:szCs w:val="17"/>
        </w:rPr>
      </w:pPr>
    </w:p>
    <w:p>
      <w:pPr>
        <w:pStyle w:val="BodyText"/>
        <w:spacing w:line="316" w:lineRule="auto"/>
        <w:ind w:left="153" w:right="151" w:firstLine="290"/>
        <w:jc w:val="both"/>
      </w:pPr>
      <w:r>
        <w:rPr>
          <w:spacing w:val="-1"/>
        </w:rPr>
        <w:t>资产负债表日，对于递延所得税资产和递延所得税负债，根据税法规定，按照预期收回相关资产或清偿相关负债期间的</w:t>
      </w:r>
      <w:r>
        <w:rPr/>
        <w:t> 适用税率计量。</w:t>
      </w:r>
    </w:p>
    <w:p>
      <w:pPr>
        <w:spacing w:line="240" w:lineRule="auto" w:before="12"/>
        <w:rPr>
          <w:rFonts w:ascii="宋体" w:hAnsi="宋体" w:cs="宋体" w:eastAsia="宋体" w:hint="default"/>
          <w:sz w:val="17"/>
          <w:szCs w:val="17"/>
        </w:rPr>
      </w:pPr>
    </w:p>
    <w:p>
      <w:pPr>
        <w:pStyle w:val="BodyText"/>
        <w:spacing w:line="316" w:lineRule="auto"/>
        <w:ind w:left="153" w:right="150" w:firstLine="290"/>
        <w:jc w:val="both"/>
      </w:pPr>
      <w:r>
        <w:rPr>
          <w:spacing w:val="-1"/>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经营租赁的租金在租赁期内的各个期间按直线法计入相关资产成本或当期损益。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本公司将实质上转移了与资产所有权有关的全部风险和报酬的租赁确认为融资租赁</w:t>
      </w:r>
      <w:r>
        <w:rPr>
          <w:spacing w:val="-82"/>
        </w:rPr>
        <w:t>，</w:t>
      </w:r>
      <w:r>
        <w:rPr/>
        <w:t>除融资租赁之外的其他租赁确认为</w:t>
      </w:r>
    </w:p>
    <w:p>
      <w:pPr>
        <w:spacing w:after="0" w:line="240" w:lineRule="auto"/>
        <w:jc w:val="left"/>
        <w:sectPr>
          <w:footerReference w:type="default" r:id="rId22"/>
          <w:pgSz w:w="11910" w:h="16840"/>
          <w:pgMar w:footer="982" w:header="747" w:top="1060" w:bottom="1180" w:left="980" w:right="980"/>
          <w:pgNumType w:start="86"/>
        </w:sectPr>
      </w:pPr>
    </w:p>
    <w:p>
      <w:pPr>
        <w:spacing w:line="240" w:lineRule="auto" w:before="12"/>
        <w:rPr>
          <w:rFonts w:ascii="宋体" w:hAnsi="宋体" w:cs="宋体" w:eastAsia="宋体" w:hint="default"/>
          <w:sz w:val="25"/>
          <w:szCs w:val="25"/>
        </w:rPr>
      </w:pPr>
    </w:p>
    <w:p>
      <w:pPr>
        <w:pStyle w:val="BodyText"/>
        <w:spacing w:line="240" w:lineRule="auto" w:before="44"/>
        <w:ind w:left="233" w:right="0"/>
        <w:jc w:val="left"/>
      </w:pPr>
      <w:r>
        <w:rPr/>
        <w:t>经营租赁。</w:t>
      </w:r>
    </w:p>
    <w:p>
      <w:pPr>
        <w:spacing w:line="240" w:lineRule="auto" w:before="5"/>
        <w:rPr>
          <w:rFonts w:ascii="宋体" w:hAnsi="宋体" w:cs="宋体" w:eastAsia="宋体" w:hint="default"/>
          <w:sz w:val="22"/>
          <w:szCs w:val="22"/>
        </w:rPr>
      </w:pPr>
    </w:p>
    <w:p>
      <w:pPr>
        <w:pStyle w:val="BodyText"/>
        <w:spacing w:line="316" w:lineRule="auto"/>
        <w:ind w:left="233" w:right="0" w:firstLine="360"/>
        <w:jc w:val="left"/>
      </w:pPr>
      <w:r>
        <w:rPr>
          <w:spacing w:val="-2"/>
        </w:rPr>
        <w:t>在租赁期开始日，本公司将租赁开始日租赁资产公允价值与最低租赁付款额现值中较低者作为租入资产的入账价值，将</w:t>
      </w:r>
      <w:r>
        <w:rPr/>
        <w:t> 最低租赁付款额作为长期应付款的入账价值，其差额作为未确认融资费用。</w:t>
      </w:r>
    </w:p>
    <w:p>
      <w:pPr>
        <w:spacing w:line="240" w:lineRule="auto" w:before="7"/>
        <w:rPr>
          <w:rFonts w:ascii="宋体" w:hAnsi="宋体" w:cs="宋体" w:eastAsia="宋体" w:hint="default"/>
          <w:sz w:val="22"/>
          <w:szCs w:val="22"/>
        </w:rPr>
      </w:pPr>
    </w:p>
    <w:p>
      <w:pPr>
        <w:pStyle w:val="Heading3"/>
        <w:spacing w:line="240" w:lineRule="auto"/>
        <w:ind w:left="234" w:right="0"/>
        <w:jc w:val="left"/>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234" w:right="0"/>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4"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34"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3179"/>
        <w:gridCol w:w="3190"/>
        <w:gridCol w:w="3188"/>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 变更</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left="594" w:right="0"/>
        <w:jc w:val="left"/>
        <w:rPr>
          <w:rFonts w:ascii="Times New Roman" w:hAnsi="Times New Roman" w:cs="Times New Roman" w:eastAsia="Times New Roman" w:hint="default"/>
        </w:rPr>
      </w:pPr>
      <w:r>
        <w:rPr/>
        <w:t>①自</w:t>
      </w:r>
      <w:r>
        <w:rPr>
          <w:spacing w:val="-2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月</w:t>
      </w:r>
      <w:r>
        <w:rPr>
          <w:spacing w:val="-29"/>
        </w:rPr>
        <w:t> </w:t>
      </w:r>
      <w:r>
        <w:rPr>
          <w:rFonts w:ascii="Times New Roman" w:hAnsi="Times New Roman" w:cs="Times New Roman" w:eastAsia="Times New Roman" w:hint="default"/>
        </w:rPr>
        <w:t>26</w:t>
      </w:r>
      <w:r>
        <w:rPr>
          <w:rFonts w:ascii="Times New Roman" w:hAnsi="Times New Roman" w:cs="Times New Roman" w:eastAsia="Times New Roman" w:hint="default"/>
          <w:spacing w:val="16"/>
        </w:rPr>
        <w:t> </w:t>
      </w:r>
      <w:r>
        <w:rPr/>
        <w:t>日起</w:t>
      </w:r>
      <w:r>
        <w:rPr>
          <w:spacing w:val="-2"/>
        </w:rPr>
        <w:t>，</w:t>
      </w:r>
      <w:r>
        <w:rPr/>
        <w:t>财政部陆续修订和新颁布了《企业会计准则第</w:t>
      </w:r>
      <w:r>
        <w:rPr>
          <w:spacing w:val="-29"/>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号</w:t>
      </w:r>
      <w:r>
        <w:rPr>
          <w:rFonts w:ascii="Times New Roman" w:hAnsi="Times New Roman" w:cs="Times New Roman" w:eastAsia="Times New Roman" w:hint="default"/>
        </w:rPr>
        <w:t>—</w:t>
      </w:r>
      <w:r>
        <w:rPr>
          <w:spacing w:val="-2"/>
        </w:rPr>
        <w:t>长</w:t>
      </w:r>
      <w:r>
        <w:rPr/>
        <w:t>期股权投资</w:t>
      </w:r>
      <w:r>
        <w:rPr>
          <w:spacing w:val="-90"/>
        </w:rPr>
        <w:t>》、</w:t>
      </w:r>
      <w:r>
        <w:rPr/>
        <w:t>《企业会计准则第</w:t>
      </w:r>
      <w:r>
        <w:rPr>
          <w:spacing w:val="-29"/>
        </w:rPr>
        <w:t> </w:t>
      </w:r>
      <w:r>
        <w:rPr>
          <w:rFonts w:ascii="Times New Roman" w:hAnsi="Times New Roman" w:cs="Times New Roman" w:eastAsia="Times New Roman" w:hint="default"/>
        </w:rPr>
        <w:t>9</w:t>
      </w:r>
    </w:p>
    <w:p>
      <w:pPr>
        <w:pStyle w:val="BodyText"/>
        <w:spacing w:line="240" w:lineRule="auto" w:before="61"/>
        <w:ind w:left="233" w:right="0"/>
        <w:jc w:val="left"/>
        <w:rPr>
          <w:rFonts w:ascii="Times New Roman" w:hAnsi="Times New Roman" w:cs="Times New Roman" w:eastAsia="Times New Roman" w:hint="default"/>
        </w:rPr>
      </w:pPr>
      <w:r>
        <w:rPr/>
        <w:t>号</w:t>
      </w:r>
      <w:r>
        <w:rPr>
          <w:rFonts w:ascii="Times New Roman" w:hAnsi="Times New Roman" w:cs="Times New Roman" w:eastAsia="Times New Roman" w:hint="default"/>
        </w:rPr>
        <w:t>—</w:t>
      </w:r>
      <w:r>
        <w:rPr/>
        <w:t>职工薪酬</w:t>
      </w:r>
      <w:r>
        <w:rPr>
          <w:spacing w:val="-90"/>
        </w:rPr>
        <w:t>》、</w:t>
      </w:r>
      <w:r>
        <w:rPr/>
        <w:t>《企业会计准则第</w:t>
      </w:r>
      <w:r>
        <w:rPr>
          <w:spacing w:val="-35"/>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spacing w:val="1"/>
        </w:rPr>
        <w:t>财</w:t>
      </w:r>
      <w:r>
        <w:rPr/>
        <w:t>务报表列报</w:t>
      </w:r>
      <w:r>
        <w:rPr>
          <w:spacing w:val="-90"/>
        </w:rPr>
        <w:t>》、</w:t>
      </w:r>
      <w:r>
        <w:rPr/>
        <w:t>《企业会计准则第</w:t>
      </w:r>
      <w:r>
        <w:rPr>
          <w:spacing w:val="-35"/>
        </w:rPr>
        <w:t> </w:t>
      </w:r>
      <w:r>
        <w:rPr>
          <w:rFonts w:ascii="Times New Roman" w:hAnsi="Times New Roman" w:cs="Times New Roman" w:eastAsia="Times New Roman" w:hint="default"/>
        </w:rPr>
        <w:t>33</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spacing w:val="1"/>
        </w:rPr>
        <w:t>合</w:t>
      </w:r>
      <w:r>
        <w:rPr/>
        <w:t>并财务报表</w:t>
      </w:r>
      <w:r>
        <w:rPr>
          <w:spacing w:val="-90"/>
        </w:rPr>
        <w:t>》、</w:t>
      </w:r>
      <w:r>
        <w:rPr/>
        <w:t>《企业会计准则第</w:t>
      </w:r>
      <w:r>
        <w:rPr>
          <w:spacing w:val="-35"/>
        </w:rPr>
        <w:t> </w:t>
      </w:r>
      <w:r>
        <w:rPr>
          <w:rFonts w:ascii="Times New Roman" w:hAnsi="Times New Roman" w:cs="Times New Roman" w:eastAsia="Times New Roman" w:hint="default"/>
        </w:rPr>
        <w:t>39</w:t>
      </w:r>
    </w:p>
    <w:p>
      <w:pPr>
        <w:pStyle w:val="BodyText"/>
        <w:spacing w:line="240" w:lineRule="auto" w:before="63"/>
        <w:ind w:left="234" w:right="0"/>
        <w:jc w:val="left"/>
      </w:pPr>
      <w:r>
        <w:rPr/>
        <w:t>号</w:t>
      </w:r>
      <w:r>
        <w:rPr>
          <w:rFonts w:ascii="Times New Roman" w:hAnsi="Times New Roman" w:cs="Times New Roman" w:eastAsia="Times New Roman" w:hint="default"/>
        </w:rPr>
        <w:t>—</w:t>
      </w:r>
      <w:r>
        <w:rPr/>
        <w:t>公允价值计量</w:t>
      </w:r>
      <w:r>
        <w:rPr>
          <w:spacing w:val="-90"/>
        </w:rPr>
        <w:t>》</w:t>
      </w:r>
      <w:r>
        <w:rPr>
          <w:spacing w:val="-111"/>
        </w:rPr>
        <w:t>、</w:t>
      </w:r>
      <w:r>
        <w:rPr/>
        <w:t>《企业会计准则第</w:t>
      </w:r>
      <w:r>
        <w:rPr>
          <w:spacing w:val="-46"/>
        </w:rPr>
        <w:t> </w:t>
      </w:r>
      <w:r>
        <w:rPr>
          <w:rFonts w:ascii="Times New Roman" w:hAnsi="Times New Roman" w:cs="Times New Roman" w:eastAsia="Times New Roman" w:hint="default"/>
        </w:rPr>
        <w:t>40 </w:t>
      </w:r>
      <w:r>
        <w:rPr/>
        <w:t>号</w:t>
      </w:r>
      <w:r>
        <w:rPr>
          <w:rFonts w:ascii="Times New Roman" w:hAnsi="Times New Roman" w:cs="Times New Roman" w:eastAsia="Times New Roman" w:hint="default"/>
        </w:rPr>
        <w:t>—</w:t>
      </w:r>
      <w:r>
        <w:rPr/>
        <w:t>合营安排</w:t>
      </w:r>
      <w:r>
        <w:rPr>
          <w:spacing w:val="-21"/>
        </w:rPr>
        <w:t>》和</w:t>
      </w:r>
      <w:r>
        <w:rPr/>
        <w:t>《企业会计准则第</w:t>
      </w:r>
      <w:r>
        <w:rPr>
          <w:spacing w:val="-46"/>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t>在其他主体中权益的披露</w:t>
      </w:r>
      <w:r>
        <w:rPr>
          <w:spacing w:val="-21"/>
        </w:rPr>
        <w:t>》</w:t>
      </w:r>
      <w:r>
        <w:rPr/>
        <w:t>等七项具</w:t>
      </w:r>
    </w:p>
    <w:p>
      <w:pPr>
        <w:pStyle w:val="BodyText"/>
        <w:spacing w:line="240" w:lineRule="auto" w:before="63"/>
        <w:ind w:left="234" w:right="0"/>
        <w:jc w:val="left"/>
      </w:pPr>
      <w:r>
        <w:rPr/>
        <w:t>体准则，并要求自</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日起在所有执行企业会计准则的企业范围内施行。</w:t>
      </w:r>
    </w:p>
    <w:p>
      <w:pPr>
        <w:pStyle w:val="BodyText"/>
        <w:spacing w:line="300" w:lineRule="auto" w:before="63"/>
        <w:ind w:left="234" w:right="151" w:firstLine="360"/>
        <w:jc w:val="both"/>
      </w:pP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2"/>
        </w:rPr>
        <w:t>月，财政部修订了《企业会计准则第</w:t>
      </w:r>
      <w:r>
        <w:rPr>
          <w:spacing w:val="-45"/>
        </w:rPr>
        <w:t> </w:t>
      </w:r>
      <w:r>
        <w:rPr>
          <w:rFonts w:ascii="Times New Roman" w:hAnsi="Times New Roman" w:cs="Times New Roman" w:eastAsia="Times New Roman" w:hint="default"/>
        </w:rPr>
        <w:t>37 </w:t>
      </w:r>
      <w:r>
        <w:rPr>
          <w:spacing w:val="-4"/>
        </w:rPr>
        <w:t>号</w:t>
      </w:r>
      <w:r>
        <w:rPr>
          <w:rFonts w:ascii="Times New Roman" w:hAnsi="Times New Roman" w:cs="Times New Roman" w:eastAsia="Times New Roman" w:hint="default"/>
          <w:spacing w:val="-4"/>
        </w:rPr>
        <w:t>—</w:t>
      </w:r>
      <w:r>
        <w:rPr>
          <w:spacing w:val="-4"/>
        </w:rPr>
        <w:t>金融工具列报》，要求执行企业会计准则的企业应当在</w:t>
      </w:r>
      <w:r>
        <w:rPr>
          <w:spacing w:val="-45"/>
        </w:rPr>
        <w:t> </w:t>
      </w:r>
      <w:r>
        <w:rPr>
          <w:rFonts w:ascii="Times New Roman" w:hAnsi="Times New Roman" w:cs="Times New Roman" w:eastAsia="Times New Roman" w:hint="default"/>
        </w:rPr>
        <w:t>2014 </w:t>
      </w:r>
      <w:r>
        <w:rPr/>
        <w:t>年年 度及以后期间的财务报告中按照该准则要求对金融工具进行列报。</w:t>
      </w:r>
    </w:p>
    <w:p>
      <w:pPr>
        <w:pStyle w:val="BodyText"/>
        <w:spacing w:line="240" w:lineRule="auto" w:before="32"/>
        <w:ind w:left="59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日，财</w:t>
      </w:r>
      <w:r>
        <w:rPr>
          <w:spacing w:val="1"/>
        </w:rPr>
        <w:t>政</w:t>
      </w:r>
      <w:r>
        <w:rPr/>
        <w:t>部发布了《关于修改</w:t>
      </w:r>
      <w:r>
        <w:rPr>
          <w:rFonts w:ascii="Times New Roman" w:hAnsi="Times New Roman" w:cs="Times New Roman" w:eastAsia="Times New Roman" w:hint="default"/>
        </w:rPr>
        <w:t>&lt;</w:t>
      </w:r>
      <w:r>
        <w:rPr/>
        <w:t>企业会计准则</w:t>
      </w:r>
      <w:r>
        <w:rPr>
          <w:rFonts w:ascii="Times New Roman" w:hAnsi="Times New Roman" w:cs="Times New Roman" w:eastAsia="Times New Roman" w:hint="default"/>
        </w:rPr>
        <w:t>—</w:t>
      </w:r>
      <w:r>
        <w:rPr/>
        <w:t>基本准则</w:t>
      </w:r>
      <w:r>
        <w:rPr>
          <w:rFonts w:ascii="Times New Roman" w:hAnsi="Times New Roman" w:cs="Times New Roman" w:eastAsia="Times New Roman" w:hint="default"/>
        </w:rPr>
        <w:t>&gt;</w:t>
      </w:r>
      <w:r>
        <w:rPr/>
        <w:t>的决定</w:t>
      </w:r>
      <w:r>
        <w:rPr>
          <w:spacing w:val="-90"/>
        </w:rPr>
        <w:t>》</w:t>
      </w:r>
      <w:r>
        <w:rPr/>
        <w:t>，自公布之日起施行。</w:t>
      </w:r>
    </w:p>
    <w:p>
      <w:pPr>
        <w:pStyle w:val="BodyText"/>
        <w:spacing w:line="309" w:lineRule="auto" w:before="102"/>
        <w:ind w:left="234" w:right="149" w:firstLine="360"/>
        <w:jc w:val="both"/>
      </w:pPr>
      <w:r>
        <w:rPr/>
        <w:t>本公司于</w:t>
      </w:r>
      <w:r>
        <w:rPr>
          <w:spacing w:val="-3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30"/>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日开始执行前述除金融工具列报准则以外的</w:t>
      </w:r>
      <w:r>
        <w:rPr>
          <w:spacing w:val="-30"/>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项新颁布或修订的企业会计准则，在编制</w:t>
      </w:r>
      <w:r>
        <w:rPr>
          <w:spacing w:val="-30"/>
        </w:rPr>
        <w:t> </w:t>
      </w:r>
      <w:r>
        <w:rPr>
          <w:rFonts w:ascii="Times New Roman" w:hAnsi="Times New Roman" w:cs="Times New Roman" w:eastAsia="Times New Roman" w:hint="default"/>
        </w:rPr>
        <w:t>2014 </w:t>
      </w:r>
      <w:r>
        <w:rPr>
          <w:spacing w:val="-2"/>
        </w:rPr>
        <w:t>年年度财务报告时开始执行金融工具列报准则，并根据各准则衔接要求进行了调整，对当期和列报前期财务报表项目及金额</w:t>
      </w:r>
      <w:r>
        <w:rPr>
          <w:spacing w:val="-64"/>
        </w:rPr>
        <w:t> </w:t>
      </w:r>
      <w:r>
        <w:rPr>
          <w:spacing w:val="-64"/>
        </w:rPr>
      </w:r>
      <w:r>
        <w:rPr/>
        <w:t>的影响如下：</w:t>
      </w:r>
    </w:p>
    <w:p>
      <w:pPr>
        <w:spacing w:line="240" w:lineRule="auto" w:before="4"/>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1519"/>
        <w:gridCol w:w="4252"/>
        <w:gridCol w:w="1418"/>
        <w:gridCol w:w="1836"/>
      </w:tblGrid>
      <w:tr>
        <w:trPr>
          <w:trHeight w:val="722" w:hRule="exact"/>
        </w:trPr>
        <w:tc>
          <w:tcPr>
            <w:tcW w:w="151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55"/>
              <w:ind w:left="575" w:right="578"/>
              <w:jc w:val="center"/>
              <w:rPr>
                <w:rFonts w:ascii="宋体" w:hAnsi="宋体" w:cs="宋体" w:eastAsia="宋体" w:hint="default"/>
                <w:sz w:val="18"/>
                <w:szCs w:val="18"/>
              </w:rPr>
            </w:pPr>
            <w:r>
              <w:rPr>
                <w:rFonts w:ascii="宋体" w:hAnsi="宋体" w:cs="宋体" w:eastAsia="宋体" w:hint="default"/>
                <w:sz w:val="18"/>
                <w:szCs w:val="18"/>
              </w:rPr>
              <w:t>准则 名称</w:t>
            </w:r>
          </w:p>
        </w:tc>
        <w:tc>
          <w:tcPr>
            <w:tcW w:w="425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55"/>
              <w:ind w:left="1942" w:right="503" w:hanging="144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3254" w:type="dxa"/>
            <w:gridSpan w:val="2"/>
            <w:tcBorders>
              <w:top w:val="single" w:sz="12" w:space="0" w:color="000000"/>
              <w:left w:val="single" w:sz="2" w:space="0" w:color="000000"/>
              <w:bottom w:val="single" w:sz="2" w:space="0" w:color="000000"/>
              <w:right w:val="nil" w:sz="6" w:space="0" w:color="auto"/>
            </w:tcBorders>
          </w:tcPr>
          <w:p>
            <w:pPr>
              <w:pStyle w:val="TableParagraph"/>
              <w:spacing w:line="300" w:lineRule="auto" w:before="51"/>
              <w:ind w:left="818" w:right="98" w:hanging="713"/>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年度相关财务 报表项目的影响金额</w:t>
            </w:r>
          </w:p>
        </w:tc>
      </w:tr>
      <w:tr>
        <w:trPr>
          <w:trHeight w:val="749" w:hRule="exact"/>
        </w:trPr>
        <w:tc>
          <w:tcPr>
            <w:tcW w:w="1519" w:type="dxa"/>
            <w:vMerge/>
            <w:tcBorders>
              <w:left w:val="nil" w:sz="6" w:space="0" w:color="auto"/>
              <w:bottom w:val="single" w:sz="2" w:space="0" w:color="000000"/>
              <w:right w:val="single" w:sz="2" w:space="0" w:color="000000"/>
            </w:tcBorders>
          </w:tcPr>
          <w:p>
            <w:pPr/>
          </w:p>
        </w:tc>
        <w:tc>
          <w:tcPr>
            <w:tcW w:w="4252" w:type="dxa"/>
            <w:vMerge/>
            <w:tcBorders>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36" w:type="dxa"/>
            <w:tcBorders>
              <w:top w:val="single" w:sz="2" w:space="0" w:color="000000"/>
              <w:left w:val="single" w:sz="2" w:space="0" w:color="000000"/>
              <w:bottom w:val="single" w:sz="2" w:space="0" w:color="000000"/>
              <w:right w:val="nil" w:sz="6" w:space="0" w:color="auto"/>
            </w:tcBorders>
          </w:tcPr>
          <w:p>
            <w:pPr>
              <w:pStyle w:val="TableParagraph"/>
              <w:spacing w:line="357" w:lineRule="auto" w:before="51"/>
              <w:ind w:left="452" w:right="446" w:firstLine="106"/>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626" w:hRule="exact"/>
        </w:trPr>
        <w:tc>
          <w:tcPr>
            <w:tcW w:w="1519" w:type="dxa"/>
            <w:tcBorders>
              <w:top w:val="single" w:sz="2" w:space="0" w:color="000000"/>
              <w:left w:val="nil" w:sz="6" w:space="0" w:color="auto"/>
              <w:bottom w:val="nil" w:sz="6" w:space="0" w:color="auto"/>
              <w:right w:val="single" w:sz="2" w:space="0" w:color="000000"/>
            </w:tcBorders>
          </w:tcPr>
          <w:p>
            <w:pPr/>
          </w:p>
        </w:tc>
        <w:tc>
          <w:tcPr>
            <w:tcW w:w="425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pacing w:val="-6"/>
                <w:sz w:val="18"/>
                <w:szCs w:val="18"/>
              </w:rPr>
              <w:t>执行《企业会计准则第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长期股权投资（</w:t>
            </w:r>
            <w:r>
              <w:rPr>
                <w:rFonts w:ascii="Times New Roman" w:hAnsi="Times New Roman" w:cs="Times New Roman" w:eastAsia="Times New Roman" w:hint="default"/>
                <w:spacing w:val="-4"/>
                <w:sz w:val="18"/>
                <w:szCs w:val="18"/>
              </w:rPr>
              <w:t>2014</w:t>
            </w:r>
          </w:p>
        </w:tc>
        <w:tc>
          <w:tcPr>
            <w:tcW w:w="1418" w:type="dxa"/>
            <w:tcBorders>
              <w:top w:val="single" w:sz="2" w:space="0" w:color="000000"/>
              <w:left w:val="single" w:sz="2" w:space="0" w:color="000000"/>
              <w:bottom w:val="nil" w:sz="6" w:space="0" w:color="auto"/>
              <w:right w:val="single" w:sz="2" w:space="0" w:color="000000"/>
            </w:tcBorders>
          </w:tcPr>
          <w:p>
            <w:pPr/>
          </w:p>
        </w:tc>
        <w:tc>
          <w:tcPr>
            <w:tcW w:w="1836" w:type="dxa"/>
            <w:tcBorders>
              <w:top w:val="single" w:sz="2" w:space="0" w:color="000000"/>
              <w:left w:val="single" w:sz="2" w:space="0" w:color="000000"/>
              <w:bottom w:val="nil" w:sz="6" w:space="0" w:color="auto"/>
              <w:right w:val="nil" w:sz="6" w:space="0" w:color="auto"/>
            </w:tcBorders>
          </w:tcPr>
          <w:p>
            <w:pPr/>
          </w:p>
        </w:tc>
      </w:tr>
      <w:tr>
        <w:trPr>
          <w:trHeight w:val="472" w:hRule="exact"/>
        </w:trPr>
        <w:tc>
          <w:tcPr>
            <w:tcW w:w="1519" w:type="dxa"/>
            <w:tcBorders>
              <w:top w:val="nil" w:sz="6" w:space="0" w:color="auto"/>
              <w:left w:val="nil" w:sz="6" w:space="0" w:color="auto"/>
              <w:bottom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《企业会计准则</w:t>
            </w: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之前</w:t>
            </w:r>
            <w:r>
              <w:rPr>
                <w:rFonts w:ascii="宋体" w:hAnsi="宋体" w:cs="宋体" w:eastAsia="宋体" w:hint="default"/>
                <w:spacing w:val="-8"/>
                <w:sz w:val="18"/>
                <w:szCs w:val="18"/>
              </w:rPr>
              <w:t>，</w:t>
            </w:r>
            <w:r>
              <w:rPr>
                <w:rFonts w:ascii="宋体" w:hAnsi="宋体" w:cs="宋体" w:eastAsia="宋体" w:hint="default"/>
                <w:sz w:val="18"/>
                <w:szCs w:val="18"/>
              </w:rPr>
              <w:t>本公司对被投资单位不具有共同控</w:t>
            </w:r>
          </w:p>
        </w:tc>
        <w:tc>
          <w:tcPr>
            <w:tcW w:w="1418" w:type="dxa"/>
            <w:tcBorders>
              <w:top w:val="nil" w:sz="6" w:space="0" w:color="auto"/>
              <w:left w:val="single" w:sz="2" w:space="0" w:color="000000"/>
              <w:bottom w:val="nil" w:sz="6" w:space="0" w:color="auto"/>
              <w:right w:val="single" w:sz="2" w:space="0" w:color="000000"/>
            </w:tcBorders>
          </w:tcPr>
          <w:p>
            <w:pPr/>
          </w:p>
        </w:tc>
        <w:tc>
          <w:tcPr>
            <w:tcW w:w="1836" w:type="dxa"/>
            <w:tcBorders>
              <w:top w:val="nil" w:sz="6" w:space="0" w:color="auto"/>
              <w:left w:val="single" w:sz="2" w:space="0" w:color="000000"/>
              <w:bottom w:val="nil" w:sz="6" w:space="0" w:color="auto"/>
              <w:right w:val="nil" w:sz="6" w:space="0" w:color="auto"/>
            </w:tcBorders>
          </w:tcPr>
          <w:p>
            <w:pPr/>
          </w:p>
        </w:tc>
      </w:tr>
      <w:tr>
        <w:trPr>
          <w:trHeight w:val="351" w:hRule="exact"/>
        </w:trPr>
        <w:tc>
          <w:tcPr>
            <w:tcW w:w="1519" w:type="dxa"/>
            <w:tcBorders>
              <w:top w:val="nil" w:sz="6" w:space="0" w:color="auto"/>
              <w:left w:val="nil" w:sz="6" w:space="0" w:color="auto"/>
              <w:bottom w:val="nil" w:sz="6" w:space="0" w:color="auto"/>
              <w:right w:val="single" w:sz="2" w:space="0" w:color="000000"/>
            </w:tcBorders>
          </w:tcPr>
          <w:p>
            <w:pPr>
              <w:pStyle w:val="TableParagraph"/>
              <w:spacing w:line="240" w:lineRule="auto" w:before="43"/>
              <w:ind w:right="2"/>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w:t>
            </w: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12" w:lineRule="exact"/>
              <w:ind w:right="73"/>
              <w:jc w:val="center"/>
              <w:rPr>
                <w:rFonts w:ascii="宋体" w:hAnsi="宋体" w:cs="宋体" w:eastAsia="宋体" w:hint="default"/>
                <w:sz w:val="18"/>
                <w:szCs w:val="18"/>
              </w:rPr>
            </w:pPr>
            <w:r>
              <w:rPr>
                <w:rFonts w:ascii="宋体" w:hAnsi="宋体" w:cs="宋体" w:eastAsia="宋体" w:hint="default"/>
                <w:sz w:val="18"/>
                <w:szCs w:val="18"/>
              </w:rPr>
              <w:t>制或重大影响，并且在活跃市场中没有报价、公允</w:t>
            </w:r>
          </w:p>
        </w:tc>
        <w:tc>
          <w:tcPr>
            <w:tcW w:w="1418" w:type="dxa"/>
            <w:tcBorders>
              <w:top w:val="nil" w:sz="6" w:space="0" w:color="auto"/>
              <w:left w:val="single" w:sz="2" w:space="0" w:color="000000"/>
              <w:bottom w:val="nil" w:sz="6" w:space="0" w:color="auto"/>
              <w:right w:val="single" w:sz="2"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36" w:type="dxa"/>
            <w:tcBorders>
              <w:top w:val="nil" w:sz="6" w:space="0" w:color="auto"/>
              <w:left w:val="single" w:sz="2" w:space="0" w:color="000000"/>
              <w:bottom w:val="nil" w:sz="6" w:space="0" w:color="auto"/>
              <w:right w:val="nil" w:sz="6" w:space="0" w:color="auto"/>
            </w:tcBorders>
          </w:tcPr>
          <w:p>
            <w:pPr>
              <w:pStyle w:val="TableParagraph"/>
              <w:spacing w:line="240" w:lineRule="auto" w:before="86"/>
              <w:ind w:left="372" w:right="0"/>
              <w:jc w:val="left"/>
              <w:rPr>
                <w:rFonts w:ascii="Times New Roman" w:hAnsi="Times New Roman" w:cs="Times New Roman" w:eastAsia="Times New Roman" w:hint="default"/>
                <w:sz w:val="18"/>
                <w:szCs w:val="18"/>
              </w:rPr>
            </w:pPr>
            <w:r>
              <w:rPr>
                <w:rFonts w:ascii="Times New Roman"/>
                <w:sz w:val="18"/>
              </w:rPr>
              <w:t>-38,337,335.77</w:t>
            </w:r>
          </w:p>
        </w:tc>
      </w:tr>
      <w:tr>
        <w:trPr>
          <w:trHeight w:val="372" w:hRule="exact"/>
        </w:trPr>
        <w:tc>
          <w:tcPr>
            <w:tcW w:w="1519" w:type="dxa"/>
            <w:tcBorders>
              <w:top w:val="nil" w:sz="6" w:space="0" w:color="auto"/>
              <w:left w:val="nil" w:sz="6" w:space="0" w:color="auto"/>
              <w:bottom w:val="nil" w:sz="6" w:space="0" w:color="auto"/>
              <w:right w:val="single" w:sz="2" w:space="0" w:color="000000"/>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权投资》</w:t>
            </w: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27"/>
              <w:ind w:right="73"/>
              <w:jc w:val="center"/>
              <w:rPr>
                <w:rFonts w:ascii="宋体" w:hAnsi="宋体" w:cs="宋体" w:eastAsia="宋体" w:hint="default"/>
                <w:sz w:val="18"/>
                <w:szCs w:val="18"/>
              </w:rPr>
            </w:pPr>
            <w:r>
              <w:rPr>
                <w:rFonts w:ascii="宋体" w:hAnsi="宋体" w:cs="宋体" w:eastAsia="宋体" w:hint="default"/>
                <w:sz w:val="18"/>
                <w:szCs w:val="18"/>
              </w:rPr>
              <w:t>价值不能可靠计量的股权投资，作为长期股权投资</w:t>
            </w:r>
          </w:p>
        </w:tc>
        <w:tc>
          <w:tcPr>
            <w:tcW w:w="1418" w:type="dxa"/>
            <w:tcBorders>
              <w:top w:val="nil" w:sz="6" w:space="0" w:color="auto"/>
              <w:left w:val="single" w:sz="2" w:space="0" w:color="000000"/>
              <w:bottom w:val="nil" w:sz="6" w:space="0" w:color="auto"/>
              <w:right w:val="single" w:sz="2" w:space="0" w:color="000000"/>
            </w:tcBorders>
          </w:tcPr>
          <w:p>
            <w:pPr/>
          </w:p>
        </w:tc>
        <w:tc>
          <w:tcPr>
            <w:tcW w:w="1836" w:type="dxa"/>
            <w:tcBorders>
              <w:top w:val="nil" w:sz="6" w:space="0" w:color="auto"/>
              <w:left w:val="single" w:sz="2" w:space="0" w:color="000000"/>
              <w:bottom w:val="nil" w:sz="6" w:space="0" w:color="auto"/>
              <w:right w:val="nil" w:sz="6" w:space="0" w:color="auto"/>
            </w:tcBorders>
          </w:tcPr>
          <w:p>
            <w:pPr/>
          </w:p>
        </w:tc>
      </w:tr>
      <w:tr>
        <w:trPr>
          <w:trHeight w:val="405" w:hRule="exact"/>
        </w:trPr>
        <w:tc>
          <w:tcPr>
            <w:tcW w:w="1519" w:type="dxa"/>
            <w:tcBorders>
              <w:top w:val="nil" w:sz="6" w:space="0" w:color="auto"/>
              <w:left w:val="nil" w:sz="6" w:space="0" w:color="auto"/>
              <w:bottom w:val="nil" w:sz="6" w:space="0" w:color="auto"/>
              <w:right w:val="single" w:sz="2" w:space="0" w:color="000000"/>
            </w:tcBorders>
          </w:tcPr>
          <w:p>
            <w:pP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54"/>
              <w:ind w:right="119"/>
              <w:jc w:val="center"/>
              <w:rPr>
                <w:rFonts w:ascii="Times New Roman" w:hAnsi="Times New Roman" w:cs="Times New Roman" w:eastAsia="Times New Roman" w:hint="default"/>
                <w:sz w:val="18"/>
                <w:szCs w:val="18"/>
              </w:rPr>
            </w:pPr>
            <w:r>
              <w:rPr>
                <w:rFonts w:ascii="宋体" w:hAnsi="宋体" w:cs="宋体" w:eastAsia="宋体" w:hint="default"/>
                <w:sz w:val="18"/>
                <w:szCs w:val="18"/>
              </w:rPr>
              <w:t>并采用成本法进行核算。执行《企业会计准则第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418" w:type="dxa"/>
            <w:tcBorders>
              <w:top w:val="nil" w:sz="6" w:space="0" w:color="auto"/>
              <w:left w:val="single" w:sz="2" w:space="0" w:color="000000"/>
              <w:bottom w:val="nil" w:sz="6" w:space="0" w:color="auto"/>
              <w:right w:val="single" w:sz="2" w:space="0" w:color="000000"/>
            </w:tcBorders>
          </w:tcPr>
          <w:p>
            <w:pPr/>
          </w:p>
        </w:tc>
        <w:tc>
          <w:tcPr>
            <w:tcW w:w="1836" w:type="dxa"/>
            <w:tcBorders>
              <w:top w:val="nil" w:sz="6" w:space="0" w:color="auto"/>
              <w:left w:val="single" w:sz="2" w:space="0" w:color="000000"/>
              <w:bottom w:val="nil" w:sz="6" w:space="0" w:color="auto"/>
              <w:right w:val="nil" w:sz="6" w:space="0" w:color="auto"/>
            </w:tcBorders>
          </w:tcPr>
          <w:p>
            <w:pPr/>
          </w:p>
        </w:tc>
      </w:tr>
      <w:tr>
        <w:trPr>
          <w:trHeight w:val="367" w:hRule="exact"/>
        </w:trPr>
        <w:tc>
          <w:tcPr>
            <w:tcW w:w="1519" w:type="dxa"/>
            <w:tcBorders>
              <w:top w:val="nil" w:sz="6" w:space="0" w:color="auto"/>
              <w:left w:val="nil" w:sz="6" w:space="0" w:color="auto"/>
              <w:bottom w:val="single" w:sz="12" w:space="0" w:color="000000"/>
              <w:right w:val="single" w:sz="2" w:space="0" w:color="000000"/>
            </w:tcBorders>
          </w:tcPr>
          <w:p>
            <w:pPr/>
          </w:p>
        </w:tc>
        <w:tc>
          <w:tcPr>
            <w:tcW w:w="425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w:t>
            </w:r>
            <w:r>
              <w:rPr>
                <w:rFonts w:ascii="宋体" w:hAnsi="宋体" w:cs="宋体" w:eastAsia="宋体" w:hint="default"/>
                <w:spacing w:val="-20"/>
                <w:sz w:val="18"/>
                <w:szCs w:val="18"/>
              </w:rPr>
              <w:t>资</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后</w:t>
            </w:r>
            <w:r>
              <w:rPr>
                <w:rFonts w:ascii="宋体" w:hAnsi="宋体" w:cs="宋体" w:eastAsia="宋体" w:hint="default"/>
                <w:spacing w:val="-21"/>
                <w:sz w:val="18"/>
                <w:szCs w:val="18"/>
              </w:rPr>
              <w:t>，</w:t>
            </w:r>
            <w:r>
              <w:rPr>
                <w:rFonts w:ascii="宋体" w:hAnsi="宋体" w:cs="宋体" w:eastAsia="宋体" w:hint="default"/>
                <w:sz w:val="18"/>
                <w:szCs w:val="18"/>
              </w:rPr>
              <w:t>本公司将</w:t>
            </w:r>
          </w:p>
        </w:tc>
        <w:tc>
          <w:tcPr>
            <w:tcW w:w="1418" w:type="dxa"/>
            <w:tcBorders>
              <w:top w:val="nil" w:sz="6" w:space="0" w:color="auto"/>
              <w:left w:val="single" w:sz="2" w:space="0" w:color="000000"/>
              <w:bottom w:val="single" w:sz="12" w:space="0" w:color="000000"/>
              <w:right w:val="single" w:sz="2" w:space="0" w:color="000000"/>
            </w:tcBorders>
          </w:tcPr>
          <w:p>
            <w:pPr/>
          </w:p>
        </w:tc>
        <w:tc>
          <w:tcPr>
            <w:tcW w:w="1836" w:type="dxa"/>
            <w:tcBorders>
              <w:top w:val="nil" w:sz="6" w:space="0" w:color="auto"/>
              <w:left w:val="single" w:sz="2" w:space="0" w:color="000000"/>
              <w:bottom w:val="single" w:sz="12" w:space="0" w:color="000000"/>
              <w:right w:val="nil" w:sz="6" w:space="0" w:color="auto"/>
            </w:tcBorders>
          </w:tcPr>
          <w:p>
            <w:pPr/>
          </w:p>
        </w:tc>
      </w:tr>
    </w:tbl>
    <w:p>
      <w:pPr>
        <w:spacing w:after="0"/>
        <w:sectPr>
          <w:pgSz w:w="11910" w:h="16840"/>
          <w:pgMar w:header="747" w:footer="982" w:top="1060" w:bottom="1180" w:left="900" w:right="98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519"/>
        <w:gridCol w:w="4252"/>
        <w:gridCol w:w="1418"/>
        <w:gridCol w:w="1836"/>
      </w:tblGrid>
      <w:tr>
        <w:trPr>
          <w:trHeight w:val="373" w:hRule="exact"/>
        </w:trPr>
        <w:tc>
          <w:tcPr>
            <w:tcW w:w="1519" w:type="dxa"/>
            <w:tcBorders>
              <w:top w:val="single" w:sz="12" w:space="0" w:color="000000"/>
              <w:left w:val="nil" w:sz="6" w:space="0" w:color="auto"/>
              <w:bottom w:val="nil" w:sz="6" w:space="0" w:color="auto"/>
              <w:right w:val="single" w:sz="2" w:space="0" w:color="000000"/>
            </w:tcBorders>
          </w:tcPr>
          <w:p>
            <w:pPr/>
          </w:p>
        </w:tc>
        <w:tc>
          <w:tcPr>
            <w:tcW w:w="4252" w:type="dxa"/>
            <w:tcBorders>
              <w:top w:val="single" w:sz="12" w:space="0" w:color="000000"/>
              <w:left w:val="single" w:sz="2" w:space="0" w:color="000000"/>
              <w:bottom w:val="nil" w:sz="6" w:space="0" w:color="auto"/>
              <w:right w:val="single" w:sz="2" w:space="0" w:color="000000"/>
            </w:tcBorders>
          </w:tcPr>
          <w:p>
            <w:pPr/>
          </w:p>
        </w:tc>
        <w:tc>
          <w:tcPr>
            <w:tcW w:w="3254" w:type="dxa"/>
            <w:gridSpan w:val="2"/>
            <w:tcBorders>
              <w:top w:val="single" w:sz="12" w:space="0" w:color="000000"/>
              <w:left w:val="single" w:sz="2" w:space="0" w:color="000000"/>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年度相关财务</w:t>
            </w:r>
          </w:p>
        </w:tc>
      </w:tr>
      <w:tr>
        <w:trPr>
          <w:trHeight w:val="349" w:hRule="exact"/>
        </w:trPr>
        <w:tc>
          <w:tcPr>
            <w:tcW w:w="1519" w:type="dxa"/>
            <w:tcBorders>
              <w:top w:val="nil" w:sz="6" w:space="0" w:color="auto"/>
              <w:left w:val="nil" w:sz="6" w:space="0" w:color="auto"/>
              <w:bottom w:val="nil" w:sz="6" w:space="0" w:color="auto"/>
              <w:right w:val="single" w:sz="2" w:space="0" w:color="000000"/>
            </w:tcBorders>
          </w:tcPr>
          <w:p>
            <w:pPr>
              <w:pStyle w:val="TableParagraph"/>
              <w:spacing w:line="240" w:lineRule="auto" w:before="33"/>
              <w:ind w:right="2"/>
              <w:jc w:val="center"/>
              <w:rPr>
                <w:rFonts w:ascii="宋体" w:hAnsi="宋体" w:cs="宋体" w:eastAsia="宋体" w:hint="default"/>
                <w:sz w:val="18"/>
                <w:szCs w:val="18"/>
              </w:rPr>
            </w:pPr>
            <w:r>
              <w:rPr>
                <w:rFonts w:ascii="宋体" w:hAnsi="宋体" w:cs="宋体" w:eastAsia="宋体" w:hint="default"/>
                <w:sz w:val="18"/>
                <w:szCs w:val="18"/>
              </w:rPr>
              <w:t>准则</w:t>
            </w: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33"/>
              <w:ind w:left="502"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w:t>
            </w:r>
          </w:p>
        </w:tc>
        <w:tc>
          <w:tcPr>
            <w:tcW w:w="3254" w:type="dxa"/>
            <w:gridSpan w:val="2"/>
            <w:tcBorders>
              <w:top w:val="nil" w:sz="6" w:space="0" w:color="auto"/>
              <w:left w:val="single" w:sz="2" w:space="0" w:color="000000"/>
              <w:bottom w:val="single" w:sz="2" w:space="0" w:color="000000"/>
              <w:right w:val="nil" w:sz="6" w:space="0" w:color="auto"/>
            </w:tcBorders>
          </w:tcPr>
          <w:p>
            <w:pPr>
              <w:pStyle w:val="TableParagraph"/>
              <w:spacing w:line="240" w:lineRule="auto" w:before="5"/>
              <w:ind w:left="818" w:right="0"/>
              <w:jc w:val="left"/>
              <w:rPr>
                <w:rFonts w:ascii="宋体" w:hAnsi="宋体" w:cs="宋体" w:eastAsia="宋体" w:hint="default"/>
                <w:sz w:val="18"/>
                <w:szCs w:val="18"/>
              </w:rPr>
            </w:pPr>
            <w:r>
              <w:rPr>
                <w:rFonts w:ascii="宋体" w:hAnsi="宋体" w:cs="宋体" w:eastAsia="宋体" w:hint="default"/>
                <w:sz w:val="18"/>
                <w:szCs w:val="18"/>
              </w:rPr>
              <w:t>报表项目的影响金额</w:t>
            </w:r>
          </w:p>
        </w:tc>
      </w:tr>
      <w:tr>
        <w:trPr>
          <w:trHeight w:val="749" w:hRule="exact"/>
        </w:trPr>
        <w:tc>
          <w:tcPr>
            <w:tcW w:w="1519" w:type="dxa"/>
            <w:tcBorders>
              <w:top w:val="nil" w:sz="6" w:space="0" w:color="auto"/>
              <w:left w:val="nil" w:sz="6" w:space="0" w:color="auto"/>
              <w:bottom w:val="nil" w:sz="6" w:space="0" w:color="auto"/>
              <w:right w:val="single" w:sz="2"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36" w:type="dxa"/>
            <w:tcBorders>
              <w:top w:val="single" w:sz="2" w:space="0" w:color="000000"/>
              <w:left w:val="single" w:sz="2" w:space="0" w:color="000000"/>
              <w:bottom w:val="single" w:sz="2" w:space="0" w:color="000000"/>
              <w:right w:val="nil" w:sz="6" w:space="0" w:color="auto"/>
            </w:tcBorders>
          </w:tcPr>
          <w:p>
            <w:pPr>
              <w:pStyle w:val="TableParagraph"/>
              <w:spacing w:line="357" w:lineRule="auto" w:before="51"/>
              <w:ind w:left="452" w:right="446" w:firstLine="106"/>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58" w:hRule="exact"/>
        </w:trPr>
        <w:tc>
          <w:tcPr>
            <w:tcW w:w="1519" w:type="dxa"/>
            <w:tcBorders>
              <w:top w:val="nil" w:sz="6" w:space="0" w:color="auto"/>
              <w:left w:val="nil" w:sz="6" w:space="0" w:color="auto"/>
              <w:bottom w:val="nil" w:sz="6" w:space="0" w:color="auto"/>
              <w:right w:val="single" w:sz="2" w:space="0" w:color="000000"/>
            </w:tcBorders>
          </w:tcPr>
          <w:p>
            <w:pP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对被投资单位不具有共同控制或重大影响，并且在</w:t>
            </w:r>
          </w:p>
        </w:tc>
        <w:tc>
          <w:tcPr>
            <w:tcW w:w="1418"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316" w:lineRule="auto"/>
              <w:ind w:left="526" w:right="164" w:hanging="360"/>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836"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38,337,335.77</w:t>
            </w:r>
          </w:p>
        </w:tc>
      </w:tr>
      <w:tr>
        <w:trPr>
          <w:trHeight w:val="400" w:hRule="exact"/>
        </w:trPr>
        <w:tc>
          <w:tcPr>
            <w:tcW w:w="1519" w:type="dxa"/>
            <w:tcBorders>
              <w:top w:val="nil" w:sz="6" w:space="0" w:color="auto"/>
              <w:left w:val="nil" w:sz="6" w:space="0" w:color="auto"/>
              <w:bottom w:val="nil" w:sz="6" w:space="0" w:color="auto"/>
              <w:right w:val="single" w:sz="2" w:space="0" w:color="000000"/>
            </w:tcBorders>
          </w:tcPr>
          <w:p>
            <w:pP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活跃市场中没有报价、公允价值不能可靠计量的股</w:t>
            </w:r>
          </w:p>
        </w:tc>
        <w:tc>
          <w:tcPr>
            <w:tcW w:w="1418" w:type="dxa"/>
            <w:vMerge/>
            <w:tcBorders>
              <w:left w:val="single" w:sz="2" w:space="0" w:color="000000"/>
              <w:right w:val="single" w:sz="2" w:space="0" w:color="000000"/>
            </w:tcBorders>
          </w:tcPr>
          <w:p>
            <w:pPr/>
          </w:p>
        </w:tc>
        <w:tc>
          <w:tcPr>
            <w:tcW w:w="1836" w:type="dxa"/>
            <w:vMerge/>
            <w:tcBorders>
              <w:left w:val="single" w:sz="2" w:space="0" w:color="000000"/>
              <w:right w:val="nil" w:sz="6" w:space="0" w:color="auto"/>
            </w:tcBorders>
          </w:tcPr>
          <w:p>
            <w:pPr/>
          </w:p>
        </w:tc>
      </w:tr>
      <w:tr>
        <w:trPr>
          <w:trHeight w:val="400" w:hRule="exact"/>
        </w:trPr>
        <w:tc>
          <w:tcPr>
            <w:tcW w:w="1519" w:type="dxa"/>
            <w:tcBorders>
              <w:top w:val="nil" w:sz="6" w:space="0" w:color="auto"/>
              <w:left w:val="nil" w:sz="6" w:space="0" w:color="auto"/>
              <w:bottom w:val="nil" w:sz="6" w:space="0" w:color="auto"/>
              <w:right w:val="single" w:sz="2" w:space="0" w:color="000000"/>
            </w:tcBorders>
          </w:tcPr>
          <w:p>
            <w:pP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权投资作为可供出售金融资产核算。本公司采用追</w:t>
            </w:r>
          </w:p>
        </w:tc>
        <w:tc>
          <w:tcPr>
            <w:tcW w:w="1418" w:type="dxa"/>
            <w:vMerge/>
            <w:tcBorders>
              <w:left w:val="single" w:sz="2" w:space="0" w:color="000000"/>
              <w:right w:val="single" w:sz="2" w:space="0" w:color="000000"/>
            </w:tcBorders>
          </w:tcPr>
          <w:p>
            <w:pPr/>
          </w:p>
        </w:tc>
        <w:tc>
          <w:tcPr>
            <w:tcW w:w="1836" w:type="dxa"/>
            <w:vMerge/>
            <w:tcBorders>
              <w:left w:val="single" w:sz="2" w:space="0" w:color="000000"/>
              <w:right w:val="nil" w:sz="6" w:space="0" w:color="auto"/>
            </w:tcBorders>
          </w:tcPr>
          <w:p>
            <w:pPr/>
          </w:p>
        </w:tc>
      </w:tr>
      <w:tr>
        <w:trPr>
          <w:trHeight w:val="399" w:hRule="exact"/>
        </w:trPr>
        <w:tc>
          <w:tcPr>
            <w:tcW w:w="1519" w:type="dxa"/>
            <w:tcBorders>
              <w:top w:val="nil" w:sz="6" w:space="0" w:color="auto"/>
              <w:left w:val="nil" w:sz="6" w:space="0" w:color="auto"/>
              <w:bottom w:val="single" w:sz="2" w:space="0" w:color="000000"/>
              <w:right w:val="single" w:sz="2" w:space="0" w:color="000000"/>
            </w:tcBorders>
          </w:tcPr>
          <w:p>
            <w:pPr/>
          </w:p>
        </w:tc>
        <w:tc>
          <w:tcPr>
            <w:tcW w:w="425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55"/>
              <w:ind w:left="105" w:right="0"/>
              <w:jc w:val="left"/>
              <w:rPr>
                <w:rFonts w:ascii="宋体" w:hAnsi="宋体" w:cs="宋体" w:eastAsia="宋体" w:hint="default"/>
                <w:sz w:val="18"/>
                <w:szCs w:val="18"/>
              </w:rPr>
            </w:pPr>
            <w:r>
              <w:rPr>
                <w:rFonts w:ascii="宋体" w:hAnsi="宋体" w:cs="宋体" w:eastAsia="宋体" w:hint="default"/>
                <w:sz w:val="18"/>
                <w:szCs w:val="18"/>
              </w:rPr>
              <w:t>溯调整法对上述会计政策变更进行会计处理。</w:t>
            </w:r>
          </w:p>
        </w:tc>
        <w:tc>
          <w:tcPr>
            <w:tcW w:w="1418" w:type="dxa"/>
            <w:vMerge/>
            <w:tcBorders>
              <w:left w:val="single" w:sz="2" w:space="0" w:color="000000"/>
              <w:bottom w:val="single" w:sz="2" w:space="0" w:color="000000"/>
              <w:right w:val="single" w:sz="2" w:space="0" w:color="000000"/>
            </w:tcBorders>
          </w:tcPr>
          <w:p>
            <w:pPr/>
          </w:p>
        </w:tc>
        <w:tc>
          <w:tcPr>
            <w:tcW w:w="1836" w:type="dxa"/>
            <w:vMerge/>
            <w:tcBorders>
              <w:left w:val="single" w:sz="2" w:space="0" w:color="000000"/>
              <w:bottom w:val="single" w:sz="2" w:space="0" w:color="000000"/>
              <w:right w:val="nil" w:sz="6" w:space="0" w:color="auto"/>
            </w:tcBorders>
          </w:tcPr>
          <w:p>
            <w:pPr/>
          </w:p>
        </w:tc>
      </w:tr>
      <w:tr>
        <w:trPr>
          <w:trHeight w:val="479" w:hRule="exact"/>
        </w:trPr>
        <w:tc>
          <w:tcPr>
            <w:tcW w:w="1519" w:type="dxa"/>
            <w:tcBorders>
              <w:top w:val="single" w:sz="2" w:space="0" w:color="000000"/>
              <w:left w:val="nil" w:sz="6" w:space="0" w:color="auto"/>
              <w:bottom w:val="nil" w:sz="6" w:space="0" w:color="auto"/>
              <w:right w:val="single" w:sz="2" w:space="0" w:color="000000"/>
            </w:tcBorders>
          </w:tcPr>
          <w:p>
            <w:pPr/>
          </w:p>
        </w:tc>
        <w:tc>
          <w:tcPr>
            <w:tcW w:w="425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49"/>
              <w:ind w:left="465"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p>
        </w:tc>
        <w:tc>
          <w:tcPr>
            <w:tcW w:w="1418" w:type="dxa"/>
            <w:tcBorders>
              <w:top w:val="single" w:sz="2" w:space="0" w:color="000000"/>
              <w:left w:val="single" w:sz="2" w:space="0" w:color="000000"/>
              <w:bottom w:val="nil" w:sz="6" w:space="0" w:color="auto"/>
              <w:right w:val="single" w:sz="2" w:space="0" w:color="000000"/>
            </w:tcBorders>
          </w:tcPr>
          <w:p>
            <w:pPr/>
          </w:p>
        </w:tc>
        <w:tc>
          <w:tcPr>
            <w:tcW w:w="1836" w:type="dxa"/>
            <w:tcBorders>
              <w:top w:val="single" w:sz="2" w:space="0" w:color="000000"/>
              <w:left w:val="single" w:sz="2" w:space="0" w:color="000000"/>
              <w:bottom w:val="nil" w:sz="6" w:space="0" w:color="auto"/>
              <w:right w:val="nil" w:sz="6" w:space="0" w:color="auto"/>
            </w:tcBorders>
          </w:tcPr>
          <w:p>
            <w:pPr/>
          </w:p>
        </w:tc>
      </w:tr>
      <w:tr>
        <w:trPr>
          <w:trHeight w:val="424" w:hRule="exact"/>
        </w:trPr>
        <w:tc>
          <w:tcPr>
            <w:tcW w:w="1519" w:type="dxa"/>
            <w:tcBorders>
              <w:top w:val="nil" w:sz="6" w:space="0" w:color="auto"/>
              <w:left w:val="nil" w:sz="6" w:space="0" w:color="auto"/>
              <w:bottom w:val="nil" w:sz="6" w:space="0" w:color="auto"/>
              <w:right w:val="single" w:sz="2" w:space="0" w:color="000000"/>
            </w:tcBorders>
          </w:tcPr>
          <w:p>
            <w:pP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74"/>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z w:val="18"/>
                <w:szCs w:val="18"/>
              </w:rPr>
              <w:t>》将其他综合收益划分为两类：</w:t>
            </w:r>
            <w:r>
              <w:rPr>
                <w:rFonts w:ascii="Times New Roman" w:hAnsi="Times New Roman" w:cs="Times New Roman" w:eastAsia="Times New Roman" w:hint="default"/>
                <w:sz w:val="18"/>
                <w:szCs w:val="18"/>
              </w:rPr>
              <w:t>(1)</w:t>
            </w:r>
          </w:p>
        </w:tc>
        <w:tc>
          <w:tcPr>
            <w:tcW w:w="1418" w:type="dxa"/>
            <w:tcBorders>
              <w:top w:val="nil" w:sz="6" w:space="0" w:color="auto"/>
              <w:left w:val="single" w:sz="2" w:space="0" w:color="000000"/>
              <w:bottom w:val="nil" w:sz="6" w:space="0" w:color="auto"/>
              <w:right w:val="single" w:sz="2" w:space="0" w:color="000000"/>
            </w:tcBorders>
          </w:tcPr>
          <w:p>
            <w:pPr>
              <w:pStyle w:val="TableParagraph"/>
              <w:spacing w:line="240" w:lineRule="auto" w:before="36"/>
              <w:ind w:left="3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6" w:type="dxa"/>
            <w:tcBorders>
              <w:top w:val="nil" w:sz="6" w:space="0" w:color="auto"/>
              <w:left w:val="single" w:sz="2" w:space="0" w:color="000000"/>
              <w:bottom w:val="nil" w:sz="6" w:space="0" w:color="auto"/>
              <w:right w:val="nil" w:sz="6" w:space="0" w:color="auto"/>
            </w:tcBorders>
          </w:tcPr>
          <w:p>
            <w:pPr>
              <w:pStyle w:val="TableParagraph"/>
              <w:spacing w:line="240" w:lineRule="auto" w:before="58"/>
              <w:ind w:left="416" w:right="0"/>
              <w:jc w:val="left"/>
              <w:rPr>
                <w:rFonts w:ascii="Times New Roman" w:hAnsi="Times New Roman" w:cs="Times New Roman" w:eastAsia="Times New Roman" w:hint="default"/>
                <w:sz w:val="18"/>
                <w:szCs w:val="18"/>
              </w:rPr>
            </w:pPr>
            <w:r>
              <w:rPr>
                <w:rFonts w:ascii="Times New Roman"/>
                <w:sz w:val="18"/>
              </w:rPr>
              <w:t>-5,355,554.47</w:t>
            </w:r>
          </w:p>
        </w:tc>
      </w:tr>
      <w:tr>
        <w:trPr>
          <w:trHeight w:val="420" w:hRule="exact"/>
        </w:trPr>
        <w:tc>
          <w:tcPr>
            <w:tcW w:w="1519" w:type="dxa"/>
            <w:tcBorders>
              <w:top w:val="nil" w:sz="6" w:space="0" w:color="auto"/>
              <w:left w:val="nil" w:sz="6" w:space="0" w:color="auto"/>
              <w:bottom w:val="nil" w:sz="6" w:space="0" w:color="auto"/>
              <w:right w:val="single" w:sz="2" w:space="0" w:color="000000"/>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sz w:val="18"/>
                <w:szCs w:val="18"/>
              </w:rPr>
              <w:t>《企业会计准则</w:t>
            </w: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以后会计期间不能重分类进损益的其他综合收益项</w:t>
            </w:r>
          </w:p>
        </w:tc>
        <w:tc>
          <w:tcPr>
            <w:tcW w:w="1418" w:type="dxa"/>
            <w:tcBorders>
              <w:top w:val="nil" w:sz="6" w:space="0" w:color="auto"/>
              <w:left w:val="single" w:sz="2" w:space="0" w:color="000000"/>
              <w:bottom w:val="single" w:sz="2" w:space="0" w:color="000000"/>
              <w:right w:val="single" w:sz="2" w:space="0" w:color="000000"/>
            </w:tcBorders>
          </w:tcPr>
          <w:p>
            <w:pPr/>
          </w:p>
        </w:tc>
        <w:tc>
          <w:tcPr>
            <w:tcW w:w="1836" w:type="dxa"/>
            <w:tcBorders>
              <w:top w:val="nil" w:sz="6" w:space="0" w:color="auto"/>
              <w:left w:val="single" w:sz="2" w:space="0" w:color="000000"/>
              <w:bottom w:val="single" w:sz="2" w:space="0" w:color="000000"/>
              <w:right w:val="nil" w:sz="6" w:space="0" w:color="auto"/>
            </w:tcBorders>
          </w:tcPr>
          <w:p>
            <w:pPr/>
          </w:p>
        </w:tc>
      </w:tr>
      <w:tr>
        <w:trPr>
          <w:trHeight w:val="307" w:hRule="exact"/>
        </w:trPr>
        <w:tc>
          <w:tcPr>
            <w:tcW w:w="1519" w:type="dxa"/>
            <w:tcBorders>
              <w:top w:val="nil" w:sz="6" w:space="0" w:color="auto"/>
              <w:left w:val="nil" w:sz="6" w:space="0" w:color="auto"/>
              <w:bottom w:val="nil" w:sz="6" w:space="0" w:color="auto"/>
              <w:right w:val="single" w:sz="2" w:space="0" w:color="000000"/>
            </w:tcBorders>
          </w:tcPr>
          <w:p>
            <w:pPr>
              <w:pStyle w:val="TableParagraph"/>
              <w:spacing w:line="220" w:lineRule="exact"/>
              <w:ind w:right="2"/>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w:t>
            </w: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(2)</w:t>
            </w:r>
            <w:r>
              <w:rPr>
                <w:rFonts w:ascii="宋体" w:hAnsi="宋体" w:cs="宋体" w:eastAsia="宋体" w:hint="default"/>
                <w:sz w:val="18"/>
                <w:szCs w:val="18"/>
              </w:rPr>
              <w:t>以后会计期间在满足特定条件时将重分类进</w:t>
            </w:r>
          </w:p>
        </w:tc>
        <w:tc>
          <w:tcPr>
            <w:tcW w:w="1418"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36"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5,355,554.47</w:t>
            </w:r>
          </w:p>
        </w:tc>
      </w:tr>
      <w:tr>
        <w:trPr>
          <w:trHeight w:val="467" w:hRule="exact"/>
        </w:trPr>
        <w:tc>
          <w:tcPr>
            <w:tcW w:w="1519" w:type="dxa"/>
            <w:tcBorders>
              <w:top w:val="nil" w:sz="6" w:space="0" w:color="auto"/>
              <w:left w:val="nil" w:sz="6" w:space="0" w:color="auto"/>
              <w:bottom w:val="nil" w:sz="6" w:space="0" w:color="auto"/>
              <w:right w:val="single" w:sz="2" w:space="0" w:color="000000"/>
            </w:tcBorders>
          </w:tcPr>
          <w:p>
            <w:pPr>
              <w:pStyle w:val="TableParagraph"/>
              <w:spacing w:line="212" w:lineRule="exact"/>
              <w:ind w:right="2"/>
              <w:jc w:val="center"/>
              <w:rPr>
                <w:rFonts w:ascii="宋体" w:hAnsi="宋体" w:cs="宋体" w:eastAsia="宋体" w:hint="default"/>
                <w:sz w:val="18"/>
                <w:szCs w:val="18"/>
              </w:rPr>
            </w:pPr>
            <w:r>
              <w:rPr>
                <w:rFonts w:ascii="宋体" w:hAnsi="宋体" w:cs="宋体" w:eastAsia="宋体" w:hint="default"/>
                <w:sz w:val="18"/>
                <w:szCs w:val="18"/>
              </w:rPr>
              <w:t>报表列报》</w:t>
            </w: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122"/>
              <w:ind w:left="105" w:right="0"/>
              <w:jc w:val="left"/>
              <w:rPr>
                <w:rFonts w:ascii="宋体" w:hAnsi="宋体" w:cs="宋体" w:eastAsia="宋体" w:hint="default"/>
                <w:sz w:val="18"/>
                <w:szCs w:val="18"/>
              </w:rPr>
            </w:pPr>
            <w:r>
              <w:rPr>
                <w:rFonts w:ascii="宋体" w:hAnsi="宋体" w:cs="宋体" w:eastAsia="宋体" w:hint="default"/>
                <w:sz w:val="18"/>
                <w:szCs w:val="18"/>
              </w:rPr>
              <w:t>损益的其他综合收益项目。本财务报表已按该准则</w:t>
            </w:r>
          </w:p>
        </w:tc>
        <w:tc>
          <w:tcPr>
            <w:tcW w:w="1418" w:type="dxa"/>
            <w:vMerge/>
            <w:tcBorders>
              <w:left w:val="single" w:sz="2" w:space="0" w:color="000000"/>
              <w:right w:val="single" w:sz="2" w:space="0" w:color="000000"/>
            </w:tcBorders>
          </w:tcPr>
          <w:p>
            <w:pPr/>
          </w:p>
        </w:tc>
        <w:tc>
          <w:tcPr>
            <w:tcW w:w="1836" w:type="dxa"/>
            <w:vMerge/>
            <w:tcBorders>
              <w:left w:val="single" w:sz="2" w:space="0" w:color="000000"/>
              <w:right w:val="nil" w:sz="6" w:space="0" w:color="auto"/>
            </w:tcBorders>
          </w:tcPr>
          <w:p>
            <w:pPr/>
          </w:p>
        </w:tc>
      </w:tr>
      <w:tr>
        <w:trPr>
          <w:trHeight w:val="400" w:hRule="exact"/>
        </w:trPr>
        <w:tc>
          <w:tcPr>
            <w:tcW w:w="1519" w:type="dxa"/>
            <w:tcBorders>
              <w:top w:val="nil" w:sz="6" w:space="0" w:color="auto"/>
              <w:left w:val="nil" w:sz="6" w:space="0" w:color="auto"/>
              <w:bottom w:val="nil" w:sz="6" w:space="0" w:color="auto"/>
              <w:right w:val="single" w:sz="2" w:space="0" w:color="000000"/>
            </w:tcBorders>
          </w:tcPr>
          <w:p>
            <w:pPr/>
          </w:p>
        </w:tc>
        <w:tc>
          <w:tcPr>
            <w:tcW w:w="4252" w:type="dxa"/>
            <w:tcBorders>
              <w:top w:val="nil" w:sz="6" w:space="0" w:color="auto"/>
              <w:left w:val="single" w:sz="2" w:space="0" w:color="000000"/>
              <w:bottom w:val="nil" w:sz="6" w:space="0" w:color="auto"/>
              <w:right w:val="single" w:sz="2"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的规定进行列报，并对可比年度财务报表的列报进</w:t>
            </w:r>
          </w:p>
        </w:tc>
        <w:tc>
          <w:tcPr>
            <w:tcW w:w="1418" w:type="dxa"/>
            <w:vMerge/>
            <w:tcBorders>
              <w:left w:val="single" w:sz="2" w:space="0" w:color="000000"/>
              <w:right w:val="single" w:sz="2" w:space="0" w:color="000000"/>
            </w:tcBorders>
          </w:tcPr>
          <w:p>
            <w:pPr/>
          </w:p>
        </w:tc>
        <w:tc>
          <w:tcPr>
            <w:tcW w:w="1836" w:type="dxa"/>
            <w:vMerge/>
            <w:tcBorders>
              <w:left w:val="single" w:sz="2" w:space="0" w:color="000000"/>
              <w:right w:val="nil" w:sz="6" w:space="0" w:color="auto"/>
            </w:tcBorders>
          </w:tcPr>
          <w:p>
            <w:pPr/>
          </w:p>
        </w:tc>
      </w:tr>
      <w:tr>
        <w:trPr>
          <w:trHeight w:val="400" w:hRule="exact"/>
        </w:trPr>
        <w:tc>
          <w:tcPr>
            <w:tcW w:w="1519" w:type="dxa"/>
            <w:tcBorders>
              <w:top w:val="nil" w:sz="6" w:space="0" w:color="auto"/>
              <w:left w:val="nil" w:sz="6" w:space="0" w:color="auto"/>
              <w:bottom w:val="single" w:sz="12" w:space="0" w:color="000000"/>
              <w:right w:val="single" w:sz="2" w:space="0" w:color="000000"/>
            </w:tcBorders>
          </w:tcPr>
          <w:p>
            <w:pPr/>
          </w:p>
        </w:tc>
        <w:tc>
          <w:tcPr>
            <w:tcW w:w="4252"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55"/>
              <w:ind w:left="105" w:right="0"/>
              <w:jc w:val="left"/>
              <w:rPr>
                <w:rFonts w:ascii="宋体" w:hAnsi="宋体" w:cs="宋体" w:eastAsia="宋体" w:hint="default"/>
                <w:sz w:val="18"/>
                <w:szCs w:val="18"/>
              </w:rPr>
            </w:pPr>
            <w:r>
              <w:rPr>
                <w:rFonts w:ascii="宋体" w:hAnsi="宋体" w:cs="宋体" w:eastAsia="宋体" w:hint="default"/>
                <w:sz w:val="18"/>
                <w:szCs w:val="18"/>
              </w:rPr>
              <w:t>行了相应调整。</w:t>
            </w:r>
          </w:p>
        </w:tc>
        <w:tc>
          <w:tcPr>
            <w:tcW w:w="1418" w:type="dxa"/>
            <w:vMerge/>
            <w:tcBorders>
              <w:left w:val="single" w:sz="2" w:space="0" w:color="000000"/>
              <w:bottom w:val="single" w:sz="12" w:space="0" w:color="000000"/>
              <w:right w:val="single" w:sz="2" w:space="0" w:color="000000"/>
            </w:tcBorders>
          </w:tcPr>
          <w:p>
            <w:pPr/>
          </w:p>
        </w:tc>
        <w:tc>
          <w:tcPr>
            <w:tcW w:w="1836" w:type="dxa"/>
            <w:vMerge/>
            <w:tcBorders>
              <w:left w:val="single" w:sz="2"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9"/>
          <w:szCs w:val="9"/>
        </w:rPr>
      </w:pPr>
    </w:p>
    <w:p>
      <w:pPr>
        <w:pStyle w:val="BodyText"/>
        <w:spacing w:line="559" w:lineRule="auto" w:before="44"/>
        <w:ind w:left="681" w:right="7791" w:hanging="88"/>
        <w:jc w:val="left"/>
      </w:pPr>
      <w:r>
        <w:rPr/>
        <w:t>②其他会计政策变更 无。</w:t>
      </w:r>
    </w:p>
    <w:p>
      <w:pPr>
        <w:pStyle w:val="Heading3"/>
        <w:spacing w:line="240" w:lineRule="auto" w:before="74"/>
        <w:ind w:left="234"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234" w:right="0"/>
        <w:jc w:val="left"/>
        <w:rPr>
          <w:b w:val="0"/>
          <w:bCs w:val="0"/>
        </w:rPr>
      </w:pPr>
      <w:r>
        <w:rPr>
          <w:rFonts w:ascii="Times New Roman" w:hAnsi="Times New Roman" w:cs="Times New Roman" w:eastAsia="Times New Roman" w:hint="default"/>
        </w:rPr>
        <w:t>30</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3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234"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4"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240" w:type="dxa"/>
        <w:tblLayout w:type="fixed"/>
        <w:tblCellMar>
          <w:top w:w="0" w:type="dxa"/>
          <w:left w:w="0" w:type="dxa"/>
          <w:bottom w:w="0" w:type="dxa"/>
          <w:right w:w="0" w:type="dxa"/>
        </w:tblCellMar>
        <w:tblLook w:val="01E0"/>
      </w:tblPr>
      <w:tblGrid>
        <w:gridCol w:w="3161"/>
        <w:gridCol w:w="3190"/>
        <w:gridCol w:w="3194"/>
      </w:tblGrid>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0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989,937.66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879,152.46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180,227,838.81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313,162,219.61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93,980,826.89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93,610,175.54</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275,198,603.36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407,651,547.61</w:t>
            </w:r>
          </w:p>
        </w:tc>
      </w:tr>
    </w:tbl>
    <w:p>
      <w:pPr>
        <w:pStyle w:val="BodyText"/>
        <w:spacing w:line="357" w:lineRule="auto" w:before="51"/>
        <w:ind w:right="4551"/>
        <w:jc w:val="left"/>
      </w:pPr>
      <w:r>
        <w:rPr/>
        <w:t>其他说明 说明：使用受到限制的存款为信用证开证保证金及贷款保证金。</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40,095,086.83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45,792,670.02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40,095,086.83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45,792,670.02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186,321,163.39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186,321,163.39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73"/>
        <w:gridCol w:w="739"/>
        <w:gridCol w:w="790"/>
        <w:gridCol w:w="665"/>
        <w:gridCol w:w="762"/>
        <w:gridCol w:w="812"/>
        <w:gridCol w:w="932"/>
        <w:gridCol w:w="920"/>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3D3D3"/>
          </w:tcPr>
          <w:p>
            <w:pPr/>
          </w:p>
        </w:tc>
        <w:tc>
          <w:tcPr>
            <w:tcW w:w="382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634"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0"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13"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27"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20"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34" w:type="dxa"/>
            <w:vMerge/>
            <w:tcBorders>
              <w:left w:val="single" w:sz="4" w:space="0" w:color="000000"/>
              <w:bottom w:val="single" w:sz="7"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73"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3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1634" w:type="dxa"/>
            <w:vMerge w:val="restart"/>
            <w:tcBorders>
              <w:top w:val="single" w:sz="7" w:space="0" w:color="FFFFFF"/>
              <w:left w:val="single" w:sz="4" w:space="0" w:color="000000"/>
              <w:right w:val="single" w:sz="4" w:space="0" w:color="000000"/>
            </w:tcBorders>
            <w:shd w:val="clear" w:color="auto" w:fill="D3D3D3"/>
          </w:tcPr>
          <w:p>
            <w:pPr/>
          </w:p>
        </w:tc>
        <w:tc>
          <w:tcPr>
            <w:tcW w:w="764"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3"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2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34"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73" w:type="dxa"/>
            <w:vMerge/>
            <w:tcBorders>
              <w:left w:val="single" w:sz="4" w:space="0" w:color="000000"/>
              <w:bottom w:val="nil" w:sz="6" w:space="0" w:color="auto"/>
              <w:right w:val="single" w:sz="4" w:space="0" w:color="000000"/>
            </w:tcBorders>
            <w:shd w:val="clear" w:color="auto" w:fill="D3D3D3"/>
          </w:tcPr>
          <w:p>
            <w:pPr/>
          </w:p>
        </w:tc>
        <w:tc>
          <w:tcPr>
            <w:tcW w:w="739"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20"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3" w:type="dxa"/>
            <w:tcBorders>
              <w:top w:val="nil" w:sz="6" w:space="0" w:color="auto"/>
              <w:left w:val="single" w:sz="4" w:space="0" w:color="000000"/>
              <w:bottom w:val="single" w:sz="4" w:space="0" w:color="000000"/>
              <w:right w:val="single" w:sz="4" w:space="0" w:color="000000"/>
            </w:tcBorders>
            <w:shd w:val="clear" w:color="auto" w:fill="D3D3D3"/>
          </w:tcPr>
          <w:p>
            <w:pPr/>
          </w:p>
        </w:tc>
        <w:tc>
          <w:tcPr>
            <w:tcW w:w="739"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2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51,257,0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99.58%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9,998,80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2" w:right="0"/>
              <w:jc w:val="left"/>
              <w:rPr>
                <w:rFonts w:ascii="Times New Roman" w:hAnsi="Times New Roman" w:cs="Times New Roman" w:eastAsia="Times New Roman" w:hint="default"/>
                <w:sz w:val="18"/>
                <w:szCs w:val="18"/>
              </w:rPr>
            </w:pPr>
            <w:r>
              <w:rPr>
                <w:rFonts w:ascii="Times New Roman"/>
                <w:sz w:val="18"/>
              </w:rPr>
              <w:t>19.51%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41,258,20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122,312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99.82%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11,740,69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9.60%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5" w:right="0"/>
              <w:jc w:val="left"/>
              <w:rPr>
                <w:rFonts w:ascii="Times New Roman" w:hAnsi="Times New Roman" w:cs="Times New Roman" w:eastAsia="Times New Roman" w:hint="default"/>
                <w:sz w:val="18"/>
                <w:szCs w:val="18"/>
              </w:rPr>
            </w:pPr>
            <w:r>
              <w:rPr>
                <w:rFonts w:ascii="Times New Roman"/>
                <w:sz w:val="18"/>
              </w:rPr>
              <w:t>110,571,51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08.33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2" w:right="0"/>
              <w:jc w:val="left"/>
              <w:rPr>
                <w:rFonts w:ascii="Times New Roman" w:hAnsi="Times New Roman" w:cs="Times New Roman" w:eastAsia="Times New Roman" w:hint="default"/>
                <w:sz w:val="18"/>
                <w:szCs w:val="18"/>
              </w:rPr>
            </w:pPr>
            <w:r>
              <w:rPr>
                <w:rFonts w:ascii="Times New Roman"/>
                <w:sz w:val="18"/>
              </w:rPr>
              <w:t>0.32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1" w:right="0"/>
              <w:jc w:val="left"/>
              <w:rPr>
                <w:rFonts w:ascii="Times New Roman" w:hAnsi="Times New Roman" w:cs="Times New Roman" w:eastAsia="Times New Roman" w:hint="default"/>
                <w:sz w:val="18"/>
                <w:szCs w:val="18"/>
              </w:rPr>
            </w:pPr>
            <w:r>
              <w:rPr>
                <w:rFonts w:ascii="Times New Roman"/>
                <w:sz w:val="18"/>
              </w:rPr>
              <w:t>8.01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sz w:val="18"/>
              </w:rPr>
              <w:t>,210.61</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4" w:right="0"/>
              <w:jc w:val="left"/>
              <w:rPr>
                <w:rFonts w:ascii="Times New Roman" w:hAnsi="Times New Roman" w:cs="Times New Roman" w:eastAsia="Times New Roman" w:hint="default"/>
                <w:sz w:val="18"/>
                <w:szCs w:val="18"/>
              </w:rPr>
            </w:pPr>
            <w:r>
              <w:rPr>
                <w:rFonts w:ascii="Times New Roman"/>
                <w:sz w:val="18"/>
              </w:rPr>
              <w:t>1.95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3" w:right="0"/>
              <w:jc w:val="left"/>
              <w:rPr>
                <w:rFonts w:ascii="Times New Roman" w:hAnsi="Times New Roman" w:cs="Times New Roman" w:eastAsia="Times New Roman" w:hint="default"/>
                <w:sz w:val="18"/>
                <w:szCs w:val="18"/>
              </w:rPr>
            </w:pPr>
            <w:r>
              <w:rPr>
                <w:rFonts w:ascii="Times New Roman"/>
                <w:sz w:val="18"/>
              </w:rPr>
              <w:t>8.66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214,832.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214,832.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214,832</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214,832.0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51,471,8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40.37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10,213,6</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32.36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19.84%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41,258,20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122,527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,042.65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11,955,52</w:t>
            </w:r>
          </w:p>
          <w:p>
            <w:pPr>
              <w:pStyle w:val="TableParagraph"/>
              <w:spacing w:line="240" w:lineRule="auto" w:before="105"/>
              <w:ind w:left="464" w:right="0"/>
              <w:jc w:val="left"/>
              <w:rPr>
                <w:rFonts w:ascii="Times New Roman" w:hAnsi="Times New Roman" w:cs="Times New Roman" w:eastAsia="Times New Roman" w:hint="default"/>
                <w:sz w:val="18"/>
                <w:szCs w:val="18"/>
              </w:rPr>
            </w:pPr>
            <w:r>
              <w:rPr>
                <w:rFonts w:ascii="Times New Roman"/>
                <w:sz w:val="18"/>
              </w:rPr>
              <w:t>3.99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110,571,51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4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left="153" w:right="161"/>
        <w:jc w:val="left"/>
      </w:pPr>
      <w:r>
        <w:rPr/>
        <w:t>□ 适用 √ 不适用 组合中，按账龄分析法计提坏账准备的应收账款：</w:t>
      </w:r>
    </w:p>
    <w:p>
      <w:pPr>
        <w:pStyle w:val="BodyText"/>
        <w:spacing w:line="240" w:lineRule="auto" w:before="28"/>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4295" w:space="4534"/>
            <w:col w:w="116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1" w:hRule="exact"/>
        </w:trPr>
        <w:tc>
          <w:tcPr>
            <w:tcW w:w="23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18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1" w:hRule="exact"/>
        </w:trPr>
        <w:tc>
          <w:tcPr>
            <w:tcW w:w="23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181"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375" w:type="dxa"/>
            <w:vMerge/>
            <w:tcBorders>
              <w:left w:val="single" w:sz="4" w:space="0" w:color="000000"/>
              <w:bottom w:val="nil" w:sz="6" w:space="0" w:color="auto"/>
              <w:right w:val="single" w:sz="4" w:space="0" w:color="000000"/>
            </w:tcBorders>
            <w:shd w:val="clear" w:color="auto" w:fill="D3D3D3"/>
          </w:tcPr>
          <w:p>
            <w:pPr/>
          </w:p>
        </w:tc>
        <w:tc>
          <w:tcPr>
            <w:tcW w:w="2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8"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18,284,153.25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731,366.12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5,620,537.13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337,232.23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8,042,900.85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1,206,435.12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19,309,417.10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7,723,766.85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2,928,199.38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1,171,279.75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1,880,474.31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752,189.73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14,500,743.41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5,800,297.37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51,257,008.33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9,998,800.32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5491"/>
        <w:jc w:val="left"/>
      </w:pPr>
      <w:r>
        <w:rPr/>
        <w:t>确定该组合依据的说明： 该组合依据账龄分析计提坏账准备。 组合中，采用余额百分比法计提坏账准备的应收账款：</w:t>
      </w:r>
    </w:p>
    <w:p>
      <w:pPr>
        <w:pStyle w:val="BodyText"/>
        <w:spacing w:line="348" w:lineRule="auto" w:before="27"/>
        <w:ind w:right="5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10"/>
        <w:rPr>
          <w:rFonts w:ascii="宋体" w:hAnsi="宋体" w:cs="宋体" w:eastAsia="宋体" w:hint="default"/>
          <w:sz w:val="20"/>
          <w:szCs w:val="20"/>
        </w:rPr>
      </w:pPr>
    </w:p>
    <w:p>
      <w:pPr>
        <w:pStyle w:val="Heading3"/>
        <w:spacing w:line="240" w:lineRule="auto"/>
        <w:ind w:right="418"/>
        <w:jc w:val="left"/>
        <w:rPr>
          <w:b w:val="0"/>
          <w:bCs w:val="0"/>
        </w:rPr>
      </w:pP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93" w:firstLine="360"/>
        <w:jc w:val="left"/>
      </w:pPr>
      <w:r>
        <w:rPr>
          <w:spacing w:val="-1"/>
        </w:rPr>
        <w:t>本报告期按欠款方归集的期末余额前五名应收账款汇总金额</w:t>
      </w:r>
      <w:r>
        <w:rPr>
          <w:rFonts w:ascii="Times New Roman" w:hAnsi="Times New Roman" w:cs="Times New Roman" w:eastAsia="Times New Roman" w:hint="default"/>
          <w:spacing w:val="-1"/>
        </w:rPr>
        <w:t>7,445,397.69</w:t>
      </w:r>
      <w:r>
        <w:rPr>
          <w:spacing w:val="-1"/>
        </w:rPr>
        <w:t>元，占应收账款期末余额合计数的比例</w:t>
      </w:r>
      <w:r>
        <w:rPr>
          <w:rFonts w:ascii="Times New Roman" w:hAnsi="Times New Roman" w:cs="Times New Roman" w:eastAsia="Times New Roman" w:hint="default"/>
          <w:spacing w:val="-1"/>
        </w:rPr>
        <w:t>14.46%</w:t>
      </w:r>
      <w:r>
        <w:rPr>
          <w:spacing w:val="-1"/>
        </w:rPr>
        <w:t>，</w:t>
      </w:r>
      <w:r>
        <w:rPr/>
        <w:t> 相应计提的坏账准备期末余额汇总金额</w:t>
      </w:r>
      <w:r>
        <w:rPr>
          <w:rFonts w:ascii="Times New Roman" w:hAnsi="Times New Roman" w:cs="Times New Roman" w:eastAsia="Times New Roman" w:hint="default"/>
        </w:rPr>
        <w:t>291,868.23</w:t>
      </w:r>
      <w:r>
        <w:rPr/>
        <w:t>元。</w:t>
      </w:r>
    </w:p>
    <w:p>
      <w:pPr>
        <w:spacing w:after="0" w:line="302" w:lineRule="auto"/>
        <w:jc w:val="left"/>
        <w:sectPr>
          <w:type w:val="continuous"/>
          <w:pgSz w:w="11910" w:h="16840"/>
          <w:pgMar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1"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1"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738,762,841.69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836,487,814.22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71,168,451.63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101,609,656.89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30,512,435.12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31,849,835.53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25,107,866.36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13,528,388.00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865,551,594.80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983,475,694.64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240" w:lineRule="auto" w:before="102"/>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年且金额重要的预付款项主要是预付的土地款及工程款，尚未达到结算期限。</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1"/>
        <w:jc w:val="right"/>
      </w:pPr>
      <w:r>
        <w:rPr>
          <w:spacing w:val="3"/>
        </w:rPr>
        <w:t>本报告期按预付对象归集的期末余额前五名预付账款汇总金额</w:t>
      </w:r>
      <w:r>
        <w:rPr>
          <w:rFonts w:ascii="Times New Roman" w:hAnsi="Times New Roman" w:cs="Times New Roman" w:eastAsia="Times New Roman" w:hint="default"/>
          <w:spacing w:val="3"/>
        </w:rPr>
        <w:t>494,730,869.53</w:t>
      </w:r>
      <w:r>
        <w:rPr>
          <w:spacing w:val="3"/>
        </w:rPr>
        <w:t>元，占预付账款期末余额合计数的比例</w:t>
      </w:r>
    </w:p>
    <w:p>
      <w:pPr>
        <w:pStyle w:val="BodyText"/>
        <w:spacing w:line="240" w:lineRule="auto" w:before="63"/>
        <w:ind w:left="153" w:right="0"/>
        <w:jc w:val="left"/>
      </w:pPr>
      <w:r>
        <w:rPr>
          <w:rFonts w:ascii="Times New Roman" w:hAnsi="Times New Roman" w:cs="Times New Roman" w:eastAsia="Times New Roman" w:hint="default"/>
        </w:rPr>
        <w:t>57.16%</w:t>
      </w:r>
      <w:r>
        <w:rPr/>
        <w:t>。</w:t>
      </w:r>
    </w:p>
    <w:p>
      <w:pPr>
        <w:spacing w:line="240" w:lineRule="auto" w:before="5"/>
        <w:rPr>
          <w:rFonts w:ascii="宋体" w:hAnsi="宋体" w:cs="宋体" w:eastAsia="宋体" w:hint="default"/>
          <w:sz w:val="21"/>
          <w:szCs w:val="21"/>
        </w:rPr>
      </w:pPr>
    </w:p>
    <w:p>
      <w:pPr>
        <w:pStyle w:val="BodyText"/>
        <w:spacing w:line="240" w:lineRule="auto"/>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88"/>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16,286.11</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16,286.11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69,411,4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89.18%</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69,411,43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19,013,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166.82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65.21%</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19,013,166.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7,671,07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1,572,30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6,098,763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7,162,6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1,760,031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5,402,643.8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2,980,6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749,229.8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2,231,395.0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77,831,7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37.30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2,321,53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9.24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75,510,19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29,156,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466.42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2,509,260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26,647,205.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69,411,434.22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经单独进行减值测试， 预计能全额收回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69,411,434.22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0" w:hRule="exact"/>
        </w:trPr>
        <w:tc>
          <w:tcPr>
            <w:tcW w:w="2374" w:type="dxa"/>
            <w:tcBorders>
              <w:top w:val="single" w:sz="4" w:space="0" w:color="000000"/>
              <w:left w:val="single" w:sz="4" w:space="0" w:color="000000"/>
              <w:bottom w:val="nil" w:sz="6" w:space="0" w:color="auto"/>
              <w:right w:val="single" w:sz="4" w:space="0" w:color="000000"/>
            </w:tcBorders>
            <w:shd w:val="clear" w:color="auto" w:fill="D3D3D3"/>
          </w:tcPr>
          <w:p>
            <w:pPr/>
          </w:p>
        </w:tc>
        <w:tc>
          <w:tcPr>
            <w:tcW w:w="718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23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374" w:type="dxa"/>
            <w:vMerge/>
            <w:tcBorders>
              <w:left w:val="single" w:sz="4" w:space="0" w:color="000000"/>
              <w:bottom w:val="nil" w:sz="6" w:space="0" w:color="auto"/>
              <w:right w:val="single" w:sz="4" w:space="0" w:color="000000"/>
            </w:tcBorders>
            <w:shd w:val="clear" w:color="auto" w:fill="D3D3D3"/>
          </w:tcPr>
          <w:p>
            <w:pPr/>
          </w:p>
        </w:tc>
        <w:tc>
          <w:tcPr>
            <w:tcW w:w="23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9"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3,715,586.87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148,623.47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459,216.47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27,552.99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3,486,769.94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1,394,707.98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589,251.23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235,700.49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2,825,298.71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1,130,119.49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7,671,073.28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1,572,309.44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5271"/>
        <w:jc w:val="left"/>
      </w:pPr>
      <w:r>
        <w:rPr/>
        <w:t>确定该组合依据的说明： 该组合依据账龄分析法计提坏账。 组合中，采用余额百分比法计提坏账准备的其他应收款：</w:t>
      </w:r>
    </w:p>
    <w:p>
      <w:pPr>
        <w:pStyle w:val="BodyText"/>
        <w:spacing w:line="240" w:lineRule="auto" w:before="29"/>
        <w:ind w:left="153" w:right="0"/>
        <w:jc w:val="left"/>
      </w:pPr>
      <w:r>
        <w:rPr/>
        <w:t>□ 适用 √ 不适用</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组合中，采用其他方法计提坏账准备的其他应收款：</w:t>
      </w:r>
    </w:p>
    <w:p>
      <w:pPr>
        <w:pStyle w:val="BodyText"/>
        <w:spacing w:line="240" w:lineRule="auto" w:before="116"/>
        <w:ind w:left="15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1"/>
        <w:gridCol w:w="3191"/>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1,321,805.91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669,174.83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用电集资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939,240.00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939,240.00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71,016,791.21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20,618,523.81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921,368.03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3,632,532.15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4,686,082.78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维修基金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2,231,395.00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77,831,737.30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29,156,466.42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69,411,434.22</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54,112,874.57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15,298,559.65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89.18%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1,605,356.99</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642,142.80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1,321,805.91</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528,722.36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石家庄市能源管理 办公室用电集资款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用电集资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939,240.00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375,696.00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中华人民共和国石 家庄海关</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886,396.65</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35,455.87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74,164,233.77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1,582,017.03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7"/>
        <w:gridCol w:w="1351"/>
        <w:gridCol w:w="1384"/>
        <w:gridCol w:w="1367"/>
        <w:gridCol w:w="1355"/>
      </w:tblGrid>
      <w:tr>
        <w:trPr>
          <w:trHeight w:val="200"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408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086" w:type="dxa"/>
            <w:gridSpan w:val="3"/>
            <w:vMerge/>
            <w:tcBorders>
              <w:left w:val="single" w:sz="4" w:space="0" w:color="000000"/>
              <w:bottom w:val="single" w:sz="4" w:space="0" w:color="000000"/>
              <w:right w:val="single" w:sz="4" w:space="0" w:color="000000"/>
            </w:tcBorders>
            <w:shd w:val="clear" w:color="auto" w:fill="D3D3D3"/>
          </w:tcPr>
          <w:p>
            <w:pPr/>
          </w:p>
        </w:tc>
        <w:tc>
          <w:tcPr>
            <w:tcW w:w="4106"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1" w:type="dxa"/>
            <w:vMerge/>
            <w:tcBorders>
              <w:left w:val="single" w:sz="4" w:space="0" w:color="000000"/>
              <w:bottom w:val="single" w:sz="4" w:space="0" w:color="000000"/>
              <w:right w:val="single" w:sz="4" w:space="0" w:color="000000"/>
            </w:tcBorders>
            <w:shd w:val="clear" w:color="auto" w:fill="D3D3D3"/>
          </w:tcPr>
          <w:p>
            <w:pPr/>
          </w:p>
        </w:tc>
        <w:tc>
          <w:tcPr>
            <w:tcW w:w="1384"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98" w:right="0"/>
              <w:jc w:val="left"/>
              <w:rPr>
                <w:rFonts w:ascii="Times New Roman" w:hAnsi="Times New Roman" w:cs="Times New Roman" w:eastAsia="Times New Roman" w:hint="default"/>
                <w:sz w:val="18"/>
                <w:szCs w:val="18"/>
              </w:rPr>
            </w:pPr>
            <w:r>
              <w:rPr>
                <w:rFonts w:ascii="Times New Roman"/>
                <w:sz w:val="18"/>
              </w:rPr>
              <w:t>358,519,317.67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358,519,317.67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487,486,722.47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487,486,722.47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32,888,342.97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32,888,342.97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54,091,436.81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54,091,436.81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1,047,070,569.12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40,540,475.12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1,006,530,094.00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966,504,632.54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14,582,476.50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951,922,156.04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25,330,657.11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25,330,657.11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11,906,903.88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11,906,903.88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1,463,808,886.87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40,540,475.12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1,423,268,411.75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1,519,989,695.70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14,582,476.50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1,505,407,219.20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7"/>
        <w:gridCol w:w="1367"/>
        <w:gridCol w:w="1355"/>
        <w:gridCol w:w="1379"/>
        <w:gridCol w:w="1355"/>
        <w:gridCol w:w="1378"/>
      </w:tblGrid>
      <w:tr>
        <w:trPr>
          <w:trHeight w:val="200"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34"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3D3D3"/>
          </w:tcPr>
          <w:p>
            <w:pPr/>
          </w:p>
        </w:tc>
        <w:tc>
          <w:tcPr>
            <w:tcW w:w="2735" w:type="dxa"/>
            <w:gridSpan w:val="2"/>
            <w:vMerge/>
            <w:tcBorders>
              <w:left w:val="single" w:sz="4" w:space="0" w:color="000000"/>
              <w:bottom w:val="single" w:sz="4" w:space="0" w:color="000000"/>
              <w:right w:val="single" w:sz="4" w:space="0" w:color="000000"/>
            </w:tcBorders>
            <w:shd w:val="clear" w:color="auto" w:fill="D3D3D3"/>
          </w:tcPr>
          <w:p>
            <w:pPr/>
          </w:p>
        </w:tc>
        <w:tc>
          <w:tcPr>
            <w:tcW w:w="13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7"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8"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14,582,476.50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33,085,311.12</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7,127,312.50</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40,540,475.12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14,582,476.50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33,085,311.12</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7,127,312.50</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40,540,475.12</w:t>
            </w:r>
          </w:p>
        </w:tc>
      </w:tr>
    </w:tbl>
    <w:p>
      <w:pPr>
        <w:spacing w:line="240" w:lineRule="auto" w:before="11"/>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1858"/>
        <w:gridCol w:w="3120"/>
        <w:gridCol w:w="2125"/>
        <w:gridCol w:w="2119"/>
      </w:tblGrid>
      <w:tr>
        <w:trPr>
          <w:trHeight w:val="747" w:hRule="exact"/>
        </w:trPr>
        <w:tc>
          <w:tcPr>
            <w:tcW w:w="1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82"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12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62"/>
              <w:ind w:left="874" w:right="65" w:hanging="810"/>
              <w:jc w:val="left"/>
              <w:rPr>
                <w:rFonts w:ascii="宋体" w:hAnsi="宋体" w:cs="宋体" w:eastAsia="宋体" w:hint="default"/>
                <w:sz w:val="18"/>
                <w:szCs w:val="18"/>
              </w:rPr>
            </w:pPr>
            <w:r>
              <w:rPr>
                <w:rFonts w:ascii="宋体" w:hAnsi="宋体" w:cs="宋体" w:eastAsia="宋体" w:hint="default"/>
                <w:sz w:val="18"/>
                <w:szCs w:val="18"/>
              </w:rPr>
              <w:t>本年转回存货跌价准备的 原因</w:t>
            </w:r>
          </w:p>
        </w:tc>
        <w:tc>
          <w:tcPr>
            <w:tcW w:w="2119"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62"/>
              <w:ind w:left="876" w:right="65" w:hanging="810"/>
              <w:jc w:val="left"/>
              <w:rPr>
                <w:rFonts w:ascii="宋体" w:hAnsi="宋体" w:cs="宋体" w:eastAsia="宋体" w:hint="default"/>
                <w:sz w:val="18"/>
                <w:szCs w:val="18"/>
              </w:rPr>
            </w:pPr>
            <w:r>
              <w:rPr>
                <w:rFonts w:ascii="宋体" w:hAnsi="宋体" w:cs="宋体" w:eastAsia="宋体" w:hint="default"/>
                <w:sz w:val="18"/>
                <w:szCs w:val="18"/>
              </w:rPr>
              <w:t>本年转销存货跌价准备的 原因</w:t>
            </w:r>
          </w:p>
        </w:tc>
      </w:tr>
      <w:tr>
        <w:trPr>
          <w:trHeight w:val="744" w:hRule="exact"/>
        </w:trPr>
        <w:tc>
          <w:tcPr>
            <w:tcW w:w="18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3" w:right="41"/>
              <w:jc w:val="left"/>
              <w:rPr>
                <w:rFonts w:ascii="宋体" w:hAnsi="宋体" w:cs="宋体" w:eastAsia="宋体" w:hint="default"/>
                <w:sz w:val="18"/>
                <w:szCs w:val="18"/>
              </w:rPr>
            </w:pPr>
            <w:r>
              <w:rPr>
                <w:rFonts w:ascii="宋体" w:hAnsi="宋体" w:cs="宋体" w:eastAsia="宋体" w:hint="default"/>
                <w:sz w:val="18"/>
                <w:szCs w:val="18"/>
              </w:rPr>
              <w:t>期末存货成本高于其可变现净值的，计 提存货跌价准备。</w:t>
            </w:r>
          </w:p>
        </w:tc>
        <w:tc>
          <w:tcPr>
            <w:tcW w:w="2125" w:type="dxa"/>
            <w:tcBorders>
              <w:top w:val="single" w:sz="12" w:space="0" w:color="000000"/>
              <w:left w:val="single" w:sz="6" w:space="0" w:color="000000"/>
              <w:bottom w:val="single" w:sz="12" w:space="0" w:color="000000"/>
              <w:right w:val="single" w:sz="6" w:space="0" w:color="000000"/>
            </w:tcBorders>
          </w:tcPr>
          <w:p>
            <w:pPr/>
          </w:p>
        </w:tc>
        <w:tc>
          <w:tcPr>
            <w:tcW w:w="21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销售</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2,118,880.13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2,118,880.13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7,597,605.83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9,716,485.96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2,118,880.13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5"/>
        <w:gridCol w:w="1196"/>
        <w:gridCol w:w="1248"/>
        <w:gridCol w:w="1367"/>
        <w:gridCol w:w="1367"/>
      </w:tblGrid>
      <w:tr>
        <w:trPr>
          <w:trHeight w:val="201" w:hRule="exact"/>
        </w:trPr>
        <w:tc>
          <w:tcPr>
            <w:tcW w:w="19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59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3D3D3"/>
          </w:tcPr>
          <w:p>
            <w:pPr/>
          </w:p>
        </w:tc>
        <w:tc>
          <w:tcPr>
            <w:tcW w:w="398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77" w:type="dxa"/>
            <w:vMerge/>
            <w:tcBorders>
              <w:left w:val="single" w:sz="4" w:space="0" w:color="000000"/>
              <w:bottom w:val="nil" w:sz="6" w:space="0" w:color="auto"/>
              <w:right w:val="single" w:sz="4" w:space="0" w:color="000000"/>
            </w:tcBorders>
            <w:shd w:val="clear" w:color="auto" w:fill="D3D3D3"/>
          </w:tcPr>
          <w:p>
            <w:pPr/>
          </w:p>
        </w:tc>
        <w:tc>
          <w:tcPr>
            <w:tcW w:w="12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9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71,962,971.00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12,824,718.16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59,138,252.84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62,497,053.80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11,879,609.23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50,617,444.57</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21,746,026.00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21,746,026.00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12,280,108.80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12,280,108.80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50,216,945.00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12,824,718.16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37,392,226.84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50,216,945.00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11,879,609.23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38,337,335.77</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71,962,971.00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12,824,718.16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59,138,252.84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62,497,053.80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11,879,609.23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50,617,444.57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7"/>
        <w:gridCol w:w="1904"/>
        <w:gridCol w:w="1939"/>
        <w:gridCol w:w="1891"/>
        <w:gridCol w:w="1927"/>
      </w:tblGrid>
      <w:tr>
        <w:trPr>
          <w:trHeight w:val="161" w:hRule="exact"/>
        </w:trPr>
        <w:tc>
          <w:tcPr>
            <w:tcW w:w="18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412" w:right="14"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89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30" w:right="39"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8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04" w:type="dxa"/>
            <w:vMerge/>
            <w:tcBorders>
              <w:left w:val="single" w:sz="4" w:space="0" w:color="000000"/>
              <w:right w:val="single" w:sz="4" w:space="0" w:color="000000"/>
            </w:tcBorders>
            <w:shd w:val="clear" w:color="auto" w:fill="D3D3D3"/>
          </w:tcPr>
          <w:p>
            <w:pPr/>
          </w:p>
        </w:tc>
        <w:tc>
          <w:tcPr>
            <w:tcW w:w="19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91" w:type="dxa"/>
            <w:vMerge/>
            <w:tcBorders>
              <w:left w:val="single" w:sz="4" w:space="0" w:color="000000"/>
              <w:right w:val="single" w:sz="4" w:space="0" w:color="000000"/>
            </w:tcBorders>
            <w:shd w:val="clear" w:color="auto" w:fill="D3D3D3"/>
          </w:tcPr>
          <w:p>
            <w:pPr/>
          </w:p>
        </w:tc>
        <w:tc>
          <w:tcPr>
            <w:tcW w:w="19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161" w:hRule="exact"/>
        </w:trPr>
        <w:tc>
          <w:tcPr>
            <w:tcW w:w="18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891" w:type="dxa"/>
            <w:vMerge/>
            <w:tcBorders>
              <w:left w:val="single" w:sz="4" w:space="0" w:color="000000"/>
              <w:bottom w:val="single" w:sz="4" w:space="0" w:color="000000"/>
              <w:right w:val="single" w:sz="4" w:space="0" w:color="000000"/>
            </w:tcBorders>
            <w:shd w:val="clear" w:color="auto" w:fill="D3D3D3"/>
          </w:tcPr>
          <w:p>
            <w:pPr/>
          </w:p>
        </w:tc>
        <w:tc>
          <w:tcPr>
            <w:tcW w:w="192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5,139,369.50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21,746,026.00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16,606,656.50</w:t>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5,139,369.50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21,746,026.00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16,606,656.50</w:t>
            </w:r>
          </w:p>
        </w:tc>
        <w:tc>
          <w:tcPr>
            <w:tcW w:w="19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0"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河北国信 投资控股 集团股份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283,445.00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283,445.00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0.15%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紫光创新 投资有限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11,879,609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945,108.93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12,824,718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1,408,547.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50,216,945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50,216,945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11,879,609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945,108.93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12,824,718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9"/>
        <w:gridCol w:w="1327"/>
        <w:gridCol w:w="1352"/>
        <w:gridCol w:w="1304"/>
        <w:gridCol w:w="1339"/>
        <w:gridCol w:w="1328"/>
        <w:gridCol w:w="1327"/>
      </w:tblGrid>
      <w:tr>
        <w:trPr>
          <w:trHeight w:val="161" w:hRule="exact"/>
        </w:trPr>
        <w:tc>
          <w:tcPr>
            <w:tcW w:w="157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04" w:right="62"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89" w:right="17"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5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97" w:right="15"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8" w:right="29" w:hanging="90"/>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2" w:hRule="exact"/>
        </w:trPr>
        <w:tc>
          <w:tcPr>
            <w:tcW w:w="1579" w:type="dxa"/>
            <w:vMerge/>
            <w:tcBorders>
              <w:left w:val="single" w:sz="4" w:space="0" w:color="000000"/>
              <w:right w:val="single" w:sz="4" w:space="0" w:color="000000"/>
            </w:tcBorders>
            <w:shd w:val="clear" w:color="auto" w:fill="D3D3D3"/>
          </w:tcPr>
          <w:p>
            <w:pPr/>
          </w:p>
        </w:tc>
        <w:tc>
          <w:tcPr>
            <w:tcW w:w="1327" w:type="dxa"/>
            <w:vMerge/>
            <w:tcBorders>
              <w:left w:val="single" w:sz="4" w:space="0" w:color="000000"/>
              <w:right w:val="single" w:sz="4" w:space="0" w:color="000000"/>
            </w:tcBorders>
            <w:shd w:val="clear" w:color="auto" w:fill="D3D3D3"/>
          </w:tcPr>
          <w:p>
            <w:pPr/>
          </w:p>
        </w:tc>
        <w:tc>
          <w:tcPr>
            <w:tcW w:w="13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04" w:type="dxa"/>
            <w:vMerge/>
            <w:tcBorders>
              <w:left w:val="single" w:sz="4" w:space="0" w:color="000000"/>
              <w:right w:val="single" w:sz="4" w:space="0" w:color="000000"/>
            </w:tcBorders>
            <w:shd w:val="clear" w:color="auto" w:fill="D3D3D3"/>
          </w:tcPr>
          <w:p>
            <w:pPr/>
          </w:p>
        </w:tc>
        <w:tc>
          <w:tcPr>
            <w:tcW w:w="13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vMerge/>
            <w:tcBorders>
              <w:left w:val="single" w:sz="4" w:space="0" w:color="000000"/>
              <w:right w:val="single" w:sz="4" w:space="0" w:color="000000"/>
            </w:tcBorders>
            <w:shd w:val="clear" w:color="auto" w:fill="D3D3D3"/>
          </w:tcPr>
          <w:p>
            <w:pPr/>
          </w:p>
        </w:tc>
        <w:tc>
          <w:tcPr>
            <w:tcW w:w="1327" w:type="dxa"/>
            <w:vMerge/>
            <w:tcBorders>
              <w:left w:val="single" w:sz="4" w:space="0" w:color="000000"/>
              <w:right w:val="single" w:sz="4" w:space="0" w:color="000000"/>
            </w:tcBorders>
            <w:shd w:val="clear" w:color="auto" w:fill="D3D3D3"/>
          </w:tcPr>
          <w:p>
            <w:pPr/>
          </w:p>
        </w:tc>
      </w:tr>
      <w:tr>
        <w:trPr>
          <w:trHeight w:val="161" w:hRule="exact"/>
        </w:trPr>
        <w:tc>
          <w:tcPr>
            <w:tcW w:w="1579"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4" w:type="dxa"/>
            <w:vMerge/>
            <w:tcBorders>
              <w:left w:val="single" w:sz="4" w:space="0" w:color="000000"/>
              <w:bottom w:val="single" w:sz="4" w:space="0" w:color="000000"/>
              <w:right w:val="single" w:sz="4" w:space="0" w:color="000000"/>
            </w:tcBorders>
            <w:shd w:val="clear" w:color="auto" w:fill="D3D3D3"/>
          </w:tcPr>
          <w:p>
            <w:pPr/>
          </w:p>
        </w:tc>
        <w:tc>
          <w:tcPr>
            <w:tcW w:w="13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11,879,609.23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945,108.93</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12,824,718.16</w:t>
            </w:r>
          </w:p>
        </w:tc>
      </w:tr>
      <w:tr>
        <w:trPr>
          <w:trHeight w:val="402" w:hRule="exact"/>
        </w:trPr>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11,879,609.23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945,108.93</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12,824,718.16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3"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6"/>
              <w:ind w:left="22" w:right="41"/>
              <w:jc w:val="both"/>
              <w:rPr>
                <w:rFonts w:ascii="宋体" w:hAnsi="宋体" w:cs="宋体" w:eastAsia="宋体" w:hint="default"/>
                <w:sz w:val="18"/>
                <w:szCs w:val="18"/>
              </w:rPr>
            </w:pPr>
            <w:r>
              <w:rPr>
                <w:rFonts w:ascii="宋体" w:hAnsi="宋体" w:cs="宋体" w:eastAsia="宋体" w:hint="default"/>
                <w:sz w:val="18"/>
                <w:szCs w:val="18"/>
              </w:rPr>
              <w:t>石家庄常 山明荣家 纺有限公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17"/>
        <w:gridCol w:w="1700"/>
        <w:gridCol w:w="1572"/>
        <w:gridCol w:w="1440"/>
        <w:gridCol w:w="1620"/>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198,298,373.12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198,298,373.12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2,231,395.00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2,231,395.00</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2,231,395.00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2,231,395.00</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19,159,354.07</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19,159,354.07</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4,871,143.12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4,871,143.12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4,871,143.12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4,871,143.12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24,030,497.19</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24,030,497.19</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11"/>
        <w:gridCol w:w="1717"/>
        <w:gridCol w:w="1572"/>
        <w:gridCol w:w="1440"/>
        <w:gridCol w:w="1620"/>
      </w:tblGrid>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176,499,270.93</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176,499,270.93</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20"/>
        <w:gridCol w:w="1196"/>
        <w:gridCol w:w="1352"/>
        <w:gridCol w:w="1196"/>
        <w:gridCol w:w="1195"/>
        <w:gridCol w:w="1208"/>
        <w:gridCol w:w="1367"/>
      </w:tblGrid>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411,479,473.79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1,710,183,635.36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12,780,302.56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12,959,683.35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10,361,734.40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2,157,764,829.46</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1,475,464.39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26,862,135.11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969,657.51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60,893.22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1,085,245.49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30,453,395.72</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502,392.97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60,893.22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654,428.46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1,217,714.65</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1,475,464.39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26,862,135.11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467,264.54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430,817.03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29,235,681.07</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442,480,424.18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1,622,317.36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1,120,250.20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1,429,188.19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446,652,179.93</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442,480,424.18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1,622,317.36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1,120,250.20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1,429,188.19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446,652,179.93</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412,954,938.18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1,294,565,346.29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12,127,642.71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11,900,326.37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10,017,791.70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1,741,566,045.25</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70,285,300.29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559,420,249.90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10,781,826.75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6,880,360.02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9,339,161.03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656,706,897.99</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14,840,581.17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88,138,527.65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547,247.83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961,697.74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688,858.14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105,176,912.53</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14,840,581.17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88,138,527.65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547,247.83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961,697.74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688,858.14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105,176,912.53</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177,573,173.46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1,138,833.76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961,405.59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3,238,549.83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182,911,962.64</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177,573,173.46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1,138,833.76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961,405.59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3,238,549.83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182,911,962.64</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85,125,881.46</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469,985,604.09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10,190,240.82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6,880,652.17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6,789,469.34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578,971,847.88</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04"/>
        <w:gridCol w:w="1224"/>
        <w:gridCol w:w="1352"/>
        <w:gridCol w:w="1196"/>
        <w:gridCol w:w="1195"/>
        <w:gridCol w:w="1208"/>
        <w:gridCol w:w="1367"/>
      </w:tblGrid>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327,829,056.72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824,579,742.20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1,937,401.89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5,019,674.20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3,228,322.36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1,162,594,197.37</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341,194,173.50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1,150,763,385.46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1,998,475.81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6,079,323.33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1,022,573.37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1,501,057,931.47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0"/>
        <w:gridCol w:w="1368"/>
        <w:gridCol w:w="792"/>
        <w:gridCol w:w="1367"/>
        <w:gridCol w:w="1367"/>
        <w:gridCol w:w="866"/>
        <w:gridCol w:w="1367"/>
      </w:tblGrid>
      <w:tr>
        <w:trPr>
          <w:trHeight w:val="402" w:hRule="exact"/>
        </w:trPr>
        <w:tc>
          <w:tcPr>
            <w:tcW w:w="25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2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520"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整体改造优化升级项目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高档服 装及绿色环保服装面料项目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916,118,851.54</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916,118,851.54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625,429,945.25</w:t>
            </w:r>
          </w:p>
        </w:tc>
        <w:tc>
          <w:tcPr>
            <w:tcW w:w="8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625,429,945.25</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提高纱质量开发新型产品设备 改良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25,662,090.18</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25,662,090.18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27,081,875.73</w:t>
            </w:r>
          </w:p>
        </w:tc>
        <w:tc>
          <w:tcPr>
            <w:tcW w:w="8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27,081,875.73</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高档柔性纱线项目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86,284,712.93</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86,284,712.93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56,805,129.89</w:t>
            </w:r>
          </w:p>
        </w:tc>
        <w:tc>
          <w:tcPr>
            <w:tcW w:w="8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56,805,129.89</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1,023,986.62</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1,023,986.62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3,541,802.28</w:t>
            </w:r>
          </w:p>
        </w:tc>
        <w:tc>
          <w:tcPr>
            <w:tcW w:w="8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3,541,802.28</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1,029,089,641.27</w:t>
            </w:r>
          </w:p>
        </w:tc>
        <w:tc>
          <w:tcPr>
            <w:tcW w:w="79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1,029,089,641.27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712,858,753.15</w:t>
            </w:r>
          </w:p>
        </w:tc>
        <w:tc>
          <w:tcPr>
            <w:tcW w:w="8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712,858,753.15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0"/>
        <w:gridCol w:w="748"/>
        <w:gridCol w:w="737"/>
        <w:gridCol w:w="736"/>
        <w:gridCol w:w="736"/>
        <w:gridCol w:w="737"/>
        <w:gridCol w:w="736"/>
        <w:gridCol w:w="736"/>
        <w:gridCol w:w="737"/>
        <w:gridCol w:w="736"/>
        <w:gridCol w:w="736"/>
        <w:gridCol w:w="737"/>
        <w:gridCol w:w="736"/>
      </w:tblGrid>
      <w:tr>
        <w:trPr>
          <w:trHeight w:val="1338"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78"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12" w:space="0" w:color="C7EDCC"/>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68" w:hRule="exact"/>
        </w:trPr>
        <w:tc>
          <w:tcPr>
            <w:tcW w:w="72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整体改</w:t>
            </w:r>
          </w:p>
        </w:tc>
        <w:tc>
          <w:tcPr>
            <w:tcW w:w="748" w:type="dxa"/>
            <w:tcBorders>
              <w:top w:val="single" w:sz="4" w:space="0" w:color="000000"/>
              <w:left w:val="single" w:sz="13" w:space="0" w:color="C7EDCC"/>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项目正</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造优化</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在建设</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升级项</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10"/>
                <w:sz w:val="18"/>
                <w:szCs w:val="18"/>
              </w:rPr>
              <w:t>中，部分</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ind w:left="22" w:right="25"/>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 服装及 绿色环</w:t>
            </w:r>
          </w:p>
        </w:tc>
        <w:tc>
          <w:tcPr>
            <w:tcW w:w="748" w:type="dxa"/>
            <w:tcBorders>
              <w:top w:val="nil" w:sz="6" w:space="0" w:color="auto"/>
              <w:left w:val="single" w:sz="13" w:space="0" w:color="C7EDCC"/>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1,966,66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625,429,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945.25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290,688,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906.29</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916,118,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851.54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68.49%</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生产线 正在试 </w:t>
            </w:r>
            <w:r>
              <w:rPr>
                <w:rFonts w:ascii="宋体" w:hAnsi="宋体" w:cs="宋体" w:eastAsia="宋体" w:hint="default"/>
                <w:spacing w:val="-10"/>
                <w:sz w:val="18"/>
                <w:szCs w:val="18"/>
              </w:rPr>
              <w:t>生产，部</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51,823,5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69.30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6,985,69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4.49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6.89%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12"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保服装</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分生产</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2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面料项</w:t>
            </w:r>
          </w:p>
        </w:tc>
        <w:tc>
          <w:tcPr>
            <w:tcW w:w="748" w:type="dxa"/>
            <w:tcBorders>
              <w:top w:val="nil" w:sz="6" w:space="0" w:color="auto"/>
              <w:left w:val="single" w:sz="13" w:space="0" w:color="C7EDCC"/>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线正在</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47" w:hRule="exact"/>
        </w:trPr>
        <w:tc>
          <w:tcPr>
            <w:tcW w:w="72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48" w:type="dxa"/>
            <w:tcBorders>
              <w:top w:val="nil" w:sz="6" w:space="0" w:color="auto"/>
              <w:left w:val="single" w:sz="13" w:space="0" w:color="C7EDCC"/>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安装调</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试</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提高纱 质量开 发新型 产品设 备改良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27,081,8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75.73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23,332,2</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77.11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24,752,0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25,662,0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99.56%</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设备正 在改造</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6,790,63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1,113,04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高档柔 性纱线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56,805,1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29,479,5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86,284,7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123.26%</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项目正 在建设 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9,907,82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4,399,00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2,056,66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709,316,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950.87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343,500,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766.44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24,752,0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1,028,06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5,654.65</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68,522,0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12,497,7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210,427.34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246,470.55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219,559.81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255,603.02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183,799,290.90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37,842,905.32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183,799,290.90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37,842,905.32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40"/>
        <w:gridCol w:w="1408"/>
        <w:gridCol w:w="1368"/>
        <w:gridCol w:w="1382"/>
        <w:gridCol w:w="1380"/>
        <w:gridCol w:w="1579"/>
      </w:tblGrid>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218,628,554.10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6" w:right="0"/>
              <w:jc w:val="left"/>
              <w:rPr>
                <w:rFonts w:ascii="Times New Roman" w:hAnsi="Times New Roman" w:cs="Times New Roman" w:eastAsia="Times New Roman" w:hint="default"/>
                <w:sz w:val="18"/>
                <w:szCs w:val="18"/>
              </w:rPr>
            </w:pPr>
            <w:r>
              <w:rPr>
                <w:rFonts w:ascii="Times New Roman"/>
                <w:sz w:val="18"/>
              </w:rPr>
              <w:t>141,955.00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2" w:right="0"/>
              <w:jc w:val="left"/>
              <w:rPr>
                <w:rFonts w:ascii="Times New Roman" w:hAnsi="Times New Roman" w:cs="Times New Roman" w:eastAsia="Times New Roman" w:hint="default"/>
                <w:sz w:val="18"/>
                <w:szCs w:val="18"/>
              </w:rPr>
            </w:pPr>
            <w:r>
              <w:rPr>
                <w:rFonts w:ascii="Times New Roman"/>
                <w:sz w:val="18"/>
              </w:rPr>
              <w:t>218,770,509.10</w:t>
            </w: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218,628,554.10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141,955.00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218,770,509.10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19,905,234.68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98,579.75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20,003,814.43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4,520,527.56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43,375.25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4,563,902.81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4,520,527.56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43,375.25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4,563,902.81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24,425,762.24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141,955.00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24,567,717.24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194,202,791.86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194,202,791.86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198,723,319.42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43,375.25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198,766,694.67</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二毛土地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55,777,283.21</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116,126.35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9" w:right="0"/>
              <w:jc w:val="left"/>
              <w:rPr>
                <w:rFonts w:ascii="Times New Roman" w:hAnsi="Times New Roman" w:cs="Times New Roman" w:eastAsia="Times New Roman" w:hint="default"/>
                <w:sz w:val="18"/>
                <w:szCs w:val="18"/>
              </w:rPr>
            </w:pPr>
            <w:r>
              <w:rPr>
                <w:rFonts w:ascii="Times New Roman"/>
                <w:sz w:val="18"/>
              </w:rPr>
              <w:t>40,909.99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75,216.36</w:t>
            </w:r>
          </w:p>
        </w:tc>
      </w:tr>
    </w:tbl>
    <w:p>
      <w:pPr>
        <w:spacing w:after="0" w:line="240" w:lineRule="auto"/>
        <w:jc w:val="left"/>
        <w:rPr>
          <w:rFonts w:ascii="Times New Roman" w:hAnsi="Times New Roman" w:cs="Times New Roman" w:eastAsia="Times New Roman" w:hint="default"/>
          <w:sz w:val="18"/>
          <w:szCs w:val="18"/>
        </w:rPr>
        <w:sectPr>
          <w:footerReference w:type="default" r:id="rId23"/>
          <w:pgSz w:w="11910" w:h="16840"/>
          <w:pgMar w:footer="982" w:header="747"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绿化工程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1,613,788.93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418,763.25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1,235,417.68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1,729,915.28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459,673.24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1,310,634.04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3"/>
        <w:gridCol w:w="1915"/>
        <w:gridCol w:w="1902"/>
      </w:tblGrid>
      <w:tr>
        <w:trPr>
          <w:trHeight w:val="201"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3D3D3"/>
          </w:tcPr>
          <w:p>
            <w:pPr/>
          </w:p>
        </w:tc>
        <w:tc>
          <w:tcPr>
            <w:tcW w:w="3817"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1"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0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62,308,208.01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15,577,052.02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37,334,542.38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9,289,942.23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62,308,208.01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15,577,052.02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37,334,542.38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9,289,942.23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1"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11"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16,606,656.50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4,151,664.13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7,140,739.30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1,785,184.83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16,606,656.50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4,151,664.13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7,140,739.30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1,785,184.83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16"/>
        <w:gridCol w:w="1914"/>
        <w:gridCol w:w="1914"/>
        <w:gridCol w:w="1891"/>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1" w:right="6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10" w:right="62"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0" w:right="6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89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10" w:right="38"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891" w:type="dxa"/>
            <w:vMerge/>
            <w:tcBorders>
              <w:left w:val="single" w:sz="4" w:space="0" w:color="000000"/>
              <w:right w:val="single" w:sz="4" w:space="0" w:color="000000"/>
            </w:tcBorders>
            <w:shd w:val="clear" w:color="auto" w:fill="D3D3D3"/>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891"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15,577,052.02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9,289,942.23</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4,151,664.13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1,785,184.83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3,592,156.87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3,592,328.14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70,241,162.08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65,668,449.87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73,833,318.95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69,260,778.01</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82" w:header="747" w:top="1060" w:bottom="1180" w:left="980" w:right="98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10,320,102.38</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11,900,564.64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11,900,564.64</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10,404,850.93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10,404,850.93</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13,989,722.33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13,989,722.33</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19,053,209.59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19,053,209.59</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14,892,814.59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70,241,162.08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65,668,449.87</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1,350,067,200.00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1,560,552,373.42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1,504,567,200.00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1,589,452,373.42</w:t>
            </w:r>
          </w:p>
        </w:tc>
      </w:tr>
    </w:tbl>
    <w:p>
      <w:pPr>
        <w:pStyle w:val="BodyText"/>
        <w:spacing w:line="357" w:lineRule="auto" w:before="51"/>
        <w:ind w:left="153" w:right="5406"/>
        <w:jc w:val="left"/>
      </w:pPr>
      <w:r>
        <w:rPr/>
        <w:t>短期借款分类的说明： 公司期末质押借款</w:t>
      </w:r>
      <w:r>
        <w:rPr>
          <w:rFonts w:ascii="Times New Roman" w:hAnsi="Times New Roman" w:cs="Times New Roman" w:eastAsia="Times New Roman" w:hint="default"/>
        </w:rPr>
        <w:t>154,500,000.00</w:t>
      </w:r>
      <w:r>
        <w:rPr/>
        <w:t>元以信用证提供质押。</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30,060,000.00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30,060,000.00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125,718,797.56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218,151,582.52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26,550,231.97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24,342,874.84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17,122,921.86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12,872,060.35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11,140,919.18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3,852,882.92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180,532,870.57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259,219,400.63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9"/>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卓郎</w:t>
            </w:r>
            <w:r>
              <w:rPr>
                <w:rFonts w:ascii="Times New Roman" w:hAnsi="Times New Roman" w:cs="Times New Roman" w:eastAsia="Times New Roman" w:hint="default"/>
                <w:sz w:val="18"/>
                <w:szCs w:val="18"/>
              </w:rPr>
              <w:t>(</w:t>
            </w:r>
            <w:r>
              <w:rPr>
                <w:rFonts w:ascii="宋体" w:hAnsi="宋体" w:cs="宋体" w:eastAsia="宋体" w:hint="default"/>
                <w:sz w:val="18"/>
                <w:szCs w:val="18"/>
              </w:rPr>
              <w:t>金坛</w:t>
            </w:r>
            <w:r>
              <w:rPr>
                <w:rFonts w:ascii="Times New Roman" w:hAnsi="Times New Roman" w:cs="Times New Roman" w:eastAsia="Times New Roman" w:hint="default"/>
                <w:sz w:val="18"/>
                <w:szCs w:val="18"/>
              </w:rPr>
              <w:t>)</w:t>
            </w:r>
            <w:r>
              <w:rPr>
                <w:rFonts w:ascii="宋体" w:hAnsi="宋体" w:cs="宋体" w:eastAsia="宋体" w:hint="default"/>
                <w:sz w:val="18"/>
                <w:szCs w:val="18"/>
              </w:rPr>
              <w:t>纺织机械有限公司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10,884,514.78</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815"/>
              <w:jc w:val="right"/>
              <w:rPr>
                <w:rFonts w:ascii="宋体" w:hAnsi="宋体" w:cs="宋体" w:eastAsia="宋体" w:hint="default"/>
                <w:sz w:val="18"/>
                <w:szCs w:val="18"/>
              </w:rPr>
            </w:pPr>
            <w:r>
              <w:rPr>
                <w:rFonts w:ascii="宋体" w:hAnsi="宋体" w:cs="宋体" w:eastAsia="宋体" w:hint="default"/>
                <w:sz w:val="18"/>
                <w:szCs w:val="18"/>
              </w:rPr>
              <w:t>未达到约定的付款条件和期限</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10,884,514.78</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458,945,382.87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663,706,470.44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37,249,731.81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706,739.85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152,684.92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614,459.28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2,351,849.98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2,049,913.06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498,699,649.58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667,077,582.63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7" w:type="dxa"/>
            <w:tcBorders>
              <w:top w:val="single" w:sz="5"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北京维曼克斯工贸有限责任公司</w:t>
            </w:r>
          </w:p>
        </w:tc>
        <w:tc>
          <w:tcPr>
            <w:tcW w:w="319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32,828,289.65</w:t>
            </w:r>
          </w:p>
        </w:tc>
        <w:tc>
          <w:tcPr>
            <w:tcW w:w="3188" w:type="dxa"/>
            <w:tcBorders>
              <w:top w:val="single" w:sz="5"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合同未执行完毕尚未结算以及合同执行 完毕的结算尾款</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32,828,289.65</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57"/>
        <w:gridCol w:w="1632"/>
        <w:gridCol w:w="1620"/>
        <w:gridCol w:w="1620"/>
        <w:gridCol w:w="1800"/>
      </w:tblGrid>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7,480,775.60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243,677,670.98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244,077,671.99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7,080,774.59</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2,821,955.88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56,356,458.20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57,362,210.00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1,816,204.08</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3,846,038.11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72,004,100.19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75,850,138.30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14,148,769.59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372,038,229.37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377,290,020.29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8,896,978.67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37"/>
        <w:gridCol w:w="1700"/>
        <w:gridCol w:w="1620"/>
        <w:gridCol w:w="1620"/>
        <w:gridCol w:w="1620"/>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1,600,475.25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191,480,164.43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191,272,287.28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1,808,352.40</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14,102,207.97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14,102,207.97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608,868.80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29,786,517.65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29,871,846.39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523,540.06</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238,664.29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24,669,538.32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24,707,573.89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200,628.72</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143,040.10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2,637,171.44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2,682,579.37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97,632.17</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227,164.41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2,479,807.89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2,481,693.13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225,279.17</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3,488,037.76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6,050,792.72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6,771,171.51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2,767,658.97</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1,783,393.79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2,257,988.21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2,060,158.84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1,981,223.16</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7,480,775.60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243,677,670.98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244,077,671.99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7,080,774.59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2,063,128.56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51,170,803.39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52,126,736.78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1,107,195.17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758,827.32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5,185,654.81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5,235,473.22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709,008.91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2,821,955.88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56,356,458.20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57,362,210.00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1,816,204.08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59"/>
        <w:gridCol w:w="3210"/>
        <w:gridCol w:w="3177"/>
      </w:tblGrid>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2,830,850.26</w:t>
            </w:r>
          </w:p>
        </w:tc>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1" w:right="0"/>
              <w:jc w:val="left"/>
              <w:rPr>
                <w:rFonts w:ascii="Times New Roman" w:hAnsi="Times New Roman" w:cs="Times New Roman" w:eastAsia="Times New Roman" w:hint="default"/>
                <w:sz w:val="18"/>
                <w:szCs w:val="18"/>
              </w:rPr>
            </w:pPr>
            <w:r>
              <w:rPr>
                <w:rFonts w:ascii="Times New Roman"/>
                <w:sz w:val="18"/>
              </w:rPr>
              <w:t>-41,981,379.17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984,023.22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647,837.26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1,351,215.17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2,622,045.65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64,764.99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299,289.85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198,839.96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37,446.86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1,021,829.25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441,637.69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6,451,522.85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-37,933,121.86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41,583,500.00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41,604,273.89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41,583,500.00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41,604,273.89</w:t>
            </w:r>
          </w:p>
        </w:tc>
      </w:tr>
    </w:tbl>
    <w:p>
      <w:pPr>
        <w:pStyle w:val="BodyText"/>
        <w:spacing w:line="240" w:lineRule="auto" w:before="51"/>
        <w:ind w:right="0"/>
        <w:jc w:val="left"/>
      </w:pPr>
      <w:r>
        <w:rPr/>
        <w:t>重要的已逾期未支付的利息情况：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468,422.13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468,422.13</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pStyle w:val="BodyText"/>
        <w:spacing w:line="240" w:lineRule="auto" w:before="103"/>
        <w:ind w:right="0"/>
        <w:jc w:val="left"/>
      </w:pPr>
      <w:r>
        <w:rPr/>
        <w:t>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日欠付股利</w:t>
      </w:r>
      <w:r>
        <w:rPr>
          <w:spacing w:val="-46"/>
        </w:rPr>
        <w:t> </w:t>
      </w:r>
      <w:r>
        <w:rPr>
          <w:rFonts w:ascii="Times New Roman" w:hAnsi="Times New Roman" w:cs="Times New Roman" w:eastAsia="Times New Roman" w:hint="default"/>
        </w:rPr>
        <w:t>468,422.13</w:t>
      </w:r>
      <w:r>
        <w:rPr>
          <w:rFonts w:ascii="Times New Roman" w:hAnsi="Times New Roman" w:cs="Times New Roman" w:eastAsia="Times New Roman" w:hint="default"/>
          <w:spacing w:val="-1"/>
        </w:rPr>
        <w:t> </w:t>
      </w:r>
      <w:r>
        <w:rPr/>
        <w:t>元系股东尚未领取形成。</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1"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5,697,765.74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7,472,363.17</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10,590,049.52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5,955,081.21</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18,766,667.43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25,628,042.96</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石家庄市土地储备中心</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47,874,131.29</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35,054,482.69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86,929,618.63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334"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32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未到保证期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经纬纺织机械股份有限公司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710,108.00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未到质保期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厦门市软通科技有限公司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未到质保期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2,160,108.00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334" w:right="0"/>
        <w:jc w:val="left"/>
        <w:rPr>
          <w:b w:val="0"/>
          <w:bCs w:val="0"/>
        </w:rPr>
      </w:pPr>
      <w:r>
        <w:rPr>
          <w:rFonts w:ascii="Times New Roman" w:hAnsi="Times New Roman" w:cs="Times New Roman" w:eastAsia="Times New Roman" w:hint="default"/>
        </w:rPr>
        <w:t>29</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34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629,380,966.27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629,380,966.27</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334" w:right="0"/>
        <w:jc w:val="left"/>
        <w:rPr>
          <w:b w:val="0"/>
          <w:bCs w:val="0"/>
        </w:rPr>
      </w:pPr>
      <w:r>
        <w:rPr>
          <w:rFonts w:ascii="Times New Roman" w:hAnsi="Times New Roman" w:cs="Times New Roman" w:eastAsia="Times New Roman" w:hint="default"/>
        </w:rPr>
        <w:t>30</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32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一年内结转的递延收益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1,409,492.08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1,409,492.08</w:t>
            </w:r>
          </w:p>
        </w:tc>
      </w:tr>
    </w:tbl>
    <w:p>
      <w:pPr>
        <w:pStyle w:val="BodyText"/>
        <w:spacing w:line="434" w:lineRule="auto" w:before="51"/>
        <w:ind w:left="117" w:right="7287" w:firstLine="216"/>
        <w:jc w:val="left"/>
      </w:pPr>
      <w:r>
        <w:rPr/>
        <w:t>其他说明： 一年内结转的递延收益明细如下：</w:t>
      </w:r>
    </w:p>
    <w:p>
      <w:pPr>
        <w:spacing w:line="240" w:lineRule="auto" w:before="4"/>
        <w:rPr>
          <w:rFonts w:ascii="宋体" w:hAnsi="宋体" w:cs="宋体" w:eastAsia="宋体" w:hint="default"/>
          <w:sz w:val="12"/>
          <w:szCs w:val="12"/>
        </w:rPr>
      </w:pPr>
    </w:p>
    <w:tbl>
      <w:tblPr>
        <w:tblW w:w="0" w:type="auto"/>
        <w:jc w:val="left"/>
        <w:tblInd w:w="304" w:type="dxa"/>
        <w:tblLayout w:type="fixed"/>
        <w:tblCellMar>
          <w:top w:w="0" w:type="dxa"/>
          <w:left w:w="0" w:type="dxa"/>
          <w:bottom w:w="0" w:type="dxa"/>
          <w:right w:w="0" w:type="dxa"/>
        </w:tblCellMar>
        <w:tblLook w:val="01E0"/>
      </w:tblPr>
      <w:tblGrid>
        <w:gridCol w:w="4694"/>
        <w:gridCol w:w="1702"/>
        <w:gridCol w:w="1700"/>
        <w:gridCol w:w="1559"/>
      </w:tblGrid>
      <w:tr>
        <w:trPr>
          <w:trHeight w:val="806" w:hRule="exact"/>
        </w:trPr>
        <w:tc>
          <w:tcPr>
            <w:tcW w:w="46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65" w:val="left" w:leader="none"/>
              </w:tabs>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9" w:type="dxa"/>
            <w:tcBorders>
              <w:top w:val="single" w:sz="12" w:space="0" w:color="000000"/>
              <w:left w:val="single" w:sz="2" w:space="0" w:color="000000"/>
              <w:bottom w:val="single" w:sz="2" w:space="0" w:color="000000"/>
              <w:right w:val="nil" w:sz="6" w:space="0" w:color="auto"/>
            </w:tcBorders>
          </w:tcPr>
          <w:p>
            <w:pPr>
              <w:pStyle w:val="TableParagraph"/>
              <w:spacing w:line="234" w:lineRule="exact" w:before="152"/>
              <w:ind w:left="506" w:right="122"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340" w:hRule="exact"/>
        </w:trPr>
        <w:tc>
          <w:tcPr>
            <w:tcW w:w="4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124,992.00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124,992.00</w:t>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1" w:hRule="exact"/>
        </w:trPr>
        <w:tc>
          <w:tcPr>
            <w:tcW w:w="4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石家庄常山纺织股份有限公司技术中心项目专项资金</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14,500.00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14,500.00</w:t>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0" w:hRule="exact"/>
        </w:trPr>
        <w:tc>
          <w:tcPr>
            <w:tcW w:w="4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1,035,714.36</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1,035,714.36</w:t>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0" w:hRule="exact"/>
        </w:trPr>
        <w:tc>
          <w:tcPr>
            <w:tcW w:w="4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提高自主创新能力及高技术产业发展项目专项资金</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214,285.68</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214,285.68</w:t>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1" w:hRule="exact"/>
        </w:trPr>
        <w:tc>
          <w:tcPr>
            <w:tcW w:w="46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20,000.04</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20,000.04</w:t>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46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1,409,492.08</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1,409,492.08</w:t>
            </w:r>
          </w:p>
        </w:tc>
        <w:tc>
          <w:tcPr>
            <w:tcW w:w="155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7" w:footer="982" w:top="1060" w:bottom="1180" w:left="80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9,465,000.00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82,726,000.00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9,465,000.00</w:t>
            </w:r>
          </w:p>
        </w:tc>
      </w:tr>
    </w:tbl>
    <w:p>
      <w:pPr>
        <w:pStyle w:val="BodyText"/>
        <w:spacing w:line="357" w:lineRule="auto" w:before="51"/>
        <w:ind w:left="153" w:right="6608"/>
        <w:jc w:val="left"/>
      </w:pPr>
      <w:r>
        <w:rPr/>
        <w:t>长期借款分类的说明： 其他说明，包括利率区间： 长期借款利率区间年利率为</w:t>
      </w:r>
      <w:r>
        <w:rPr>
          <w:rFonts w:ascii="Times New Roman" w:hAnsi="Times New Roman" w:cs="Times New Roman" w:eastAsia="Times New Roman" w:hint="default"/>
        </w:rPr>
        <w:t>3.3-6.765%</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债券面值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-619,033.73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-4,333,233.53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一年内到期的部分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-629,380,966.27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625,666,766.47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5"/>
        <w:gridCol w:w="1595"/>
        <w:gridCol w:w="1594"/>
        <w:gridCol w:w="1594"/>
        <w:gridCol w:w="1583"/>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41,527,971.71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352,418,699.10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338,546,803.91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55,399,866.90</w:t>
            </w:r>
          </w:p>
        </w:tc>
        <w:tc>
          <w:tcPr>
            <w:tcW w:w="1583"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41,527,971.71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352,418,699.10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338,546,803.91</w:t>
            </w:r>
          </w:p>
        </w:tc>
        <w:tc>
          <w:tcPr>
            <w:tcW w:w="159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55,399,866.90</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9"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高档新型纤维面 料项目开发补助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812,560.00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124,992.00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-124,992.00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687,568.00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349,573,699.29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337,137,311.83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12,436,387.46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提高自主创新能 力及高技术产业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2,678,571.48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214,285.68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-214,285.68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2,464,285.80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发展项目专项资 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重点产业振兴和 技术改造项目专 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14,702,380.80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1,035,714.36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-1,035,714.36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13,666,666.44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高档纱线公共实 验检测平台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258,333.29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238,333.25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杨普工作室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多组分差别化纤 维面料研发项目 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石家庄常山纺织 股份有限公司技 术中心项目专项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正定纺织工业园 建设资金补助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3,866,626.14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3,866,626.14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高档服装面料工 程技术研究中心 经费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新型制造生产线 技术改造项目贴 息资金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工业企业技术改 造贴息及补助资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工业企业技术改 造专项资金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年度工业企 业技术改造补助 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年度工业企 业技术改造专项 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1,184,999.81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1,184,999.81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41,527,971.71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352,418,699.10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338,546,803.91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-1,409,492.08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55,399,866.90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6"/>
        <w:ind w:left="153" w:right="151" w:firstLine="360"/>
        <w:jc w:val="both"/>
      </w:pPr>
      <w:r>
        <w:rPr>
          <w:spacing w:val="-1"/>
        </w:rPr>
        <w:t>根据石政发</w:t>
      </w:r>
      <w:r>
        <w:rPr>
          <w:rFonts w:ascii="Times New Roman" w:hAnsi="Times New Roman" w:cs="Times New Roman" w:eastAsia="Times New Roman" w:hint="default"/>
          <w:spacing w:val="-1"/>
        </w:rPr>
        <w:t>[2014]14</w:t>
      </w:r>
      <w:r>
        <w:rPr>
          <w:rFonts w:ascii="Times New Roman" w:hAnsi="Times New Roman" w:cs="Times New Roman" w:eastAsia="Times New Roman" w:hint="default"/>
          <w:spacing w:val="24"/>
        </w:rPr>
        <w:t> </w:t>
      </w:r>
      <w:r>
        <w:rPr>
          <w:spacing w:val="-2"/>
        </w:rPr>
        <w:t>号文件《石家庄市人民政府关于中心城市工业企业搬迁改造和产业升级的实施意见》以及石家庄市</w:t>
      </w:r>
      <w:r>
        <w:rPr/>
        <w:t> 人民政府常务会议纪要（</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年第</w:t>
      </w:r>
      <w:r>
        <w:rPr>
          <w:spacing w:val="-59"/>
        </w:rPr>
        <w:t> </w:t>
      </w:r>
      <w:r>
        <w:rPr>
          <w:rFonts w:ascii="Times New Roman" w:hAnsi="Times New Roman" w:cs="Times New Roman" w:eastAsia="Times New Roman" w:hint="default"/>
        </w:rPr>
        <w:t>65</w:t>
      </w:r>
      <w:r>
        <w:rPr>
          <w:rFonts w:ascii="Times New Roman" w:hAnsi="Times New Roman" w:cs="Times New Roman" w:eastAsia="Times New Roman" w:hint="default"/>
          <w:spacing w:val="-14"/>
        </w:rPr>
        <w:t> </w:t>
      </w:r>
      <w:r>
        <w:rPr/>
        <w:t>号）的规定，石家庄市人民政府按土地预期净收益的</w:t>
      </w:r>
      <w:r>
        <w:rPr>
          <w:spacing w:val="-59"/>
        </w:rPr>
        <w:t> </w:t>
      </w:r>
      <w:r>
        <w:rPr>
          <w:rFonts w:ascii="Times New Roman" w:hAnsi="Times New Roman" w:cs="Times New Roman" w:eastAsia="Times New Roman" w:hint="default"/>
        </w:rPr>
        <w:t>90%</w:t>
      </w:r>
      <w:r>
        <w:rPr/>
        <w:t>给予企业政策资金支持，用 于搬迁项目建设，也可以用于弥补搬迁过程中发生人员安置、停工损失、设备处置等各项损失。</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年度公司共发生人员 安置费等搬迁损失</w:t>
      </w:r>
      <w:r>
        <w:rPr>
          <w:spacing w:val="-50"/>
        </w:rPr>
        <w:t> </w:t>
      </w:r>
      <w:r>
        <w:rPr>
          <w:rFonts w:ascii="Times New Roman" w:hAnsi="Times New Roman" w:cs="Times New Roman" w:eastAsia="Times New Roman" w:hint="default"/>
        </w:rPr>
        <w:t>337,137,311.83</w:t>
      </w:r>
      <w:r>
        <w:rPr>
          <w:rFonts w:ascii="Times New Roman" w:hAnsi="Times New Roman" w:cs="Times New Roman" w:eastAsia="Times New Roman" w:hint="default"/>
          <w:spacing w:val="-5"/>
        </w:rPr>
        <w:t> </w:t>
      </w:r>
      <w:r>
        <w:rPr/>
        <w:t>元，全部用搬迁支持政策资金进行弥补，计入了营业外收入</w:t>
      </w:r>
      <w:r>
        <w:rPr>
          <w:spacing w:val="-50"/>
        </w:rPr>
        <w:t> </w:t>
      </w:r>
      <w:r>
        <w:rPr>
          <w:rFonts w:ascii="Times New Roman" w:hAnsi="Times New Roman" w:cs="Times New Roman" w:eastAsia="Times New Roman" w:hint="default"/>
        </w:rPr>
        <w:t>337,137,311.83</w:t>
      </w:r>
      <w:r>
        <w:rPr>
          <w:rFonts w:ascii="Times New Roman" w:hAnsi="Times New Roman" w:cs="Times New Roman" w:eastAsia="Times New Roman" w:hint="default"/>
          <w:spacing w:val="-5"/>
        </w:rPr>
        <w:t> </w:t>
      </w:r>
      <w:r>
        <w:rPr/>
        <w:t>元。</w:t>
      </w:r>
    </w:p>
    <w:p>
      <w:pPr>
        <w:spacing w:after="0" w:line="30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197"/>
        <w:gridCol w:w="1196"/>
        <w:gridCol w:w="1196"/>
        <w:gridCol w:w="1196"/>
        <w:gridCol w:w="1196"/>
        <w:gridCol w:w="1196"/>
        <w:gridCol w:w="1196"/>
      </w:tblGrid>
      <w:tr>
        <w:trPr>
          <w:trHeight w:val="200" w:hRule="exact"/>
        </w:trPr>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80"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184" w:type="dxa"/>
            <w:vMerge w:val="restart"/>
            <w:tcBorders>
              <w:top w:val="nil" w:sz="6" w:space="0" w:color="auto"/>
              <w:left w:val="single" w:sz="4" w:space="0" w:color="000000"/>
              <w:right w:val="single" w:sz="4" w:space="0" w:color="000000"/>
            </w:tcBorders>
            <w:shd w:val="clear" w:color="auto" w:fill="D3D3D3"/>
          </w:tcPr>
          <w:p>
            <w:pPr/>
          </w:p>
        </w:tc>
        <w:tc>
          <w:tcPr>
            <w:tcW w:w="11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184" w:type="dxa"/>
            <w:vMerge/>
            <w:tcBorders>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718,861,000.00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718,861,000.00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998,331,445.49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998,331,445.49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112,822,738.85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112,822,738.85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1,111,154,184.34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1,111,154,184.34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36</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9"/>
        <w:gridCol w:w="1081"/>
        <w:gridCol w:w="1079"/>
        <w:gridCol w:w="1151"/>
        <w:gridCol w:w="1009"/>
        <w:gridCol w:w="1080"/>
        <w:gridCol w:w="935"/>
        <w:gridCol w:w="1225"/>
      </w:tblGrid>
      <w:tr>
        <w:trPr>
          <w:trHeight w:val="402" w:hRule="exact"/>
        </w:trPr>
        <w:tc>
          <w:tcPr>
            <w:tcW w:w="1969" w:type="dxa"/>
            <w:vMerge w:val="restart"/>
            <w:tcBorders>
              <w:top w:val="single" w:sz="4" w:space="0" w:color="000000"/>
              <w:left w:val="single" w:sz="4" w:space="0" w:color="000000"/>
              <w:right w:val="single" w:sz="4" w:space="0" w:color="000000"/>
            </w:tcBorders>
            <w:shd w:val="clear" w:color="auto" w:fill="D3D3D3"/>
          </w:tcPr>
          <w:p>
            <w:pPr/>
          </w:p>
        </w:tc>
        <w:tc>
          <w:tcPr>
            <w:tcW w:w="1081" w:type="dxa"/>
            <w:vMerge w:val="restart"/>
            <w:tcBorders>
              <w:top w:val="single" w:sz="4" w:space="0" w:color="000000"/>
              <w:left w:val="single" w:sz="4" w:space="0" w:color="000000"/>
              <w:right w:val="single" w:sz="4" w:space="0" w:color="000000"/>
            </w:tcBorders>
            <w:shd w:val="clear" w:color="auto" w:fill="D3D3D3"/>
          </w:tcPr>
          <w:p>
            <w:pPr/>
          </w:p>
        </w:tc>
        <w:tc>
          <w:tcPr>
            <w:tcW w:w="525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25" w:type="dxa"/>
            <w:vMerge w:val="restart"/>
            <w:tcBorders>
              <w:top w:val="single" w:sz="4" w:space="0" w:color="000000"/>
              <w:left w:val="single" w:sz="4" w:space="0" w:color="000000"/>
              <w:right w:val="single" w:sz="4" w:space="0" w:color="000000"/>
            </w:tcBorders>
            <w:shd w:val="clear" w:color="auto" w:fill="D3D3D3"/>
          </w:tcPr>
          <w:p>
            <w:pPr/>
          </w:p>
        </w:tc>
      </w:tr>
      <w:tr>
        <w:trPr>
          <w:trHeight w:val="111" w:hRule="exact"/>
        </w:trPr>
        <w:tc>
          <w:tcPr>
            <w:tcW w:w="1969" w:type="dxa"/>
            <w:vMerge/>
            <w:tcBorders>
              <w:left w:val="single" w:sz="4" w:space="0" w:color="000000"/>
              <w:bottom w:val="nil" w:sz="6" w:space="0" w:color="auto"/>
              <w:right w:val="single" w:sz="4" w:space="0" w:color="000000"/>
            </w:tcBorders>
            <w:shd w:val="clear" w:color="auto" w:fill="D3D3D3"/>
          </w:tcPr>
          <w:p>
            <w:pPr/>
          </w:p>
        </w:tc>
        <w:tc>
          <w:tcPr>
            <w:tcW w:w="1081" w:type="dxa"/>
            <w:vMerge/>
            <w:tcBorders>
              <w:left w:val="single" w:sz="4" w:space="0" w:color="000000"/>
              <w:bottom w:val="nil" w:sz="6" w:space="0" w:color="auto"/>
              <w:right w:val="single" w:sz="4" w:space="0" w:color="000000"/>
            </w:tcBorders>
            <w:shd w:val="clear" w:color="auto" w:fill="D3D3D3"/>
          </w:tcPr>
          <w:p>
            <w:pPr/>
          </w:p>
        </w:tc>
        <w:tc>
          <w:tcPr>
            <w:tcW w:w="1079" w:type="dxa"/>
            <w:tcBorders>
              <w:top w:val="single" w:sz="4" w:space="0" w:color="000000"/>
              <w:left w:val="single" w:sz="4" w:space="0" w:color="000000"/>
              <w:bottom w:val="nil" w:sz="6" w:space="0" w:color="auto"/>
              <w:right w:val="single" w:sz="4" w:space="0" w:color="000000"/>
            </w:tcBorders>
            <w:shd w:val="clear" w:color="auto" w:fill="D3D3D3"/>
          </w:tcPr>
          <w:p>
            <w:pPr/>
          </w:p>
        </w:tc>
        <w:tc>
          <w:tcPr>
            <w:tcW w:w="11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100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225" w:type="dxa"/>
            <w:vMerge/>
            <w:tcBorders>
              <w:left w:val="single" w:sz="4" w:space="0" w:color="000000"/>
              <w:bottom w:val="nil" w:sz="6" w:space="0" w:color="auto"/>
              <w:right w:val="single" w:sz="4" w:space="0" w:color="000000"/>
            </w:tcBorders>
            <w:shd w:val="clear" w:color="auto" w:fill="D3D3D3"/>
          </w:tcPr>
          <w:p>
            <w:pPr/>
          </w:p>
        </w:tc>
      </w:tr>
      <w:tr>
        <w:trPr>
          <w:trHeight w:val="367" w:hRule="exact"/>
        </w:trPr>
        <w:tc>
          <w:tcPr>
            <w:tcW w:w="1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7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1"/>
              <w:ind w:left="168" w:right="89"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51" w:type="dxa"/>
            <w:vMerge/>
            <w:tcBorders>
              <w:left w:val="single" w:sz="4" w:space="0" w:color="000000"/>
              <w:right w:val="single" w:sz="4" w:space="0" w:color="000000"/>
            </w:tcBorders>
            <w:shd w:val="clear" w:color="auto" w:fill="D3D3D3"/>
          </w:tcPr>
          <w:p>
            <w:pPr/>
          </w:p>
        </w:tc>
        <w:tc>
          <w:tcPr>
            <w:tcW w:w="100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6"/>
              <w:ind w:left="320" w:right="47" w:hanging="270"/>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6"/>
              <w:ind w:left="263" w:right="84"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35" w:type="dxa"/>
            <w:vMerge/>
            <w:tcBorders>
              <w:left w:val="single" w:sz="4" w:space="0" w:color="000000"/>
              <w:right w:val="single" w:sz="4" w:space="0" w:color="000000"/>
            </w:tcBorders>
            <w:shd w:val="clear" w:color="auto" w:fill="D3D3D3"/>
          </w:tcPr>
          <w:p>
            <w:pPr/>
          </w:p>
        </w:tc>
        <w:tc>
          <w:tcPr>
            <w:tcW w:w="12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5"/>
              <w:ind w:left="2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969" w:type="dxa"/>
            <w:vMerge w:val="restart"/>
            <w:tcBorders>
              <w:top w:val="nil" w:sz="6" w:space="0" w:color="auto"/>
              <w:left w:val="single" w:sz="4" w:space="0" w:color="000000"/>
              <w:right w:val="single" w:sz="4" w:space="0" w:color="000000"/>
            </w:tcBorders>
            <w:shd w:val="clear" w:color="auto" w:fill="D3D3D3"/>
          </w:tcPr>
          <w:p>
            <w:pPr/>
          </w:p>
        </w:tc>
        <w:tc>
          <w:tcPr>
            <w:tcW w:w="1081" w:type="dxa"/>
            <w:vMerge w:val="restart"/>
            <w:tcBorders>
              <w:top w:val="nil" w:sz="6" w:space="0" w:color="auto"/>
              <w:left w:val="single" w:sz="4" w:space="0" w:color="000000"/>
              <w:right w:val="single" w:sz="4" w:space="0" w:color="000000"/>
            </w:tcBorders>
            <w:shd w:val="clear" w:color="auto" w:fill="D3D3D3"/>
          </w:tcPr>
          <w:p>
            <w:pPr/>
          </w:p>
        </w:tc>
        <w:tc>
          <w:tcPr>
            <w:tcW w:w="1079" w:type="dxa"/>
            <w:vMerge/>
            <w:tcBorders>
              <w:left w:val="single" w:sz="4" w:space="0" w:color="000000"/>
              <w:bottom w:val="nil" w:sz="6" w:space="0" w:color="auto"/>
              <w:right w:val="single" w:sz="4" w:space="0" w:color="000000"/>
            </w:tcBorders>
            <w:shd w:val="clear" w:color="auto" w:fill="D3D3D3"/>
          </w:tcPr>
          <w:p>
            <w:pPr/>
          </w:p>
        </w:tc>
        <w:tc>
          <w:tcPr>
            <w:tcW w:w="1151" w:type="dxa"/>
            <w:vMerge/>
            <w:tcBorders>
              <w:left w:val="single" w:sz="4" w:space="0" w:color="000000"/>
              <w:right w:val="single" w:sz="4" w:space="0" w:color="000000"/>
            </w:tcBorders>
            <w:shd w:val="clear" w:color="auto" w:fill="D3D3D3"/>
          </w:tcPr>
          <w:p>
            <w:pPr/>
          </w:p>
        </w:tc>
        <w:tc>
          <w:tcPr>
            <w:tcW w:w="1009" w:type="dxa"/>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1225"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969" w:type="dxa"/>
            <w:vMerge/>
            <w:tcBorders>
              <w:left w:val="single" w:sz="4" w:space="0" w:color="000000"/>
              <w:bottom w:val="single" w:sz="4" w:space="0" w:color="000000"/>
              <w:right w:val="single" w:sz="4" w:space="0" w:color="000000"/>
            </w:tcBorders>
            <w:shd w:val="clear" w:color="auto" w:fill="D3D3D3"/>
          </w:tcPr>
          <w:p>
            <w:pPr/>
          </w:p>
        </w:tc>
        <w:tc>
          <w:tcPr>
            <w:tcW w:w="1081" w:type="dxa"/>
            <w:vMerge/>
            <w:tcBorders>
              <w:left w:val="single" w:sz="4" w:space="0" w:color="000000"/>
              <w:bottom w:val="single" w:sz="4" w:space="0" w:color="000000"/>
              <w:right w:val="single" w:sz="4" w:space="0" w:color="000000"/>
            </w:tcBorders>
            <w:shd w:val="clear" w:color="auto" w:fill="D3D3D3"/>
          </w:tcPr>
          <w:p>
            <w:pPr/>
          </w:p>
        </w:tc>
        <w:tc>
          <w:tcPr>
            <w:tcW w:w="10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51" w:type="dxa"/>
            <w:vMerge/>
            <w:tcBorders>
              <w:left w:val="single" w:sz="4" w:space="0" w:color="000000"/>
              <w:bottom w:val="single" w:sz="4" w:space="0" w:color="000000"/>
              <w:right w:val="single" w:sz="4" w:space="0" w:color="000000"/>
            </w:tcBorders>
            <w:shd w:val="clear" w:color="auto" w:fill="D3D3D3"/>
          </w:tcPr>
          <w:p>
            <w:pPr/>
          </w:p>
        </w:tc>
        <w:tc>
          <w:tcPr>
            <w:tcW w:w="100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22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6"/>
                <w:sz w:val="18"/>
                <w:szCs w:val="18"/>
              </w:rPr>
              <w:t>二、以后将重分类进损益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的其他综合收益</w:t>
            </w:r>
          </w:p>
        </w:tc>
        <w:tc>
          <w:tcPr>
            <w:tcW w:w="10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5,355,554.47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9,465,917.20</w:t>
            </w:r>
          </w:p>
        </w:tc>
        <w:tc>
          <w:tcPr>
            <w:tcW w:w="115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2,366,479.30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93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12,454,992.37</w:t>
            </w:r>
          </w:p>
        </w:tc>
      </w:tr>
      <w:tr>
        <w:trPr>
          <w:trHeight w:val="714" w:hRule="exact"/>
        </w:trPr>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5" w:firstLine="180"/>
              <w:jc w:val="left"/>
              <w:rPr>
                <w:rFonts w:ascii="宋体" w:hAnsi="宋体" w:cs="宋体" w:eastAsia="宋体" w:hint="default"/>
                <w:sz w:val="18"/>
                <w:szCs w:val="18"/>
              </w:rPr>
            </w:pPr>
            <w:r>
              <w:rPr>
                <w:rFonts w:ascii="宋体" w:hAnsi="宋体" w:cs="宋体" w:eastAsia="宋体" w:hint="default"/>
                <w:sz w:val="18"/>
                <w:szCs w:val="18"/>
              </w:rPr>
              <w:t>可供出售金融资产公 允价值变动损益</w:t>
            </w:r>
          </w:p>
        </w:tc>
        <w:tc>
          <w:tcPr>
            <w:tcW w:w="10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5,355,554.47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9,465,917.20</w:t>
            </w:r>
          </w:p>
        </w:tc>
        <w:tc>
          <w:tcPr>
            <w:tcW w:w="115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2,366,479.30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93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12,454,992.37</w:t>
            </w:r>
          </w:p>
        </w:tc>
      </w:tr>
      <w:tr>
        <w:trPr>
          <w:trHeight w:val="402" w:hRule="exact"/>
        </w:trPr>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5,355,554.47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9,465,917.20</w:t>
            </w:r>
          </w:p>
        </w:tc>
        <w:tc>
          <w:tcPr>
            <w:tcW w:w="115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2,366,479.30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c>
          <w:tcPr>
            <w:tcW w:w="93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12,454,992.37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37</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139,366,470.92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2,398,208.12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141,764,679.04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45,557,598.92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1,199,104.06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46,756,702.98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184,924,069.84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3,597,312.18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188,521,382.02</w:t>
            </w:r>
          </w:p>
        </w:tc>
      </w:tr>
    </w:tbl>
    <w:p>
      <w:pPr>
        <w:pStyle w:val="BodyText"/>
        <w:spacing w:line="240" w:lineRule="auto" w:before="51"/>
        <w:ind w:right="0"/>
        <w:jc w:val="left"/>
      </w:pPr>
      <w:r>
        <w:rPr/>
        <w:t>盈余公积说明，包括本期增减变动情况、变动原因说明：</w:t>
      </w:r>
    </w:p>
    <w:p>
      <w:pPr>
        <w:pStyle w:val="BodyText"/>
        <w:spacing w:line="240" w:lineRule="auto" w:before="117"/>
        <w:ind w:left="153" w:right="0"/>
        <w:jc w:val="left"/>
      </w:pPr>
      <w:r>
        <w:rPr/>
        <w:t>公司按净利润的</w:t>
      </w:r>
      <w:r>
        <w:rPr>
          <w:spacing w:val="-46"/>
        </w:rPr>
        <w:t> </w:t>
      </w:r>
      <w:r>
        <w:rPr>
          <w:rFonts w:ascii="Times New Roman" w:hAnsi="Times New Roman" w:cs="Times New Roman" w:eastAsia="Times New Roman" w:hint="default"/>
        </w:rPr>
        <w:t>10%</w:t>
      </w:r>
      <w:r>
        <w:rPr/>
        <w:t>计提法定盈余公积，按净利润的</w:t>
      </w:r>
      <w:r>
        <w:rPr>
          <w:spacing w:val="-46"/>
        </w:rPr>
        <w:t> </w:t>
      </w:r>
      <w:r>
        <w:rPr>
          <w:rFonts w:ascii="Times New Roman" w:hAnsi="Times New Roman" w:cs="Times New Roman" w:eastAsia="Times New Roman" w:hint="default"/>
        </w:rPr>
        <w:t>5%</w:t>
      </w:r>
      <w:r>
        <w:rPr/>
        <w:t>计提任意盈余公积。</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38</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1"/>
        <w:gridCol w:w="2936"/>
        <w:gridCol w:w="2918"/>
      </w:tblGrid>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421,673,641.36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406,307,769.73</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421,673,641.36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406,307,769.73</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24,284,736.36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17,565,895.35</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2,398,208.12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1,466,682.48</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1,199,104.06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733,341.24</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442,361,065.54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421,673,641.36</w:t>
            </w:r>
          </w:p>
        </w:tc>
      </w:tr>
    </w:tbl>
    <w:p>
      <w:pPr>
        <w:pStyle w:val="BodyText"/>
        <w:spacing w:line="240" w:lineRule="auto" w:before="51"/>
        <w:ind w:right="0"/>
        <w:jc w:val="left"/>
      </w:pPr>
      <w:r>
        <w:rPr/>
        <w:t>调整期初未分配利润明细：</w:t>
      </w:r>
    </w:p>
    <w:p>
      <w:pPr>
        <w:pStyle w:val="BodyText"/>
        <w:spacing w:line="240" w:lineRule="auto" w:before="116"/>
        <w:ind w:left="153"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left="153"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left="153"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left="153"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39</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1"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6,525,255,977.52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6,464,860,022.57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5,802,013,642.96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5,616,452,446.78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43,263,382.77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25,147,015.63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55,381,671.04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37,789,125.41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6,568,519,360.29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6,490,007,038.20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5,857,395,314.00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5,654,241,572.19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2,126,689.78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2,620,147.95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1,265,727.75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926,677.35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1,145,501.31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732,240.97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投资性房地产房产税</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1,677,093.80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1,339,394.31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6,215,012.64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5,618,460.58</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41</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13,887,063.21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11,394,714.88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3,238,839.79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3,987,097.75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451,997.11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460,040.78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883,658.30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797,456.99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271,430.40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294,578.80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428,325.95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236,348.20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4,056,602.03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19,675,815.38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2,058,062.05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1,524,118.63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25,275,978.84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38,370,171.41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42</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138,896,884.82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210,620,998.02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27,949,300.24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16,310,558.04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1,852,379.83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4,840,480.84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7,202,053.44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7,717,226.37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8,685,062.21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7,432,075.39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4,563,902.81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4,572,426.09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2,969,979.30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3,739,074.25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2,113,406.69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2,360,089.86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1,299,132.18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2,552,451.73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3,152,861.55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3,742,651.08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1,374,006.92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1,716,891.61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1,637,110.45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930,159.18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568,847.89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811,815.57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3,960,229.52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3,650,260.03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仓库经费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772,746.93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825,724.20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7,076,038.40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10,449,082.23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214,073,943.18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282,271,964.49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43</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130,008,056.43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117,041,002.86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-1,823,164.73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-4,473,397.70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2,727,856.92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2,361,904.10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-4,241,925.84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-3,071,079.74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1,142,037.54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664,727.73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127,812,860.32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112,523,157.25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-1,929,613.19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1,538,723.30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33,085,311.12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12,362,624.61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945,108.93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315,280.02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32,100,806.86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14,216,627.93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3D3D3"/>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139,338.62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2,240,012.70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4,993,147.80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2,240,012.70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5,132,486.42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16,409,287.24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21,887,039.43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16,409,287.24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16,409,287.24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21,887,039.43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16,409,287.24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348,030,313.52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245,292,778.04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348,030,313.52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7,211,578.79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512,856.45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7,211,578.79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371,651,179.55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267,692,673.92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371,651,179.55</w:t>
            </w:r>
          </w:p>
        </w:tc>
      </w:tr>
    </w:tbl>
    <w:p>
      <w:pPr>
        <w:pStyle w:val="BodyText"/>
        <w:spacing w:line="240" w:lineRule="auto" w:before="51"/>
        <w:ind w:right="0"/>
        <w:jc w:val="left"/>
      </w:pPr>
      <w:r>
        <w:rPr/>
        <w:t>计入当期损益的政府补助：</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政府搬迁补助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337,137,311.83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199,816,528.85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政府支持企业发展补助资金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出口信用保险扶持发展扶持 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年度驰（著</w:t>
            </w:r>
            <w:r>
              <w:rPr>
                <w:rFonts w:ascii="Times New Roman" w:hAnsi="Times New Roman" w:cs="Times New Roman" w:eastAsia="Times New Roman" w:hint="default"/>
                <w:sz w:val="18"/>
                <w:szCs w:val="18"/>
              </w:rPr>
              <w:t>)</w:t>
            </w:r>
            <w:r>
              <w:rPr>
                <w:rFonts w:ascii="宋体" w:hAnsi="宋体" w:cs="宋体" w:eastAsia="宋体" w:hint="default"/>
                <w:sz w:val="18"/>
                <w:szCs w:val="18"/>
              </w:rPr>
              <w:t>名商标奖励 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搬迁安置补助资金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年均衡性转移支付资金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（淘汰落后产能奖补资金）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专利补助资金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年外贸公共服务平台建 设资金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年度工业企业技术改造 专项资金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8,445,000.19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淘汰黄标车补贴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参展补助资金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3,209.42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河北省人民政府质量奖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科技型中小企业创新创业</w:t>
            </w:r>
            <w:r>
              <w:rPr>
                <w:rFonts w:ascii="Times New Roman" w:hAnsi="Times New Roman" w:cs="Times New Roman" w:eastAsia="Times New Roman" w:hint="default"/>
                <w:sz w:val="18"/>
                <w:szCs w:val="18"/>
              </w:rPr>
              <w:t>"</w:t>
            </w:r>
            <w:r>
              <w:rPr>
                <w:rFonts w:ascii="宋体" w:hAnsi="宋体" w:cs="宋体" w:eastAsia="宋体" w:hint="default"/>
                <w:sz w:val="18"/>
                <w:szCs w:val="18"/>
              </w:rPr>
              <w:t>双 百人才</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重点产业振兴和技术改造项 目专项资金摊销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1,035,714.36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919,047.68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高档新型纤维面料项目开发 补助摊销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常山纺织股份技术中心项目 摊销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高档纱线公共实验检测平台 摊销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提高自主创新能力及高技术 产业发展项目专项资金摊销</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214,285.68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107,142.84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348,030,313.52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245,292,778.04</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77"/>
        <w:gridCol w:w="2407"/>
        <w:gridCol w:w="2392"/>
        <w:gridCol w:w="2392"/>
      </w:tblGrid>
      <w:tr>
        <w:trPr>
          <w:trHeight w:val="161" w:hRule="exact"/>
        </w:trPr>
        <w:tc>
          <w:tcPr>
            <w:tcW w:w="2377"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2" w:hRule="exact"/>
        </w:trPr>
        <w:tc>
          <w:tcPr>
            <w:tcW w:w="2377"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24,768,163.52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1,345,572.94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24,768,163.52</w:t>
            </w:r>
          </w:p>
        </w:tc>
      </w:tr>
      <w:tr>
        <w:trPr>
          <w:trHeight w:val="402" w:hRule="exact"/>
        </w:trPr>
        <w:tc>
          <w:tcPr>
            <w:tcW w:w="2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24,768,163.52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1,345,572.94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24,768,163.52</w:t>
            </w:r>
          </w:p>
        </w:tc>
      </w:tr>
      <w:tr>
        <w:trPr>
          <w:trHeight w:val="402" w:hRule="exact"/>
        </w:trPr>
        <w:tc>
          <w:tcPr>
            <w:tcW w:w="23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136,650.05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57,778.87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136,650.05</w:t>
            </w:r>
          </w:p>
        </w:tc>
      </w:tr>
      <w:tr>
        <w:trPr>
          <w:trHeight w:val="402" w:hRule="exact"/>
        </w:trPr>
        <w:tc>
          <w:tcPr>
            <w:tcW w:w="2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24,904,813.57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1,403,351.81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24,904,813.57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4,043,378.07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5,764,919.27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-6,287,109.79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-1,732,374.23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-2,243,731.72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4,032,545.04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737"/>
        <w:gridCol w:w="3874"/>
      </w:tblGrid>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8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22,020,098.93</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8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5,505,024.73</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874" w:type="dxa"/>
            <w:tcBorders>
              <w:top w:val="single" w:sz="4" w:space="0" w:color="000000"/>
              <w:left w:val="single" w:sz="10" w:space="0" w:color="D3D3D3"/>
              <w:bottom w:val="single" w:sz="4" w:space="0" w:color="000000"/>
              <w:right w:val="single" w:sz="4" w:space="0" w:color="000000"/>
            </w:tcBorders>
          </w:tcPr>
          <w:p>
            <w:pP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8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43,505.25</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874" w:type="dxa"/>
            <w:tcBorders>
              <w:top w:val="single" w:sz="4" w:space="0" w:color="000000"/>
              <w:left w:val="single" w:sz="10" w:space="0" w:color="D3D3D3"/>
              <w:bottom w:val="single" w:sz="4" w:space="0" w:color="000000"/>
              <w:right w:val="single" w:sz="4" w:space="0" w:color="000000"/>
            </w:tcBorders>
          </w:tcPr>
          <w:p>
            <w:pP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8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285,022.42</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874" w:type="dxa"/>
            <w:tcBorders>
              <w:top w:val="single" w:sz="4" w:space="0" w:color="000000"/>
              <w:left w:val="single" w:sz="10" w:space="0" w:color="D3D3D3"/>
              <w:bottom w:val="single" w:sz="4" w:space="0" w:color="000000"/>
              <w:right w:val="single" w:sz="4" w:space="0" w:color="000000"/>
            </w:tcBorders>
          </w:tcPr>
          <w:p>
            <w:pP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8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3,723,203.65</w:t>
            </w:r>
          </w:p>
        </w:tc>
      </w:tr>
      <w:tr>
        <w:trPr>
          <w:trHeight w:val="402" w:hRule="exact"/>
        </w:trPr>
        <w:tc>
          <w:tcPr>
            <w:tcW w:w="5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-11,800,487.77</w:t>
            </w:r>
          </w:p>
        </w:tc>
      </w:tr>
      <w:tr>
        <w:trPr>
          <w:trHeight w:val="403" w:hRule="exact"/>
        </w:trPr>
        <w:tc>
          <w:tcPr>
            <w:tcW w:w="5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-2,243,731.72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44" w:lineRule="auto" w:before="35"/>
        <w:ind w:left="154"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1,839,450.84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4,473,397.70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23,379,277.01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21,654,285.34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302,738,077.42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44,308,900.00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215,554.03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47,874,131.29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328,172,359.30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118,310,714.33</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1"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1,805,182.98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2,847,030.53</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2,565,403.80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2,820,130.64</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1,492,135.09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1,609,272.56</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1,483,308.96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1,716,891.61</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1,096,466.07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1,428,476.54</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1,852,379.83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4,840,480.84</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20,573,209.30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19,926,031.43</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30,868,086.03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35,188,314.15</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绿化临建修复款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收到的其他与投资活动有关的现金说明：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174,720,000.71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174,720,000.71</w:t>
            </w:r>
          </w:p>
        </w:tc>
      </w:tr>
    </w:tbl>
    <w:p>
      <w:pPr>
        <w:pStyle w:val="BodyText"/>
        <w:spacing w:line="240" w:lineRule="auto" w:before="51"/>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270,000,000.00</w:t>
            </w:r>
          </w:p>
        </w:tc>
      </w:tr>
    </w:tbl>
    <w:p>
      <w:pPr>
        <w:pStyle w:val="BodyText"/>
        <w:spacing w:line="240" w:lineRule="auto" w:before="51"/>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7"/>
        <w:gridCol w:w="2712"/>
        <w:gridCol w:w="2700"/>
      </w:tblGrid>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24,263,830.65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17,542,623.64</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32,100,806.86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14,216,627.93</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110,048,055.65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131,230,168.68</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4,563,902.81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4,572,426.09</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459,673.24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602,096.49</w:t>
            </w:r>
          </w:p>
        </w:tc>
      </w:tr>
      <w:tr>
        <w:trPr>
          <w:trHeight w:val="714"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8,358,876.28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-20,541,466.49</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130,008,056.43</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117,041,002.86</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-2,240,012.70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-5,132,486.42</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-6,287,109.79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-1,732,374.23</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49,053,496.33</w:t>
            </w:r>
            <w:r>
              <w:rPr>
                <w:rFonts w:ascii="Arial"/>
                <w:spacing w:val="-1"/>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-355,780,761.46</w:t>
            </w:r>
          </w:p>
        </w:tc>
      </w:tr>
      <w:tr>
        <w:trPr>
          <w:trHeight w:val="40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104,072,001.24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-61,077,539.47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112"/>
        <w:gridCol w:w="2705"/>
        <w:gridCol w:w="2712"/>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-335,005,805.08</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103,971,910.82</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119,395,771.92</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-55,087,771.56</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00" w:right="0"/>
              <w:jc w:val="left"/>
              <w:rPr>
                <w:rFonts w:ascii="Times New Roman" w:hAnsi="Times New Roman" w:cs="Times New Roman" w:eastAsia="Times New Roman" w:hint="default"/>
                <w:sz w:val="18"/>
                <w:szCs w:val="18"/>
              </w:rPr>
            </w:pPr>
            <w:r>
              <w:rPr>
                <w:rFonts w:ascii="Times New Roman"/>
                <w:sz w:val="18"/>
              </w:rPr>
              <w:t>--</w:t>
            </w:r>
          </w:p>
        </w:tc>
        <w:tc>
          <w:tcPr>
            <w:tcW w:w="2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00" w:right="0"/>
              <w:jc w:val="left"/>
              <w:rPr>
                <w:rFonts w:ascii="Times New Roman" w:hAnsi="Times New Roman" w:cs="Times New Roman" w:eastAsia="Times New Roman" w:hint="default"/>
                <w:sz w:val="18"/>
                <w:szCs w:val="18"/>
              </w:rPr>
            </w:pPr>
            <w:r>
              <w:rPr>
                <w:rFonts w:ascii="Times New Roman"/>
                <w:sz w:val="18"/>
              </w:rPr>
              <w:t>--</w:t>
            </w:r>
          </w:p>
        </w:tc>
        <w:tc>
          <w:tcPr>
            <w:tcW w:w="2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7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183,089,974.87</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316,168,795.84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7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316,168,795.84</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733,873,975.41</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-133,078,820.97</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-417,705,179.57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183,089,974.87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316,168,795.84</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989,937.66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879,152.46</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180,227,838.81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313,162,219.61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1,872,198.40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2,127,423.77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183,089,974.87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316,168,795.84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52</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1"/>
        <w:gridCol w:w="2305"/>
        <w:gridCol w:w="2390"/>
        <w:gridCol w:w="2389"/>
      </w:tblGrid>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13,660,857.07</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2,232,530.98</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13,660,857.07</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66,661,426.23</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10,894,170.00</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66,661,426.23</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8,830,847.10</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54,035,953.40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8,830,847.10</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54,035,953.40</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八、在其他主体中的权益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上海冀源国际贸 易有限公司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上海泰谷路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石家庄常山恒新 纺织有限公司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石家庄开发区黄 河大道 </w:t>
            </w:r>
            <w:r>
              <w:rPr>
                <w:rFonts w:ascii="Times New Roman" w:hAnsi="Times New Roman" w:cs="Times New Roman" w:eastAsia="Times New Roman" w:hint="default"/>
                <w:sz w:val="18"/>
                <w:szCs w:val="18"/>
              </w:rPr>
              <w:t>151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上海常纺恒友国 际贸易有限公司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上海市浦东新区 商城路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7.00%</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石家庄常山赵州 纺织有限公司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河北省赵县石塔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石家庄常山恒荣 进出口贸易有限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石家庄和平东路</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5" w:hRule="exact"/>
        </w:trPr>
        <w:tc>
          <w:tcPr>
            <w:tcW w:w="1372" w:type="dxa"/>
            <w:tcBorders>
              <w:top w:val="single" w:sz="4" w:space="0" w:color="000000"/>
              <w:left w:val="single" w:sz="4" w:space="0" w:color="000000"/>
              <w:bottom w:val="nil" w:sz="6" w:space="0" w:color="auto"/>
              <w:right w:val="single" w:sz="4" w:space="0" w:color="000000"/>
            </w:tcBorders>
            <w:shd w:val="clear" w:color="auto" w:fill="C7EDCC"/>
          </w:tcPr>
          <w:p>
            <w:pP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SUITE 2006</w:t>
            </w: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37" w:hRule="exact"/>
        </w:trPr>
        <w:tc>
          <w:tcPr>
            <w:tcW w:w="137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59"/>
              <w:ind w:left="22" w:right="77"/>
              <w:jc w:val="left"/>
              <w:rPr>
                <w:rFonts w:ascii="宋体" w:hAnsi="宋体" w:cs="宋体" w:eastAsia="宋体" w:hint="default"/>
                <w:sz w:val="18"/>
                <w:szCs w:val="18"/>
              </w:rPr>
            </w:pPr>
            <w:r>
              <w:rPr>
                <w:rFonts w:ascii="宋体" w:hAnsi="宋体" w:cs="宋体" w:eastAsia="宋体" w:hint="default"/>
                <w:sz w:val="18"/>
                <w:szCs w:val="18"/>
              </w:rPr>
              <w:t>常山股份香港国 际贸易有限公司</w:t>
            </w: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20TH</w:t>
            </w:r>
            <w:r>
              <w:rPr>
                <w:rFonts w:ascii="Times New Roman"/>
                <w:spacing w:val="-8"/>
                <w:sz w:val="18"/>
              </w:rPr>
              <w:t> </w:t>
            </w:r>
            <w:r>
              <w:rPr>
                <w:rFonts w:ascii="Times New Roman"/>
                <w:sz w:val="18"/>
              </w:rPr>
              <w:t>FLOOR</w:t>
            </w:r>
          </w:p>
          <w:p>
            <w:pPr>
              <w:pStyle w:val="TableParagraph"/>
              <w:spacing w:line="362" w:lineRule="auto" w:before="105"/>
              <w:ind w:left="22" w:right="273"/>
              <w:jc w:val="left"/>
              <w:rPr>
                <w:rFonts w:ascii="Times New Roman" w:hAnsi="Times New Roman" w:cs="Times New Roman" w:eastAsia="Times New Roman" w:hint="default"/>
                <w:sz w:val="18"/>
                <w:szCs w:val="18"/>
              </w:rPr>
            </w:pPr>
            <w:r>
              <w:rPr>
                <w:rFonts w:ascii="Times New Roman"/>
                <w:sz w:val="18"/>
              </w:rPr>
              <w:t>340</w:t>
            </w:r>
            <w:r>
              <w:rPr>
                <w:rFonts w:ascii="Times New Roman"/>
                <w:spacing w:val="-5"/>
                <w:sz w:val="18"/>
              </w:rPr>
              <w:t> </w:t>
            </w:r>
            <w:r>
              <w:rPr>
                <w:rFonts w:ascii="Times New Roman"/>
                <w:sz w:val="18"/>
              </w:rPr>
              <w:t>QUEEN'S</w:t>
            </w:r>
            <w:r>
              <w:rPr>
                <w:rFonts w:ascii="Times New Roman"/>
                <w:sz w:val="18"/>
              </w:rPr>
              <w:t> ROAD</w:t>
            </w: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9" w:hRule="exact"/>
        </w:trPr>
        <w:tc>
          <w:tcPr>
            <w:tcW w:w="1372" w:type="dxa"/>
            <w:tcBorders>
              <w:top w:val="nil" w:sz="6" w:space="0" w:color="auto"/>
              <w:left w:val="single" w:sz="4" w:space="0" w:color="000000"/>
              <w:bottom w:val="single" w:sz="4" w:space="0" w:color="000000"/>
              <w:right w:val="single" w:sz="4" w:space="0" w:color="000000"/>
            </w:tcBorders>
            <w:shd w:val="clear" w:color="auto" w:fill="C7EDCC"/>
          </w:tcPr>
          <w:p>
            <w:pP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CENTRAL</w:t>
            </w:r>
            <w:r>
              <w:rPr>
                <w:rFonts w:ascii="Times New Roman"/>
                <w:spacing w:val="-15"/>
                <w:sz w:val="18"/>
              </w:rPr>
              <w:t> </w:t>
            </w:r>
            <w:r>
              <w:rPr>
                <w:rFonts w:ascii="Times New Roman"/>
                <w:sz w:val="18"/>
              </w:rPr>
              <w:t>HK</w:t>
            </w: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石家庄常山物业 服务有限公司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石家庄长安区广 安大街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w:t>
            </w: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库尔勒市康都世</w:t>
            </w: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8" w:hRule="exact"/>
        </w:trPr>
        <w:tc>
          <w:tcPr>
            <w:tcW w:w="137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商贸有限责任公</w:t>
            </w: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库尔勒市</w:t>
            </w: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纪花园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1202 </w:t>
            </w:r>
            <w:r>
              <w:rPr>
                <w:rFonts w:ascii="宋体" w:hAnsi="宋体" w:cs="宋体" w:eastAsia="宋体" w:hint="default"/>
                <w:sz w:val="18"/>
                <w:szCs w:val="18"/>
              </w:rPr>
              <w:t>号</w:t>
            </w: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360" w:lineRule="auto" w:before="51"/>
        <w:ind w:left="153" w:right="1851"/>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53" w:right="6350"/>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3"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50"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48"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8" w:right="47"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石家庄常山明荣 家纺有限公司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59"/>
        <w:gridCol w:w="3191"/>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2,542.45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-197,685.66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00"/>
        <w:gridCol w:w="2160"/>
        <w:gridCol w:w="2392"/>
        <w:gridCol w:w="2394"/>
      </w:tblGrid>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93" w:right="84" w:hanging="810"/>
              <w:jc w:val="left"/>
              <w:rPr>
                <w:rFonts w:ascii="宋体" w:hAnsi="宋体" w:cs="宋体" w:eastAsia="宋体" w:hint="default"/>
                <w:sz w:val="18"/>
                <w:szCs w:val="18"/>
              </w:rPr>
            </w:pPr>
            <w:r>
              <w:rPr>
                <w:rFonts w:ascii="宋体" w:hAnsi="宋体" w:cs="宋体" w:eastAsia="宋体" w:hint="default"/>
                <w:sz w:val="18"/>
                <w:szCs w:val="18"/>
              </w:rPr>
              <w:t>累积未确认前期累计认的 损失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25"/>
              <w:jc w:val="righ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216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1248" w:right="0"/>
              <w:jc w:val="left"/>
              <w:rPr>
                <w:rFonts w:ascii="Times New Roman" w:hAnsi="Times New Roman" w:cs="Times New Roman" w:eastAsia="Times New Roman" w:hint="default"/>
                <w:sz w:val="18"/>
                <w:szCs w:val="18"/>
              </w:rPr>
            </w:pPr>
            <w:r>
              <w:rPr>
                <w:rFonts w:ascii="Times New Roman"/>
                <w:sz w:val="18"/>
              </w:rPr>
              <w:t>-324,589.77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2,542.45</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0" w:right="0"/>
              <w:jc w:val="left"/>
              <w:rPr>
                <w:rFonts w:ascii="Times New Roman" w:hAnsi="Times New Roman" w:cs="Times New Roman" w:eastAsia="Times New Roman" w:hint="default"/>
                <w:sz w:val="18"/>
                <w:szCs w:val="18"/>
              </w:rPr>
            </w:pPr>
            <w:r>
              <w:rPr>
                <w:rFonts w:ascii="Times New Roman"/>
                <w:sz w:val="18"/>
              </w:rPr>
              <w:t>-322,047.32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九、与金融工具相关的风险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151" w:firstLine="360"/>
        <w:jc w:val="both"/>
      </w:pPr>
      <w:r>
        <w:rPr>
          <w:spacing w:val="-2"/>
        </w:rPr>
        <w:t>本公司在经营过程中面临各种金融风险：信用风险、市场风险和流动性风险。公司经营管理层全面负责风险管理目标和</w:t>
      </w:r>
      <w:r>
        <w:rPr/>
        <w:t> 政策的确定，并对风险管理目标和政策承担最终责任。 经营管理层通过职能部门递交的月度工作报告来审查已执行程序的</w:t>
      </w:r>
      <w:r>
        <w:rPr>
          <w:spacing w:val="-89"/>
        </w:rPr>
        <w:t> </w:t>
      </w:r>
      <w:r>
        <w:rPr>
          <w:spacing w:val="-89"/>
        </w:rPr>
      </w:r>
      <w:r>
        <w:rPr/>
        <w:t>有效性以及风险管理目标和政策的合理性。</w:t>
      </w:r>
    </w:p>
    <w:p>
      <w:pPr>
        <w:spacing w:line="240" w:lineRule="auto" w:before="12"/>
        <w:rPr>
          <w:rFonts w:ascii="宋体" w:hAnsi="宋体" w:cs="宋体" w:eastAsia="宋体" w:hint="default"/>
          <w:sz w:val="17"/>
          <w:szCs w:val="17"/>
        </w:rPr>
      </w:pPr>
    </w:p>
    <w:p>
      <w:pPr>
        <w:pStyle w:val="BodyText"/>
        <w:spacing w:line="316" w:lineRule="auto"/>
        <w:ind w:right="151" w:firstLine="289"/>
        <w:jc w:val="both"/>
      </w:pPr>
      <w:r>
        <w:rPr/>
        <w:t>本公司从事风险管理的目标是在风险和收益之间取得适当的平衡，</w:t>
      </w:r>
      <w:r>
        <w:rPr>
          <w:spacing w:val="44"/>
        </w:rPr>
        <w:t> </w:t>
      </w:r>
      <w:r>
        <w:rPr/>
        <w:t>将风险对本公司经营业绩的负面影响降低到最低水</w:t>
      </w:r>
      <w:r>
        <w:rPr/>
        <w:t> </w:t>
      </w: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spacing w:line="240" w:lineRule="auto" w:before="12"/>
        <w:rPr>
          <w:rFonts w:ascii="宋体" w:hAnsi="宋体" w:cs="宋体" w:eastAsia="宋体" w:hint="default"/>
          <w:sz w:val="17"/>
          <w:szCs w:val="17"/>
        </w:rPr>
      </w:pPr>
    </w:p>
    <w:p>
      <w:pPr>
        <w:pStyle w:val="BodyText"/>
        <w:spacing w:line="240" w:lineRule="auto"/>
        <w:ind w:left="604" w:right="0"/>
        <w:jc w:val="left"/>
      </w:pPr>
      <w:r>
        <w:rPr>
          <w:rFonts w:ascii="Times New Roman" w:hAnsi="Times New Roman" w:cs="Times New Roman" w:eastAsia="Times New Roman" w:hint="default"/>
        </w:rPr>
        <w:t>1</w:t>
      </w:r>
      <w:r>
        <w:rPr/>
        <w:t>、信用风险</w:t>
      </w:r>
    </w:p>
    <w:p>
      <w:pPr>
        <w:spacing w:line="240" w:lineRule="auto" w:before="4"/>
        <w:rPr>
          <w:rFonts w:ascii="宋体" w:hAnsi="宋体" w:cs="宋体" w:eastAsia="宋体" w:hint="default"/>
          <w:sz w:val="21"/>
          <w:szCs w:val="21"/>
        </w:rPr>
      </w:pPr>
    </w:p>
    <w:p>
      <w:pPr>
        <w:pStyle w:val="BodyText"/>
        <w:spacing w:line="316" w:lineRule="auto"/>
        <w:ind w:right="148" w:firstLine="380"/>
        <w:jc w:val="both"/>
      </w:pPr>
      <w:r>
        <w:rPr/>
        <w:t>信用风险是指金融工具的一方不履行义务，造成另一方发生财务损失的风险。</w:t>
      </w:r>
      <w:r>
        <w:rPr>
          <w:spacing w:val="-14"/>
        </w:rPr>
        <w:t> </w:t>
      </w:r>
      <w:r>
        <w:rPr/>
        <w:t>本公司主要面临赊销导致的客户信用风</w:t>
      </w:r>
      <w:r>
        <w:rPr/>
        <w:t> </w:t>
      </w:r>
      <w:r>
        <w:rPr>
          <w:spacing w:val="-2"/>
        </w:rPr>
        <w:t>险。在签订新合同之前，本公司会对新客户的信用风险进行评估，包括外部信用评级和在某些情况下的银行资信证明（当此</w:t>
      </w:r>
      <w:r>
        <w:rPr>
          <w:spacing w:val="-66"/>
        </w:rPr>
        <w:t> </w:t>
      </w:r>
      <w:r>
        <w:rPr>
          <w:spacing w:val="-66"/>
        </w:rPr>
      </w:r>
      <w:r>
        <w:rPr/>
        <w:t>信息可获取时）。公司对每一客户均设置了赊销限额，该限额为无需获得额外批准的最大额度。</w:t>
      </w:r>
    </w:p>
    <w:p>
      <w:pPr>
        <w:spacing w:line="240" w:lineRule="auto" w:before="12"/>
        <w:rPr>
          <w:rFonts w:ascii="宋体" w:hAnsi="宋体" w:cs="宋体" w:eastAsia="宋体" w:hint="default"/>
          <w:sz w:val="17"/>
          <w:szCs w:val="17"/>
        </w:rPr>
      </w:pPr>
    </w:p>
    <w:p>
      <w:pPr>
        <w:pStyle w:val="BodyText"/>
        <w:spacing w:line="309" w:lineRule="auto"/>
        <w:ind w:right="149" w:firstLine="380"/>
        <w:jc w:val="both"/>
      </w:pPr>
      <w:r>
        <w:rPr/>
        <w:t>公司通过对已有客户信用评级的季度监控以及应收账款账龄分析的月度审核来确保公司的整体信用风险在可控的范围</w:t>
      </w:r>
      <w:r>
        <w:rPr>
          <w:spacing w:val="1"/>
        </w:rPr>
        <w:t>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spacing w:after="0" w:line="309"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2</w:t>
      </w:r>
      <w:r>
        <w:rPr/>
        <w:t>、市场风险</w:t>
      </w:r>
    </w:p>
    <w:p>
      <w:pPr>
        <w:spacing w:line="240" w:lineRule="auto" w:before="4"/>
        <w:rPr>
          <w:rFonts w:ascii="宋体" w:hAnsi="宋体" w:cs="宋体" w:eastAsia="宋体" w:hint="default"/>
          <w:sz w:val="21"/>
          <w:szCs w:val="21"/>
        </w:rPr>
      </w:pPr>
    </w:p>
    <w:p>
      <w:pPr>
        <w:pStyle w:val="BodyText"/>
        <w:spacing w:line="316" w:lineRule="auto"/>
        <w:ind w:left="153" w:right="0" w:firstLine="380"/>
        <w:jc w:val="left"/>
      </w:pPr>
      <w:r>
        <w:rPr/>
        <w:t>金融工具的市场风险，是指金融工具的公允价值或未来现金流量因市场价格变动而发生波动的风险，包括利率风险、</w:t>
      </w:r>
      <w:r>
        <w:rPr>
          <w:spacing w:val="1"/>
        </w:rPr>
        <w:t> </w:t>
      </w:r>
      <w:r>
        <w:rPr/>
        <w:t>外汇风险和其他价格风险。</w:t>
      </w:r>
    </w:p>
    <w:p>
      <w:pPr>
        <w:pStyle w:val="BodyText"/>
        <w:spacing w:line="528" w:lineRule="exact" w:before="22"/>
        <w:ind w:left="444" w:right="0" w:hanging="74"/>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利率风险，是指金融工具的公允价值或未来现金流量因市场利率变动而发生波动的风险。本公司面临的利率风险主要来</w:t>
      </w:r>
    </w:p>
    <w:p>
      <w:pPr>
        <w:pStyle w:val="BodyText"/>
        <w:spacing w:line="316" w:lineRule="auto"/>
        <w:ind w:left="153" w:right="0"/>
        <w:jc w:val="left"/>
      </w:pPr>
      <w:r>
        <w:rPr>
          <w:spacing w:val="-2"/>
        </w:rPr>
        <w:t>源于银行短期借款。公司通过建立良好的银企关系，对授信额度、授信品种以及授信期限进行合理的设计，保障银行授信额</w:t>
      </w:r>
      <w:r>
        <w:rPr>
          <w:spacing w:val="-66"/>
        </w:rPr>
        <w:t> </w:t>
      </w:r>
      <w:r>
        <w:rPr>
          <w:spacing w:val="-66"/>
        </w:rPr>
      </w:r>
      <w:r>
        <w:rPr/>
        <w:t>度充足，满足公司各类短期融资需求。并且通过缩短单笔借款的期限，特别约定提前还款条款，合理降低利率波动风险。</w:t>
      </w:r>
    </w:p>
    <w:p>
      <w:pPr>
        <w:spacing w:line="240" w:lineRule="auto" w:before="12"/>
        <w:rPr>
          <w:rFonts w:ascii="宋体" w:hAnsi="宋体" w:cs="宋体" w:eastAsia="宋体" w:hint="default"/>
          <w:sz w:val="17"/>
          <w:szCs w:val="17"/>
        </w:rPr>
      </w:pPr>
    </w:p>
    <w:p>
      <w:pPr>
        <w:pStyle w:val="BodyText"/>
        <w:spacing w:line="300" w:lineRule="auto"/>
        <w:ind w:left="153" w:right="0" w:firstLine="290"/>
        <w:jc w:val="left"/>
      </w:pPr>
      <w:r>
        <w:rPr>
          <w:spacing w:val="-1"/>
        </w:rPr>
        <w:t>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日，在其他变量保持不变的情况下，如果以浮动利率计算的借款利率上升或下降</w:t>
      </w:r>
      <w:r>
        <w:rPr>
          <w:rFonts w:ascii="Times New Roman" w:hAnsi="Times New Roman" w:cs="Times New Roman" w:eastAsia="Times New Roman" w:hint="default"/>
          <w:spacing w:val="-1"/>
        </w:rPr>
        <w:t>50</w:t>
      </w:r>
      <w:r>
        <w:rPr>
          <w:spacing w:val="-1"/>
        </w:rPr>
        <w:t>个基点，则本公司的</w:t>
      </w:r>
      <w:r>
        <w:rPr/>
        <w:t> 净利润将减少或增加</w:t>
      </w:r>
      <w:r>
        <w:rPr>
          <w:rFonts w:ascii="Times New Roman" w:hAnsi="Times New Roman" w:cs="Times New Roman" w:eastAsia="Times New Roman" w:hint="default"/>
        </w:rPr>
        <w:t>564.21</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596.04</w:t>
      </w:r>
      <w:r>
        <w:rPr/>
        <w:t>万元）。</w:t>
      </w:r>
    </w:p>
    <w:p>
      <w:pPr>
        <w:pStyle w:val="BodyText"/>
        <w:spacing w:line="528" w:lineRule="exact" w:before="17"/>
        <w:ind w:left="534" w:right="0" w:hanging="90"/>
        <w:jc w:val="left"/>
      </w:pPr>
      <w:r>
        <w:rPr/>
        <w:t>（</w:t>
      </w:r>
      <w:r>
        <w:rPr>
          <w:rFonts w:ascii="Times New Roman" w:hAnsi="Times New Roman" w:cs="Times New Roman" w:eastAsia="Times New Roman" w:hint="default"/>
        </w:rPr>
        <w:t>2</w:t>
      </w:r>
      <w:r>
        <w:rPr/>
        <w:t>）外汇风险 外汇风险，是指金融工具的公允价值或未来现金流量因外汇汇率变动而发生波动的风险。本公司尽可能将外币收入与</w:t>
      </w:r>
    </w:p>
    <w:p>
      <w:pPr>
        <w:pStyle w:val="BodyText"/>
        <w:spacing w:line="316" w:lineRule="auto"/>
        <w:ind w:left="153" w:right="0"/>
        <w:jc w:val="left"/>
      </w:pPr>
      <w:r>
        <w:rPr>
          <w:spacing w:val="-2"/>
        </w:rPr>
        <w:t>外币支出相匹配以降低外汇风险。此外，公司还可能签署远期外汇合约或货币互换合约以达到规避外汇风险的目的。由于外</w:t>
      </w:r>
      <w:r>
        <w:rPr>
          <w:spacing w:val="-66"/>
        </w:rPr>
        <w:t> </w:t>
      </w:r>
      <w:r>
        <w:rPr>
          <w:spacing w:val="-66"/>
        </w:rPr>
      </w:r>
      <w:r>
        <w:rPr/>
        <w:t>币金融资产和负债占总资产比重较小，</w:t>
      </w:r>
      <w:r>
        <w:rPr>
          <w:rFonts w:ascii="Times New Roman" w:hAnsi="Times New Roman" w:cs="Times New Roman" w:eastAsia="Times New Roman" w:hint="default"/>
        </w:rPr>
        <w:t>2014</w:t>
      </w:r>
      <w:r>
        <w:rPr/>
        <w:t>年度及</w:t>
      </w:r>
      <w:r>
        <w:rPr>
          <w:rFonts w:ascii="Times New Roman" w:hAnsi="Times New Roman" w:cs="Times New Roman" w:eastAsia="Times New Roman" w:hint="default"/>
        </w:rPr>
        <w:t>2013</w:t>
      </w:r>
      <w:r>
        <w:rPr/>
        <w:t>年度，本公司未签署任何远期外汇合约或货币互换合约。</w:t>
      </w:r>
    </w:p>
    <w:p>
      <w:pPr>
        <w:spacing w:line="240" w:lineRule="auto" w:before="6"/>
        <w:rPr>
          <w:rFonts w:ascii="宋体" w:hAnsi="宋体" w:cs="宋体" w:eastAsia="宋体" w:hint="default"/>
          <w:sz w:val="16"/>
          <w:szCs w:val="16"/>
        </w:rPr>
      </w:pPr>
    </w:p>
    <w:p>
      <w:pPr>
        <w:pStyle w:val="BodyText"/>
        <w:spacing w:line="316" w:lineRule="auto"/>
        <w:ind w:left="153" w:right="0" w:firstLine="380"/>
        <w:jc w:val="left"/>
      </w:pPr>
      <w:r>
        <w:rPr/>
        <w:t>本公司面临的外汇风险主要来源于以美元计价的金融资产和金融负债，外币金融资产和外币金融负债折算成人民币的</w:t>
      </w:r>
      <w:r>
        <w:rPr>
          <w:spacing w:val="1"/>
        </w:rPr>
        <w:t> </w:t>
      </w:r>
      <w:r>
        <w:rPr/>
        <w:t>金额列示如下：</w:t>
      </w:r>
    </w:p>
    <w:p>
      <w:pPr>
        <w:spacing w:line="240" w:lineRule="auto" w:before="2"/>
        <w:rPr>
          <w:rFonts w:ascii="宋体" w:hAnsi="宋体" w:cs="宋体" w:eastAsia="宋体" w:hint="default"/>
          <w:sz w:val="17"/>
          <w:szCs w:val="17"/>
        </w:rPr>
      </w:pPr>
    </w:p>
    <w:p>
      <w:pPr>
        <w:spacing w:line="20" w:lineRule="exact"/>
        <w:ind w:left="151" w:right="0" w:firstLine="0"/>
        <w:rPr>
          <w:rFonts w:ascii="宋体" w:hAnsi="宋体" w:cs="宋体" w:eastAsia="宋体" w:hint="default"/>
          <w:sz w:val="2"/>
          <w:szCs w:val="2"/>
        </w:rPr>
      </w:pPr>
      <w:r>
        <w:rPr>
          <w:rFonts w:ascii="宋体" w:hAnsi="宋体" w:cs="宋体" w:eastAsia="宋体" w:hint="default"/>
          <w:sz w:val="2"/>
          <w:szCs w:val="2"/>
        </w:rPr>
        <w:pict>
          <v:group style="width:457.65pt;height:1pt;mso-position-horizontal-relative:char;mso-position-vertical-relative:line" coordorigin="0,0" coordsize="9153,20">
            <v:group style="position:absolute;left:10;top:10;width:9134;height:2" coordorigin="10,10" coordsize="9134,2">
              <v:shape style="position:absolute;left:10;top:10;width:9134;height:2" coordorigin="10,10" coordsize="9134,0" path="m10,10l9143,10e" filled="false" stroked="true" strokeweight=".95999pt" strokecolor="#000000">
                <v:path arrowok="t"/>
              </v:shape>
            </v:group>
          </v:group>
        </w:pict>
      </w:r>
      <w:r>
        <w:rPr>
          <w:rFonts w:ascii="宋体" w:hAnsi="宋体" w:cs="宋体" w:eastAsia="宋体" w:hint="default"/>
          <w:sz w:val="2"/>
          <w:szCs w:val="2"/>
        </w:rPr>
      </w:r>
    </w:p>
    <w:tbl>
      <w:tblPr>
        <w:tblW w:w="0" w:type="auto"/>
        <w:jc w:val="left"/>
        <w:tblInd w:w="161" w:type="dxa"/>
        <w:tblLayout w:type="fixed"/>
        <w:tblCellMar>
          <w:top w:w="0" w:type="dxa"/>
          <w:left w:w="0" w:type="dxa"/>
          <w:bottom w:w="0" w:type="dxa"/>
          <w:right w:w="0" w:type="dxa"/>
        </w:tblCellMar>
        <w:tblLook w:val="01E0"/>
      </w:tblPr>
      <w:tblGrid>
        <w:gridCol w:w="1645"/>
        <w:gridCol w:w="1364"/>
        <w:gridCol w:w="1049"/>
        <w:gridCol w:w="1357"/>
        <w:gridCol w:w="1343"/>
        <w:gridCol w:w="1137"/>
        <w:gridCol w:w="1237"/>
      </w:tblGrid>
      <w:tr>
        <w:trPr>
          <w:trHeight w:val="410"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64" w:type="dxa"/>
            <w:tcBorders>
              <w:top w:val="nil" w:sz="6" w:space="0" w:color="auto"/>
              <w:left w:val="nil" w:sz="6" w:space="0" w:color="auto"/>
              <w:bottom w:val="single" w:sz="12" w:space="0" w:color="000000"/>
              <w:right w:val="nil" w:sz="6" w:space="0" w:color="auto"/>
            </w:tcBorders>
          </w:tcPr>
          <w:p>
            <w:pPr/>
          </w:p>
        </w:tc>
        <w:tc>
          <w:tcPr>
            <w:tcW w:w="104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16"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357" w:type="dxa"/>
            <w:tcBorders>
              <w:top w:val="nil" w:sz="6" w:space="0" w:color="auto"/>
              <w:left w:val="nil" w:sz="6" w:space="0" w:color="auto"/>
              <w:bottom w:val="single" w:sz="12" w:space="0" w:color="000000"/>
              <w:right w:val="nil" w:sz="6" w:space="0" w:color="auto"/>
            </w:tcBorders>
          </w:tcPr>
          <w:p>
            <w:pPr/>
          </w:p>
        </w:tc>
        <w:tc>
          <w:tcPr>
            <w:tcW w:w="1343" w:type="dxa"/>
            <w:tcBorders>
              <w:top w:val="nil" w:sz="6" w:space="0" w:color="auto"/>
              <w:left w:val="nil" w:sz="6" w:space="0" w:color="auto"/>
              <w:bottom w:val="single" w:sz="12" w:space="0" w:color="000000"/>
              <w:right w:val="nil" w:sz="6" w:space="0" w:color="auto"/>
            </w:tcBorders>
          </w:tcPr>
          <w:p>
            <w:pPr/>
          </w:p>
        </w:tc>
        <w:tc>
          <w:tcPr>
            <w:tcW w:w="113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09" w:right="0"/>
              <w:jc w:val="left"/>
              <w:rPr>
                <w:rFonts w:ascii="宋体" w:hAnsi="宋体" w:cs="宋体" w:eastAsia="宋体" w:hint="default"/>
                <w:sz w:val="18"/>
                <w:szCs w:val="18"/>
              </w:rPr>
            </w:pPr>
            <w:r>
              <w:rPr>
                <w:rFonts w:ascii="宋体" w:hAnsi="宋体" w:cs="宋体" w:eastAsia="宋体" w:hint="default"/>
                <w:sz w:val="18"/>
                <w:szCs w:val="18"/>
              </w:rPr>
              <w:t>年初金额</w:t>
            </w:r>
          </w:p>
        </w:tc>
        <w:tc>
          <w:tcPr>
            <w:tcW w:w="1237" w:type="dxa"/>
            <w:tcBorders>
              <w:top w:val="nil" w:sz="6" w:space="0" w:color="auto"/>
              <w:left w:val="nil" w:sz="6" w:space="0" w:color="auto"/>
              <w:bottom w:val="single" w:sz="12" w:space="0" w:color="000000"/>
              <w:right w:val="nil" w:sz="6" w:space="0" w:color="auto"/>
            </w:tcBorders>
          </w:tcPr>
          <w:p>
            <w:pPr/>
          </w:p>
        </w:tc>
      </w:tr>
      <w:tr>
        <w:trPr>
          <w:trHeight w:val="432" w:hRule="exact"/>
        </w:trPr>
        <w:tc>
          <w:tcPr>
            <w:tcW w:w="1645" w:type="dxa"/>
            <w:tcBorders>
              <w:top w:val="nil" w:sz="6" w:space="0" w:color="auto"/>
              <w:left w:val="nil" w:sz="6" w:space="0" w:color="auto"/>
              <w:bottom w:val="single" w:sz="12" w:space="0" w:color="000000"/>
              <w:right w:val="nil" w:sz="6" w:space="0" w:color="auto"/>
            </w:tcBorders>
          </w:tcPr>
          <w:p>
            <w:pPr/>
          </w:p>
        </w:tc>
        <w:tc>
          <w:tcPr>
            <w:tcW w:w="13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3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88"/>
              <w:jc w:val="center"/>
              <w:rPr>
                <w:rFonts w:ascii="宋体" w:hAnsi="宋体" w:cs="宋体" w:eastAsia="宋体" w:hint="default"/>
                <w:sz w:val="18"/>
                <w:szCs w:val="18"/>
              </w:rPr>
            </w:pPr>
            <w:r>
              <w:rPr>
                <w:rFonts w:ascii="宋体" w:hAnsi="宋体" w:cs="宋体" w:eastAsia="宋体" w:hint="default"/>
                <w:sz w:val="18"/>
                <w:szCs w:val="18"/>
              </w:rPr>
              <w:t>合计</w:t>
            </w:r>
          </w:p>
        </w:tc>
        <w:tc>
          <w:tcPr>
            <w:tcW w:w="134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2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32" w:hRule="exact"/>
        </w:trPr>
        <w:tc>
          <w:tcPr>
            <w:tcW w:w="16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364" w:type="dxa"/>
            <w:tcBorders>
              <w:top w:val="single" w:sz="12" w:space="0" w:color="000000"/>
              <w:left w:val="nil" w:sz="6" w:space="0" w:color="auto"/>
              <w:bottom w:val="single" w:sz="12" w:space="0" w:color="000000"/>
              <w:right w:val="nil" w:sz="6" w:space="0" w:color="auto"/>
            </w:tcBorders>
          </w:tcPr>
          <w:p>
            <w:pPr/>
          </w:p>
        </w:tc>
        <w:tc>
          <w:tcPr>
            <w:tcW w:w="1049" w:type="dxa"/>
            <w:tcBorders>
              <w:top w:val="single" w:sz="12" w:space="0" w:color="000000"/>
              <w:left w:val="nil" w:sz="6" w:space="0" w:color="auto"/>
              <w:bottom w:val="single" w:sz="12" w:space="0" w:color="000000"/>
              <w:right w:val="nil" w:sz="6" w:space="0" w:color="auto"/>
            </w:tcBorders>
          </w:tcPr>
          <w:p>
            <w:pPr/>
          </w:p>
        </w:tc>
        <w:tc>
          <w:tcPr>
            <w:tcW w:w="1357" w:type="dxa"/>
            <w:tcBorders>
              <w:top w:val="single" w:sz="12" w:space="0" w:color="000000"/>
              <w:left w:val="nil" w:sz="6" w:space="0" w:color="auto"/>
              <w:bottom w:val="single" w:sz="12" w:space="0" w:color="000000"/>
              <w:right w:val="nil" w:sz="6" w:space="0" w:color="auto"/>
            </w:tcBorders>
          </w:tcPr>
          <w:p>
            <w:pPr/>
          </w:p>
        </w:tc>
        <w:tc>
          <w:tcPr>
            <w:tcW w:w="1343" w:type="dxa"/>
            <w:tcBorders>
              <w:top w:val="single" w:sz="12" w:space="0" w:color="000000"/>
              <w:left w:val="nil" w:sz="6" w:space="0" w:color="auto"/>
              <w:bottom w:val="single" w:sz="12" w:space="0" w:color="000000"/>
              <w:right w:val="nil" w:sz="6" w:space="0" w:color="auto"/>
            </w:tcBorders>
          </w:tcPr>
          <w:p>
            <w:pPr/>
          </w:p>
        </w:tc>
        <w:tc>
          <w:tcPr>
            <w:tcW w:w="1137" w:type="dxa"/>
            <w:tcBorders>
              <w:top w:val="single" w:sz="12" w:space="0" w:color="000000"/>
              <w:left w:val="nil" w:sz="6" w:space="0" w:color="auto"/>
              <w:bottom w:val="single" w:sz="12" w:space="0" w:color="000000"/>
              <w:right w:val="nil" w:sz="6" w:space="0" w:color="auto"/>
            </w:tcBorders>
          </w:tcPr>
          <w:p>
            <w:pPr/>
          </w:p>
        </w:tc>
        <w:tc>
          <w:tcPr>
            <w:tcW w:w="1237" w:type="dxa"/>
            <w:tcBorders>
              <w:top w:val="single" w:sz="12" w:space="0" w:color="000000"/>
              <w:left w:val="nil" w:sz="6" w:space="0" w:color="auto"/>
              <w:bottom w:val="single" w:sz="12" w:space="0" w:color="000000"/>
              <w:right w:val="nil" w:sz="6" w:space="0" w:color="auto"/>
            </w:tcBorders>
          </w:tcPr>
          <w:p>
            <w:pPr/>
          </w:p>
        </w:tc>
      </w:tr>
      <w:tr>
        <w:trPr>
          <w:trHeight w:val="432" w:hRule="exact"/>
        </w:trPr>
        <w:tc>
          <w:tcPr>
            <w:tcW w:w="16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2,232,530.98</w:t>
            </w:r>
          </w:p>
        </w:tc>
        <w:tc>
          <w:tcPr>
            <w:tcW w:w="1049" w:type="dxa"/>
            <w:tcBorders>
              <w:top w:val="single" w:sz="12" w:space="0" w:color="000000"/>
              <w:left w:val="nil" w:sz="6" w:space="0" w:color="auto"/>
              <w:bottom w:val="single" w:sz="12" w:space="0" w:color="000000"/>
              <w:right w:val="nil" w:sz="6" w:space="0" w:color="auto"/>
            </w:tcBorders>
          </w:tcPr>
          <w:p>
            <w:pPr/>
          </w:p>
        </w:tc>
        <w:tc>
          <w:tcPr>
            <w:tcW w:w="13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2,232,530.98</w:t>
            </w:r>
          </w:p>
        </w:tc>
        <w:tc>
          <w:tcPr>
            <w:tcW w:w="134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25,963,994.80</w:t>
            </w:r>
          </w:p>
        </w:tc>
        <w:tc>
          <w:tcPr>
            <w:tcW w:w="11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z w:val="18"/>
              </w:rPr>
              <w:t>2,439.12</w:t>
            </w:r>
          </w:p>
        </w:tc>
        <w:tc>
          <w:tcPr>
            <w:tcW w:w="12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25,966,433.92</w:t>
            </w:r>
          </w:p>
        </w:tc>
      </w:tr>
      <w:tr>
        <w:trPr>
          <w:trHeight w:val="432" w:hRule="exact"/>
        </w:trPr>
        <w:tc>
          <w:tcPr>
            <w:tcW w:w="16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10,894,170.00</w:t>
            </w:r>
          </w:p>
        </w:tc>
        <w:tc>
          <w:tcPr>
            <w:tcW w:w="1049" w:type="dxa"/>
            <w:tcBorders>
              <w:top w:val="single" w:sz="12" w:space="0" w:color="000000"/>
              <w:left w:val="nil" w:sz="6" w:space="0" w:color="auto"/>
              <w:bottom w:val="single" w:sz="12" w:space="0" w:color="000000"/>
              <w:right w:val="nil" w:sz="6" w:space="0" w:color="auto"/>
            </w:tcBorders>
          </w:tcPr>
          <w:p>
            <w:pPr/>
          </w:p>
        </w:tc>
        <w:tc>
          <w:tcPr>
            <w:tcW w:w="13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10,894,170.00</w:t>
            </w:r>
          </w:p>
        </w:tc>
        <w:tc>
          <w:tcPr>
            <w:tcW w:w="134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77,669,361.28</w:t>
            </w:r>
          </w:p>
        </w:tc>
        <w:tc>
          <w:tcPr>
            <w:tcW w:w="1137" w:type="dxa"/>
            <w:tcBorders>
              <w:top w:val="single" w:sz="12" w:space="0" w:color="000000"/>
              <w:left w:val="nil" w:sz="6" w:space="0" w:color="auto"/>
              <w:bottom w:val="single" w:sz="12" w:space="0" w:color="000000"/>
              <w:right w:val="nil" w:sz="6" w:space="0" w:color="auto"/>
            </w:tcBorders>
          </w:tcPr>
          <w:p>
            <w:pPr/>
          </w:p>
        </w:tc>
        <w:tc>
          <w:tcPr>
            <w:tcW w:w="12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77,669,361.28</w:t>
            </w:r>
          </w:p>
        </w:tc>
      </w:tr>
      <w:tr>
        <w:trPr>
          <w:trHeight w:val="432" w:hRule="exact"/>
        </w:trPr>
        <w:tc>
          <w:tcPr>
            <w:tcW w:w="16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13,126,700.98</w:t>
            </w:r>
          </w:p>
        </w:tc>
        <w:tc>
          <w:tcPr>
            <w:tcW w:w="1049" w:type="dxa"/>
            <w:tcBorders>
              <w:top w:val="single" w:sz="12" w:space="0" w:color="000000"/>
              <w:left w:val="nil" w:sz="6" w:space="0" w:color="auto"/>
              <w:bottom w:val="single" w:sz="12" w:space="0" w:color="000000"/>
              <w:right w:val="nil" w:sz="6" w:space="0" w:color="auto"/>
            </w:tcBorders>
          </w:tcPr>
          <w:p>
            <w:pPr/>
          </w:p>
        </w:tc>
        <w:tc>
          <w:tcPr>
            <w:tcW w:w="13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13,126,700.98</w:t>
            </w:r>
          </w:p>
        </w:tc>
        <w:tc>
          <w:tcPr>
            <w:tcW w:w="134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103,633,356.08</w:t>
            </w:r>
          </w:p>
        </w:tc>
        <w:tc>
          <w:tcPr>
            <w:tcW w:w="11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z w:val="18"/>
              </w:rPr>
              <w:t>2,439.12</w:t>
            </w:r>
          </w:p>
        </w:tc>
        <w:tc>
          <w:tcPr>
            <w:tcW w:w="12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103,635,795.20</w:t>
            </w:r>
          </w:p>
        </w:tc>
      </w:tr>
      <w:tr>
        <w:trPr>
          <w:trHeight w:val="432" w:hRule="exact"/>
        </w:trPr>
        <w:tc>
          <w:tcPr>
            <w:tcW w:w="16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364" w:type="dxa"/>
            <w:tcBorders>
              <w:top w:val="single" w:sz="12" w:space="0" w:color="000000"/>
              <w:left w:val="nil" w:sz="6" w:space="0" w:color="auto"/>
              <w:bottom w:val="single" w:sz="12" w:space="0" w:color="000000"/>
              <w:right w:val="nil" w:sz="6" w:space="0" w:color="auto"/>
            </w:tcBorders>
          </w:tcPr>
          <w:p>
            <w:pPr/>
          </w:p>
        </w:tc>
        <w:tc>
          <w:tcPr>
            <w:tcW w:w="1049" w:type="dxa"/>
            <w:tcBorders>
              <w:top w:val="single" w:sz="12" w:space="0" w:color="000000"/>
              <w:left w:val="nil" w:sz="6" w:space="0" w:color="auto"/>
              <w:bottom w:val="single" w:sz="12" w:space="0" w:color="000000"/>
              <w:right w:val="nil" w:sz="6" w:space="0" w:color="auto"/>
            </w:tcBorders>
          </w:tcPr>
          <w:p>
            <w:pPr/>
          </w:p>
        </w:tc>
        <w:tc>
          <w:tcPr>
            <w:tcW w:w="1357" w:type="dxa"/>
            <w:tcBorders>
              <w:top w:val="single" w:sz="12" w:space="0" w:color="000000"/>
              <w:left w:val="nil" w:sz="6" w:space="0" w:color="auto"/>
              <w:bottom w:val="single" w:sz="12" w:space="0" w:color="000000"/>
              <w:right w:val="nil" w:sz="6" w:space="0" w:color="auto"/>
            </w:tcBorders>
          </w:tcPr>
          <w:p>
            <w:pPr/>
          </w:p>
        </w:tc>
        <w:tc>
          <w:tcPr>
            <w:tcW w:w="1343" w:type="dxa"/>
            <w:tcBorders>
              <w:top w:val="single" w:sz="12" w:space="0" w:color="000000"/>
              <w:left w:val="nil" w:sz="6" w:space="0" w:color="auto"/>
              <w:bottom w:val="single" w:sz="12" w:space="0" w:color="000000"/>
              <w:right w:val="nil" w:sz="6" w:space="0" w:color="auto"/>
            </w:tcBorders>
          </w:tcPr>
          <w:p>
            <w:pPr/>
          </w:p>
        </w:tc>
        <w:tc>
          <w:tcPr>
            <w:tcW w:w="1137" w:type="dxa"/>
            <w:tcBorders>
              <w:top w:val="single" w:sz="12" w:space="0" w:color="000000"/>
              <w:left w:val="nil" w:sz="6" w:space="0" w:color="auto"/>
              <w:bottom w:val="single" w:sz="12" w:space="0" w:color="000000"/>
              <w:right w:val="nil" w:sz="6" w:space="0" w:color="auto"/>
            </w:tcBorders>
          </w:tcPr>
          <w:p>
            <w:pPr/>
          </w:p>
        </w:tc>
        <w:tc>
          <w:tcPr>
            <w:tcW w:w="1237" w:type="dxa"/>
            <w:tcBorders>
              <w:top w:val="single" w:sz="12" w:space="0" w:color="000000"/>
              <w:left w:val="nil" w:sz="6" w:space="0" w:color="auto"/>
              <w:bottom w:val="single" w:sz="12" w:space="0" w:color="000000"/>
              <w:right w:val="nil" w:sz="6" w:space="0" w:color="auto"/>
            </w:tcBorders>
          </w:tcPr>
          <w:p>
            <w:pPr/>
          </w:p>
        </w:tc>
      </w:tr>
      <w:tr>
        <w:trPr>
          <w:trHeight w:val="432" w:hRule="exact"/>
        </w:trPr>
        <w:tc>
          <w:tcPr>
            <w:tcW w:w="16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8,830,847.10</w:t>
            </w:r>
          </w:p>
        </w:tc>
        <w:tc>
          <w:tcPr>
            <w:tcW w:w="1049" w:type="dxa"/>
            <w:tcBorders>
              <w:top w:val="single" w:sz="12" w:space="0" w:color="000000"/>
              <w:left w:val="nil" w:sz="6" w:space="0" w:color="auto"/>
              <w:bottom w:val="single" w:sz="12" w:space="0" w:color="000000"/>
              <w:right w:val="nil" w:sz="6" w:space="0" w:color="auto"/>
            </w:tcBorders>
          </w:tcPr>
          <w:p>
            <w:pPr/>
          </w:p>
        </w:tc>
        <w:tc>
          <w:tcPr>
            <w:tcW w:w="13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8,830,847.10</w:t>
            </w:r>
          </w:p>
        </w:tc>
        <w:tc>
          <w:tcPr>
            <w:tcW w:w="134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5,034,542.58</w:t>
            </w:r>
          </w:p>
        </w:tc>
        <w:tc>
          <w:tcPr>
            <w:tcW w:w="1137" w:type="dxa"/>
            <w:tcBorders>
              <w:top w:val="single" w:sz="12" w:space="0" w:color="000000"/>
              <w:left w:val="nil" w:sz="6" w:space="0" w:color="auto"/>
              <w:bottom w:val="single" w:sz="12" w:space="0" w:color="000000"/>
              <w:right w:val="nil" w:sz="6" w:space="0" w:color="auto"/>
            </w:tcBorders>
          </w:tcPr>
          <w:p>
            <w:pPr/>
          </w:p>
        </w:tc>
        <w:tc>
          <w:tcPr>
            <w:tcW w:w="12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5,034,542.58</w:t>
            </w:r>
          </w:p>
        </w:tc>
      </w:tr>
      <w:tr>
        <w:trPr>
          <w:trHeight w:val="432" w:hRule="exact"/>
        </w:trPr>
        <w:tc>
          <w:tcPr>
            <w:tcW w:w="16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8,830,847.10</w:t>
            </w:r>
          </w:p>
        </w:tc>
        <w:tc>
          <w:tcPr>
            <w:tcW w:w="1049" w:type="dxa"/>
            <w:tcBorders>
              <w:top w:val="single" w:sz="12" w:space="0" w:color="000000"/>
              <w:left w:val="nil" w:sz="6" w:space="0" w:color="auto"/>
              <w:bottom w:val="single" w:sz="12" w:space="0" w:color="000000"/>
              <w:right w:val="nil" w:sz="6" w:space="0" w:color="auto"/>
            </w:tcBorders>
          </w:tcPr>
          <w:p>
            <w:pPr/>
          </w:p>
        </w:tc>
        <w:tc>
          <w:tcPr>
            <w:tcW w:w="13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8,830,847.10</w:t>
            </w:r>
          </w:p>
        </w:tc>
        <w:tc>
          <w:tcPr>
            <w:tcW w:w="134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5,034,542.58</w:t>
            </w:r>
          </w:p>
        </w:tc>
        <w:tc>
          <w:tcPr>
            <w:tcW w:w="1137" w:type="dxa"/>
            <w:tcBorders>
              <w:top w:val="single" w:sz="12" w:space="0" w:color="000000"/>
              <w:left w:val="nil" w:sz="6" w:space="0" w:color="auto"/>
              <w:bottom w:val="single" w:sz="12" w:space="0" w:color="000000"/>
              <w:right w:val="nil" w:sz="6" w:space="0" w:color="auto"/>
            </w:tcBorders>
          </w:tcPr>
          <w:p>
            <w:pPr/>
          </w:p>
        </w:tc>
        <w:tc>
          <w:tcPr>
            <w:tcW w:w="12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5,034,542.58</w:t>
            </w:r>
          </w:p>
        </w:tc>
      </w:tr>
      <w:tr>
        <w:trPr>
          <w:trHeight w:val="409" w:hRule="exact"/>
        </w:trPr>
        <w:tc>
          <w:tcPr>
            <w:tcW w:w="1645"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364"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113"/>
              <w:jc w:val="right"/>
              <w:rPr>
                <w:rFonts w:ascii="Times New Roman" w:hAnsi="Times New Roman" w:cs="Times New Roman" w:eastAsia="Times New Roman" w:hint="default"/>
                <w:sz w:val="18"/>
                <w:szCs w:val="18"/>
              </w:rPr>
            </w:pPr>
            <w:r>
              <w:rPr>
                <w:rFonts w:ascii="Times New Roman"/>
                <w:spacing w:val="-1"/>
                <w:sz w:val="18"/>
              </w:rPr>
              <w:t>4,295,853.88</w:t>
            </w:r>
          </w:p>
        </w:tc>
        <w:tc>
          <w:tcPr>
            <w:tcW w:w="1049" w:type="dxa"/>
            <w:tcBorders>
              <w:top w:val="single" w:sz="12" w:space="0" w:color="000000"/>
              <w:left w:val="nil" w:sz="6" w:space="0" w:color="auto"/>
              <w:bottom w:val="nil" w:sz="6" w:space="0" w:color="auto"/>
              <w:right w:val="nil" w:sz="6" w:space="0" w:color="auto"/>
            </w:tcBorders>
          </w:tcPr>
          <w:p>
            <w:pPr/>
          </w:p>
        </w:tc>
        <w:tc>
          <w:tcPr>
            <w:tcW w:w="1357"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4,295,853.88</w:t>
            </w:r>
          </w:p>
        </w:tc>
        <w:tc>
          <w:tcPr>
            <w:tcW w:w="1343"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98,598,813.50</w:t>
            </w:r>
          </w:p>
        </w:tc>
        <w:tc>
          <w:tcPr>
            <w:tcW w:w="1137"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z w:val="18"/>
              </w:rPr>
              <w:t>2,439.12</w:t>
            </w:r>
          </w:p>
        </w:tc>
        <w:tc>
          <w:tcPr>
            <w:tcW w:w="1237"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98,601,252.62</w:t>
            </w:r>
          </w:p>
        </w:tc>
      </w:tr>
    </w:tbl>
    <w:p>
      <w:pPr>
        <w:spacing w:line="240" w:lineRule="auto" w:before="0"/>
        <w:rPr>
          <w:rFonts w:ascii="宋体" w:hAnsi="宋体" w:cs="宋体" w:eastAsia="宋体" w:hint="default"/>
          <w:sz w:val="2"/>
          <w:szCs w:val="2"/>
        </w:rPr>
      </w:pPr>
    </w:p>
    <w:p>
      <w:pPr>
        <w:spacing w:line="30" w:lineRule="exact"/>
        <w:ind w:left="14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8.2pt;height:1.5pt;mso-position-horizontal-relative:char;mso-position-vertical-relative:line" coordorigin="0,0" coordsize="9164,30">
            <v:group style="position:absolute;left:15;top:15;width:1646;height:2" coordorigin="15,15" coordsize="1646,2">
              <v:shape style="position:absolute;left:15;top:15;width:1646;height:2" coordorigin="15,15" coordsize="1646,0" path="m15,15l1660,15e" filled="false" stroked="true" strokeweight="1.5pt" strokecolor="#000000">
                <v:path arrowok="t"/>
              </v:shape>
            </v:group>
            <v:group style="position:absolute;left:1675;top:15;width:1238;height:2" coordorigin="1675,15" coordsize="1238,2">
              <v:shape style="position:absolute;left:1675;top:15;width:1238;height:2" coordorigin="1675,15" coordsize="1238,0" path="m1675,15l2912,15e" filled="false" stroked="true" strokeweight="1.5pt" strokecolor="#000000">
                <v:path arrowok="t"/>
              </v:shape>
            </v:group>
            <v:group style="position:absolute;left:2926;top:15;width:1149;height:2" coordorigin="2926,15" coordsize="1149,2">
              <v:shape style="position:absolute;left:2926;top:15;width:1149;height:2" coordorigin="2926,15" coordsize="1149,0" path="m2926,15l4075,15e" filled="false" stroked="true" strokeweight="1.5pt" strokecolor="#000000">
                <v:path arrowok="t"/>
              </v:shape>
            </v:group>
            <v:group style="position:absolute;left:4089;top:15;width:1238;height:2" coordorigin="4089,15" coordsize="1238,2">
              <v:shape style="position:absolute;left:4089;top:15;width:1238;height:2" coordorigin="4089,15" coordsize="1238,0" path="m4089,15l5326,15e" filled="false" stroked="true" strokeweight="1.5pt" strokecolor="#000000">
                <v:path arrowok="t"/>
              </v:shape>
            </v:group>
            <v:group style="position:absolute;left:5341;top:15;width:1326;height:2" coordorigin="5341,15" coordsize="1326,2">
              <v:shape style="position:absolute;left:5341;top:15;width:1326;height:2" coordorigin="5341,15" coordsize="1326,0" path="m5341,15l6667,15e" filled="false" stroked="true" strokeweight="1.5pt" strokecolor="#000000">
                <v:path arrowok="t"/>
              </v:shape>
            </v:group>
            <v:group style="position:absolute;left:6681;top:15;width:1126;height:2" coordorigin="6681,15" coordsize="1126,2">
              <v:shape style="position:absolute;left:6681;top:15;width:1126;height:2" coordorigin="6681,15" coordsize="1126,0" path="m6681,15l7807,15e" filled="false" stroked="true" strokeweight="1.5pt" strokecolor="#000000">
                <v:path arrowok="t"/>
              </v:shape>
            </v:group>
            <v:group style="position:absolute;left:7821;top:15;width:1328;height:2" coordorigin="7821,15" coordsize="1328,2">
              <v:shape style="position:absolute;left:7821;top:15;width:1328;height:2" coordorigin="7821,15" coordsize="1328,0" path="m7821,15l9148,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6"/>
        <w:rPr>
          <w:rFonts w:ascii="宋体" w:hAnsi="宋体" w:cs="宋体" w:eastAsia="宋体" w:hint="default"/>
          <w:sz w:val="6"/>
          <w:szCs w:val="6"/>
        </w:rPr>
      </w:pPr>
    </w:p>
    <w:p>
      <w:pPr>
        <w:pStyle w:val="BodyText"/>
        <w:spacing w:line="300" w:lineRule="auto" w:before="44"/>
        <w:ind w:right="0" w:firstLine="380"/>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0.5%</w:t>
      </w:r>
      <w:r>
        <w:rPr/>
        <w:t>，则公司将减少或增加净</w:t>
      </w:r>
      <w:r>
        <w:rPr>
          <w:spacing w:val="1"/>
        </w:rPr>
        <w:t> </w:t>
      </w:r>
      <w:r>
        <w:rPr/>
        <w:t>利润</w:t>
      </w:r>
      <w:r>
        <w:rPr>
          <w:rFonts w:ascii="Times New Roman" w:hAnsi="Times New Roman" w:cs="Times New Roman" w:eastAsia="Times New Roman" w:hint="default"/>
        </w:rPr>
        <w:t>2.15</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49.30</w:t>
      </w:r>
      <w:r>
        <w:rPr/>
        <w:t>万元）。</w:t>
      </w:r>
    </w:p>
    <w:p>
      <w:pPr>
        <w:pStyle w:val="BodyText"/>
        <w:spacing w:line="528" w:lineRule="exact" w:before="17"/>
        <w:ind w:left="534" w:right="0" w:hanging="21"/>
        <w:jc w:val="left"/>
      </w:pPr>
      <w:r>
        <w:rPr>
          <w:rFonts w:ascii="Times New Roman" w:hAnsi="Times New Roman" w:cs="Times New Roman" w:eastAsia="Times New Roman" w:hint="default"/>
        </w:rPr>
        <w:t>3</w:t>
      </w:r>
      <w:r>
        <w:rPr/>
        <w:t>、流动性风险 流动风险，是指企业在履行以交付现金或其他金融资产的方式结算的义务时发生资金短缺的风险。本公司的政策是确</w:t>
      </w:r>
    </w:p>
    <w:p>
      <w:pPr>
        <w:pStyle w:val="BodyText"/>
        <w:spacing w:line="300" w:lineRule="auto"/>
        <w:ind w:left="153" w:right="0"/>
        <w:jc w:val="left"/>
      </w:pPr>
      <w:r>
        <w:rPr/>
        <w:t>保拥有充足的现金以偿还到期债务。流动性风险由本公司的财务部门集中控制。财务部门通过监控现金余额以及对未来</w:t>
      </w:r>
      <w:r>
        <w:rPr>
          <w:rFonts w:ascii="Times New Roman" w:hAnsi="Times New Roman" w:cs="Times New Roman" w:eastAsia="Times New Roman" w:hint="default"/>
        </w:rPr>
        <w:t>12</w:t>
      </w:r>
      <w:r>
        <w:rPr>
          <w:rFonts w:ascii="Times New Roman" w:hAnsi="Times New Roman" w:cs="Times New Roman" w:eastAsia="Times New Roman" w:hint="default"/>
          <w:spacing w:val="37"/>
        </w:rPr>
        <w:t> </w:t>
      </w:r>
      <w:r>
        <w:rPr/>
        <w:t>个月现金流量的滚动预测，确保公司在所有合理预测的情况下拥有充足的资金偿还债务。</w:t>
      </w:r>
    </w:p>
    <w:p>
      <w:pPr>
        <w:spacing w:after="0" w:line="30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6"/>
        <w:gridCol w:w="1842"/>
        <w:gridCol w:w="1925"/>
        <w:gridCol w:w="1913"/>
        <w:gridCol w:w="1913"/>
      </w:tblGrid>
      <w:tr>
        <w:trPr>
          <w:trHeight w:val="402" w:hRule="exact"/>
        </w:trPr>
        <w:tc>
          <w:tcPr>
            <w:tcW w:w="1966" w:type="dxa"/>
            <w:tcBorders>
              <w:top w:val="single" w:sz="4" w:space="0" w:color="000000"/>
              <w:left w:val="single" w:sz="4" w:space="0" w:color="000000"/>
              <w:bottom w:val="nil" w:sz="6" w:space="0" w:color="auto"/>
              <w:right w:val="single" w:sz="4" w:space="0" w:color="000000"/>
            </w:tcBorders>
            <w:shd w:val="clear" w:color="auto" w:fill="D3D3D3"/>
          </w:tcPr>
          <w:p>
            <w:pPr/>
          </w:p>
        </w:tc>
        <w:tc>
          <w:tcPr>
            <w:tcW w:w="759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39" w:right="90"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966" w:type="dxa"/>
            <w:vMerge/>
            <w:tcBorders>
              <w:left w:val="single" w:sz="4" w:space="0" w:color="000000"/>
              <w:bottom w:val="nil" w:sz="6" w:space="0" w:color="auto"/>
              <w:right w:val="single" w:sz="4" w:space="0" w:color="000000"/>
            </w:tcBorders>
            <w:shd w:val="clear" w:color="auto" w:fill="D3D3D3"/>
          </w:tcPr>
          <w:p>
            <w:pPr/>
          </w:p>
        </w:tc>
        <w:tc>
          <w:tcPr>
            <w:tcW w:w="1842" w:type="dxa"/>
            <w:vMerge/>
            <w:tcBorders>
              <w:left w:val="single" w:sz="4" w:space="0" w:color="000000"/>
              <w:right w:val="single" w:sz="4" w:space="0" w:color="000000"/>
            </w:tcBorders>
            <w:shd w:val="clear" w:color="auto" w:fill="D3D3D3"/>
          </w:tcPr>
          <w:p>
            <w:pPr/>
          </w:p>
        </w:tc>
        <w:tc>
          <w:tcPr>
            <w:tcW w:w="192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1966" w:type="dxa"/>
            <w:vMerge w:val="restart"/>
            <w:tcBorders>
              <w:top w:val="nil" w:sz="6" w:space="0" w:color="auto"/>
              <w:left w:val="single" w:sz="4" w:space="0" w:color="000000"/>
              <w:right w:val="single" w:sz="4" w:space="0" w:color="000000"/>
            </w:tcBorders>
            <w:shd w:val="clear" w:color="auto" w:fill="D3D3D3"/>
          </w:tcPr>
          <w:p>
            <w:pPr/>
          </w:p>
        </w:tc>
        <w:tc>
          <w:tcPr>
            <w:tcW w:w="1842" w:type="dxa"/>
            <w:vMerge/>
            <w:tcBorders>
              <w:left w:val="single" w:sz="4" w:space="0" w:color="000000"/>
              <w:right w:val="single" w:sz="4" w:space="0" w:color="000000"/>
            </w:tcBorders>
            <w:shd w:val="clear" w:color="auto" w:fill="D3D3D3"/>
          </w:tcPr>
          <w:p>
            <w:pPr/>
          </w:p>
        </w:tc>
        <w:tc>
          <w:tcPr>
            <w:tcW w:w="1925" w:type="dxa"/>
            <w:vMerge/>
            <w:tcBorders>
              <w:left w:val="single" w:sz="4" w:space="0" w:color="000000"/>
              <w:bottom w:val="nil" w:sz="6" w:space="0" w:color="auto"/>
              <w:right w:val="single" w:sz="4" w:space="0" w:color="000000"/>
            </w:tcBorders>
            <w:shd w:val="clear" w:color="auto" w:fill="D3D3D3"/>
          </w:tcPr>
          <w:p>
            <w:pPr/>
          </w:p>
        </w:tc>
        <w:tc>
          <w:tcPr>
            <w:tcW w:w="1913" w:type="dxa"/>
            <w:vMerge/>
            <w:tcBorders>
              <w:left w:val="single" w:sz="4" w:space="0" w:color="000000"/>
              <w:bottom w:val="nil" w:sz="6" w:space="0" w:color="auto"/>
              <w:right w:val="single" w:sz="4" w:space="0" w:color="000000"/>
            </w:tcBorders>
            <w:shd w:val="clear" w:color="auto" w:fill="D3D3D3"/>
          </w:tcPr>
          <w:p>
            <w:pPr/>
          </w:p>
        </w:tc>
        <w:tc>
          <w:tcPr>
            <w:tcW w:w="1913"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966" w:type="dxa"/>
            <w:vMerge/>
            <w:tcBorders>
              <w:left w:val="single" w:sz="4" w:space="0" w:color="000000"/>
              <w:bottom w:val="single" w:sz="4" w:space="0" w:color="000000"/>
              <w:right w:val="single" w:sz="4" w:space="0" w:color="000000"/>
            </w:tcBorders>
            <w:shd w:val="clear" w:color="auto" w:fill="D3D3D3"/>
          </w:tcPr>
          <w:p>
            <w:pPr/>
          </w:p>
        </w:tc>
        <w:tc>
          <w:tcPr>
            <w:tcW w:w="1842" w:type="dxa"/>
            <w:vMerge/>
            <w:tcBorders>
              <w:left w:val="single" w:sz="4" w:space="0" w:color="000000"/>
              <w:bottom w:val="single" w:sz="4" w:space="0" w:color="000000"/>
              <w:right w:val="single" w:sz="4" w:space="0" w:color="000000"/>
            </w:tcBorders>
            <w:shd w:val="clear" w:color="auto" w:fill="D3D3D3"/>
          </w:tcPr>
          <w:p>
            <w:pPr/>
          </w:p>
        </w:tc>
        <w:tc>
          <w:tcPr>
            <w:tcW w:w="19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21,746,026.00</w:t>
            </w:r>
          </w:p>
        </w:tc>
        <w:tc>
          <w:tcPr>
            <w:tcW w:w="19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21,746,026.00</w:t>
            </w:r>
          </w:p>
        </w:tc>
      </w:tr>
      <w:tr>
        <w:trPr>
          <w:trHeight w:val="402" w:hRule="exact"/>
        </w:trPr>
        <w:tc>
          <w:tcPr>
            <w:tcW w:w="1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21,746,026.00</w:t>
            </w:r>
          </w:p>
        </w:tc>
        <w:tc>
          <w:tcPr>
            <w:tcW w:w="19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21,746,026.00</w:t>
            </w:r>
          </w:p>
        </w:tc>
      </w:tr>
      <w:tr>
        <w:trPr>
          <w:trHeight w:val="161" w:hRule="exact"/>
        </w:trPr>
        <w:tc>
          <w:tcPr>
            <w:tcW w:w="19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 w:right="5"/>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66" w:type="dxa"/>
            <w:vMerge/>
            <w:tcBorders>
              <w:left w:val="single" w:sz="4" w:space="0" w:color="000000"/>
              <w:right w:val="single" w:sz="4" w:space="0" w:color="000000"/>
            </w:tcBorders>
            <w:shd w:val="clear" w:color="auto" w:fill="D3D3D3"/>
          </w:tcPr>
          <w:p>
            <w:pPr/>
          </w:p>
        </w:tc>
        <w:tc>
          <w:tcPr>
            <w:tcW w:w="18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27" w:right="0"/>
              <w:jc w:val="center"/>
              <w:rPr>
                <w:rFonts w:ascii="Times New Roman" w:hAnsi="Times New Roman" w:cs="Times New Roman" w:eastAsia="Times New Roman" w:hint="default"/>
                <w:sz w:val="18"/>
                <w:szCs w:val="18"/>
              </w:rPr>
            </w:pPr>
            <w:r>
              <w:rPr>
                <w:rFonts w:ascii="Times New Roman"/>
                <w:sz w:val="18"/>
              </w:rPr>
              <w:t>--</w:t>
            </w:r>
          </w:p>
        </w:tc>
        <w:tc>
          <w:tcPr>
            <w:tcW w:w="19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66" w:type="dxa"/>
            <w:vMerge/>
            <w:tcBorders>
              <w:left w:val="single" w:sz="4" w:space="0" w:color="000000"/>
              <w:bottom w:val="single" w:sz="4" w:space="0" w:color="000000"/>
              <w:right w:val="single" w:sz="4" w:space="0" w:color="000000"/>
            </w:tcBorders>
            <w:shd w:val="clear" w:color="auto" w:fill="D3D3D3"/>
          </w:tcPr>
          <w:p>
            <w:pPr/>
          </w:p>
        </w:tc>
        <w:tc>
          <w:tcPr>
            <w:tcW w:w="1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spacing w:val="10"/>
        </w:rPr>
        <w:t>2014</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日，公司持有的上市公司交通银行</w:t>
      </w:r>
      <w:r>
        <w:rPr>
          <w:rFonts w:ascii="Times New Roman" w:hAnsi="Times New Roman" w:cs="Times New Roman" w:eastAsia="Times New Roman" w:hint="default"/>
          <w:spacing w:val="10"/>
        </w:rPr>
        <w:t>3,197,945.00</w:t>
      </w:r>
      <w:r>
        <w:rPr>
          <w:spacing w:val="10"/>
        </w:rPr>
        <w:t>股，按期末收盘价每股</w:t>
      </w:r>
      <w:r>
        <w:rPr>
          <w:rFonts w:ascii="Times New Roman" w:hAnsi="Times New Roman" w:cs="Times New Roman" w:eastAsia="Times New Roman" w:hint="default"/>
          <w:spacing w:val="10"/>
        </w:rPr>
        <w:t>6.80</w:t>
      </w:r>
      <w:r>
        <w:rPr>
          <w:spacing w:val="10"/>
        </w:rPr>
        <w:t>元，确认了公允价值为</w:t>
      </w:r>
      <w:r>
        <w:rPr/>
      </w:r>
    </w:p>
    <w:p>
      <w:pPr>
        <w:pStyle w:val="BodyText"/>
        <w:spacing w:line="240" w:lineRule="auto" w:before="63"/>
        <w:ind w:right="0"/>
        <w:jc w:val="left"/>
      </w:pPr>
      <w:r>
        <w:rPr>
          <w:rFonts w:ascii="Times New Roman" w:hAnsi="Times New Roman" w:cs="Times New Roman" w:eastAsia="Times New Roman" w:hint="default"/>
        </w:rPr>
        <w:t>21,746,026.00</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77"/>
        <w:gridCol w:w="1276"/>
        <w:gridCol w:w="1277"/>
        <w:gridCol w:w="1134"/>
        <w:gridCol w:w="1134"/>
        <w:gridCol w:w="1409"/>
      </w:tblGrid>
      <w:tr>
        <w:trPr>
          <w:trHeight w:val="435" w:hRule="exact"/>
        </w:trPr>
        <w:tc>
          <w:tcPr>
            <w:tcW w:w="2977"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62"/>
              <w:ind w:left="26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545"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1409" w:type="dxa"/>
            <w:vMerge w:val="restart"/>
            <w:tcBorders>
              <w:top w:val="single" w:sz="6" w:space="0" w:color="000000"/>
              <w:left w:val="single" w:sz="6" w:space="0" w:color="000000"/>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32" w:hRule="exact"/>
        </w:trPr>
        <w:tc>
          <w:tcPr>
            <w:tcW w:w="2977" w:type="dxa"/>
            <w:vMerge/>
            <w:tcBorders>
              <w:left w:val="single" w:sz="6" w:space="0" w:color="000000"/>
              <w:bottom w:val="single" w:sz="12" w:space="0" w:color="000000"/>
              <w:right w:val="single" w:sz="6" w:space="0" w:color="000000"/>
            </w:tcBorders>
          </w:tcPr>
          <w:p>
            <w:pPr/>
          </w:p>
        </w:tc>
        <w:tc>
          <w:tcPr>
            <w:tcW w:w="1276" w:type="dxa"/>
            <w:vMerge/>
            <w:tcBorders>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所属的层次</w:t>
            </w:r>
          </w:p>
        </w:tc>
        <w:tc>
          <w:tcPr>
            <w:tcW w:w="1409" w:type="dxa"/>
            <w:vMerge/>
            <w:tcBorders>
              <w:left w:val="single" w:sz="6" w:space="0" w:color="000000"/>
              <w:bottom w:val="single" w:sz="12" w:space="0" w:color="000000"/>
              <w:right w:val="nil" w:sz="6" w:space="0" w:color="auto"/>
            </w:tcBorders>
          </w:tcPr>
          <w:p>
            <w:pPr/>
          </w:p>
        </w:tc>
      </w:tr>
      <w:tr>
        <w:trPr>
          <w:trHeight w:val="432"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未以公允价值计量的金融资产</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37,392,226.84</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134" w:type="dxa"/>
            <w:tcBorders>
              <w:top w:val="single" w:sz="12" w:space="0" w:color="000000"/>
              <w:left w:val="single" w:sz="6" w:space="0" w:color="000000"/>
              <w:bottom w:val="single" w:sz="12" w:space="0" w:color="000000"/>
              <w:right w:val="single" w:sz="6" w:space="0" w:color="000000"/>
            </w:tcBorders>
          </w:tcPr>
          <w:p>
            <w:pPr/>
          </w:p>
        </w:tc>
        <w:tc>
          <w:tcPr>
            <w:tcW w:w="140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pStyle w:val="BodyText"/>
        <w:spacing w:line="316" w:lineRule="auto" w:before="44"/>
        <w:ind w:left="153" w:right="0" w:firstLine="578"/>
        <w:jc w:val="left"/>
      </w:pPr>
      <w:r>
        <w:rPr/>
        <w:t>说明：本公司将对被投资单位不具有共同控制或重大影响，并且在活跃市场中没有报价、公允价值不能可靠计量的 股权投资作为可供出售金融资产核算，以成本法进行后续计量。</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石家庄和平东路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纺织集团</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1,253,540,000.00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48.06%</w:t>
            </w:r>
          </w:p>
        </w:tc>
      </w:tr>
    </w:tbl>
    <w:p>
      <w:pPr>
        <w:pStyle w:val="BodyText"/>
        <w:spacing w:line="360" w:lineRule="auto" w:before="51"/>
        <w:ind w:left="153" w:right="5271"/>
        <w:jc w:val="left"/>
      </w:pPr>
      <w:r>
        <w:rPr/>
        <w:t>本企业的母公司情况的说明 本企业最终控制方是石家庄市国有资产监督管理委员会。 其他说明：</w:t>
      </w:r>
    </w:p>
    <w:p>
      <w:pPr>
        <w:spacing w:after="0" w:line="36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547" w:lineRule="auto" w:before="35"/>
        <w:ind w:left="154" w:right="58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left="153" w:right="1311"/>
        <w:jc w:val="left"/>
      </w:pPr>
      <w:r>
        <w:rPr/>
        <w:t>本企业重要的合营或联营企业详见附注八、</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71"/>
        <w:gridCol w:w="4786"/>
      </w:tblGrid>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64"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76" w:type="dxa"/>
        <w:tblLayout w:type="fixed"/>
        <w:tblCellMar>
          <w:top w:w="0" w:type="dxa"/>
          <w:left w:w="0" w:type="dxa"/>
          <w:bottom w:w="0" w:type="dxa"/>
          <w:right w:w="0" w:type="dxa"/>
        </w:tblCellMar>
        <w:tblLook w:val="01E0"/>
      </w:tblPr>
      <w:tblGrid>
        <w:gridCol w:w="4754"/>
        <w:gridCol w:w="4786"/>
      </w:tblGrid>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石家庄市纺织建筑设计院</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石家庄纺织研究所</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石家庄针织厂</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石家庄常山纺织集团第一实业有限公司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石家庄常山纺织集团第三实业有限公司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石家庄常山纺织集团第五实业有限公司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石家庄常山房地产开发有限公司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0"/>
        <w:gridCol w:w="1384"/>
        <w:gridCol w:w="2036"/>
        <w:gridCol w:w="2340"/>
      </w:tblGrid>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8" w:right="0"/>
              <w:jc w:val="left"/>
              <w:rPr>
                <w:rFonts w:ascii="Times New Roman" w:hAnsi="Times New Roman" w:cs="Times New Roman" w:eastAsia="Times New Roman" w:hint="default"/>
                <w:sz w:val="18"/>
                <w:szCs w:val="18"/>
              </w:rPr>
            </w:pPr>
            <w:r>
              <w:rPr>
                <w:rFonts w:ascii="Times New Roman"/>
                <w:sz w:val="18"/>
              </w:rPr>
              <w:t>1,667,232.17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0" w:right="0"/>
              <w:jc w:val="left"/>
              <w:rPr>
                <w:rFonts w:ascii="Times New Roman" w:hAnsi="Times New Roman" w:cs="Times New Roman" w:eastAsia="Times New Roman" w:hint="default"/>
                <w:sz w:val="18"/>
                <w:szCs w:val="18"/>
              </w:rPr>
            </w:pPr>
            <w:r>
              <w:rPr>
                <w:rFonts w:ascii="Times New Roman"/>
                <w:sz w:val="18"/>
              </w:rPr>
              <w:t>1,490,809.52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80"/>
        <w:gridCol w:w="1384"/>
        <w:gridCol w:w="2036"/>
        <w:gridCol w:w="2340"/>
      </w:tblGrid>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119,640.17</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聚乙烯醇</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3,143,461.52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1,833,675.21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653,166.70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17,195.73</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1,343,784.20</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22,614,416.56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31,048,414.92</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829,101.33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952,266.16</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新型纤维</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3,803,643.91</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21,576,010.59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42,647,118.12</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203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2,883,085.07</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3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12,579,689.24</w:t>
            </w:r>
          </w:p>
        </w:tc>
        <w:tc>
          <w:tcPr>
            <w:tcW w:w="23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0"/>
        <w:gridCol w:w="1204"/>
        <w:gridCol w:w="2258"/>
        <w:gridCol w:w="2298"/>
      </w:tblGrid>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8,001,641.72</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5,518,463.29</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300,940.17</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下脚</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44,400.00</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11,187,974.45</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21,974,894.57</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1,313,274.19</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440,132.82</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11,638,006.98</w:t>
            </w:r>
          </w:p>
        </w:tc>
        <w:tc>
          <w:tcPr>
            <w:tcW w:w="2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17,303,310.30</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5,715,521.37</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2,729,700.84</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1,198,376.06</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下脚</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716,158.59</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424,205.82</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7,285,963.91</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26,251,978.98</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19,914.52</w:t>
            </w:r>
          </w:p>
        </w:tc>
        <w:tc>
          <w:tcPr>
            <w:tcW w:w="2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95,726.50</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940.17</w:t>
            </w:r>
          </w:p>
        </w:tc>
      </w:tr>
      <w:tr>
        <w:trPr>
          <w:trHeight w:val="403"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2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891.07</w:t>
            </w:r>
          </w:p>
        </w:tc>
      </w:tr>
    </w:tbl>
    <w:p>
      <w:pPr>
        <w:pStyle w:val="BodyText"/>
        <w:spacing w:line="240" w:lineRule="auto" w:before="51"/>
        <w:ind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51"/>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48"/>
        <w:gridCol w:w="1452"/>
        <w:gridCol w:w="1620"/>
        <w:gridCol w:w="1620"/>
        <w:gridCol w:w="1914"/>
      </w:tblGrid>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1,477,224.00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2,076,469.33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4,091,455.62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1,461,801.60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1,461,801.60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1,271,499.58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12,367,200.00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72,495,339.15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22,307,800.00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47,772,000.00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48"/>
        <w:gridCol w:w="1452"/>
        <w:gridCol w:w="1620"/>
        <w:gridCol w:w="1620"/>
        <w:gridCol w:w="1914"/>
      </w:tblGrid>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65,000,000.00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82,700,000.00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65,000,000.00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45,000,000.00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31"/>
        <w:gridCol w:w="1469"/>
        <w:gridCol w:w="1620"/>
        <w:gridCol w:w="1620"/>
        <w:gridCol w:w="1914"/>
      </w:tblGrid>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183,284,089.00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32,980,300.00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36,819,899.00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24,248,862.00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46,989,000.00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①借款担保情况</w:t>
      </w:r>
    </w:p>
    <w:p>
      <w:pPr>
        <w:spacing w:line="240" w:lineRule="auto" w:before="5"/>
        <w:rPr>
          <w:rFonts w:ascii="宋体" w:hAnsi="宋体" w:cs="宋体" w:eastAsia="宋体" w:hint="default"/>
          <w:sz w:val="22"/>
          <w:szCs w:val="22"/>
        </w:rPr>
      </w:pPr>
    </w:p>
    <w:p>
      <w:pPr>
        <w:pStyle w:val="BodyText"/>
        <w:spacing w:line="300" w:lineRule="auto"/>
        <w:ind w:left="153" w:right="0" w:firstLine="360"/>
        <w:jc w:val="left"/>
      </w:pPr>
      <w:r>
        <w:rPr>
          <w:spacing w:val="-1"/>
        </w:rPr>
        <w:t>本公司期末保证短期借款</w:t>
      </w:r>
      <w:r>
        <w:rPr>
          <w:rFonts w:ascii="Times New Roman" w:hAnsi="Times New Roman" w:cs="Times New Roman" w:eastAsia="Times New Roman" w:hint="default"/>
          <w:spacing w:val="-1"/>
        </w:rPr>
        <w:t>1,177,700,000.00</w:t>
      </w:r>
      <w:r>
        <w:rPr>
          <w:spacing w:val="-1"/>
        </w:rPr>
        <w:t>元、长期借款</w:t>
      </w:r>
      <w:r>
        <w:rPr>
          <w:rFonts w:ascii="Times New Roman" w:hAnsi="Times New Roman" w:cs="Times New Roman" w:eastAsia="Times New Roman" w:hint="default"/>
          <w:spacing w:val="-1"/>
        </w:rPr>
        <w:t>75,000,000.00</w:t>
      </w:r>
      <w:r>
        <w:rPr>
          <w:spacing w:val="-1"/>
        </w:rPr>
        <w:t>元及子公司石家庄常山恒新纺织有限公司期末保证</w:t>
      </w:r>
      <w:r>
        <w:rPr/>
        <w:t> 短期借款</w:t>
      </w:r>
      <w:r>
        <w:rPr>
          <w:rFonts w:ascii="Times New Roman" w:hAnsi="Times New Roman" w:cs="Times New Roman" w:eastAsia="Times New Roman" w:hint="default"/>
        </w:rPr>
        <w:t>60,000,000.00</w:t>
      </w:r>
      <w:r>
        <w:rPr/>
        <w:t>元均由石家庄常山纺织集团有限责任公司提供保证担保。</w:t>
      </w:r>
    </w:p>
    <w:p>
      <w:pPr>
        <w:spacing w:line="240" w:lineRule="auto" w:before="7"/>
        <w:rPr>
          <w:rFonts w:ascii="宋体" w:hAnsi="宋体" w:cs="宋体" w:eastAsia="宋体" w:hint="default"/>
          <w:sz w:val="17"/>
          <w:szCs w:val="17"/>
        </w:rPr>
      </w:pPr>
    </w:p>
    <w:p>
      <w:pPr>
        <w:pStyle w:val="BodyText"/>
        <w:spacing w:line="537" w:lineRule="auto"/>
        <w:ind w:left="513" w:right="2166"/>
        <w:jc w:val="left"/>
      </w:pPr>
      <w:r>
        <w:rPr/>
        <w:t>②债券担保 石家庄常山纺织集团有限责任公司为本公司发行的公司债券</w:t>
      </w:r>
      <w:r>
        <w:rPr>
          <w:rFonts w:ascii="Times New Roman" w:hAnsi="Times New Roman" w:cs="Times New Roman" w:eastAsia="Times New Roman" w:hint="default"/>
        </w:rPr>
        <w:t>630,000,000.00</w:t>
      </w:r>
      <w:r>
        <w:rPr/>
        <w:t>元提供保证担保。</w:t>
      </w:r>
    </w:p>
    <w:p>
      <w:pPr>
        <w:pStyle w:val="BodyText"/>
        <w:spacing w:line="537" w:lineRule="auto" w:before="31"/>
        <w:ind w:left="513" w:right="2706"/>
        <w:jc w:val="left"/>
      </w:pPr>
      <w:r>
        <w:rPr/>
        <w:t>③其他担保情况 石家庄常山纺织集团有限责任公司为本公司提供</w:t>
      </w:r>
      <w:r>
        <w:rPr>
          <w:rFonts w:ascii="Times New Roman" w:hAnsi="Times New Roman" w:cs="Times New Roman" w:eastAsia="Times New Roman" w:hint="default"/>
        </w:rPr>
        <w:t>324,322,150.00</w:t>
      </w:r>
      <w:r>
        <w:rPr/>
        <w:t>元的信用证保证担保。</w:t>
      </w:r>
    </w:p>
    <w:p>
      <w:pPr>
        <w:pStyle w:val="BodyText"/>
        <w:spacing w:line="240" w:lineRule="auto" w:before="31"/>
        <w:ind w:left="513" w:right="0"/>
        <w:jc w:val="left"/>
      </w:pPr>
      <w:r>
        <w:rPr/>
        <w:t>④为子公司担保</w:t>
      </w:r>
    </w:p>
    <w:p>
      <w:pPr>
        <w:spacing w:line="240" w:lineRule="auto" w:before="5"/>
        <w:rPr>
          <w:rFonts w:ascii="宋体" w:hAnsi="宋体" w:cs="宋体" w:eastAsia="宋体" w:hint="default"/>
          <w:sz w:val="22"/>
          <w:szCs w:val="22"/>
        </w:rPr>
      </w:pPr>
    </w:p>
    <w:p>
      <w:pPr>
        <w:pStyle w:val="BodyText"/>
        <w:spacing w:line="300" w:lineRule="auto"/>
        <w:ind w:left="153" w:right="0" w:firstLine="360"/>
        <w:jc w:val="left"/>
      </w:pPr>
      <w:r>
        <w:rPr/>
        <w:t>本公司为控股子公司石家庄常山恒新纺织有限公司流动资金借款</w:t>
      </w:r>
      <w:r>
        <w:rPr>
          <w:rFonts w:ascii="Times New Roman" w:hAnsi="Times New Roman" w:cs="Times New Roman" w:eastAsia="Times New Roman" w:hint="default"/>
        </w:rPr>
        <w:t>100,000,000.00</w:t>
      </w:r>
      <w:r>
        <w:rPr/>
        <w:t>元和信用证</w:t>
      </w:r>
      <w:r>
        <w:rPr>
          <w:rFonts w:ascii="Times New Roman" w:hAnsi="Times New Roman" w:cs="Times New Roman" w:eastAsia="Times New Roman" w:hint="default"/>
        </w:rPr>
        <w:t>82,340,251.73</w:t>
      </w:r>
      <w:r>
        <w:rPr/>
        <w:t>元提供保证担</w:t>
      </w:r>
      <w:r>
        <w:rPr>
          <w:spacing w:val="2"/>
        </w:rPr>
        <w:t> </w:t>
      </w:r>
      <w:r>
        <w:rPr/>
        <w:t>保。</w:t>
      </w:r>
    </w:p>
    <w:p>
      <w:pPr>
        <w:spacing w:line="240" w:lineRule="auto" w:before="12"/>
        <w:rPr>
          <w:rFonts w:ascii="宋体" w:hAnsi="宋体" w:cs="宋体" w:eastAsia="宋体" w:hint="default"/>
          <w:sz w:val="18"/>
          <w:szCs w:val="18"/>
        </w:rPr>
      </w:pPr>
    </w:p>
    <w:p>
      <w:pPr>
        <w:pStyle w:val="BodyText"/>
        <w:spacing w:line="300" w:lineRule="auto"/>
        <w:ind w:left="153" w:right="0" w:firstLine="360"/>
        <w:jc w:val="left"/>
      </w:pPr>
      <w:r>
        <w:rPr/>
        <w:t>本公司为控股子公司石家庄常山恒荣进出口贸易有限公司流动资金借款</w:t>
      </w:r>
      <w:r>
        <w:rPr>
          <w:rFonts w:ascii="Times New Roman" w:hAnsi="Times New Roman" w:cs="Times New Roman" w:eastAsia="Times New Roman" w:hint="default"/>
        </w:rPr>
        <w:t>12,367,200.00</w:t>
      </w:r>
      <w:r>
        <w:rPr/>
        <w:t>元及信用证</w:t>
      </w:r>
      <w:r>
        <w:rPr>
          <w:rFonts w:ascii="Times New Roman" w:hAnsi="Times New Roman" w:cs="Times New Roman" w:eastAsia="Times New Roman" w:hint="default"/>
        </w:rPr>
        <w:t>291,975,139.15</w:t>
      </w:r>
      <w:r>
        <w:rPr/>
        <w:t>元提供 保证担保。</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1,549,400.00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418"/>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18"/>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3420"/>
        <w:gridCol w:w="1440"/>
        <w:gridCol w:w="1080"/>
        <w:gridCol w:w="1440"/>
        <w:gridCol w:w="1080"/>
      </w:tblGrid>
      <w:tr>
        <w:trPr>
          <w:trHeight w:val="402" w:hRule="exact"/>
        </w:trPr>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080" w:type="dxa"/>
            <w:vMerge/>
            <w:tcBorders>
              <w:left w:val="single" w:sz="4" w:space="0" w:color="000000"/>
              <w:bottom w:val="single" w:sz="4" w:space="0" w:color="000000"/>
              <w:right w:val="single" w:sz="4" w:space="0" w:color="000000"/>
            </w:tcBorders>
            <w:shd w:val="clear" w:color="auto" w:fill="D3D3D3"/>
          </w:tcPr>
          <w:p>
            <w:pPr/>
          </w:p>
        </w:tc>
        <w:tc>
          <w:tcPr>
            <w:tcW w:w="342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 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259,183.36</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7,432,471.87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6,025,099.26</w:t>
            </w: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418"/>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4320"/>
        <w:gridCol w:w="1800"/>
        <w:gridCol w:w="2392"/>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64,079.00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191,415.62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308,068.92</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1,386,207.62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217,570.40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399,327.22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80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105,331.20</w:t>
            </w:r>
          </w:p>
        </w:tc>
      </w:tr>
    </w:tbl>
    <w:p>
      <w:pPr>
        <w:spacing w:line="240" w:lineRule="auto" w:before="2"/>
        <w:rPr>
          <w:rFonts w:ascii="宋体" w:hAnsi="宋体" w:cs="宋体" w:eastAsia="宋体" w:hint="default"/>
          <w:sz w:val="18"/>
          <w:szCs w:val="18"/>
        </w:rPr>
      </w:pPr>
    </w:p>
    <w:p>
      <w:pPr>
        <w:pStyle w:val="Heading2"/>
        <w:spacing w:line="240" w:lineRule="auto" w:before="26"/>
        <w:ind w:right="418"/>
        <w:jc w:val="left"/>
        <w:rPr>
          <w:b w:val="0"/>
          <w:bCs w:val="0"/>
        </w:rPr>
      </w:pP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18"/>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418"/>
        <w:jc w:val="left"/>
      </w:pPr>
      <w:r>
        <w:rPr/>
        <w:t>资产负债表日存在的重要承诺</w:t>
      </w:r>
    </w:p>
    <w:p>
      <w:pPr>
        <w:pStyle w:val="BodyText"/>
        <w:spacing w:line="240" w:lineRule="auto" w:before="115"/>
        <w:ind w:left="513" w:right="418"/>
        <w:jc w:val="left"/>
      </w:pPr>
      <w:r>
        <w:rPr>
          <w:rFonts w:ascii="Times New Roman" w:hAnsi="Times New Roman" w:cs="Times New Roman" w:eastAsia="Times New Roman" w:hint="default"/>
        </w:rPr>
        <w:t>1</w:t>
      </w:r>
      <w:r>
        <w:rPr/>
        <w:t>、土地出让承诺事项及进展情况</w:t>
      </w:r>
    </w:p>
    <w:p>
      <w:pPr>
        <w:spacing w:line="240" w:lineRule="auto" w:before="4"/>
        <w:rPr>
          <w:rFonts w:ascii="宋体" w:hAnsi="宋体" w:cs="宋体" w:eastAsia="宋体" w:hint="default"/>
          <w:sz w:val="21"/>
          <w:szCs w:val="21"/>
        </w:rPr>
      </w:pPr>
    </w:p>
    <w:p>
      <w:pPr>
        <w:pStyle w:val="BodyText"/>
        <w:spacing w:line="240" w:lineRule="auto"/>
        <w:ind w:left="513" w:right="91"/>
        <w:jc w:val="left"/>
      </w:pPr>
      <w:r>
        <w:rPr/>
        <w:t>公司于</w:t>
      </w:r>
      <w:r>
        <w:rPr>
          <w:spacing w:val="-2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16</w:t>
      </w:r>
      <w:r>
        <w:rPr>
          <w:rFonts w:ascii="Times New Roman" w:hAnsi="Times New Roman" w:cs="Times New Roman" w:eastAsia="Times New Roman" w:hint="default"/>
          <w:spacing w:val="15"/>
        </w:rPr>
        <w:t> </w:t>
      </w:r>
      <w:r>
        <w:rPr/>
        <w:t>日召开的董事会五届八次会议审议通过了《关于市区部分老厂停产搬迁的议案》，并在发布的</w:t>
      </w:r>
    </w:p>
    <w:p>
      <w:pPr>
        <w:pStyle w:val="BodyText"/>
        <w:spacing w:line="300" w:lineRule="auto" w:before="63"/>
        <w:ind w:left="153" w:right="91"/>
        <w:jc w:val="left"/>
        <w:rPr>
          <w:rFonts w:ascii="Times New Roman" w:hAnsi="Times New Roman" w:cs="Times New Roman" w:eastAsia="Times New Roman" w:hint="default"/>
        </w:rPr>
      </w:pPr>
      <w:r>
        <w:rPr>
          <w:spacing w:val="-5"/>
        </w:rPr>
        <w:t>《关于市区部分老厂停产搬迁的公告》中承诺：</w:t>
      </w:r>
      <w:r>
        <w:rPr>
          <w:rFonts w:ascii="Times New Roman" w:hAnsi="Times New Roman" w:cs="Times New Roman" w:eastAsia="Times New Roman" w:hint="default"/>
          <w:spacing w:val="-5"/>
        </w:rPr>
        <w:t>“</w:t>
      </w:r>
      <w:r>
        <w:rPr>
          <w:spacing w:val="-5"/>
        </w:rPr>
        <w:t>棉四分公司：</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15"/>
        </w:rPr>
        <w:t> </w:t>
      </w:r>
      <w:r>
        <w:rPr>
          <w:spacing w:val="-4"/>
        </w:rPr>
        <w:t>年一季度已陆续停产，二季度末完成人员分流工作，</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42"/>
        </w:rPr>
        <w:t> </w:t>
      </w:r>
      <w:r>
        <w:rPr/>
        <w:t>年下半年完成设备搬迁、处置，</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年完成厂区土地出让。</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19"/>
          <w:szCs w:val="19"/>
        </w:rPr>
      </w:pPr>
    </w:p>
    <w:p>
      <w:pPr>
        <w:pStyle w:val="BodyText"/>
        <w:spacing w:line="300" w:lineRule="auto"/>
        <w:ind w:right="184"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日公司与石家庄市土地储备中心签署《土地交接证明》，将棉四分公司厂区 </w:t>
      </w:r>
      <w:r>
        <w:rPr>
          <w:rFonts w:ascii="Times New Roman" w:hAnsi="Times New Roman" w:cs="Times New Roman" w:eastAsia="Times New Roman" w:hint="default"/>
        </w:rPr>
        <w:t>177,743.52</w:t>
      </w:r>
      <w:r>
        <w:rPr>
          <w:rFonts w:ascii="Times New Roman" w:hAnsi="Times New Roman" w:cs="Times New Roman" w:eastAsia="Times New Roman" w:hint="default"/>
          <w:spacing w:val="41"/>
        </w:rPr>
        <w:t> </w:t>
      </w:r>
      <w:r>
        <w:rPr/>
        <w:t>平方米土地交付 给石家庄市土地储备中心，土地的交付已完成，截止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日土地尚未挂牌出让。</w:t>
      </w:r>
    </w:p>
    <w:p>
      <w:pPr>
        <w:spacing w:line="240" w:lineRule="auto" w:before="7"/>
        <w:rPr>
          <w:rFonts w:ascii="宋体" w:hAnsi="宋体" w:cs="宋体" w:eastAsia="宋体" w:hint="default"/>
          <w:sz w:val="17"/>
          <w:szCs w:val="17"/>
        </w:rPr>
      </w:pPr>
    </w:p>
    <w:p>
      <w:pPr>
        <w:pStyle w:val="BodyText"/>
        <w:spacing w:line="240" w:lineRule="auto"/>
        <w:ind w:left="514" w:right="418"/>
        <w:jc w:val="left"/>
      </w:pPr>
      <w:r>
        <w:rPr>
          <w:rFonts w:ascii="Times New Roman" w:hAnsi="Times New Roman" w:cs="Times New Roman" w:eastAsia="Times New Roman" w:hint="default"/>
        </w:rPr>
        <w:t>2</w:t>
      </w:r>
      <w:r>
        <w:rPr/>
        <w:t>、未能如期完成土地出让的原因</w:t>
      </w:r>
    </w:p>
    <w:p>
      <w:pPr>
        <w:spacing w:line="240" w:lineRule="auto" w:before="4"/>
        <w:rPr>
          <w:rFonts w:ascii="宋体" w:hAnsi="宋体" w:cs="宋体" w:eastAsia="宋体" w:hint="default"/>
          <w:sz w:val="21"/>
          <w:szCs w:val="21"/>
        </w:rPr>
      </w:pPr>
    </w:p>
    <w:p>
      <w:pPr>
        <w:pStyle w:val="BodyText"/>
        <w:spacing w:line="240" w:lineRule="auto"/>
        <w:ind w:left="514" w:right="418"/>
        <w:jc w:val="left"/>
      </w:pPr>
      <w:r>
        <w:rPr/>
        <w:t>（</w:t>
      </w:r>
      <w:r>
        <w:rPr>
          <w:rFonts w:ascii="Times New Roman" w:hAnsi="Times New Roman" w:cs="Times New Roman" w:eastAsia="Times New Roman" w:hint="default"/>
        </w:rPr>
        <w:t>1</w:t>
      </w:r>
      <w:r>
        <w:rPr/>
        <w:t>）石家庄市土地出让节奏放缓</w:t>
      </w:r>
    </w:p>
    <w:p>
      <w:pPr>
        <w:spacing w:line="240" w:lineRule="auto" w:before="4"/>
        <w:rPr>
          <w:rFonts w:ascii="宋体" w:hAnsi="宋体" w:cs="宋体" w:eastAsia="宋体" w:hint="default"/>
          <w:sz w:val="21"/>
          <w:szCs w:val="21"/>
        </w:rPr>
      </w:pPr>
    </w:p>
    <w:p>
      <w:pPr>
        <w:pStyle w:val="BodyText"/>
        <w:spacing w:line="309" w:lineRule="auto"/>
        <w:ind w:right="108" w:firstLine="360"/>
        <w:jc w:val="both"/>
      </w:pPr>
      <w:r>
        <w:rPr/>
        <w:t>自 </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年下半年以来，国家、省、市开展了一系列的清理、整顿、规范房地产市场的专项活动。国家审计署对全国各 </w:t>
      </w:r>
      <w:r>
        <w:rPr>
          <w:spacing w:val="-2"/>
        </w:rPr>
        <w:t>地土地出让金的收取和使用等情况进行了全面审计，省市政府也开展了对房地产市场的专项整治活动。随着各级政府对土地</w:t>
      </w:r>
      <w:r>
        <w:rPr>
          <w:spacing w:val="-64"/>
        </w:rPr>
        <w:t> </w:t>
      </w:r>
      <w:r>
        <w:rPr>
          <w:spacing w:val="-64"/>
        </w:rPr>
      </w:r>
      <w:r>
        <w:rPr/>
        <w:t>和房地产市场治理整顿力度加大，石家庄市土地规划、出让审批流程更加严格和规范，土地出让节奏在这个阶段明显放缓。</w:t>
      </w:r>
    </w:p>
    <w:p>
      <w:pPr>
        <w:spacing w:after="0" w:line="309"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418"/>
        <w:jc w:val="left"/>
      </w:pPr>
      <w:r>
        <w:rPr/>
        <w:t>（</w:t>
      </w:r>
      <w:r>
        <w:rPr>
          <w:rFonts w:ascii="Times New Roman" w:hAnsi="Times New Roman" w:cs="Times New Roman" w:eastAsia="Times New Roman" w:hint="default"/>
        </w:rPr>
        <w:t>2</w:t>
      </w:r>
      <w:r>
        <w:rPr/>
        <w:t>）承诺超出公司控制范围</w:t>
      </w:r>
    </w:p>
    <w:p>
      <w:pPr>
        <w:spacing w:line="240" w:lineRule="auto" w:before="4"/>
        <w:rPr>
          <w:rFonts w:ascii="宋体" w:hAnsi="宋体" w:cs="宋体" w:eastAsia="宋体" w:hint="default"/>
          <w:sz w:val="21"/>
          <w:szCs w:val="21"/>
        </w:rPr>
      </w:pPr>
    </w:p>
    <w:p>
      <w:pPr>
        <w:pStyle w:val="BodyText"/>
        <w:spacing w:line="316" w:lineRule="auto"/>
        <w:ind w:left="153" w:right="91" w:firstLine="360"/>
        <w:jc w:val="left"/>
      </w:pPr>
      <w:r>
        <w:rPr/>
        <w:t>公司就棉四土地出让时间做出承诺时，对自身无法控制的客观因素估计不足。土地交付后至土地出让期间的相关工作： </w:t>
      </w:r>
      <w:r>
        <w:rPr>
          <w:spacing w:val="-2"/>
        </w:rPr>
        <w:t>确定土地规划条件、确定出让面积、出具宗地图、土地价格评估、制定土地出让方案等均由政府及有关部门组织实施，上述</w:t>
      </w:r>
      <w:r>
        <w:rPr>
          <w:spacing w:val="-66"/>
        </w:rPr>
        <w:t> </w:t>
      </w:r>
      <w:r>
        <w:rPr>
          <w:spacing w:val="-66"/>
        </w:rPr>
      </w:r>
      <w:r>
        <w:rPr/>
        <w:t>工作超出了本公司能够履行义务的范围。</w:t>
      </w:r>
    </w:p>
    <w:p>
      <w:pPr>
        <w:spacing w:line="240" w:lineRule="auto" w:before="12"/>
        <w:rPr>
          <w:rFonts w:ascii="宋体" w:hAnsi="宋体" w:cs="宋体" w:eastAsia="宋体" w:hint="default"/>
          <w:sz w:val="17"/>
          <w:szCs w:val="17"/>
        </w:rPr>
      </w:pPr>
    </w:p>
    <w:p>
      <w:pPr>
        <w:pStyle w:val="BodyText"/>
        <w:spacing w:line="316" w:lineRule="auto"/>
        <w:ind w:left="153" w:right="91" w:firstLine="360"/>
        <w:jc w:val="left"/>
      </w:pPr>
      <w:r>
        <w:rPr/>
        <w:t>公司将继续积极配合、协调市政府及有关部门，做好棉三、棉四分公司厂区土地出让的各项工作，争取尽早出让变现， 实现土地价值，并根据进展情况及时履行公告义务。</w:t>
      </w:r>
    </w:p>
    <w:p>
      <w:pPr>
        <w:spacing w:line="240" w:lineRule="auto" w:before="7"/>
        <w:rPr>
          <w:rFonts w:ascii="宋体" w:hAnsi="宋体" w:cs="宋体" w:eastAsia="宋体" w:hint="default"/>
          <w:sz w:val="22"/>
          <w:szCs w:val="22"/>
        </w:rPr>
      </w:pPr>
    </w:p>
    <w:p>
      <w:pPr>
        <w:pStyle w:val="Heading3"/>
        <w:spacing w:line="240" w:lineRule="auto"/>
        <w:ind w:right="418"/>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18"/>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418"/>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418"/>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6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08"/>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2"/>
        <w:gridCol w:w="4584"/>
      </w:tblGrid>
      <w:tr>
        <w:trPr>
          <w:trHeight w:val="402" w:hRule="exact"/>
        </w:trPr>
        <w:tc>
          <w:tcPr>
            <w:tcW w:w="4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91" w:firstLine="360"/>
        <w:jc w:val="both"/>
      </w:pPr>
      <w:r>
        <w:rPr/>
        <w:t>本公司拟发行股份购买北京北明伟业控股有限公司等 </w:t>
      </w:r>
      <w:r>
        <w:rPr>
          <w:rFonts w:ascii="Times New Roman" w:hAnsi="Times New Roman" w:cs="Times New Roman" w:eastAsia="Times New Roman" w:hint="default"/>
        </w:rPr>
        <w:t>47 </w:t>
      </w:r>
      <w:r>
        <w:rPr/>
        <w:t>名股东合法持有的北明软件股份有限公司</w:t>
      </w:r>
      <w:r>
        <w:rPr>
          <w:spacing w:val="-55"/>
        </w:rPr>
        <w:t> </w:t>
      </w:r>
      <w:r>
        <w:rPr>
          <w:rFonts w:ascii="Times New Roman" w:hAnsi="Times New Roman" w:cs="Times New Roman" w:eastAsia="Times New Roman" w:hint="default"/>
        </w:rPr>
        <w:t>100%</w:t>
      </w:r>
      <w:r>
        <w:rPr/>
        <w:t>股权。同时， 公司拟向新华基金管理有限公司设立的新华恒定</w:t>
      </w:r>
      <w:r>
        <w:rPr>
          <w:spacing w:val="-43"/>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号常山股份定向增发资产管理计划、广发证券资产管理（广东）有限公</w:t>
      </w:r>
    </w:p>
    <w:p>
      <w:pPr>
        <w:pStyle w:val="BodyText"/>
        <w:spacing w:line="309" w:lineRule="auto" w:before="13"/>
        <w:ind w:left="153" w:right="190"/>
        <w:jc w:val="both"/>
      </w:pPr>
      <w:r>
        <w:rPr/>
        <w:t>司设立的广发恒定</w:t>
      </w:r>
      <w:r>
        <w:rPr>
          <w:spacing w:val="-40"/>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号常山股份定向增发集合资产管理计划、深圳市神华投资集团有限公司、神华期货有限公司发行股份 </w:t>
      </w:r>
      <w:r>
        <w:rPr>
          <w:spacing w:val="-2"/>
        </w:rPr>
        <w:t>募集配套资金，募集配套资金总额不超过本次交易总额（本次发行股份购买资产交易对价与本次募集配套资金总额合计）的</w:t>
      </w:r>
      <w:r>
        <w:rPr>
          <w:spacing w:val="-66"/>
        </w:rPr>
        <w:t> </w:t>
      </w:r>
      <w:r>
        <w:rPr>
          <w:spacing w:val="-66"/>
        </w:rPr>
      </w:r>
      <w:r>
        <w:rPr>
          <w:rFonts w:ascii="Times New Roman" w:hAnsi="Times New Roman" w:cs="Times New Roman" w:eastAsia="Times New Roman" w:hint="default"/>
        </w:rPr>
        <w:t>25%</w:t>
      </w:r>
      <w:r>
        <w:rPr/>
        <w:t>。本次重大重组已经公司第五届董事会第十八次会议、</w:t>
      </w:r>
      <w:r>
        <w:rPr>
          <w:rFonts w:ascii="Times New Roman" w:hAnsi="Times New Roman" w:cs="Times New Roman" w:eastAsia="Times New Roman" w:hint="default"/>
        </w:rPr>
        <w:t>2014</w:t>
      </w:r>
      <w:r>
        <w:rPr/>
        <w:t>年第二次临时股东大会审议通过。</w:t>
      </w:r>
    </w:p>
    <w:p>
      <w:pPr>
        <w:spacing w:line="240" w:lineRule="auto" w:before="12"/>
        <w:rPr>
          <w:rFonts w:ascii="宋体" w:hAnsi="宋体" w:cs="宋体" w:eastAsia="宋体" w:hint="default"/>
          <w:sz w:val="16"/>
          <w:szCs w:val="16"/>
        </w:rPr>
      </w:pPr>
    </w:p>
    <w:p>
      <w:pPr>
        <w:pStyle w:val="BodyText"/>
        <w:spacing w:line="309" w:lineRule="auto"/>
        <w:ind w:left="153" w:right="190" w:firstLine="360"/>
        <w:jc w:val="both"/>
      </w:pPr>
      <w:r>
        <w:rPr/>
        <w:t>中国证券监督管理委员会已受理公司《发行股份购买资产核准》行政许可，并于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日提出反馈意见，公司与 </w:t>
      </w:r>
      <w:r>
        <w:rPr>
          <w:spacing w:val="-2"/>
        </w:rPr>
        <w:t>相关中介机构将按要求及时组织有关材料，在规定期限内报送中国证监会行政许可受理部门。公司本次发行股份购买资产尚</w:t>
      </w:r>
      <w:r>
        <w:rPr>
          <w:spacing w:val="-64"/>
        </w:rPr>
        <w:t> </w:t>
      </w:r>
      <w:r>
        <w:rPr>
          <w:spacing w:val="-64"/>
        </w:rPr>
      </w:r>
      <w:r>
        <w:rPr/>
        <w:t>需中国证监会的核准，能否获得核准尚存在不确定性，公司将根据进展情况及时披露相关信息。</w:t>
      </w:r>
    </w:p>
    <w:p>
      <w:pPr>
        <w:spacing w:line="240" w:lineRule="auto" w:before="5"/>
        <w:rPr>
          <w:rFonts w:ascii="宋体" w:hAnsi="宋体" w:cs="宋体" w:eastAsia="宋体" w:hint="default"/>
          <w:sz w:val="18"/>
          <w:szCs w:val="18"/>
        </w:rPr>
      </w:pPr>
    </w:p>
    <w:p>
      <w:pPr>
        <w:pStyle w:val="BodyText"/>
        <w:spacing w:line="240" w:lineRule="auto"/>
        <w:ind w:left="513" w:right="418"/>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日，除上述事项外，本公司不存在其他应披露的资产负债表日后事项。</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left="174" w:right="0"/>
        <w:jc w:val="left"/>
        <w:rPr>
          <w:b w:val="0"/>
          <w:bCs w:val="0"/>
        </w:rPr>
      </w:pP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74"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74"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73" w:right="148" w:firstLine="360"/>
        <w:jc w:val="both"/>
      </w:pPr>
      <w:r>
        <w:rPr/>
        <w:t>根据本公司的内部组织结构、管理要求及内部报告制度，本公司的经营业务划分为</w:t>
      </w:r>
      <w:r>
        <w:rPr>
          <w:rFonts w:ascii="Times New Roman" w:hAnsi="Times New Roman" w:cs="Times New Roman" w:eastAsia="Times New Roman" w:hint="default"/>
        </w:rPr>
        <w:t>7</w:t>
      </w:r>
      <w:r>
        <w:rPr/>
        <w:t>个经营分部，本公司的管理层定期 评价这些分部的经营成果，以决定向其分配资源及评价其业绩。在经营分部的基础上本公司确定了</w:t>
      </w:r>
      <w:r>
        <w:rPr>
          <w:rFonts w:ascii="Times New Roman" w:hAnsi="Times New Roman" w:cs="Times New Roman" w:eastAsia="Times New Roman" w:hint="default"/>
        </w:rPr>
        <w:t>2</w:t>
      </w:r>
      <w:r>
        <w:rPr/>
        <w:t>个报告分部，分别为纺</w:t>
      </w:r>
      <w:r>
        <w:rPr>
          <w:spacing w:val="-84"/>
        </w:rPr>
        <w:t> </w:t>
      </w:r>
      <w:r>
        <w:rPr>
          <w:spacing w:val="-84"/>
        </w:rPr>
      </w:r>
      <w:r>
        <w:rPr>
          <w:spacing w:val="-2"/>
        </w:rPr>
        <w:t>织品生产分部、贸易分部。这些报告分部是以收入为基础确定的。本公司各个报告分部提供的主要产品及劳务分别为：纺织</w:t>
      </w:r>
      <w:r>
        <w:rPr>
          <w:spacing w:val="-66"/>
        </w:rPr>
        <w:t> </w:t>
      </w:r>
      <w:r>
        <w:rPr>
          <w:spacing w:val="-66"/>
        </w:rPr>
      </w:r>
      <w:r>
        <w:rPr/>
        <w:t>品生产分部主要为棉纱、坯布；贸易分部主要为棉花、棉纱、坯布、服装。</w:t>
      </w:r>
    </w:p>
    <w:p>
      <w:pPr>
        <w:spacing w:line="240" w:lineRule="auto" w:before="7"/>
        <w:rPr>
          <w:rFonts w:ascii="宋体" w:hAnsi="宋体" w:cs="宋体" w:eastAsia="宋体" w:hint="default"/>
          <w:sz w:val="18"/>
          <w:szCs w:val="18"/>
        </w:rPr>
      </w:pPr>
    </w:p>
    <w:p>
      <w:pPr>
        <w:pStyle w:val="BodyText"/>
        <w:spacing w:line="309" w:lineRule="auto"/>
        <w:ind w:left="173" w:right="151" w:firstLine="360"/>
        <w:jc w:val="both"/>
      </w:pPr>
      <w:r>
        <w:rPr>
          <w:spacing w:val="-2"/>
        </w:rPr>
        <w:t>分部报告信息根据各分部向管理层报告时采用的会计政策及计量标准披露，这些计量基础与编制财务报表时的会计与计</w:t>
      </w:r>
      <w:r>
        <w:rPr/>
        <w:t> </w:t>
      </w:r>
      <w:r>
        <w:rPr>
          <w:spacing w:val="-2"/>
        </w:rPr>
        <w:t>量基础保持一致。财务报表按照本附注五、</w:t>
      </w:r>
      <w:r>
        <w:rPr>
          <w:rFonts w:ascii="Times New Roman" w:hAnsi="Times New Roman" w:cs="Times New Roman" w:eastAsia="Times New Roman" w:hint="default"/>
          <w:spacing w:val="-2"/>
        </w:rPr>
        <w:t>24</w:t>
      </w:r>
      <w:r>
        <w:rPr>
          <w:spacing w:val="-2"/>
        </w:rPr>
        <w:t>所述的会计政策按权责发生制确认收入；分部报告信息仅包括各分部的营业收</w:t>
      </w:r>
      <w:r>
        <w:rPr>
          <w:spacing w:val="-64"/>
        </w:rPr>
        <w:t> </w:t>
      </w:r>
      <w:r>
        <w:rPr>
          <w:spacing w:val="-64"/>
        </w:rPr>
      </w:r>
      <w:r>
        <w:rPr/>
        <w:t>入及营业成本，未包括营业税金及附加、营业费用及其他费用及支出的分摊。</w:t>
      </w:r>
    </w:p>
    <w:p>
      <w:pPr>
        <w:spacing w:line="240" w:lineRule="auto" w:before="12"/>
        <w:rPr>
          <w:rFonts w:ascii="宋体" w:hAnsi="宋体" w:cs="宋体" w:eastAsia="宋体" w:hint="default"/>
          <w:sz w:val="22"/>
          <w:szCs w:val="22"/>
        </w:rPr>
      </w:pPr>
    </w:p>
    <w:p>
      <w:pPr>
        <w:pStyle w:val="Heading3"/>
        <w:spacing w:line="240" w:lineRule="auto"/>
        <w:ind w:left="174"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027"/>
        <w:gridCol w:w="1771"/>
        <w:gridCol w:w="1772"/>
        <w:gridCol w:w="1771"/>
        <w:gridCol w:w="1772"/>
      </w:tblGrid>
      <w:tr>
        <w:trPr>
          <w:trHeight w:val="428" w:hRule="exact"/>
        </w:trPr>
        <w:tc>
          <w:tcPr>
            <w:tcW w:w="20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9"/>
              <w:ind w:left="1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9"/>
              <w:ind w:left="253" w:right="0"/>
              <w:jc w:val="left"/>
              <w:rPr>
                <w:rFonts w:ascii="宋体" w:hAnsi="宋体" w:cs="宋体" w:eastAsia="宋体" w:hint="default"/>
                <w:sz w:val="18"/>
                <w:szCs w:val="18"/>
              </w:rPr>
            </w:pPr>
            <w:r>
              <w:rPr>
                <w:rFonts w:ascii="宋体" w:hAnsi="宋体" w:cs="宋体" w:eastAsia="宋体" w:hint="default"/>
                <w:sz w:val="18"/>
                <w:szCs w:val="18"/>
              </w:rPr>
              <w:t>纺织品生产分部</w:t>
            </w:r>
          </w:p>
        </w:tc>
        <w:tc>
          <w:tcPr>
            <w:tcW w:w="17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9"/>
              <w:ind w:left="523" w:right="0"/>
              <w:jc w:val="left"/>
              <w:rPr>
                <w:rFonts w:ascii="宋体" w:hAnsi="宋体" w:cs="宋体" w:eastAsia="宋体" w:hint="default"/>
                <w:sz w:val="18"/>
                <w:szCs w:val="18"/>
              </w:rPr>
            </w:pPr>
            <w:r>
              <w:rPr>
                <w:rFonts w:ascii="宋体" w:hAnsi="宋体" w:cs="宋体" w:eastAsia="宋体" w:hint="default"/>
                <w:sz w:val="18"/>
                <w:szCs w:val="18"/>
              </w:rPr>
              <w:t>贸易分部</w:t>
            </w:r>
          </w:p>
        </w:tc>
        <w:tc>
          <w:tcPr>
            <w:tcW w:w="17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9"/>
              <w:ind w:left="4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7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7" w:hRule="exact"/>
        </w:trPr>
        <w:tc>
          <w:tcPr>
            <w:tcW w:w="2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301" w:right="0"/>
              <w:jc w:val="left"/>
              <w:rPr>
                <w:rFonts w:ascii="宋体" w:hAnsi="宋体" w:cs="宋体" w:eastAsia="宋体" w:hint="default"/>
                <w:sz w:val="18"/>
                <w:szCs w:val="18"/>
              </w:rPr>
            </w:pPr>
            <w:r>
              <w:rPr>
                <w:rFonts w:ascii="宋体"/>
                <w:sz w:val="18"/>
              </w:rPr>
              <w:t>4,609,021,034.78</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2,049,553,493.38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-133,318,550.64</w:t>
            </w:r>
          </w:p>
        </w:tc>
        <w:tc>
          <w:tcPr>
            <w:tcW w:w="1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6,525,255,977.52</w:t>
            </w:r>
          </w:p>
        </w:tc>
      </w:tr>
      <w:tr>
        <w:trPr>
          <w:trHeight w:val="397" w:hRule="exact"/>
        </w:trPr>
        <w:tc>
          <w:tcPr>
            <w:tcW w:w="2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301" w:right="0"/>
              <w:jc w:val="left"/>
              <w:rPr>
                <w:rFonts w:ascii="宋体" w:hAnsi="宋体" w:cs="宋体" w:eastAsia="宋体" w:hint="default"/>
                <w:sz w:val="18"/>
                <w:szCs w:val="18"/>
              </w:rPr>
            </w:pPr>
            <w:r>
              <w:rPr>
                <w:rFonts w:ascii="宋体"/>
                <w:sz w:val="18"/>
              </w:rPr>
              <w:t>4,586,844,913.81</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2,011,333,659.40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-133,318,550.64</w:t>
            </w:r>
          </w:p>
        </w:tc>
        <w:tc>
          <w:tcPr>
            <w:tcW w:w="1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6,464,860,022.57</w:t>
            </w:r>
          </w:p>
        </w:tc>
      </w:tr>
      <w:tr>
        <w:trPr>
          <w:trHeight w:val="396" w:hRule="exact"/>
        </w:trPr>
        <w:tc>
          <w:tcPr>
            <w:tcW w:w="2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301" w:right="0"/>
              <w:jc w:val="left"/>
              <w:rPr>
                <w:rFonts w:ascii="宋体" w:hAnsi="宋体" w:cs="宋体" w:eastAsia="宋体" w:hint="default"/>
                <w:sz w:val="18"/>
                <w:szCs w:val="18"/>
              </w:rPr>
            </w:pPr>
            <w:r>
              <w:rPr>
                <w:rFonts w:ascii="宋体"/>
                <w:sz w:val="18"/>
              </w:rPr>
              <w:t>4,742,880,065.11</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901,134,994.54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-90,851,678.63</w:t>
            </w:r>
          </w:p>
        </w:tc>
        <w:tc>
          <w:tcPr>
            <w:tcW w:w="1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5,553,163,381.02</w:t>
            </w:r>
          </w:p>
        </w:tc>
      </w:tr>
      <w:tr>
        <w:trPr>
          <w:trHeight w:val="410" w:hRule="exact"/>
        </w:trPr>
        <w:tc>
          <w:tcPr>
            <w:tcW w:w="20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left="301" w:right="0"/>
              <w:jc w:val="left"/>
              <w:rPr>
                <w:rFonts w:ascii="宋体" w:hAnsi="宋体" w:cs="宋体" w:eastAsia="宋体" w:hint="default"/>
                <w:sz w:val="18"/>
                <w:szCs w:val="18"/>
              </w:rPr>
            </w:pPr>
            <w:r>
              <w:rPr>
                <w:rFonts w:ascii="宋体"/>
                <w:sz w:val="18"/>
              </w:rPr>
              <w:t>2,410,999,401.56</w:t>
            </w:r>
          </w:p>
        </w:tc>
        <w:tc>
          <w:tcPr>
            <w:tcW w:w="17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796,816,585.07</w:t>
            </w:r>
          </w:p>
        </w:tc>
        <w:tc>
          <w:tcPr>
            <w:tcW w:w="17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-128,433,370.76</w:t>
            </w:r>
          </w:p>
        </w:tc>
        <w:tc>
          <w:tcPr>
            <w:tcW w:w="17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3,079,382,615.87</w:t>
            </w:r>
          </w:p>
        </w:tc>
      </w:tr>
    </w:tbl>
    <w:p>
      <w:pPr>
        <w:spacing w:line="240" w:lineRule="auto" w:before="2"/>
        <w:rPr>
          <w:rFonts w:ascii="宋体" w:hAnsi="宋体" w:cs="宋体" w:eastAsia="宋体" w:hint="default"/>
          <w:b/>
          <w:bCs/>
          <w:sz w:val="19"/>
          <w:szCs w:val="19"/>
        </w:rPr>
      </w:pPr>
    </w:p>
    <w:p>
      <w:pPr>
        <w:pStyle w:val="Heading3"/>
        <w:spacing w:line="240" w:lineRule="auto" w:before="35"/>
        <w:ind w:left="174" w:right="0"/>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47"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日，除上述事项外，本公司不存在应披露的其他重要事项。</w:t>
      </w:r>
    </w:p>
    <w:p>
      <w:pPr>
        <w:spacing w:line="240" w:lineRule="auto" w:before="1"/>
        <w:rPr>
          <w:rFonts w:ascii="宋体" w:hAnsi="宋体" w:cs="宋体" w:eastAsia="宋体" w:hint="default"/>
          <w:sz w:val="24"/>
          <w:szCs w:val="24"/>
        </w:rPr>
      </w:pPr>
    </w:p>
    <w:p>
      <w:pPr>
        <w:pStyle w:val="Heading2"/>
        <w:spacing w:line="240" w:lineRule="auto"/>
        <w:ind w:left="174" w:right="0"/>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74"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74"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622"/>
        <w:gridCol w:w="775"/>
        <w:gridCol w:w="762"/>
        <w:gridCol w:w="762"/>
        <w:gridCol w:w="762"/>
        <w:gridCol w:w="801"/>
        <w:gridCol w:w="643"/>
        <w:gridCol w:w="762"/>
        <w:gridCol w:w="812"/>
        <w:gridCol w:w="921"/>
        <w:gridCol w:w="944"/>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6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3D3D3"/>
          </w:tcPr>
          <w:p>
            <w:pPr/>
          </w:p>
        </w:tc>
        <w:tc>
          <w:tcPr>
            <w:tcW w:w="14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4" w:type="dxa"/>
            <w:vMerge w:val="restart"/>
            <w:tcBorders>
              <w:top w:val="single" w:sz="4" w:space="0" w:color="000000"/>
              <w:left w:val="single" w:sz="4" w:space="0" w:color="000000"/>
              <w:right w:val="single" w:sz="4" w:space="0" w:color="000000"/>
            </w:tcBorders>
            <w:shd w:val="clear" w:color="auto" w:fill="D3D3D3"/>
          </w:tcPr>
          <w:p>
            <w:pPr/>
          </w:p>
        </w:tc>
      </w:tr>
      <w:tr>
        <w:trPr>
          <w:trHeight w:val="246"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1405" w:type="dxa"/>
            <w:gridSpan w:val="2"/>
            <w:vMerge/>
            <w:tcBorders>
              <w:left w:val="single" w:sz="4" w:space="0" w:color="000000"/>
              <w:bottom w:val="single" w:sz="4" w:space="0" w:color="000000"/>
              <w:right w:val="single" w:sz="4" w:space="0" w:color="000000"/>
            </w:tcBorders>
            <w:shd w:val="clear" w:color="auto" w:fill="D3D3D3"/>
          </w:tcPr>
          <w:p>
            <w:pPr/>
          </w:p>
        </w:tc>
        <w:tc>
          <w:tcPr>
            <w:tcW w:w="1733" w:type="dxa"/>
            <w:gridSpan w:val="2"/>
            <w:vMerge/>
            <w:tcBorders>
              <w:left w:val="single" w:sz="4" w:space="0" w:color="000000"/>
              <w:bottom w:val="single" w:sz="4" w:space="0" w:color="000000"/>
              <w:right w:val="single" w:sz="4" w:space="0" w:color="000000"/>
            </w:tcBorders>
            <w:shd w:val="clear" w:color="auto" w:fill="D3D3D3"/>
          </w:tcPr>
          <w:p>
            <w:pPr/>
          </w:p>
        </w:tc>
        <w:tc>
          <w:tcPr>
            <w:tcW w:w="944"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22"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21" w:type="dxa"/>
            <w:tcBorders>
              <w:top w:val="single" w:sz="4" w:space="0" w:color="000000"/>
              <w:left w:val="single" w:sz="4" w:space="0" w:color="000000"/>
              <w:bottom w:val="nil" w:sz="6" w:space="0" w:color="auto"/>
              <w:right w:val="single" w:sz="4" w:space="0" w:color="000000"/>
            </w:tcBorders>
            <w:shd w:val="clear" w:color="auto" w:fill="D3D3D3"/>
          </w:tcPr>
          <w:p>
            <w:pPr/>
          </w:p>
        </w:tc>
        <w:tc>
          <w:tcPr>
            <w:tcW w:w="9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2"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4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22"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801" w:type="dxa"/>
            <w:vMerge w:val="restart"/>
            <w:tcBorders>
              <w:top w:val="nil" w:sz="6" w:space="0" w:color="auto"/>
              <w:left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21" w:type="dxa"/>
            <w:vMerge/>
            <w:tcBorders>
              <w:left w:val="single" w:sz="4" w:space="0" w:color="000000"/>
              <w:bottom w:val="nil" w:sz="6" w:space="0" w:color="auto"/>
              <w:right w:val="single" w:sz="4" w:space="0" w:color="000000"/>
            </w:tcBorders>
            <w:shd w:val="clear" w:color="auto" w:fill="D3D3D3"/>
          </w:tcPr>
          <w:p>
            <w:pPr/>
          </w:p>
        </w:tc>
        <w:tc>
          <w:tcPr>
            <w:tcW w:w="94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21" w:type="dxa"/>
            <w:tcBorders>
              <w:top w:val="nil" w:sz="6" w:space="0" w:color="auto"/>
              <w:left w:val="single" w:sz="4" w:space="0" w:color="000000"/>
              <w:bottom w:val="single" w:sz="4" w:space="0" w:color="000000"/>
              <w:right w:val="single" w:sz="4" w:space="0" w:color="000000"/>
            </w:tcBorders>
            <w:shd w:val="clear" w:color="auto" w:fill="D3D3D3"/>
          </w:tcPr>
          <w:p>
            <w:pPr/>
          </w:p>
        </w:tc>
        <w:tc>
          <w:tcPr>
            <w:tcW w:w="944"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140,954,</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676.99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5,566,66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135,388,0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11.99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55,870,</w:t>
            </w:r>
          </w:p>
          <w:p>
            <w:pPr>
              <w:pStyle w:val="TableParagraph"/>
              <w:spacing w:line="240" w:lineRule="auto" w:before="105"/>
              <w:ind w:left="113" w:right="0"/>
              <w:jc w:val="left"/>
              <w:rPr>
                <w:rFonts w:ascii="Times New Roman" w:hAnsi="Times New Roman" w:cs="Times New Roman" w:eastAsia="Times New Roman" w:hint="default"/>
                <w:sz w:val="18"/>
                <w:szCs w:val="18"/>
              </w:rPr>
            </w:pPr>
            <w:r>
              <w:rPr>
                <w:rFonts w:ascii="Times New Roman"/>
                <w:sz w:val="18"/>
              </w:rPr>
              <w:t>994.61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99.62%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4,998,247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8.95%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50,872,747.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214,832.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214,832.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0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214,832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214,832.0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100.00%</w:t>
            </w:r>
          </w:p>
        </w:tc>
        <w:tc>
          <w:tcPr>
            <w:tcW w:w="9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6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141,169,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509.03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5,781,49</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4.10%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135,388,0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11.99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56,085,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826.65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5,213,079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50,872,747.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4295" w:space="4534"/>
            <w:col w:w="116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89"/>
      </w:tblGrid>
      <w:tr>
        <w:trPr>
          <w:trHeight w:val="201"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1" w:hRule="exact"/>
        </w:trPr>
        <w:tc>
          <w:tcPr>
            <w:tcW w:w="24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476" w:type="dxa"/>
            <w:vMerge/>
            <w:tcBorders>
              <w:left w:val="single" w:sz="4" w:space="0" w:color="000000"/>
              <w:bottom w:val="nil" w:sz="6" w:space="0" w:color="auto"/>
              <w:right w:val="single" w:sz="4" w:space="0" w:color="000000"/>
            </w:tcBorders>
            <w:shd w:val="clear" w:color="auto" w:fill="D3D3D3"/>
          </w:tcPr>
          <w:p>
            <w:pPr/>
          </w:p>
        </w:tc>
        <w:tc>
          <w:tcPr>
            <w:tcW w:w="23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2301"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12,179,822.13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487,192.88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5,591,834.53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335,510.07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3,073,910.19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461,086.52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10,707,188.79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4,282,875.53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2,928,199.38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1,171,279.75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1,272,566.42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509,026.58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6,506,422.99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2,602,569.20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31,552,755.64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5,566,665.00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w:t>
            </w:r>
          </w:p>
        </w:tc>
      </w:tr>
    </w:tbl>
    <w:p>
      <w:pPr>
        <w:pStyle w:val="BodyText"/>
        <w:spacing w:line="360" w:lineRule="auto" w:before="51"/>
        <w:ind w:left="153" w:right="5491"/>
        <w:jc w:val="left"/>
      </w:pPr>
      <w:r>
        <w:rPr/>
        <w:t>确定该组合依据的说明： 组合中，采用余额百分比法计提坏账准备的应收账款：</w:t>
      </w:r>
    </w:p>
    <w:p>
      <w:pPr>
        <w:pStyle w:val="BodyText"/>
        <w:spacing w:line="340" w:lineRule="auto" w:before="26"/>
        <w:ind w:right="5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39"/>
        <w:ind w:right="0"/>
        <w:jc w:val="left"/>
      </w:pPr>
      <w:r>
        <w:rPr/>
        <w:t>关联方组合是指纳入公司合并范围内的子公司与母公司之间的往来款项，按公司会计政策此部分应收款项不计提坏账准备。</w:t>
      </w:r>
    </w:p>
    <w:p>
      <w:pPr>
        <w:spacing w:line="240" w:lineRule="auto" w:before="12"/>
        <w:rPr>
          <w:rFonts w:ascii="宋体" w:hAnsi="宋体" w:cs="宋体" w:eastAsia="宋体" w:hint="default"/>
          <w:sz w:val="26"/>
          <w:szCs w:val="26"/>
        </w:rPr>
      </w:pPr>
    </w:p>
    <w:p>
      <w:pPr>
        <w:pStyle w:val="Heading3"/>
        <w:spacing w:line="240" w:lineRule="auto"/>
        <w:ind w:right="418"/>
        <w:jc w:val="left"/>
        <w:rPr>
          <w:b w:val="0"/>
          <w:bCs w:val="0"/>
        </w:rPr>
      </w:pP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21" w:firstLine="360"/>
        <w:jc w:val="left"/>
      </w:pPr>
      <w:r>
        <w:rPr/>
        <w:t>本报告期按欠款方归集的期末余额前五名应收账款汇总金额</w:t>
      </w:r>
      <w:r>
        <w:rPr>
          <w:rFonts w:ascii="Times New Roman" w:hAnsi="Times New Roman" w:cs="Times New Roman" w:eastAsia="Times New Roman" w:hint="default"/>
        </w:rPr>
        <w:t>7,445,397.69</w:t>
      </w:r>
      <w:r>
        <w:rPr/>
        <w:t>元，占应收账款期末余额合计数的比例</w:t>
      </w:r>
      <w:r>
        <w:rPr>
          <w:rFonts w:ascii="Times New Roman" w:hAnsi="Times New Roman" w:cs="Times New Roman" w:eastAsia="Times New Roman" w:hint="default"/>
        </w:rPr>
        <w:t>5.27%</w:t>
      </w:r>
      <w:r>
        <w:rPr/>
        <w:t>， 相应计提的坏账准备期末余额汇总金额</w:t>
      </w:r>
      <w:r>
        <w:rPr>
          <w:rFonts w:ascii="Times New Roman" w:hAnsi="Times New Roman" w:cs="Times New Roman" w:eastAsia="Times New Roman" w:hint="default"/>
        </w:rPr>
        <w:t>291,868.23</w:t>
      </w:r>
      <w:r>
        <w:rPr/>
        <w:t>元。</w:t>
      </w:r>
    </w:p>
    <w:p>
      <w:pPr>
        <w:spacing w:line="240" w:lineRule="auto" w:before="1"/>
        <w:rPr>
          <w:rFonts w:ascii="宋体" w:hAnsi="宋体" w:cs="宋体" w:eastAsia="宋体" w:hint="default"/>
          <w:sz w:val="22"/>
          <w:szCs w:val="22"/>
        </w:rPr>
      </w:pPr>
    </w:p>
    <w:p>
      <w:pPr>
        <w:pStyle w:val="Heading3"/>
        <w:spacing w:line="240" w:lineRule="auto"/>
        <w:ind w:right="41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41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4"/>
        <w:gridCol w:w="790"/>
        <w:gridCol w:w="1416"/>
        <w:gridCol w:w="1745"/>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392" w:hRule="exact"/>
        </w:trPr>
        <w:tc>
          <w:tcPr>
            <w:tcW w:w="1611" w:type="dxa"/>
            <w:vMerge/>
            <w:tcBorders>
              <w:left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3D3D3"/>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34,052,3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33,383,58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115,358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,843.18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94.51%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877,983.4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114,480,85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9.75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6,695,2</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31.97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749,229.8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5,946,002.1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34,801,5</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86.19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1,418,00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4.07%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33,383,58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122,054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,075.15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1.33%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120,426,86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1.92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4475" w:space="4354"/>
            <w:col w:w="116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89"/>
      </w:tblGrid>
      <w:tr>
        <w:trPr>
          <w:trHeight w:val="200"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24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476" w:type="dxa"/>
            <w:vMerge/>
            <w:tcBorders>
              <w:left w:val="single" w:sz="4" w:space="0" w:color="000000"/>
              <w:bottom w:val="nil" w:sz="6" w:space="0" w:color="auto"/>
              <w:right w:val="single" w:sz="4" w:space="0" w:color="000000"/>
            </w:tcBorders>
            <w:shd w:val="clear" w:color="auto" w:fill="D3D3D3"/>
          </w:tcPr>
          <w:p>
            <w:pPr/>
          </w:p>
        </w:tc>
        <w:tc>
          <w:tcPr>
            <w:tcW w:w="23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2301"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3,225,743.39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129,029.73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123,999.97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1,327,192.95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530,877.18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79,251.23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31,700.49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1,219,941.72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487,976.69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4,686,436.31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668,771.91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14.27%</w:t>
            </w:r>
          </w:p>
        </w:tc>
      </w:tr>
    </w:tbl>
    <w:p>
      <w:pPr>
        <w:pStyle w:val="BodyText"/>
        <w:spacing w:line="357" w:lineRule="auto" w:before="51"/>
        <w:ind w:left="153" w:right="5311"/>
        <w:jc w:val="left"/>
      </w:pPr>
      <w:r>
        <w:rPr/>
        <w:t>确定该组合依据的说明： 组合中，采用余额百分比法计提坏账准备的其他应收款：</w:t>
      </w:r>
    </w:p>
    <w:p>
      <w:pPr>
        <w:pStyle w:val="BodyText"/>
        <w:spacing w:line="338" w:lineRule="auto" w:before="29"/>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415" w:lineRule="auto" w:before="42"/>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关联方组合是指纳入公司合并范围内的子公司与母公司之间的往来款项，按公司会计政策此部分应收款项不计提坏账准备。</w:t>
      </w:r>
    </w:p>
    <w:p>
      <w:pPr>
        <w:spacing w:line="240" w:lineRule="auto" w:before="10"/>
        <w:rPr>
          <w:rFonts w:ascii="宋体" w:hAnsi="宋体" w:cs="宋体" w:eastAsia="宋体" w:hint="default"/>
          <w:sz w:val="16"/>
          <w:szCs w:val="16"/>
        </w:rPr>
      </w:pPr>
    </w:p>
    <w:p>
      <w:pPr>
        <w:pStyle w:val="Heading3"/>
        <w:spacing w:line="240" w:lineRule="auto"/>
        <w:ind w:right="418"/>
        <w:jc w:val="left"/>
        <w:rPr>
          <w:b w:val="0"/>
          <w:bCs w:val="0"/>
        </w:rPr>
      </w:pP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57"/>
        <w:gridCol w:w="3100"/>
        <w:gridCol w:w="3100"/>
      </w:tblGrid>
      <w:tr>
        <w:trPr>
          <w:trHeight w:val="397" w:hRule="exact"/>
        </w:trPr>
        <w:tc>
          <w:tcPr>
            <w:tcW w:w="3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641,415.93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638,411.43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用电集资</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939,240.00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939,240.00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3,714,607.17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921,368.03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29,365,920.08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111,048,499.63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2,933,642.15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3,469,871.92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维修基金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2,231,395.00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34,801,586.19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122,054,075.15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中华人民共和国石家 庄海关</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886,396.65</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35,455.87</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石家庄市能源管理办 公室用电集资款</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939,240.00</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375,696.00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641,415.93</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25,656.64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第一棉麻</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491,447.00</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491,447.00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南宫市至尊商业贸易</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257,782.80</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257,782.80</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3,216,282.38</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1,186,038.31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0"/>
        <w:gridCol w:w="1385"/>
        <w:gridCol w:w="1367"/>
        <w:gridCol w:w="1355"/>
        <w:gridCol w:w="1379"/>
        <w:gridCol w:w="1367"/>
        <w:gridCol w:w="1355"/>
      </w:tblGrid>
      <w:tr>
        <w:trPr>
          <w:trHeight w:val="201" w:hRule="exact"/>
        </w:trPr>
        <w:tc>
          <w:tcPr>
            <w:tcW w:w="1340"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3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7"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340" w:type="dxa"/>
            <w:vMerge/>
            <w:tcBorders>
              <w:left w:val="single" w:sz="4" w:space="0" w:color="000000"/>
              <w:bottom w:val="nil" w:sz="6" w:space="0" w:color="auto"/>
              <w:right w:val="single" w:sz="4" w:space="0" w:color="000000"/>
            </w:tcBorders>
            <w:shd w:val="clear" w:color="auto" w:fill="D3D3D3"/>
          </w:tcPr>
          <w:p>
            <w:pP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3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436,841,474.39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436,841,474.39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270,254,476.14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270,254,476.14</w:t>
            </w: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436,841,474.39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436,841,474.39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270,254,476.14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270,254,476.14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78"/>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00" w:right="46"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石家庄常山恒新 纺织有限公司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149,374,476.14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166,586,998.25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315,961,474.39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上海常纺恒友国 际贸易有限公司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石家庄常山赵州 纺织有限公司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石家庄常山恒荣 进出口贸易有限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上海冀源国际贸 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常山股份香港国 际贸易有限公司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石家庄常山物业 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库尔勒常山恒丰 商贸有限责任公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270,254,476.14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166,586,998.25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436,841,474.39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2"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5"/>
              <w:ind w:left="22" w:right="41"/>
              <w:jc w:val="both"/>
              <w:rPr>
                <w:rFonts w:ascii="宋体" w:hAnsi="宋体" w:cs="宋体" w:eastAsia="宋体" w:hint="default"/>
                <w:sz w:val="18"/>
                <w:szCs w:val="18"/>
              </w:rPr>
            </w:pPr>
            <w:r>
              <w:rPr>
                <w:rFonts w:ascii="宋体" w:hAnsi="宋体" w:cs="宋体" w:eastAsia="宋体" w:hint="default"/>
                <w:sz w:val="18"/>
                <w:szCs w:val="18"/>
              </w:rPr>
              <w:t>石家庄常 山明荣家 纺有限公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78"/>
        <w:gridCol w:w="1854"/>
        <w:gridCol w:w="1901"/>
        <w:gridCol w:w="1925"/>
        <w:gridCol w:w="1901"/>
      </w:tblGrid>
      <w:tr>
        <w:trPr>
          <w:trHeight w:val="201" w:hRule="exact"/>
        </w:trPr>
        <w:tc>
          <w:tcPr>
            <w:tcW w:w="19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78" w:type="dxa"/>
            <w:vMerge/>
            <w:tcBorders>
              <w:left w:val="single" w:sz="4" w:space="0" w:color="000000"/>
              <w:bottom w:val="nil" w:sz="6" w:space="0" w:color="auto"/>
              <w:right w:val="single" w:sz="4" w:space="0" w:color="000000"/>
            </w:tcBorders>
            <w:shd w:val="clear" w:color="auto" w:fill="D3D3D3"/>
          </w:tcPr>
          <w:p>
            <w:pPr/>
          </w:p>
        </w:tc>
        <w:tc>
          <w:tcPr>
            <w:tcW w:w="1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78" w:type="dxa"/>
            <w:tcBorders>
              <w:top w:val="nil" w:sz="6" w:space="0" w:color="auto"/>
              <w:left w:val="single" w:sz="4" w:space="0" w:color="000000"/>
              <w:bottom w:val="single" w:sz="4" w:space="0" w:color="000000"/>
              <w:right w:val="single" w:sz="4" w:space="0" w:color="000000"/>
            </w:tcBorders>
            <w:shd w:val="clear" w:color="auto" w:fill="D3D3D3"/>
          </w:tcPr>
          <w:p>
            <w:pPr/>
          </w:p>
        </w:tc>
        <w:tc>
          <w:tcPr>
            <w:tcW w:w="1854"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5,132,714,898.70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5,132,803,865.39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4,782,750,797.05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4,662,772,807.80</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53,123,798.87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30,770,709.04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59,175,673.78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36,721,215.85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5,185,838,697.57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5,163,574,574.43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4,841,926,470.83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4,699,494,023.65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12"/>
        <w:gridCol w:w="3071"/>
        <w:gridCol w:w="3186"/>
      </w:tblGrid>
      <w:tr>
        <w:trPr>
          <w:trHeight w:val="401"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0"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-406,613.83</w:t>
            </w:r>
          </w:p>
        </w:tc>
      </w:tr>
      <w:tr>
        <w:trPr>
          <w:trHeight w:val="402"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2,240,012.70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4,993,147.80</w:t>
            </w:r>
          </w:p>
        </w:tc>
      </w:tr>
      <w:tr>
        <w:trPr>
          <w:trHeight w:val="402"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2,240,012.70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4,586,533.97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-8,358,876.28</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348,030,313.52</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其中：政府搬迁补助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337,137,311.83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7"/>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-72,004,100.19</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7,074,928.74</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124,347.58</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0"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274,617,918.21</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0"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2"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2"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b/>
          <w:bCs/>
          <w:sz w:val="22"/>
          <w:szCs w:val="22"/>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3"/>
          <w:szCs w:val="23"/>
        </w:rPr>
      </w:pPr>
    </w:p>
    <w:p>
      <w:pPr>
        <w:pStyle w:val="Heading3"/>
        <w:spacing w:line="260"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12"/>
        <w:rPr>
          <w:rFonts w:ascii="宋体" w:hAnsi="宋体" w:cs="宋体" w:eastAsia="宋体" w:hint="default"/>
          <w:b/>
          <w:bCs/>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240" w:lineRule="auto" w:before="115"/>
        <w:ind w:left="153"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49"/>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37"/>
        <w:gridCol w:w="2172"/>
        <w:gridCol w:w="2160"/>
        <w:gridCol w:w="2160"/>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812,518,423.01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407,651,547.61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275,198,603.36</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52,708,167.55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45,792,670.02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40,095,086.83</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62,562,173.12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110,571,518.66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41,258,208.01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931,116,982.67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983,475,694.64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865,551,594.80</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873,161.46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16,286.11</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59,022,226.13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26,647,205.62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75,510,198.06</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1,155,569,008.33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1,505,407,219.20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1,423,268,411.75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2,118,880.13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2,118,880.13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9,716,485.96</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3,076,489,022.40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3,081,681,021.99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2,730,598,588.77</w:t>
            </w:r>
          </w:p>
        </w:tc>
      </w:tr>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54,450,464.09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50,617,444.57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59,138,252.84</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183,949,854.21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176,499,270.93</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1,667,203,262.46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1,501,057,931.47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1,162,594,197.37</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492,974,656.62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712,858,753.15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1,029,089,641.27</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201,824.21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255,603.02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219,559.81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28,486,882.28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37,842,905.32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183,799,290.90</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203,339,120.76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198,766,694.67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194,202,791.86</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2,214,281.77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1,729,915.28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1,310,634.04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32"/>
        <w:gridCol w:w="2177"/>
        <w:gridCol w:w="2160"/>
        <w:gridCol w:w="2160"/>
      </w:tblGrid>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7,557,568.00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9,289,942.23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15,577,052.02</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2,640,377,914.40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2,691,558,208.76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2,822,564,792.25</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5,716,866,936.80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5,773,239,230.75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5,553,163,381.02</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1,520,417,697.95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1,589,452,373.42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1,504,567,200.00</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30,060,000.00</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286,075,962.87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259,219,400.63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180,532,870.57</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429,660,836.94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667,077,582.63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498,699,649.58</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17,016,906.90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14,148,769.59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8,896,978.67</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-40,186,320.65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-37,933,121.86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6,451,522.85</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42,261,639.51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41,604,273.89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41,583,500.00</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468,422.13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468,422.13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468,422.13</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34,108,624.16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86,929,618.63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35,054,482.69</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629,380,966.27</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276,162,329.58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2,585,986,099.39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2,652,376,811.14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2,937,105,084.84</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82,726,000.00</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621,952,566.67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625,666,766.47</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68,376,134.83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41,527,971.71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55,399,866.90</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2,664,619.70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1,785,184.83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4,151,664.13</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703,228,321.20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678,444,923.01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142,277,531.03</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3,289,214,420.59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3,330,821,734.15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3,079,382,615.87</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1,111,154,184.34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1,111,154,184.34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1,111,154,184.34</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7,993,859.10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5,355,554.47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12,454,992.37</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182,724,046.12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184,924,069.84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188,521,382.02</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406,307,769.73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421,673,641.36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442,361,065.54</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2,427,040,859.29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2,441,968,450.01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2,473,352,624.27</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611,656.92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449,046.59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428,140.88</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2,427,652,516.21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2,442,417,496.60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2,473,780,765.15</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5,716,866,936.80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5,773,239,230.75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5,553,163,381.02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8"/>
        <w:rPr>
          <w:rFonts w:ascii="宋体" w:hAnsi="宋体" w:cs="宋体" w:eastAsia="宋体" w:hint="default"/>
          <w:b/>
          <w:bCs/>
          <w:sz w:val="42"/>
          <w:szCs w:val="42"/>
        </w:rPr>
      </w:pPr>
    </w:p>
    <w:p>
      <w:pPr>
        <w:pStyle w:val="BodyText"/>
        <w:spacing w:line="316" w:lineRule="auto"/>
        <w:ind w:left="153" w:right="3111"/>
        <w:jc w:val="left"/>
      </w:pPr>
      <w:r>
        <w:rPr/>
        <w:t>一、载有公司法定代表人签字和公司盖章的本次年报摘要及全文。 二、载有公司法定代表人、总会计师、会计机构负责人签名并盖章的会计报表。 三、载有会计师事务所盖章、注册会计师签名并盖章的审计报告原件。 四、报告期内在中国证监会指定报纸上公开披露过的所有文件的正本及公告的原稿。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spacing w:line="240" w:lineRule="auto"/>
        <w:ind w:left="4744" w:right="0"/>
        <w:jc w:val="left"/>
      </w:pPr>
      <w:r>
        <w:rPr/>
        <w:t>石家庄常山纺织股份有限公司董事会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3587" w:right="1884"/>
        <w:jc w:val="cente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8334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33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33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33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33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33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833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33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833488" type="#_x0000_t202" filled="false" stroked="false">
          <v:textbox inset="0,0,0,0">
            <w:txbxContent>
              <w:p>
                <w:pPr>
                  <w:pStyle w:val="BodyText"/>
                  <w:spacing w:line="214" w:lineRule="exact"/>
                  <w:ind w:left="20" w:right="0"/>
                  <w:jc w:val="left"/>
                </w:pPr>
                <w:r>
                  <w:rPr/>
                  <w:t>石家庄常山纺织股份有限公司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9"/>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hangshantex.com/" TargetMode="External"/><Relationship Id="rId10" Type="http://schemas.openxmlformats.org/officeDocument/2006/relationships/hyperlink" Target="mailto:chshgf@heinfo.net" TargetMode="External"/><Relationship Id="rId11" Type="http://schemas.openxmlformats.org/officeDocument/2006/relationships/hyperlink" Target="mailto:chijunp52@sohu.com" TargetMode="External"/><Relationship Id="rId12" Type="http://schemas.openxmlformats.org/officeDocument/2006/relationships/hyperlink" Target="mailto:ally0629@sohu.com" TargetMode="External"/><Relationship Id="rId13" Type="http://schemas.openxmlformats.org/officeDocument/2006/relationships/hyperlink" Target="mailto:0629@sohu.com" TargetMode="External"/><Relationship Id="rId14" Type="http://schemas.openxmlformats.org/officeDocument/2006/relationships/hyperlink" Target="http://www.cninfo.com.c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www.cninfo.co/"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&lt;4D6963726F736F667420576F7264202D2032303134C4EAC4EAB6C8B1A8B8E6C8ABCEC42E646F63&gt;</dc:title>
  <dcterms:created xsi:type="dcterms:W3CDTF">2020-05-06T13:19:32Z</dcterms:created>
  <dcterms:modified xsi:type="dcterms:W3CDTF">2020-05-06T13:19:32Z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2015-02-05T00:00:00Z</vt:filetime>
  </property>
  <property fmtid="{D5CDD505-2E9C-101B-9397-08002B2CF9AE}" pid="3" name="Creator">
    <vt:lpwstr>PScript5.dll Version 5.2</vt:lpwstr>
  </property>
  <property fmtid="{D5CDD505-2E9C-101B-9397-08002B2CF9AE}" pid="4" name="LastSaved">
    <vt:filetime>2020-05-06T00:00:00Z</vt:filetime>
  </property>
</Properties>
</file>